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360" w:lineRule="auto"/>
        <w:jc w:val="center"/>
        <w:rPr>
          <w:rFonts w:ascii="Times New Roman" w:hAnsi="Times New Roman" w:cs="Times New Roman"/>
          <w:color w:val="000000" w:themeColor="text1"/>
          <w:sz w:val="28"/>
          <w:szCs w:val="28"/>
          <w:lang w:eastAsia="zh-CN"/>
          <w14:textFill>
            <w14:solidFill>
              <w14:schemeClr w14:val="tx1"/>
            </w14:solidFill>
          </w14:textFill>
        </w:rPr>
      </w:pPr>
      <w:r>
        <w:rPr>
          <w:rFonts w:hint="eastAsia" w:ascii="仿宋" w:hAnsi="仿宋" w:eastAsia="仿宋"/>
          <w:b/>
          <w:color w:val="auto"/>
          <w:sz w:val="44"/>
          <w:szCs w:val="44"/>
          <w:highlight w:val="none"/>
        </w:rPr>
        <w:t>增城国家级开发区中新园区基础设施配套中新下沉式再生水厂项目设计施工总承包</w:t>
      </w:r>
    </w:p>
    <w:p>
      <w:pPr>
        <w:spacing w:line="360" w:lineRule="auto"/>
        <w:rPr>
          <w:rFonts w:ascii="Times New Roman" w:hAnsi="Times New Roman" w:cs="Times New Roman"/>
          <w:color w:val="000000" w:themeColor="text1"/>
          <w:sz w:val="28"/>
          <w:szCs w:val="28"/>
          <w:lang w:eastAsia="zh-CN"/>
          <w14:textFill>
            <w14:solidFill>
              <w14:schemeClr w14:val="tx1"/>
            </w14:solidFill>
          </w14:textFill>
        </w:rPr>
      </w:pPr>
    </w:p>
    <w:p>
      <w:pPr>
        <w:spacing w:line="360" w:lineRule="auto"/>
        <w:rPr>
          <w:rFonts w:ascii="Times New Roman" w:hAnsi="Times New Roman" w:eastAsia="Times New Roman" w:cs="Times New Roman"/>
          <w:color w:val="000000" w:themeColor="text1"/>
          <w:sz w:val="28"/>
          <w:szCs w:val="28"/>
          <w14:textFill>
            <w14:solidFill>
              <w14:schemeClr w14:val="tx1"/>
            </w14:solidFill>
          </w14:textFill>
        </w:rPr>
      </w:pPr>
    </w:p>
    <w:p>
      <w:pPr>
        <w:spacing w:line="360" w:lineRule="auto"/>
        <w:rPr>
          <w:rFonts w:ascii="Times New Roman" w:hAnsi="Times New Roman" w:eastAsia="Times New Roman" w:cs="Times New Roman"/>
          <w:color w:val="000000" w:themeColor="text1"/>
          <w:sz w:val="28"/>
          <w:szCs w:val="28"/>
          <w14:textFill>
            <w14:solidFill>
              <w14:schemeClr w14:val="tx1"/>
            </w14:solidFill>
          </w14:textFill>
        </w:rPr>
      </w:pPr>
    </w:p>
    <w:p>
      <w:pPr>
        <w:spacing w:line="360" w:lineRule="auto"/>
        <w:rPr>
          <w:rFonts w:ascii="Times New Roman" w:hAnsi="Times New Roman" w:eastAsia="Times New Roman" w:cs="Times New Roman"/>
          <w:color w:val="000000" w:themeColor="text1"/>
          <w:sz w:val="28"/>
          <w:szCs w:val="28"/>
          <w14:textFill>
            <w14:solidFill>
              <w14:schemeClr w14:val="tx1"/>
            </w14:solidFill>
          </w14:textFill>
        </w:rPr>
      </w:pPr>
    </w:p>
    <w:p>
      <w:pPr>
        <w:spacing w:line="360" w:lineRule="auto"/>
        <w:rPr>
          <w:rFonts w:ascii="Times New Roman" w:hAnsi="Times New Roman" w:eastAsia="Times New Roman" w:cs="Times New Roman"/>
          <w:color w:val="000000" w:themeColor="text1"/>
          <w:sz w:val="28"/>
          <w:szCs w:val="28"/>
          <w14:textFill>
            <w14:solidFill>
              <w14:schemeClr w14:val="tx1"/>
            </w14:solidFill>
          </w14:textFill>
        </w:rPr>
      </w:pPr>
    </w:p>
    <w:p>
      <w:pPr>
        <w:spacing w:line="360" w:lineRule="auto"/>
        <w:rPr>
          <w:rFonts w:ascii="Times New Roman" w:hAnsi="Times New Roman" w:eastAsia="Times New Roman" w:cs="Times New Roman"/>
          <w:color w:val="000000" w:themeColor="text1"/>
          <w:sz w:val="28"/>
          <w:szCs w:val="28"/>
          <w14:textFill>
            <w14:solidFill>
              <w14:schemeClr w14:val="tx1"/>
            </w14:solidFill>
          </w14:textFill>
        </w:rPr>
      </w:pPr>
    </w:p>
    <w:p>
      <w:pPr>
        <w:pStyle w:val="10"/>
      </w:pPr>
    </w:p>
    <w:p>
      <w:pPr>
        <w:spacing w:line="820" w:lineRule="exact"/>
        <w:ind w:right="113"/>
        <w:jc w:val="center"/>
        <w:rPr>
          <w:rFonts w:ascii="宋体" w:hAnsi="宋体" w:eastAsia="宋体" w:cs="宋体"/>
          <w:color w:val="000000" w:themeColor="text1"/>
          <w:sz w:val="72"/>
          <w:szCs w:val="72"/>
          <w:lang w:eastAsia="zh-CN"/>
          <w14:textFill>
            <w14:solidFill>
              <w14:schemeClr w14:val="tx1"/>
            </w14:solidFill>
          </w14:textFill>
        </w:rPr>
      </w:pPr>
      <w:r>
        <w:rPr>
          <w:rFonts w:ascii="宋体" w:hAnsi="宋体" w:eastAsia="宋体" w:cs="宋体"/>
          <w:b/>
          <w:bCs/>
          <w:color w:val="000000" w:themeColor="text1"/>
          <w:sz w:val="72"/>
          <w:szCs w:val="72"/>
          <w:lang w:eastAsia="zh-CN"/>
          <w14:textFill>
            <w14:solidFill>
              <w14:schemeClr w14:val="tx1"/>
            </w14:solidFill>
          </w14:textFill>
        </w:rPr>
        <w:t>项目需求书</w:t>
      </w:r>
    </w:p>
    <w:p>
      <w:pPr>
        <w:spacing w:line="360" w:lineRule="auto"/>
        <w:rPr>
          <w:rFonts w:ascii="Times New Roman" w:hAnsi="Times New Roman" w:cs="Times New Roman"/>
          <w:color w:val="000000" w:themeColor="text1"/>
          <w:sz w:val="28"/>
          <w:szCs w:val="28"/>
          <w:lang w:eastAsia="zh-CN"/>
          <w14:textFill>
            <w14:solidFill>
              <w14:schemeClr w14:val="tx1"/>
            </w14:solidFill>
          </w14:textFill>
        </w:rPr>
      </w:pPr>
    </w:p>
    <w:p>
      <w:pPr>
        <w:spacing w:line="360" w:lineRule="auto"/>
        <w:rPr>
          <w:rFonts w:ascii="Times New Roman" w:hAnsi="Times New Roman" w:cs="Times New Roman"/>
          <w:color w:val="000000" w:themeColor="text1"/>
          <w:sz w:val="28"/>
          <w:szCs w:val="28"/>
          <w:lang w:eastAsia="zh-CN"/>
          <w14:textFill>
            <w14:solidFill>
              <w14:schemeClr w14:val="tx1"/>
            </w14:solidFill>
          </w14:textFill>
        </w:rPr>
      </w:pPr>
    </w:p>
    <w:p>
      <w:pPr>
        <w:spacing w:line="360" w:lineRule="auto"/>
        <w:rPr>
          <w:rFonts w:ascii="Times New Roman" w:hAnsi="Times New Roman" w:cs="Times New Roman"/>
          <w:color w:val="000000" w:themeColor="text1"/>
          <w:sz w:val="28"/>
          <w:szCs w:val="28"/>
          <w:lang w:eastAsia="zh-CN"/>
          <w14:textFill>
            <w14:solidFill>
              <w14:schemeClr w14:val="tx1"/>
            </w14:solidFill>
          </w14:textFill>
        </w:rPr>
      </w:pPr>
    </w:p>
    <w:p>
      <w:pPr>
        <w:spacing w:line="360" w:lineRule="auto"/>
        <w:rPr>
          <w:rFonts w:ascii="Times New Roman" w:hAnsi="Times New Roman" w:cs="Times New Roman"/>
          <w:color w:val="000000" w:themeColor="text1"/>
          <w:sz w:val="28"/>
          <w:szCs w:val="28"/>
          <w:lang w:eastAsia="zh-CN"/>
          <w14:textFill>
            <w14:solidFill>
              <w14:schemeClr w14:val="tx1"/>
            </w14:solidFill>
          </w14:textFill>
        </w:rPr>
      </w:pPr>
    </w:p>
    <w:p>
      <w:pPr>
        <w:spacing w:line="360" w:lineRule="auto"/>
        <w:ind w:firstLine="659" w:firstLineChars="206"/>
        <w:jc w:val="left"/>
        <w:rPr>
          <w:rFonts w:hint="eastAsia" w:ascii="宋体" w:hAnsi="宋体"/>
          <w:b/>
          <w:bCs/>
          <w:sz w:val="32"/>
          <w:szCs w:val="32"/>
        </w:rPr>
      </w:pPr>
    </w:p>
    <w:p>
      <w:pPr>
        <w:spacing w:line="360" w:lineRule="auto"/>
        <w:ind w:firstLine="659" w:firstLineChars="206"/>
        <w:jc w:val="left"/>
        <w:rPr>
          <w:rFonts w:hint="eastAsia" w:ascii="宋体" w:hAnsi="宋体"/>
          <w:b/>
          <w:bCs/>
          <w:sz w:val="32"/>
          <w:szCs w:val="32"/>
        </w:rPr>
      </w:pPr>
    </w:p>
    <w:p>
      <w:pPr>
        <w:spacing w:line="360" w:lineRule="auto"/>
        <w:ind w:firstLine="659" w:firstLineChars="206"/>
        <w:jc w:val="left"/>
        <w:rPr>
          <w:rFonts w:hint="eastAsia" w:ascii="宋体" w:hAnsi="宋体"/>
          <w:b/>
          <w:bCs/>
          <w:sz w:val="32"/>
          <w:szCs w:val="32"/>
        </w:rPr>
      </w:pPr>
    </w:p>
    <w:p>
      <w:pPr>
        <w:spacing w:line="360" w:lineRule="auto"/>
        <w:ind w:firstLine="659" w:firstLineChars="206"/>
        <w:jc w:val="left"/>
        <w:rPr>
          <w:rFonts w:hint="eastAsia" w:ascii="宋体" w:hAnsi="宋体"/>
          <w:b/>
          <w:bCs/>
          <w:sz w:val="32"/>
          <w:szCs w:val="32"/>
        </w:rPr>
      </w:pPr>
    </w:p>
    <w:p>
      <w:pPr>
        <w:spacing w:line="360" w:lineRule="auto"/>
        <w:ind w:firstLine="659" w:firstLineChars="206"/>
        <w:jc w:val="left"/>
        <w:rPr>
          <w:rFonts w:hint="eastAsia" w:ascii="宋体" w:hAnsi="宋体"/>
          <w:b/>
          <w:bCs/>
          <w:sz w:val="32"/>
          <w:szCs w:val="32"/>
        </w:rPr>
      </w:pPr>
    </w:p>
    <w:p>
      <w:pPr>
        <w:spacing w:line="360" w:lineRule="auto"/>
        <w:ind w:firstLine="659" w:firstLineChars="206"/>
        <w:jc w:val="left"/>
        <w:rPr>
          <w:rFonts w:hint="eastAsia" w:ascii="宋体" w:hAnsi="宋体"/>
          <w:b/>
          <w:bCs/>
          <w:sz w:val="32"/>
          <w:szCs w:val="32"/>
        </w:rPr>
      </w:pPr>
    </w:p>
    <w:p>
      <w:pPr>
        <w:spacing w:line="360" w:lineRule="auto"/>
        <w:ind w:firstLine="659" w:firstLineChars="206"/>
        <w:jc w:val="left"/>
        <w:rPr>
          <w:rFonts w:hint="eastAsia" w:ascii="宋体" w:hAnsi="宋体"/>
          <w:b/>
          <w:bCs/>
          <w:sz w:val="32"/>
          <w:szCs w:val="32"/>
        </w:rPr>
      </w:pPr>
      <w:r>
        <w:rPr>
          <w:rFonts w:hint="eastAsia" w:ascii="宋体" w:hAnsi="宋体"/>
          <w:b/>
          <w:bCs/>
          <w:sz w:val="32"/>
          <w:szCs w:val="32"/>
        </w:rPr>
        <w:t>招</w:t>
      </w:r>
      <w:r>
        <w:rPr>
          <w:rFonts w:hint="eastAsia" w:ascii="宋体" w:hAnsi="宋体"/>
          <w:b/>
          <w:bCs/>
          <w:sz w:val="32"/>
          <w:szCs w:val="32"/>
          <w:lang w:val="en-US" w:eastAsia="zh-CN"/>
        </w:rPr>
        <w:t xml:space="preserve">   </w:t>
      </w:r>
      <w:r>
        <w:rPr>
          <w:rFonts w:hint="eastAsia" w:ascii="宋体" w:hAnsi="宋体"/>
          <w:b/>
          <w:bCs/>
          <w:sz w:val="32"/>
          <w:szCs w:val="32"/>
        </w:rPr>
        <w:t>标</w:t>
      </w:r>
      <w:r>
        <w:rPr>
          <w:rFonts w:hint="eastAsia" w:ascii="宋体" w:hAnsi="宋体"/>
          <w:b/>
          <w:bCs/>
          <w:sz w:val="32"/>
          <w:szCs w:val="32"/>
          <w:lang w:val="en-US" w:eastAsia="zh-CN"/>
        </w:rPr>
        <w:t xml:space="preserve">   </w:t>
      </w:r>
      <w:r>
        <w:rPr>
          <w:rFonts w:hint="eastAsia" w:ascii="宋体" w:hAnsi="宋体"/>
          <w:b/>
          <w:bCs/>
          <w:sz w:val="32"/>
          <w:szCs w:val="32"/>
        </w:rPr>
        <w:t>人：广州市增城区水务建设管理所</w:t>
      </w:r>
    </w:p>
    <w:p>
      <w:pPr>
        <w:spacing w:line="360" w:lineRule="auto"/>
        <w:ind w:firstLine="659" w:firstLineChars="206"/>
        <w:jc w:val="left"/>
        <w:rPr>
          <w:rFonts w:hint="eastAsia" w:ascii="宋体" w:hAnsi="宋体" w:cs="宋体"/>
          <w:b/>
          <w:kern w:val="0"/>
          <w:sz w:val="32"/>
          <w:szCs w:val="32"/>
        </w:rPr>
      </w:pPr>
      <w:r>
        <w:rPr>
          <w:rFonts w:hint="eastAsia" w:ascii="宋体" w:hAnsi="宋体"/>
          <w:b/>
          <w:bCs/>
          <w:sz w:val="32"/>
          <w:szCs w:val="32"/>
        </w:rPr>
        <w:t>招标代理机构：广州高新工程顾问有限公司</w:t>
      </w:r>
    </w:p>
    <w:p>
      <w:pPr>
        <w:spacing w:line="360" w:lineRule="auto"/>
        <w:jc w:val="center"/>
        <w:rPr>
          <w:rFonts w:ascii="Times New Roman" w:hAnsi="Times New Roman" w:cs="Times New Roman"/>
          <w:color w:val="auto"/>
          <w:sz w:val="28"/>
          <w:szCs w:val="28"/>
          <w:lang w:eastAsia="zh-CN"/>
        </w:rPr>
      </w:pPr>
      <w:r>
        <w:rPr>
          <w:rFonts w:hint="eastAsia"/>
          <w:b/>
          <w:bCs/>
          <w:sz w:val="32"/>
          <w:szCs w:val="32"/>
          <w:u w:val="none"/>
        </w:rPr>
        <w:t>2022年10月</w:t>
      </w:r>
    </w:p>
    <w:p>
      <w:pPr>
        <w:spacing w:line="360" w:lineRule="auto"/>
        <w:rPr>
          <w:rFonts w:ascii="Times New Roman" w:hAnsi="Times New Roman" w:cs="Times New Roman"/>
          <w:color w:val="auto"/>
          <w:sz w:val="28"/>
          <w:szCs w:val="28"/>
          <w:lang w:eastAsia="zh-CN"/>
        </w:rPr>
      </w:pPr>
    </w:p>
    <w:p>
      <w:pPr>
        <w:spacing w:line="360" w:lineRule="auto"/>
        <w:rPr>
          <w:rFonts w:ascii="Times New Roman" w:hAnsi="Times New Roman" w:cs="Times New Roman"/>
          <w:color w:val="auto"/>
          <w:sz w:val="28"/>
          <w:szCs w:val="28"/>
          <w:lang w:eastAsia="zh-CN"/>
        </w:rPr>
      </w:pPr>
    </w:p>
    <w:p>
      <w:pPr>
        <w:spacing w:line="360" w:lineRule="auto"/>
        <w:jc w:val="center"/>
        <w:rPr>
          <w:rFonts w:ascii="宋体" w:hAnsi="宋体" w:eastAsia="宋体" w:cs="宋体"/>
          <w:b/>
          <w:bCs/>
          <w:color w:val="auto"/>
          <w:w w:val="95"/>
          <w:sz w:val="32"/>
          <w:szCs w:val="32"/>
          <w:lang w:eastAsia="zh-CN"/>
        </w:rPr>
      </w:pPr>
      <w:r>
        <w:rPr>
          <w:rFonts w:hint="eastAsia" w:ascii="宋体" w:hAnsi="宋体" w:eastAsia="宋体" w:cs="宋体"/>
          <w:b/>
          <w:bCs/>
          <w:color w:val="auto"/>
          <w:w w:val="95"/>
          <w:sz w:val="32"/>
          <w:szCs w:val="32"/>
          <w:lang w:eastAsia="zh-CN"/>
        </w:rPr>
        <w:t xml:space="preserve">说 </w:t>
      </w:r>
      <w:r>
        <w:rPr>
          <w:rFonts w:ascii="宋体" w:hAnsi="宋体" w:eastAsia="宋体" w:cs="宋体"/>
          <w:b/>
          <w:bCs/>
          <w:color w:val="auto"/>
          <w:w w:val="95"/>
          <w:sz w:val="32"/>
          <w:szCs w:val="32"/>
          <w:lang w:eastAsia="zh-CN"/>
        </w:rPr>
        <w:t xml:space="preserve">  </w:t>
      </w:r>
      <w:r>
        <w:rPr>
          <w:rFonts w:hint="eastAsia" w:ascii="宋体" w:hAnsi="宋体" w:eastAsia="宋体" w:cs="宋体"/>
          <w:b/>
          <w:bCs/>
          <w:color w:val="auto"/>
          <w:w w:val="95"/>
          <w:sz w:val="32"/>
          <w:szCs w:val="32"/>
          <w:lang w:eastAsia="zh-CN"/>
        </w:rPr>
        <w:t>明</w:t>
      </w:r>
    </w:p>
    <w:p>
      <w:pPr>
        <w:spacing w:line="357" w:lineRule="auto"/>
        <w:ind w:left="120" w:right="120"/>
        <w:jc w:val="both"/>
        <w:rPr>
          <w:rFonts w:ascii="宋体" w:hAnsi="宋体" w:eastAsia="宋体" w:cs="宋体"/>
          <w:color w:val="auto"/>
          <w:sz w:val="32"/>
          <w:szCs w:val="32"/>
          <w:lang w:eastAsia="zh-CN"/>
        </w:rPr>
      </w:pPr>
      <w:r>
        <w:rPr>
          <w:rFonts w:ascii="宋体" w:hAnsi="宋体" w:eastAsia="宋体" w:cs="宋体"/>
          <w:b/>
          <w:bCs/>
          <w:color w:val="auto"/>
          <w:sz w:val="32"/>
          <w:szCs w:val="32"/>
          <w:lang w:eastAsia="zh-CN"/>
        </w:rPr>
        <w:t>1、</w:t>
      </w:r>
      <w:r>
        <w:rPr>
          <w:rFonts w:ascii="宋体" w:hAnsi="宋体" w:eastAsia="宋体" w:cs="宋体"/>
          <w:b/>
          <w:bCs/>
          <w:color w:val="auto"/>
          <w:spacing w:val="2"/>
          <w:sz w:val="32"/>
          <w:szCs w:val="32"/>
          <w:lang w:eastAsia="zh-CN"/>
        </w:rPr>
        <w:t>项目需求书中污水处理工艺仅为发包人推荐工艺，作为</w:t>
      </w:r>
      <w:r>
        <w:rPr>
          <w:rFonts w:ascii="宋体" w:hAnsi="宋体" w:eastAsia="宋体" w:cs="宋体"/>
          <w:b/>
          <w:bCs/>
          <w:color w:val="auto"/>
          <w:w w:val="95"/>
          <w:sz w:val="32"/>
          <w:szCs w:val="32"/>
          <w:lang w:eastAsia="zh-CN"/>
        </w:rPr>
        <w:t>承包人参考的工艺，承包人在投标或实施工过程中可提出更</w:t>
      </w:r>
      <w:r>
        <w:rPr>
          <w:rFonts w:ascii="宋体" w:hAnsi="宋体" w:eastAsia="宋体" w:cs="宋体"/>
          <w:b/>
          <w:bCs/>
          <w:color w:val="auto"/>
          <w:sz w:val="32"/>
          <w:szCs w:val="32"/>
          <w:lang w:eastAsia="zh-CN"/>
        </w:rPr>
        <w:t>优处理工艺，使用何种工艺由发包人最终选定。</w:t>
      </w:r>
    </w:p>
    <w:p>
      <w:pPr>
        <w:spacing w:line="357" w:lineRule="auto"/>
        <w:ind w:left="120" w:right="120"/>
        <w:jc w:val="both"/>
        <w:rPr>
          <w:rFonts w:ascii="宋体" w:hAnsi="宋体" w:eastAsia="宋体" w:cs="宋体"/>
          <w:b/>
          <w:bCs/>
          <w:color w:val="auto"/>
          <w:sz w:val="32"/>
          <w:szCs w:val="32"/>
          <w:lang w:eastAsia="zh-CN"/>
        </w:rPr>
      </w:pPr>
      <w:r>
        <w:rPr>
          <w:rFonts w:ascii="宋体" w:hAnsi="宋体" w:eastAsia="宋体" w:cs="宋体"/>
          <w:b/>
          <w:bCs/>
          <w:color w:val="auto"/>
          <w:sz w:val="32"/>
          <w:szCs w:val="32"/>
          <w:lang w:eastAsia="zh-CN"/>
        </w:rPr>
        <w:t>2、当承包人提出的处理工艺若得不到发包人同意，承包人应按项目需求书中污水处理工艺设计施工。</w:t>
      </w:r>
    </w:p>
    <w:p>
      <w:pPr>
        <w:spacing w:line="357" w:lineRule="auto"/>
        <w:ind w:left="120" w:right="120"/>
        <w:jc w:val="both"/>
        <w:rPr>
          <w:rFonts w:ascii="宋体" w:hAnsi="宋体" w:eastAsia="宋体" w:cs="宋体"/>
          <w:b/>
          <w:bCs/>
          <w:color w:val="auto"/>
          <w:sz w:val="32"/>
          <w:szCs w:val="32"/>
          <w:lang w:eastAsia="zh-CN"/>
        </w:rPr>
      </w:pPr>
    </w:p>
    <w:p>
      <w:pPr>
        <w:spacing w:line="357" w:lineRule="auto"/>
        <w:ind w:left="120" w:right="120"/>
        <w:jc w:val="both"/>
        <w:rPr>
          <w:rFonts w:ascii="宋体" w:hAnsi="宋体" w:eastAsia="宋体" w:cs="宋体"/>
          <w:b/>
          <w:bCs/>
          <w:color w:val="auto"/>
          <w:sz w:val="32"/>
          <w:szCs w:val="32"/>
          <w:lang w:eastAsia="zh-CN"/>
        </w:rPr>
        <w:sectPr>
          <w:headerReference r:id="rId3" w:type="default"/>
          <w:footerReference r:id="rId4" w:type="default"/>
          <w:pgSz w:w="11910" w:h="16840"/>
          <w:pgMar w:top="1580" w:right="1560" w:bottom="280" w:left="1560" w:header="720" w:footer="720" w:gutter="0"/>
          <w:cols w:space="720" w:num="1"/>
        </w:sectPr>
      </w:pPr>
      <w:bookmarkStart w:id="295" w:name="_GoBack"/>
      <w:bookmarkEnd w:id="295"/>
    </w:p>
    <w:p>
      <w:pPr>
        <w:pStyle w:val="16"/>
        <w:rPr>
          <w:color w:val="auto"/>
        </w:rPr>
      </w:pPr>
      <w:r>
        <w:rPr>
          <w:rFonts w:hint="eastAsia"/>
          <w:color w:val="auto"/>
        </w:rPr>
        <w:t>目录</w:t>
      </w:r>
    </w:p>
    <w:p>
      <w:pPr>
        <w:pStyle w:val="16"/>
        <w:rPr>
          <w:rFonts w:asciiTheme="minorHAnsi" w:hAnsiTheme="minorHAnsi" w:eastAsiaTheme="minorEastAsia"/>
          <w:b w:val="0"/>
          <w:color w:val="auto"/>
          <w:kern w:val="2"/>
          <w:sz w:val="21"/>
          <w:szCs w:val="22"/>
        </w:rPr>
      </w:pPr>
      <w:r>
        <w:rPr>
          <w:rFonts w:ascii="宋体" w:hAnsi="宋体" w:eastAsia="宋体" w:cs="宋体"/>
          <w:bCs/>
          <w:color w:val="auto"/>
        </w:rPr>
        <w:fldChar w:fldCharType="begin"/>
      </w:r>
      <w:r>
        <w:rPr>
          <w:rFonts w:ascii="宋体" w:hAnsi="宋体" w:eastAsia="宋体" w:cs="宋体"/>
          <w:bCs/>
          <w:color w:val="auto"/>
        </w:rPr>
        <w:instrText xml:space="preserve"> TOC \o "1-3" \h \z \u </w:instrText>
      </w:r>
      <w:r>
        <w:rPr>
          <w:rFonts w:ascii="宋体" w:hAnsi="宋体" w:eastAsia="宋体" w:cs="宋体"/>
          <w:bCs/>
          <w:color w:val="auto"/>
        </w:rPr>
        <w:fldChar w:fldCharType="separate"/>
      </w:r>
      <w:r>
        <w:rPr>
          <w:color w:val="auto"/>
        </w:rPr>
        <w:fldChar w:fldCharType="begin"/>
      </w:r>
      <w:r>
        <w:rPr>
          <w:color w:val="auto"/>
        </w:rPr>
        <w:instrText xml:space="preserve"> HYPERLINK \l "_Toc117181310" </w:instrText>
      </w:r>
      <w:r>
        <w:rPr>
          <w:color w:val="auto"/>
        </w:rPr>
        <w:fldChar w:fldCharType="separate"/>
      </w:r>
      <w:r>
        <w:rPr>
          <w:rStyle w:val="21"/>
          <w:color w:val="auto"/>
        </w:rPr>
        <w:t>第一章 通用性技术要求</w:t>
      </w:r>
      <w:r>
        <w:rPr>
          <w:color w:val="auto"/>
        </w:rPr>
        <w:tab/>
      </w:r>
      <w:r>
        <w:rPr>
          <w:color w:val="auto"/>
        </w:rPr>
        <w:fldChar w:fldCharType="begin"/>
      </w:r>
      <w:r>
        <w:rPr>
          <w:color w:val="auto"/>
        </w:rPr>
        <w:instrText xml:space="preserve"> PAGEREF _Toc117181310 \h </w:instrText>
      </w:r>
      <w:r>
        <w:rPr>
          <w:color w:val="auto"/>
        </w:rPr>
        <w:fldChar w:fldCharType="separate"/>
      </w:r>
      <w:r>
        <w:rPr>
          <w:color w:val="auto"/>
        </w:rPr>
        <w:t>1</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"_Toc117181311" </w:instrText>
      </w:r>
      <w:r>
        <w:rPr>
          <w:color w:val="auto"/>
        </w:rPr>
        <w:fldChar w:fldCharType="separate"/>
      </w:r>
      <w:r>
        <w:rPr>
          <w:rStyle w:val="21"/>
          <w:b/>
          <w:color w:val="auto"/>
        </w:rPr>
        <w:t>1.1 本工程概况</w:t>
      </w:r>
      <w:r>
        <w:rPr>
          <w:color w:val="auto"/>
        </w:rPr>
        <w:tab/>
      </w:r>
      <w:r>
        <w:rPr>
          <w:color w:val="auto"/>
        </w:rPr>
        <w:fldChar w:fldCharType="begin"/>
      </w:r>
      <w:r>
        <w:rPr>
          <w:color w:val="auto"/>
        </w:rPr>
        <w:instrText xml:space="preserve"> PAGEREF _Toc117181311 \h </w:instrText>
      </w:r>
      <w:r>
        <w:rPr>
          <w:color w:val="auto"/>
        </w:rPr>
        <w:fldChar w:fldCharType="separate"/>
      </w:r>
      <w:r>
        <w:rPr>
          <w:color w:val="auto"/>
        </w:rPr>
        <w:t>1</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"_Toc117181312" </w:instrText>
      </w:r>
      <w:r>
        <w:rPr>
          <w:color w:val="auto"/>
        </w:rPr>
        <w:fldChar w:fldCharType="separate"/>
      </w:r>
      <w:r>
        <w:rPr>
          <w:rStyle w:val="21"/>
          <w:b/>
          <w:color w:val="auto"/>
        </w:rPr>
        <w:t>1.2 总体设计要求</w:t>
      </w:r>
      <w:r>
        <w:rPr>
          <w:color w:val="auto"/>
        </w:rPr>
        <w:tab/>
      </w:r>
      <w:r>
        <w:rPr>
          <w:color w:val="auto"/>
        </w:rPr>
        <w:fldChar w:fldCharType="begin"/>
      </w:r>
      <w:r>
        <w:rPr>
          <w:color w:val="auto"/>
        </w:rPr>
        <w:instrText xml:space="preserve"> PAGEREF _Toc117181312 \h </w:instrText>
      </w:r>
      <w:r>
        <w:rPr>
          <w:color w:val="auto"/>
        </w:rPr>
        <w:fldChar w:fldCharType="separate"/>
      </w:r>
      <w:r>
        <w:rPr>
          <w:color w:val="auto"/>
        </w:rPr>
        <w:t>1</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"_Toc117181313" </w:instrText>
      </w:r>
      <w:r>
        <w:rPr>
          <w:color w:val="auto"/>
        </w:rPr>
        <w:fldChar w:fldCharType="separate"/>
      </w:r>
      <w:r>
        <w:rPr>
          <w:rStyle w:val="21"/>
          <w:bCs/>
          <w:color w:val="auto"/>
        </w:rPr>
        <w:t>1.2.1</w:t>
      </w:r>
      <w:r>
        <w:rPr>
          <w:rStyle w:val="21"/>
          <w:color w:val="auto"/>
        </w:rPr>
        <w:t xml:space="preserve"> 依据及采用的主要规范及标准</w:t>
      </w:r>
      <w:r>
        <w:rPr>
          <w:color w:val="auto"/>
        </w:rPr>
        <w:tab/>
      </w:r>
      <w:r>
        <w:rPr>
          <w:color w:val="auto"/>
        </w:rPr>
        <w:fldChar w:fldCharType="begin"/>
      </w:r>
      <w:r>
        <w:rPr>
          <w:color w:val="auto"/>
        </w:rPr>
        <w:instrText xml:space="preserve"> PAGEREF _Toc117181313 \h </w:instrText>
      </w:r>
      <w:r>
        <w:rPr>
          <w:color w:val="auto"/>
        </w:rPr>
        <w:fldChar w:fldCharType="separate"/>
      </w:r>
      <w:r>
        <w:rPr>
          <w:color w:val="auto"/>
        </w:rPr>
        <w:t>1</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"_Toc117181314" </w:instrText>
      </w:r>
      <w:r>
        <w:rPr>
          <w:color w:val="auto"/>
        </w:rPr>
        <w:fldChar w:fldCharType="separate"/>
      </w:r>
      <w:r>
        <w:rPr>
          <w:rStyle w:val="21"/>
          <w:bCs/>
          <w:color w:val="auto"/>
        </w:rPr>
        <w:t>1.2.2</w:t>
      </w:r>
      <w:r>
        <w:rPr>
          <w:rStyle w:val="21"/>
          <w:color w:val="auto"/>
        </w:rPr>
        <w:t xml:space="preserve"> 工程目标</w:t>
      </w:r>
      <w:r>
        <w:rPr>
          <w:color w:val="auto"/>
        </w:rPr>
        <w:tab/>
      </w:r>
      <w:r>
        <w:rPr>
          <w:color w:val="auto"/>
        </w:rPr>
        <w:fldChar w:fldCharType="begin"/>
      </w:r>
      <w:r>
        <w:rPr>
          <w:color w:val="auto"/>
        </w:rPr>
        <w:instrText xml:space="preserve"> PAGEREF _Toc117181314 \h </w:instrText>
      </w:r>
      <w:r>
        <w:rPr>
          <w:color w:val="auto"/>
        </w:rPr>
        <w:fldChar w:fldCharType="separate"/>
      </w:r>
      <w:r>
        <w:rPr>
          <w:color w:val="auto"/>
        </w:rPr>
        <w:t>2</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"_Toc117181315" </w:instrText>
      </w:r>
      <w:r>
        <w:rPr>
          <w:color w:val="auto"/>
        </w:rPr>
        <w:fldChar w:fldCharType="separate"/>
      </w:r>
      <w:r>
        <w:rPr>
          <w:rStyle w:val="21"/>
          <w:color w:val="auto"/>
        </w:rPr>
        <w:t>1.2.3 工程范围</w:t>
      </w:r>
      <w:r>
        <w:rPr>
          <w:color w:val="auto"/>
        </w:rPr>
        <w:tab/>
      </w:r>
      <w:r>
        <w:rPr>
          <w:color w:val="auto"/>
        </w:rPr>
        <w:fldChar w:fldCharType="begin"/>
      </w:r>
      <w:r>
        <w:rPr>
          <w:color w:val="auto"/>
        </w:rPr>
        <w:instrText xml:space="preserve"> PAGEREF _Toc117181315 \h </w:instrText>
      </w:r>
      <w:r>
        <w:rPr>
          <w:color w:val="auto"/>
        </w:rPr>
        <w:fldChar w:fldCharType="separate"/>
      </w:r>
      <w:r>
        <w:rPr>
          <w:color w:val="auto"/>
        </w:rPr>
        <w:t>3</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"_Toc117181316" </w:instrText>
      </w:r>
      <w:r>
        <w:rPr>
          <w:color w:val="auto"/>
        </w:rPr>
        <w:fldChar w:fldCharType="separate"/>
      </w:r>
      <w:r>
        <w:rPr>
          <w:rStyle w:val="21"/>
          <w:b/>
          <w:color w:val="auto"/>
        </w:rPr>
        <w:t>1.3 建筑通用性材料要求</w:t>
      </w:r>
      <w:r>
        <w:rPr>
          <w:color w:val="auto"/>
        </w:rPr>
        <w:tab/>
      </w:r>
      <w:r>
        <w:rPr>
          <w:color w:val="auto"/>
        </w:rPr>
        <w:fldChar w:fldCharType="begin"/>
      </w:r>
      <w:r>
        <w:rPr>
          <w:color w:val="auto"/>
        </w:rPr>
        <w:instrText xml:space="preserve"> PAGEREF _Toc117181316 \h </w:instrText>
      </w:r>
      <w:r>
        <w:rPr>
          <w:color w:val="auto"/>
        </w:rPr>
        <w:fldChar w:fldCharType="separate"/>
      </w:r>
      <w:r>
        <w:rPr>
          <w:color w:val="auto"/>
        </w:rPr>
        <w:t>3</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"_Toc117181317" </w:instrText>
      </w:r>
      <w:r>
        <w:rPr>
          <w:color w:val="auto"/>
        </w:rPr>
        <w:fldChar w:fldCharType="separate"/>
      </w:r>
      <w:r>
        <w:rPr>
          <w:rStyle w:val="21"/>
          <w:b/>
          <w:color w:val="auto"/>
        </w:rPr>
        <w:t>1.4 机械设备通用性要求</w:t>
      </w:r>
      <w:r>
        <w:rPr>
          <w:color w:val="auto"/>
        </w:rPr>
        <w:tab/>
      </w:r>
      <w:r>
        <w:rPr>
          <w:color w:val="auto"/>
        </w:rPr>
        <w:fldChar w:fldCharType="begin"/>
      </w:r>
      <w:r>
        <w:rPr>
          <w:color w:val="auto"/>
        </w:rPr>
        <w:instrText xml:space="preserve"> PAGEREF _Toc117181317 \h </w:instrText>
      </w:r>
      <w:r>
        <w:rPr>
          <w:color w:val="auto"/>
        </w:rPr>
        <w:fldChar w:fldCharType="separate"/>
      </w:r>
      <w:r>
        <w:rPr>
          <w:color w:val="auto"/>
        </w:rPr>
        <w:t>8</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"_Toc117181318" </w:instrText>
      </w:r>
      <w:r>
        <w:rPr>
          <w:color w:val="auto"/>
        </w:rPr>
        <w:fldChar w:fldCharType="separate"/>
      </w:r>
      <w:r>
        <w:rPr>
          <w:rStyle w:val="21"/>
          <w:bCs/>
          <w:color w:val="auto"/>
        </w:rPr>
        <w:t>1.4.1</w:t>
      </w:r>
      <w:r>
        <w:rPr>
          <w:rStyle w:val="21"/>
          <w:color w:val="auto"/>
        </w:rPr>
        <w:t xml:space="preserve"> 参考标准</w:t>
      </w:r>
      <w:r>
        <w:rPr>
          <w:color w:val="auto"/>
        </w:rPr>
        <w:tab/>
      </w:r>
      <w:r>
        <w:rPr>
          <w:color w:val="auto"/>
        </w:rPr>
        <w:fldChar w:fldCharType="begin"/>
      </w:r>
      <w:r>
        <w:rPr>
          <w:color w:val="auto"/>
        </w:rPr>
        <w:instrText xml:space="preserve"> PAGEREF _Toc117181318 \h </w:instrText>
      </w:r>
      <w:r>
        <w:rPr>
          <w:color w:val="auto"/>
        </w:rPr>
        <w:fldChar w:fldCharType="separate"/>
      </w:r>
      <w:r>
        <w:rPr>
          <w:color w:val="auto"/>
        </w:rPr>
        <w:t>8</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"_Toc117181319" </w:instrText>
      </w:r>
      <w:r>
        <w:rPr>
          <w:color w:val="auto"/>
        </w:rPr>
        <w:fldChar w:fldCharType="separate"/>
      </w:r>
      <w:r>
        <w:rPr>
          <w:rStyle w:val="21"/>
          <w:color w:val="auto"/>
        </w:rPr>
        <w:t>1.4.2 使用期限</w:t>
      </w:r>
      <w:r>
        <w:rPr>
          <w:color w:val="auto"/>
        </w:rPr>
        <w:tab/>
      </w:r>
      <w:r>
        <w:rPr>
          <w:color w:val="auto"/>
        </w:rPr>
        <w:fldChar w:fldCharType="begin"/>
      </w:r>
      <w:r>
        <w:rPr>
          <w:color w:val="auto"/>
        </w:rPr>
        <w:instrText xml:space="preserve"> PAGEREF _Toc117181319 \h </w:instrText>
      </w:r>
      <w:r>
        <w:rPr>
          <w:color w:val="auto"/>
        </w:rPr>
        <w:fldChar w:fldCharType="separate"/>
      </w:r>
      <w:r>
        <w:rPr>
          <w:color w:val="auto"/>
        </w:rPr>
        <w:t>8</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"_Toc117181320" </w:instrText>
      </w:r>
      <w:r>
        <w:rPr>
          <w:color w:val="auto"/>
        </w:rPr>
        <w:fldChar w:fldCharType="separate"/>
      </w:r>
      <w:r>
        <w:rPr>
          <w:rStyle w:val="21"/>
          <w:bCs/>
          <w:color w:val="auto"/>
        </w:rPr>
        <w:t>1.4.3</w:t>
      </w:r>
      <w:r>
        <w:rPr>
          <w:rStyle w:val="21"/>
          <w:color w:val="auto"/>
        </w:rPr>
        <w:t xml:space="preserve"> 材料</w:t>
      </w:r>
      <w:r>
        <w:rPr>
          <w:color w:val="auto"/>
        </w:rPr>
        <w:tab/>
      </w:r>
      <w:r>
        <w:rPr>
          <w:color w:val="auto"/>
        </w:rPr>
        <w:fldChar w:fldCharType="begin"/>
      </w:r>
      <w:r>
        <w:rPr>
          <w:color w:val="auto"/>
        </w:rPr>
        <w:instrText xml:space="preserve"> PAGEREF _Toc117181320 \h </w:instrText>
      </w:r>
      <w:r>
        <w:rPr>
          <w:color w:val="auto"/>
        </w:rPr>
        <w:fldChar w:fldCharType="separate"/>
      </w:r>
      <w:r>
        <w:rPr>
          <w:color w:val="auto"/>
        </w:rPr>
        <w:t>9</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"_Toc117181321" </w:instrText>
      </w:r>
      <w:r>
        <w:rPr>
          <w:color w:val="auto"/>
        </w:rPr>
        <w:fldChar w:fldCharType="separate"/>
      </w:r>
      <w:r>
        <w:rPr>
          <w:rStyle w:val="21"/>
          <w:bCs/>
          <w:color w:val="auto"/>
        </w:rPr>
        <w:t>1.4.4</w:t>
      </w:r>
      <w:r>
        <w:rPr>
          <w:rStyle w:val="21"/>
          <w:color w:val="auto"/>
        </w:rPr>
        <w:t xml:space="preserve"> 质量控制</w:t>
      </w:r>
      <w:r>
        <w:rPr>
          <w:color w:val="auto"/>
        </w:rPr>
        <w:tab/>
      </w:r>
      <w:r>
        <w:rPr>
          <w:color w:val="auto"/>
        </w:rPr>
        <w:fldChar w:fldCharType="begin"/>
      </w:r>
      <w:r>
        <w:rPr>
          <w:color w:val="auto"/>
        </w:rPr>
        <w:instrText xml:space="preserve"> PAGEREF _Toc117181321 \h </w:instrText>
      </w:r>
      <w:r>
        <w:rPr>
          <w:color w:val="auto"/>
        </w:rPr>
        <w:fldChar w:fldCharType="separate"/>
      </w:r>
      <w:r>
        <w:rPr>
          <w:color w:val="auto"/>
        </w:rPr>
        <w:t>9</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"_Toc117181322" </w:instrText>
      </w:r>
      <w:r>
        <w:rPr>
          <w:color w:val="auto"/>
        </w:rPr>
        <w:fldChar w:fldCharType="separate"/>
      </w:r>
      <w:r>
        <w:rPr>
          <w:rStyle w:val="21"/>
          <w:bCs/>
          <w:color w:val="auto"/>
        </w:rPr>
        <w:t>1.4.5</w:t>
      </w:r>
      <w:r>
        <w:rPr>
          <w:rStyle w:val="21"/>
          <w:color w:val="auto"/>
        </w:rPr>
        <w:t xml:space="preserve"> 铸造与锻造</w:t>
      </w:r>
      <w:r>
        <w:rPr>
          <w:color w:val="auto"/>
        </w:rPr>
        <w:tab/>
      </w:r>
      <w:r>
        <w:rPr>
          <w:color w:val="auto"/>
        </w:rPr>
        <w:fldChar w:fldCharType="begin"/>
      </w:r>
      <w:r>
        <w:rPr>
          <w:color w:val="auto"/>
        </w:rPr>
        <w:instrText xml:space="preserve"> PAGEREF _Toc117181322 \h </w:instrText>
      </w:r>
      <w:r>
        <w:rPr>
          <w:color w:val="auto"/>
        </w:rPr>
        <w:fldChar w:fldCharType="separate"/>
      </w:r>
      <w:r>
        <w:rPr>
          <w:color w:val="auto"/>
        </w:rPr>
        <w:t>9</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"_Toc117181323" </w:instrText>
      </w:r>
      <w:r>
        <w:rPr>
          <w:color w:val="auto"/>
        </w:rPr>
        <w:fldChar w:fldCharType="separate"/>
      </w:r>
      <w:r>
        <w:rPr>
          <w:rStyle w:val="21"/>
          <w:bCs/>
          <w:color w:val="auto"/>
        </w:rPr>
        <w:t>1.4.6</w:t>
      </w:r>
      <w:r>
        <w:rPr>
          <w:rStyle w:val="21"/>
          <w:color w:val="auto"/>
        </w:rPr>
        <w:t xml:space="preserve"> 齿轮传动与齿轮箱</w:t>
      </w:r>
      <w:r>
        <w:rPr>
          <w:color w:val="auto"/>
        </w:rPr>
        <w:tab/>
      </w:r>
      <w:r>
        <w:rPr>
          <w:color w:val="auto"/>
        </w:rPr>
        <w:fldChar w:fldCharType="begin"/>
      </w:r>
      <w:r>
        <w:rPr>
          <w:color w:val="auto"/>
        </w:rPr>
        <w:instrText xml:space="preserve"> PAGEREF _Toc117181323 \h </w:instrText>
      </w:r>
      <w:r>
        <w:rPr>
          <w:color w:val="auto"/>
        </w:rPr>
        <w:fldChar w:fldCharType="separate"/>
      </w:r>
      <w:r>
        <w:rPr>
          <w:color w:val="auto"/>
        </w:rPr>
        <w:t>10</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"_Toc117181324" </w:instrText>
      </w:r>
      <w:r>
        <w:rPr>
          <w:color w:val="auto"/>
        </w:rPr>
        <w:fldChar w:fldCharType="separate"/>
      </w:r>
      <w:r>
        <w:rPr>
          <w:rStyle w:val="21"/>
          <w:bCs/>
          <w:color w:val="auto"/>
        </w:rPr>
        <w:t>1.4.7</w:t>
      </w:r>
      <w:r>
        <w:rPr>
          <w:rStyle w:val="21"/>
          <w:color w:val="auto"/>
        </w:rPr>
        <w:t xml:space="preserve"> 焊接</w:t>
      </w:r>
      <w:r>
        <w:rPr>
          <w:color w:val="auto"/>
        </w:rPr>
        <w:tab/>
      </w:r>
      <w:r>
        <w:rPr>
          <w:color w:val="auto"/>
        </w:rPr>
        <w:fldChar w:fldCharType="begin"/>
      </w:r>
      <w:r>
        <w:rPr>
          <w:color w:val="auto"/>
        </w:rPr>
        <w:instrText xml:space="preserve"> PAGEREF _Toc117181324 \h </w:instrText>
      </w:r>
      <w:r>
        <w:rPr>
          <w:color w:val="auto"/>
        </w:rPr>
        <w:fldChar w:fldCharType="separate"/>
      </w:r>
      <w:r>
        <w:rPr>
          <w:color w:val="auto"/>
        </w:rPr>
        <w:t>11</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"_Toc117181325" </w:instrText>
      </w:r>
      <w:r>
        <w:rPr>
          <w:color w:val="auto"/>
        </w:rPr>
        <w:fldChar w:fldCharType="separate"/>
      </w:r>
      <w:r>
        <w:rPr>
          <w:rStyle w:val="21"/>
          <w:bCs/>
          <w:color w:val="auto"/>
        </w:rPr>
        <w:t>1.4.8</w:t>
      </w:r>
      <w:r>
        <w:rPr>
          <w:rStyle w:val="21"/>
          <w:color w:val="auto"/>
        </w:rPr>
        <w:t xml:space="preserve"> 平衡</w:t>
      </w:r>
      <w:r>
        <w:rPr>
          <w:color w:val="auto"/>
        </w:rPr>
        <w:tab/>
      </w:r>
      <w:r>
        <w:rPr>
          <w:color w:val="auto"/>
        </w:rPr>
        <w:fldChar w:fldCharType="begin"/>
      </w:r>
      <w:r>
        <w:rPr>
          <w:color w:val="auto"/>
        </w:rPr>
        <w:instrText xml:space="preserve"> PAGEREF _Toc117181325 \h </w:instrText>
      </w:r>
      <w:r>
        <w:rPr>
          <w:color w:val="auto"/>
        </w:rPr>
        <w:fldChar w:fldCharType="separate"/>
      </w:r>
      <w:r>
        <w:rPr>
          <w:color w:val="auto"/>
        </w:rPr>
        <w:t>13</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"_Toc117181326" </w:instrText>
      </w:r>
      <w:r>
        <w:rPr>
          <w:color w:val="auto"/>
        </w:rPr>
        <w:fldChar w:fldCharType="separate"/>
      </w:r>
      <w:r>
        <w:rPr>
          <w:rStyle w:val="21"/>
          <w:bCs/>
          <w:color w:val="auto"/>
        </w:rPr>
        <w:t>1.4.9</w:t>
      </w:r>
      <w:r>
        <w:rPr>
          <w:rStyle w:val="21"/>
          <w:color w:val="auto"/>
        </w:rPr>
        <w:t xml:space="preserve"> 互换性</w:t>
      </w:r>
      <w:r>
        <w:rPr>
          <w:color w:val="auto"/>
        </w:rPr>
        <w:tab/>
      </w:r>
      <w:r>
        <w:rPr>
          <w:color w:val="auto"/>
        </w:rPr>
        <w:fldChar w:fldCharType="begin"/>
      </w:r>
      <w:r>
        <w:rPr>
          <w:color w:val="auto"/>
        </w:rPr>
        <w:instrText xml:space="preserve"> PAGEREF _Toc117181326 \h </w:instrText>
      </w:r>
      <w:r>
        <w:rPr>
          <w:color w:val="auto"/>
        </w:rPr>
        <w:fldChar w:fldCharType="separate"/>
      </w:r>
      <w:r>
        <w:rPr>
          <w:color w:val="auto"/>
        </w:rPr>
        <w:t>13</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"_Toc117181327" </w:instrText>
      </w:r>
      <w:r>
        <w:rPr>
          <w:color w:val="auto"/>
        </w:rPr>
        <w:fldChar w:fldCharType="separate"/>
      </w:r>
      <w:r>
        <w:rPr>
          <w:rStyle w:val="21"/>
          <w:bCs/>
          <w:color w:val="auto"/>
        </w:rPr>
        <w:t>1.4.10</w:t>
      </w:r>
      <w:r>
        <w:rPr>
          <w:rStyle w:val="21"/>
          <w:color w:val="auto"/>
        </w:rPr>
        <w:t xml:space="preserve"> 噪音控制</w:t>
      </w:r>
      <w:r>
        <w:rPr>
          <w:color w:val="auto"/>
        </w:rPr>
        <w:tab/>
      </w:r>
      <w:r>
        <w:rPr>
          <w:color w:val="auto"/>
        </w:rPr>
        <w:fldChar w:fldCharType="begin"/>
      </w:r>
      <w:r>
        <w:rPr>
          <w:color w:val="auto"/>
        </w:rPr>
        <w:instrText xml:space="preserve"> PAGEREF _Toc117181327 \h </w:instrText>
      </w:r>
      <w:r>
        <w:rPr>
          <w:color w:val="auto"/>
        </w:rPr>
        <w:fldChar w:fldCharType="separate"/>
      </w:r>
      <w:r>
        <w:rPr>
          <w:color w:val="auto"/>
        </w:rPr>
        <w:t>14</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"_Toc117181328" </w:instrText>
      </w:r>
      <w:r>
        <w:rPr>
          <w:color w:val="auto"/>
        </w:rPr>
        <w:fldChar w:fldCharType="separate"/>
      </w:r>
      <w:r>
        <w:rPr>
          <w:rStyle w:val="21"/>
          <w:bCs/>
          <w:color w:val="auto"/>
        </w:rPr>
        <w:t>1.4.11</w:t>
      </w:r>
      <w:r>
        <w:rPr>
          <w:rStyle w:val="21"/>
          <w:color w:val="auto"/>
        </w:rPr>
        <w:t xml:space="preserve"> 润滑和清洗</w:t>
      </w:r>
      <w:r>
        <w:rPr>
          <w:color w:val="auto"/>
        </w:rPr>
        <w:tab/>
      </w:r>
      <w:r>
        <w:rPr>
          <w:color w:val="auto"/>
        </w:rPr>
        <w:fldChar w:fldCharType="begin"/>
      </w:r>
      <w:r>
        <w:rPr>
          <w:color w:val="auto"/>
        </w:rPr>
        <w:instrText xml:space="preserve"> PAGEREF _Toc117181328 \h </w:instrText>
      </w:r>
      <w:r>
        <w:rPr>
          <w:color w:val="auto"/>
        </w:rPr>
        <w:fldChar w:fldCharType="separate"/>
      </w:r>
      <w:r>
        <w:rPr>
          <w:color w:val="auto"/>
        </w:rPr>
        <w:t>14</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"_Toc117181329" </w:instrText>
      </w:r>
      <w:r>
        <w:rPr>
          <w:color w:val="auto"/>
        </w:rPr>
        <w:fldChar w:fldCharType="separate"/>
      </w:r>
      <w:r>
        <w:rPr>
          <w:rStyle w:val="21"/>
          <w:color w:val="auto"/>
        </w:rPr>
        <w:t>1.4.12 铭牌、标志与电路原理牌</w:t>
      </w:r>
      <w:r>
        <w:rPr>
          <w:color w:val="auto"/>
        </w:rPr>
        <w:tab/>
      </w:r>
      <w:r>
        <w:rPr>
          <w:color w:val="auto"/>
        </w:rPr>
        <w:fldChar w:fldCharType="begin"/>
      </w:r>
      <w:r>
        <w:rPr>
          <w:color w:val="auto"/>
        </w:rPr>
        <w:instrText xml:space="preserve"> PAGEREF _Toc117181329 \h </w:instrText>
      </w:r>
      <w:r>
        <w:rPr>
          <w:color w:val="auto"/>
        </w:rPr>
        <w:fldChar w:fldCharType="separate"/>
      </w:r>
      <w:r>
        <w:rPr>
          <w:color w:val="auto"/>
        </w:rPr>
        <w:t>14</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"_Toc117181330" </w:instrText>
      </w:r>
      <w:r>
        <w:rPr>
          <w:color w:val="auto"/>
        </w:rPr>
        <w:fldChar w:fldCharType="separate"/>
      </w:r>
      <w:r>
        <w:rPr>
          <w:rStyle w:val="21"/>
          <w:bCs/>
          <w:color w:val="auto"/>
        </w:rPr>
        <w:t>1.4.13</w:t>
      </w:r>
      <w:r>
        <w:rPr>
          <w:rStyle w:val="21"/>
          <w:color w:val="auto"/>
        </w:rPr>
        <w:t xml:space="preserve"> 地脚螺栓和二次灌浆</w:t>
      </w:r>
      <w:r>
        <w:rPr>
          <w:color w:val="auto"/>
        </w:rPr>
        <w:tab/>
      </w:r>
      <w:r>
        <w:rPr>
          <w:color w:val="auto"/>
        </w:rPr>
        <w:fldChar w:fldCharType="begin"/>
      </w:r>
      <w:r>
        <w:rPr>
          <w:color w:val="auto"/>
        </w:rPr>
        <w:instrText xml:space="preserve"> PAGEREF _Toc117181330 \h </w:instrText>
      </w:r>
      <w:r>
        <w:rPr>
          <w:color w:val="auto"/>
        </w:rPr>
        <w:fldChar w:fldCharType="separate"/>
      </w:r>
      <w:r>
        <w:rPr>
          <w:color w:val="auto"/>
        </w:rPr>
        <w:t>15</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"_Toc117181331" </w:instrText>
      </w:r>
      <w:r>
        <w:rPr>
          <w:color w:val="auto"/>
        </w:rPr>
        <w:fldChar w:fldCharType="separate"/>
      </w:r>
      <w:r>
        <w:rPr>
          <w:rStyle w:val="21"/>
          <w:bCs/>
          <w:color w:val="auto"/>
        </w:rPr>
        <w:t>1.4.14</w:t>
      </w:r>
      <w:r>
        <w:rPr>
          <w:rStyle w:val="21"/>
          <w:color w:val="auto"/>
        </w:rPr>
        <w:t xml:space="preserve"> 钢结构件</w:t>
      </w:r>
      <w:r>
        <w:rPr>
          <w:color w:val="auto"/>
        </w:rPr>
        <w:tab/>
      </w:r>
      <w:r>
        <w:rPr>
          <w:color w:val="auto"/>
        </w:rPr>
        <w:fldChar w:fldCharType="begin"/>
      </w:r>
      <w:r>
        <w:rPr>
          <w:color w:val="auto"/>
        </w:rPr>
        <w:instrText xml:space="preserve"> PAGEREF _Toc117181331 \h </w:instrText>
      </w:r>
      <w:r>
        <w:rPr>
          <w:color w:val="auto"/>
        </w:rPr>
        <w:fldChar w:fldCharType="separate"/>
      </w:r>
      <w:r>
        <w:rPr>
          <w:color w:val="auto"/>
        </w:rPr>
        <w:t>15</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"_Toc117181332" </w:instrText>
      </w:r>
      <w:r>
        <w:rPr>
          <w:color w:val="auto"/>
        </w:rPr>
        <w:fldChar w:fldCharType="separate"/>
      </w:r>
      <w:r>
        <w:rPr>
          <w:rStyle w:val="21"/>
          <w:color w:val="auto"/>
        </w:rPr>
        <w:t>1.4.15 防护及油漆</w:t>
      </w:r>
      <w:r>
        <w:rPr>
          <w:color w:val="auto"/>
        </w:rPr>
        <w:tab/>
      </w:r>
      <w:r>
        <w:rPr>
          <w:color w:val="auto"/>
        </w:rPr>
        <w:fldChar w:fldCharType="begin"/>
      </w:r>
      <w:r>
        <w:rPr>
          <w:color w:val="auto"/>
        </w:rPr>
        <w:instrText xml:space="preserve"> PAGEREF _Toc117181332 \h </w:instrText>
      </w:r>
      <w:r>
        <w:rPr>
          <w:color w:val="auto"/>
        </w:rPr>
        <w:fldChar w:fldCharType="separate"/>
      </w:r>
      <w:r>
        <w:rPr>
          <w:color w:val="auto"/>
        </w:rPr>
        <w:t>17</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"_Toc117181333" </w:instrText>
      </w:r>
      <w:r>
        <w:rPr>
          <w:color w:val="auto"/>
        </w:rPr>
        <w:fldChar w:fldCharType="separate"/>
      </w:r>
      <w:r>
        <w:rPr>
          <w:rStyle w:val="21"/>
          <w:bCs/>
          <w:color w:val="auto"/>
        </w:rPr>
        <w:t>1.4.16</w:t>
      </w:r>
      <w:r>
        <w:rPr>
          <w:rStyle w:val="21"/>
          <w:color w:val="auto"/>
        </w:rPr>
        <w:t xml:space="preserve"> 压力表计</w:t>
      </w:r>
      <w:r>
        <w:rPr>
          <w:color w:val="auto"/>
        </w:rPr>
        <w:tab/>
      </w:r>
      <w:r>
        <w:rPr>
          <w:color w:val="auto"/>
        </w:rPr>
        <w:fldChar w:fldCharType="begin"/>
      </w:r>
      <w:r>
        <w:rPr>
          <w:color w:val="auto"/>
        </w:rPr>
        <w:instrText xml:space="preserve"> PAGEREF _Toc117181333 \h </w:instrText>
      </w:r>
      <w:r>
        <w:rPr>
          <w:color w:val="auto"/>
        </w:rPr>
        <w:fldChar w:fldCharType="separate"/>
      </w:r>
      <w:r>
        <w:rPr>
          <w:color w:val="auto"/>
        </w:rPr>
        <w:t>23</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"_Toc117181334" </w:instrText>
      </w:r>
      <w:r>
        <w:rPr>
          <w:color w:val="auto"/>
        </w:rPr>
        <w:fldChar w:fldCharType="separate"/>
      </w:r>
      <w:r>
        <w:rPr>
          <w:rStyle w:val="21"/>
          <w:bCs/>
          <w:color w:val="auto"/>
        </w:rPr>
        <w:t>1.4.17</w:t>
      </w:r>
      <w:r>
        <w:rPr>
          <w:rStyle w:val="21"/>
          <w:color w:val="auto"/>
        </w:rPr>
        <w:t xml:space="preserve"> 螺母、螺钉、垫圈和螺栓</w:t>
      </w:r>
      <w:r>
        <w:rPr>
          <w:color w:val="auto"/>
        </w:rPr>
        <w:tab/>
      </w:r>
      <w:r>
        <w:rPr>
          <w:color w:val="auto"/>
        </w:rPr>
        <w:fldChar w:fldCharType="begin"/>
      </w:r>
      <w:r>
        <w:rPr>
          <w:color w:val="auto"/>
        </w:rPr>
        <w:instrText xml:space="preserve"> PAGEREF _Toc117181334 \h </w:instrText>
      </w:r>
      <w:r>
        <w:rPr>
          <w:color w:val="auto"/>
        </w:rPr>
        <w:fldChar w:fldCharType="separate"/>
      </w:r>
      <w:r>
        <w:rPr>
          <w:color w:val="auto"/>
        </w:rPr>
        <w:t>23</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"_Toc117181335" </w:instrText>
      </w:r>
      <w:r>
        <w:rPr>
          <w:color w:val="auto"/>
        </w:rPr>
        <w:fldChar w:fldCharType="separate"/>
      </w:r>
      <w:r>
        <w:rPr>
          <w:rStyle w:val="21"/>
          <w:bCs/>
          <w:color w:val="auto"/>
        </w:rPr>
        <w:t>1.4.18</w:t>
      </w:r>
      <w:r>
        <w:rPr>
          <w:rStyle w:val="21"/>
          <w:color w:val="auto"/>
        </w:rPr>
        <w:t xml:space="preserve"> 基础螺栓</w:t>
      </w:r>
      <w:r>
        <w:rPr>
          <w:color w:val="auto"/>
        </w:rPr>
        <w:tab/>
      </w:r>
      <w:r>
        <w:rPr>
          <w:color w:val="auto"/>
        </w:rPr>
        <w:fldChar w:fldCharType="begin"/>
      </w:r>
      <w:r>
        <w:rPr>
          <w:color w:val="auto"/>
        </w:rPr>
        <w:instrText xml:space="preserve"> PAGEREF _Toc117181335 \h </w:instrText>
      </w:r>
      <w:r>
        <w:rPr>
          <w:color w:val="auto"/>
        </w:rPr>
        <w:fldChar w:fldCharType="separate"/>
      </w:r>
      <w:r>
        <w:rPr>
          <w:color w:val="auto"/>
        </w:rPr>
        <w:t>24</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"_Toc117181336" </w:instrText>
      </w:r>
      <w:r>
        <w:rPr>
          <w:color w:val="auto"/>
        </w:rPr>
        <w:fldChar w:fldCharType="separate"/>
      </w:r>
      <w:r>
        <w:rPr>
          <w:rStyle w:val="21"/>
          <w:bCs/>
          <w:color w:val="auto"/>
        </w:rPr>
        <w:t>1.4.19</w:t>
      </w:r>
      <w:r>
        <w:rPr>
          <w:rStyle w:val="21"/>
          <w:color w:val="auto"/>
        </w:rPr>
        <w:t xml:space="preserve"> 质检的准备</w:t>
      </w:r>
      <w:r>
        <w:rPr>
          <w:color w:val="auto"/>
        </w:rPr>
        <w:tab/>
      </w:r>
      <w:r>
        <w:rPr>
          <w:color w:val="auto"/>
        </w:rPr>
        <w:fldChar w:fldCharType="begin"/>
      </w:r>
      <w:r>
        <w:rPr>
          <w:color w:val="auto"/>
        </w:rPr>
        <w:instrText xml:space="preserve"> PAGEREF _Toc117181336 \h </w:instrText>
      </w:r>
      <w:r>
        <w:rPr>
          <w:color w:val="auto"/>
        </w:rPr>
        <w:fldChar w:fldCharType="separate"/>
      </w:r>
      <w:r>
        <w:rPr>
          <w:color w:val="auto"/>
        </w:rPr>
        <w:t>24</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"_Toc117181337" </w:instrText>
      </w:r>
      <w:r>
        <w:rPr>
          <w:color w:val="auto"/>
        </w:rPr>
        <w:fldChar w:fldCharType="separate"/>
      </w:r>
      <w:r>
        <w:rPr>
          <w:rStyle w:val="21"/>
          <w:color w:val="auto"/>
        </w:rPr>
        <w:t>1.4.20 电动机效能</w:t>
      </w:r>
      <w:r>
        <w:rPr>
          <w:color w:val="auto"/>
        </w:rPr>
        <w:tab/>
      </w:r>
      <w:r>
        <w:rPr>
          <w:color w:val="auto"/>
        </w:rPr>
        <w:fldChar w:fldCharType="begin"/>
      </w:r>
      <w:r>
        <w:rPr>
          <w:color w:val="auto"/>
        </w:rPr>
        <w:instrText xml:space="preserve"> PAGEREF _Toc117181337 \h </w:instrText>
      </w:r>
      <w:r>
        <w:rPr>
          <w:color w:val="auto"/>
        </w:rPr>
        <w:fldChar w:fldCharType="separate"/>
      </w:r>
      <w:r>
        <w:rPr>
          <w:color w:val="auto"/>
        </w:rPr>
        <w:t>24</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"_Toc117181338" </w:instrText>
      </w:r>
      <w:r>
        <w:rPr>
          <w:color w:val="auto"/>
        </w:rPr>
        <w:fldChar w:fldCharType="separate"/>
      </w:r>
      <w:r>
        <w:rPr>
          <w:rStyle w:val="21"/>
          <w:bCs/>
          <w:color w:val="auto"/>
        </w:rPr>
        <w:t>1.4.21</w:t>
      </w:r>
      <w:r>
        <w:rPr>
          <w:rStyle w:val="21"/>
          <w:color w:val="auto"/>
        </w:rPr>
        <w:t xml:space="preserve"> 电动机IP防护等级</w:t>
      </w:r>
      <w:r>
        <w:rPr>
          <w:color w:val="auto"/>
        </w:rPr>
        <w:tab/>
      </w:r>
      <w:r>
        <w:rPr>
          <w:color w:val="auto"/>
        </w:rPr>
        <w:fldChar w:fldCharType="begin"/>
      </w:r>
      <w:r>
        <w:rPr>
          <w:color w:val="auto"/>
        </w:rPr>
        <w:instrText xml:space="preserve"> PAGEREF _Toc117181338 \h </w:instrText>
      </w:r>
      <w:r>
        <w:rPr>
          <w:color w:val="auto"/>
        </w:rPr>
        <w:fldChar w:fldCharType="separate"/>
      </w:r>
      <w:r>
        <w:rPr>
          <w:color w:val="auto"/>
        </w:rPr>
        <w:t>24</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"_Toc117181339" </w:instrText>
      </w:r>
      <w:r>
        <w:rPr>
          <w:color w:val="auto"/>
        </w:rPr>
        <w:fldChar w:fldCharType="separate"/>
      </w:r>
      <w:r>
        <w:rPr>
          <w:rStyle w:val="21"/>
          <w:bCs/>
          <w:color w:val="auto"/>
        </w:rPr>
        <w:t>1.4.22</w:t>
      </w:r>
      <w:r>
        <w:rPr>
          <w:rStyle w:val="21"/>
          <w:color w:val="auto"/>
        </w:rPr>
        <w:t xml:space="preserve"> 安全措施</w:t>
      </w:r>
      <w:r>
        <w:rPr>
          <w:color w:val="auto"/>
        </w:rPr>
        <w:tab/>
      </w:r>
      <w:r>
        <w:rPr>
          <w:color w:val="auto"/>
        </w:rPr>
        <w:fldChar w:fldCharType="begin"/>
      </w:r>
      <w:r>
        <w:rPr>
          <w:color w:val="auto"/>
        </w:rPr>
        <w:instrText xml:space="preserve"> PAGEREF _Toc117181339 \h </w:instrText>
      </w:r>
      <w:r>
        <w:rPr>
          <w:color w:val="auto"/>
        </w:rPr>
        <w:fldChar w:fldCharType="separate"/>
      </w:r>
      <w:r>
        <w:rPr>
          <w:color w:val="auto"/>
        </w:rPr>
        <w:t>24</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"_Toc117181340" </w:instrText>
      </w:r>
      <w:r>
        <w:rPr>
          <w:color w:val="auto"/>
        </w:rPr>
        <w:fldChar w:fldCharType="separate"/>
      </w:r>
      <w:r>
        <w:rPr>
          <w:rStyle w:val="21"/>
          <w:bCs/>
          <w:color w:val="auto"/>
        </w:rPr>
        <w:t>1.4.23</w:t>
      </w:r>
      <w:r>
        <w:rPr>
          <w:rStyle w:val="21"/>
          <w:color w:val="auto"/>
        </w:rPr>
        <w:t xml:space="preserve"> 泵类设备</w:t>
      </w:r>
      <w:r>
        <w:rPr>
          <w:color w:val="auto"/>
        </w:rPr>
        <w:tab/>
      </w:r>
      <w:r>
        <w:rPr>
          <w:color w:val="auto"/>
        </w:rPr>
        <w:fldChar w:fldCharType="begin"/>
      </w:r>
      <w:r>
        <w:rPr>
          <w:color w:val="auto"/>
        </w:rPr>
        <w:instrText xml:space="preserve"> PAGEREF _Toc117181340 \h </w:instrText>
      </w:r>
      <w:r>
        <w:rPr>
          <w:color w:val="auto"/>
        </w:rPr>
        <w:fldChar w:fldCharType="separate"/>
      </w:r>
      <w:r>
        <w:rPr>
          <w:color w:val="auto"/>
        </w:rPr>
        <w:t>25</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"_Toc117181341" </w:instrText>
      </w:r>
      <w:r>
        <w:rPr>
          <w:color w:val="auto"/>
        </w:rPr>
        <w:fldChar w:fldCharType="separate"/>
      </w:r>
      <w:r>
        <w:rPr>
          <w:rStyle w:val="21"/>
          <w:bCs/>
          <w:color w:val="auto"/>
        </w:rPr>
        <w:t>1.4.24</w:t>
      </w:r>
      <w:r>
        <w:rPr>
          <w:rStyle w:val="21"/>
          <w:color w:val="auto"/>
        </w:rPr>
        <w:t xml:space="preserve"> 阀类</w:t>
      </w:r>
      <w:r>
        <w:rPr>
          <w:color w:val="auto"/>
        </w:rPr>
        <w:tab/>
      </w:r>
      <w:r>
        <w:rPr>
          <w:color w:val="auto"/>
        </w:rPr>
        <w:fldChar w:fldCharType="begin"/>
      </w:r>
      <w:r>
        <w:rPr>
          <w:color w:val="auto"/>
        </w:rPr>
        <w:instrText xml:space="preserve"> PAGEREF _Toc117181341 \h </w:instrText>
      </w:r>
      <w:r>
        <w:rPr>
          <w:color w:val="auto"/>
        </w:rPr>
        <w:fldChar w:fldCharType="separate"/>
      </w:r>
      <w:r>
        <w:rPr>
          <w:color w:val="auto"/>
        </w:rPr>
        <w:t>29</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"_Toc117181342" </w:instrText>
      </w:r>
      <w:r>
        <w:rPr>
          <w:color w:val="auto"/>
        </w:rPr>
        <w:fldChar w:fldCharType="separate"/>
      </w:r>
      <w:r>
        <w:rPr>
          <w:rStyle w:val="21"/>
          <w:b/>
          <w:color w:val="auto"/>
        </w:rPr>
        <w:t>1.5 电气设备通用性要求</w:t>
      </w:r>
      <w:r>
        <w:rPr>
          <w:color w:val="auto"/>
        </w:rPr>
        <w:tab/>
      </w:r>
      <w:r>
        <w:rPr>
          <w:color w:val="auto"/>
        </w:rPr>
        <w:fldChar w:fldCharType="begin"/>
      </w:r>
      <w:r>
        <w:rPr>
          <w:color w:val="auto"/>
        </w:rPr>
        <w:instrText xml:space="preserve"> PAGEREF _Toc117181342 \h </w:instrText>
      </w:r>
      <w:r>
        <w:rPr>
          <w:color w:val="auto"/>
        </w:rPr>
        <w:fldChar w:fldCharType="separate"/>
      </w:r>
      <w:r>
        <w:rPr>
          <w:color w:val="auto"/>
        </w:rPr>
        <w:t>32</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"_Toc117181343" </w:instrText>
      </w:r>
      <w:r>
        <w:rPr>
          <w:color w:val="auto"/>
        </w:rPr>
        <w:fldChar w:fldCharType="separate"/>
      </w:r>
      <w:r>
        <w:rPr>
          <w:rStyle w:val="21"/>
          <w:bCs/>
          <w:color w:val="auto"/>
        </w:rPr>
        <w:t>1.5.1</w:t>
      </w:r>
      <w:r>
        <w:rPr>
          <w:rStyle w:val="21"/>
          <w:color w:val="auto"/>
        </w:rPr>
        <w:t xml:space="preserve"> 电气设备技术规范</w:t>
      </w:r>
      <w:r>
        <w:rPr>
          <w:color w:val="auto"/>
        </w:rPr>
        <w:tab/>
      </w:r>
      <w:r>
        <w:rPr>
          <w:color w:val="auto"/>
        </w:rPr>
        <w:fldChar w:fldCharType="begin"/>
      </w:r>
      <w:r>
        <w:rPr>
          <w:color w:val="auto"/>
        </w:rPr>
        <w:instrText xml:space="preserve"> PAGEREF _Toc117181343 \h </w:instrText>
      </w:r>
      <w:r>
        <w:rPr>
          <w:color w:val="auto"/>
        </w:rPr>
        <w:fldChar w:fldCharType="separate"/>
      </w:r>
      <w:r>
        <w:rPr>
          <w:color w:val="auto"/>
        </w:rPr>
        <w:t>32</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"_Toc117181344" </w:instrText>
      </w:r>
      <w:r>
        <w:rPr>
          <w:color w:val="auto"/>
        </w:rPr>
        <w:fldChar w:fldCharType="separate"/>
      </w:r>
      <w:r>
        <w:rPr>
          <w:rStyle w:val="21"/>
          <w:bCs/>
          <w:color w:val="auto"/>
        </w:rPr>
        <w:t>1.5.2</w:t>
      </w:r>
      <w:r>
        <w:rPr>
          <w:rStyle w:val="21"/>
          <w:color w:val="auto"/>
        </w:rPr>
        <w:t xml:space="preserve"> 主要电气设备</w:t>
      </w:r>
      <w:r>
        <w:rPr>
          <w:color w:val="auto"/>
        </w:rPr>
        <w:tab/>
      </w:r>
      <w:r>
        <w:rPr>
          <w:color w:val="auto"/>
        </w:rPr>
        <w:fldChar w:fldCharType="begin"/>
      </w:r>
      <w:r>
        <w:rPr>
          <w:color w:val="auto"/>
        </w:rPr>
        <w:instrText xml:space="preserve"> PAGEREF _Toc117181344 \h </w:instrText>
      </w:r>
      <w:r>
        <w:rPr>
          <w:color w:val="auto"/>
        </w:rPr>
        <w:fldChar w:fldCharType="separate"/>
      </w:r>
      <w:r>
        <w:rPr>
          <w:color w:val="auto"/>
        </w:rPr>
        <w:t>40</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"_Toc117181345" </w:instrText>
      </w:r>
      <w:r>
        <w:rPr>
          <w:color w:val="auto"/>
        </w:rPr>
        <w:fldChar w:fldCharType="separate"/>
      </w:r>
      <w:r>
        <w:rPr>
          <w:rStyle w:val="21"/>
          <w:bCs/>
          <w:color w:val="auto"/>
        </w:rPr>
        <w:t>1.5.3</w:t>
      </w:r>
      <w:r>
        <w:rPr>
          <w:rStyle w:val="21"/>
          <w:color w:val="auto"/>
        </w:rPr>
        <w:t xml:space="preserve"> 电气设备安装检验技术规范</w:t>
      </w:r>
      <w:r>
        <w:rPr>
          <w:color w:val="auto"/>
        </w:rPr>
        <w:tab/>
      </w:r>
      <w:r>
        <w:rPr>
          <w:color w:val="auto"/>
        </w:rPr>
        <w:fldChar w:fldCharType="begin"/>
      </w:r>
      <w:r>
        <w:rPr>
          <w:color w:val="auto"/>
        </w:rPr>
        <w:instrText xml:space="preserve"> PAGEREF _Toc117181345 \h </w:instrText>
      </w:r>
      <w:r>
        <w:rPr>
          <w:color w:val="auto"/>
        </w:rPr>
        <w:fldChar w:fldCharType="separate"/>
      </w:r>
      <w:r>
        <w:rPr>
          <w:color w:val="auto"/>
        </w:rPr>
        <w:t>46</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"_Toc117181346" </w:instrText>
      </w:r>
      <w:r>
        <w:rPr>
          <w:color w:val="auto"/>
        </w:rPr>
        <w:fldChar w:fldCharType="separate"/>
      </w:r>
      <w:r>
        <w:rPr>
          <w:rStyle w:val="21"/>
          <w:b/>
          <w:color w:val="auto"/>
        </w:rPr>
        <w:t>1.6 电气设计的相关要求</w:t>
      </w:r>
      <w:r>
        <w:rPr>
          <w:color w:val="auto"/>
        </w:rPr>
        <w:tab/>
      </w:r>
      <w:r>
        <w:rPr>
          <w:color w:val="auto"/>
        </w:rPr>
        <w:fldChar w:fldCharType="begin"/>
      </w:r>
      <w:r>
        <w:rPr>
          <w:color w:val="auto"/>
        </w:rPr>
        <w:instrText xml:space="preserve"> PAGEREF _Toc117181346 \h </w:instrText>
      </w:r>
      <w:r>
        <w:rPr>
          <w:color w:val="auto"/>
        </w:rPr>
        <w:fldChar w:fldCharType="separate"/>
      </w:r>
      <w:r>
        <w:rPr>
          <w:color w:val="auto"/>
        </w:rPr>
        <w:t>52</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"_Toc117181347" </w:instrText>
      </w:r>
      <w:r>
        <w:rPr>
          <w:color w:val="auto"/>
        </w:rPr>
        <w:fldChar w:fldCharType="separate"/>
      </w:r>
      <w:r>
        <w:rPr>
          <w:rStyle w:val="21"/>
          <w:bCs/>
          <w:color w:val="auto"/>
        </w:rPr>
        <w:t>1.6.1</w:t>
      </w:r>
      <w:r>
        <w:rPr>
          <w:rStyle w:val="21"/>
          <w:color w:val="auto"/>
        </w:rPr>
        <w:t xml:space="preserve"> 污水处理厂</w:t>
      </w:r>
      <w:r>
        <w:rPr>
          <w:color w:val="auto"/>
        </w:rPr>
        <w:tab/>
      </w:r>
      <w:r>
        <w:rPr>
          <w:color w:val="auto"/>
        </w:rPr>
        <w:fldChar w:fldCharType="begin"/>
      </w:r>
      <w:r>
        <w:rPr>
          <w:color w:val="auto"/>
        </w:rPr>
        <w:instrText xml:space="preserve"> PAGEREF _Toc117181347 \h </w:instrText>
      </w:r>
      <w:r>
        <w:rPr>
          <w:color w:val="auto"/>
        </w:rPr>
        <w:fldChar w:fldCharType="separate"/>
      </w:r>
      <w:r>
        <w:rPr>
          <w:color w:val="auto"/>
        </w:rPr>
        <w:t>52</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"_Toc117181348" </w:instrText>
      </w:r>
      <w:r>
        <w:rPr>
          <w:color w:val="auto"/>
        </w:rPr>
        <w:fldChar w:fldCharType="separate"/>
      </w:r>
      <w:r>
        <w:rPr>
          <w:rStyle w:val="21"/>
          <w:bCs/>
          <w:color w:val="auto"/>
        </w:rPr>
        <w:t>1.6.2</w:t>
      </w:r>
      <w:r>
        <w:rPr>
          <w:rStyle w:val="21"/>
          <w:color w:val="auto"/>
        </w:rPr>
        <w:t xml:space="preserve"> 泵站</w:t>
      </w:r>
      <w:r>
        <w:rPr>
          <w:color w:val="auto"/>
        </w:rPr>
        <w:tab/>
      </w:r>
      <w:r>
        <w:rPr>
          <w:color w:val="auto"/>
        </w:rPr>
        <w:fldChar w:fldCharType="begin"/>
      </w:r>
      <w:r>
        <w:rPr>
          <w:color w:val="auto"/>
        </w:rPr>
        <w:instrText xml:space="preserve"> PAGEREF _Toc117181348 \h </w:instrText>
      </w:r>
      <w:r>
        <w:rPr>
          <w:color w:val="auto"/>
        </w:rPr>
        <w:fldChar w:fldCharType="separate"/>
      </w:r>
      <w:r>
        <w:rPr>
          <w:color w:val="auto"/>
        </w:rPr>
        <w:t>54</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"_Toc117181349" </w:instrText>
      </w:r>
      <w:r>
        <w:rPr>
          <w:color w:val="auto"/>
        </w:rPr>
        <w:fldChar w:fldCharType="separate"/>
      </w:r>
      <w:r>
        <w:rPr>
          <w:rStyle w:val="21"/>
          <w:b/>
          <w:color w:val="auto"/>
        </w:rPr>
        <w:t>1.7 仪表及自控设备通用性要求</w:t>
      </w:r>
      <w:r>
        <w:rPr>
          <w:color w:val="auto"/>
        </w:rPr>
        <w:tab/>
      </w:r>
      <w:r>
        <w:rPr>
          <w:color w:val="auto"/>
        </w:rPr>
        <w:fldChar w:fldCharType="begin"/>
      </w:r>
      <w:r>
        <w:rPr>
          <w:color w:val="auto"/>
        </w:rPr>
        <w:instrText xml:space="preserve"> PAGEREF _Toc117181349 \h </w:instrText>
      </w:r>
      <w:r>
        <w:rPr>
          <w:color w:val="auto"/>
        </w:rPr>
        <w:fldChar w:fldCharType="separate"/>
      </w:r>
      <w:r>
        <w:rPr>
          <w:color w:val="auto"/>
        </w:rPr>
        <w:t>56</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"_Toc117181350" </w:instrText>
      </w:r>
      <w:r>
        <w:rPr>
          <w:color w:val="auto"/>
        </w:rPr>
        <w:fldChar w:fldCharType="separate"/>
      </w:r>
      <w:r>
        <w:rPr>
          <w:rStyle w:val="21"/>
          <w:color w:val="auto"/>
        </w:rPr>
        <w:t>1.7.1 一般技术要求</w:t>
      </w:r>
      <w:r>
        <w:rPr>
          <w:color w:val="auto"/>
        </w:rPr>
        <w:tab/>
      </w:r>
      <w:r>
        <w:rPr>
          <w:color w:val="auto"/>
        </w:rPr>
        <w:fldChar w:fldCharType="begin"/>
      </w:r>
      <w:r>
        <w:rPr>
          <w:color w:val="auto"/>
        </w:rPr>
        <w:instrText xml:space="preserve"> PAGEREF _Toc117181350 \h </w:instrText>
      </w:r>
      <w:r>
        <w:rPr>
          <w:color w:val="auto"/>
        </w:rPr>
        <w:fldChar w:fldCharType="separate"/>
      </w:r>
      <w:r>
        <w:rPr>
          <w:color w:val="auto"/>
        </w:rPr>
        <w:t>56</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"_Toc117181351" </w:instrText>
      </w:r>
      <w:r>
        <w:rPr>
          <w:color w:val="auto"/>
        </w:rPr>
        <w:fldChar w:fldCharType="separate"/>
      </w:r>
      <w:r>
        <w:rPr>
          <w:rStyle w:val="21"/>
          <w:bCs/>
          <w:color w:val="auto"/>
        </w:rPr>
        <w:t>1.7.2</w:t>
      </w:r>
      <w:r>
        <w:rPr>
          <w:rStyle w:val="21"/>
          <w:color w:val="auto"/>
        </w:rPr>
        <w:t xml:space="preserve"> 工作环境</w:t>
      </w:r>
      <w:r>
        <w:rPr>
          <w:color w:val="auto"/>
        </w:rPr>
        <w:tab/>
      </w:r>
      <w:r>
        <w:rPr>
          <w:color w:val="auto"/>
        </w:rPr>
        <w:fldChar w:fldCharType="begin"/>
      </w:r>
      <w:r>
        <w:rPr>
          <w:color w:val="auto"/>
        </w:rPr>
        <w:instrText xml:space="preserve"> PAGEREF _Toc117181351 \h </w:instrText>
      </w:r>
      <w:r>
        <w:rPr>
          <w:color w:val="auto"/>
        </w:rPr>
        <w:fldChar w:fldCharType="separate"/>
      </w:r>
      <w:r>
        <w:rPr>
          <w:color w:val="auto"/>
        </w:rPr>
        <w:t>57</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"_Toc117181352" </w:instrText>
      </w:r>
      <w:r>
        <w:rPr>
          <w:color w:val="auto"/>
        </w:rPr>
        <w:fldChar w:fldCharType="separate"/>
      </w:r>
      <w:r>
        <w:rPr>
          <w:rStyle w:val="21"/>
          <w:bCs/>
          <w:color w:val="auto"/>
        </w:rPr>
        <w:t>1.7.3</w:t>
      </w:r>
      <w:r>
        <w:rPr>
          <w:rStyle w:val="21"/>
          <w:color w:val="auto"/>
        </w:rPr>
        <w:t xml:space="preserve"> 设备外壳</w:t>
      </w:r>
      <w:r>
        <w:rPr>
          <w:color w:val="auto"/>
        </w:rPr>
        <w:tab/>
      </w:r>
      <w:r>
        <w:rPr>
          <w:color w:val="auto"/>
        </w:rPr>
        <w:fldChar w:fldCharType="begin"/>
      </w:r>
      <w:r>
        <w:rPr>
          <w:color w:val="auto"/>
        </w:rPr>
        <w:instrText xml:space="preserve"> PAGEREF _Toc117181352 \h </w:instrText>
      </w:r>
      <w:r>
        <w:rPr>
          <w:color w:val="auto"/>
        </w:rPr>
        <w:fldChar w:fldCharType="separate"/>
      </w:r>
      <w:r>
        <w:rPr>
          <w:color w:val="auto"/>
        </w:rPr>
        <w:t>57</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"_Toc117181353" </w:instrText>
      </w:r>
      <w:r>
        <w:rPr>
          <w:color w:val="auto"/>
        </w:rPr>
        <w:fldChar w:fldCharType="separate"/>
      </w:r>
      <w:r>
        <w:rPr>
          <w:rStyle w:val="21"/>
          <w:bCs/>
          <w:color w:val="auto"/>
        </w:rPr>
        <w:t>1.7.4</w:t>
      </w:r>
      <w:r>
        <w:rPr>
          <w:rStyle w:val="21"/>
          <w:color w:val="auto"/>
        </w:rPr>
        <w:t xml:space="preserve"> 电源</w:t>
      </w:r>
      <w:r>
        <w:rPr>
          <w:color w:val="auto"/>
        </w:rPr>
        <w:tab/>
      </w:r>
      <w:r>
        <w:rPr>
          <w:color w:val="auto"/>
        </w:rPr>
        <w:fldChar w:fldCharType="begin"/>
      </w:r>
      <w:r>
        <w:rPr>
          <w:color w:val="auto"/>
        </w:rPr>
        <w:instrText xml:space="preserve"> PAGEREF _Toc117181353 \h </w:instrText>
      </w:r>
      <w:r>
        <w:rPr>
          <w:color w:val="auto"/>
        </w:rPr>
        <w:fldChar w:fldCharType="separate"/>
      </w:r>
      <w:r>
        <w:rPr>
          <w:color w:val="auto"/>
        </w:rPr>
        <w:t>58</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"_Toc117181354" </w:instrText>
      </w:r>
      <w:r>
        <w:rPr>
          <w:color w:val="auto"/>
        </w:rPr>
        <w:fldChar w:fldCharType="separate"/>
      </w:r>
      <w:r>
        <w:rPr>
          <w:rStyle w:val="21"/>
          <w:bCs/>
          <w:color w:val="auto"/>
        </w:rPr>
        <w:t>1.7.5</w:t>
      </w:r>
      <w:r>
        <w:rPr>
          <w:rStyle w:val="21"/>
          <w:color w:val="auto"/>
        </w:rPr>
        <w:t xml:space="preserve"> 信号类型</w:t>
      </w:r>
      <w:r>
        <w:rPr>
          <w:color w:val="auto"/>
        </w:rPr>
        <w:tab/>
      </w:r>
      <w:r>
        <w:rPr>
          <w:color w:val="auto"/>
        </w:rPr>
        <w:fldChar w:fldCharType="begin"/>
      </w:r>
      <w:r>
        <w:rPr>
          <w:color w:val="auto"/>
        </w:rPr>
        <w:instrText xml:space="preserve"> PAGEREF _Toc117181354 \h </w:instrText>
      </w:r>
      <w:r>
        <w:rPr>
          <w:color w:val="auto"/>
        </w:rPr>
        <w:fldChar w:fldCharType="separate"/>
      </w:r>
      <w:r>
        <w:rPr>
          <w:color w:val="auto"/>
        </w:rPr>
        <w:t>58</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"_Toc117181355" </w:instrText>
      </w:r>
      <w:r>
        <w:rPr>
          <w:color w:val="auto"/>
        </w:rPr>
        <w:fldChar w:fldCharType="separate"/>
      </w:r>
      <w:r>
        <w:rPr>
          <w:rStyle w:val="21"/>
          <w:bCs/>
          <w:color w:val="auto"/>
        </w:rPr>
        <w:t>1.7.6</w:t>
      </w:r>
      <w:r>
        <w:rPr>
          <w:rStyle w:val="21"/>
          <w:color w:val="auto"/>
        </w:rPr>
        <w:t xml:space="preserve"> 系统接地</w:t>
      </w:r>
      <w:r>
        <w:rPr>
          <w:color w:val="auto"/>
        </w:rPr>
        <w:tab/>
      </w:r>
      <w:r>
        <w:rPr>
          <w:color w:val="auto"/>
        </w:rPr>
        <w:fldChar w:fldCharType="begin"/>
      </w:r>
      <w:r>
        <w:rPr>
          <w:color w:val="auto"/>
        </w:rPr>
        <w:instrText xml:space="preserve"> PAGEREF _Toc117181355 \h </w:instrText>
      </w:r>
      <w:r>
        <w:rPr>
          <w:color w:val="auto"/>
        </w:rPr>
        <w:fldChar w:fldCharType="separate"/>
      </w:r>
      <w:r>
        <w:rPr>
          <w:color w:val="auto"/>
        </w:rPr>
        <w:t>58</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"_Toc117181356" </w:instrText>
      </w:r>
      <w:r>
        <w:rPr>
          <w:color w:val="auto"/>
        </w:rPr>
        <w:fldChar w:fldCharType="separate"/>
      </w:r>
      <w:r>
        <w:rPr>
          <w:rStyle w:val="21"/>
          <w:bCs/>
          <w:color w:val="auto"/>
        </w:rPr>
        <w:t>1.7.7</w:t>
      </w:r>
      <w:r>
        <w:rPr>
          <w:rStyle w:val="21"/>
          <w:color w:val="auto"/>
        </w:rPr>
        <w:t xml:space="preserve"> 安装及调试技术要求</w:t>
      </w:r>
      <w:r>
        <w:rPr>
          <w:color w:val="auto"/>
        </w:rPr>
        <w:tab/>
      </w:r>
      <w:r>
        <w:rPr>
          <w:color w:val="auto"/>
        </w:rPr>
        <w:fldChar w:fldCharType="begin"/>
      </w:r>
      <w:r>
        <w:rPr>
          <w:color w:val="auto"/>
        </w:rPr>
        <w:instrText xml:space="preserve"> PAGEREF _Toc117181356 \h </w:instrText>
      </w:r>
      <w:r>
        <w:rPr>
          <w:color w:val="auto"/>
        </w:rPr>
        <w:fldChar w:fldCharType="separate"/>
      </w:r>
      <w:r>
        <w:rPr>
          <w:color w:val="auto"/>
        </w:rPr>
        <w:t>59</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"_Toc117181357" </w:instrText>
      </w:r>
      <w:r>
        <w:rPr>
          <w:color w:val="auto"/>
        </w:rPr>
        <w:fldChar w:fldCharType="separate"/>
      </w:r>
      <w:r>
        <w:rPr>
          <w:rStyle w:val="21"/>
          <w:b/>
          <w:color w:val="auto"/>
        </w:rPr>
        <w:t>1.8 仪表自控设计的相关要求</w:t>
      </w:r>
      <w:r>
        <w:rPr>
          <w:color w:val="auto"/>
        </w:rPr>
        <w:tab/>
      </w:r>
      <w:r>
        <w:rPr>
          <w:color w:val="auto"/>
        </w:rPr>
        <w:fldChar w:fldCharType="begin"/>
      </w:r>
      <w:r>
        <w:rPr>
          <w:color w:val="auto"/>
        </w:rPr>
        <w:instrText xml:space="preserve"> PAGEREF _Toc117181357 \h </w:instrText>
      </w:r>
      <w:r>
        <w:rPr>
          <w:color w:val="auto"/>
        </w:rPr>
        <w:fldChar w:fldCharType="separate"/>
      </w:r>
      <w:r>
        <w:rPr>
          <w:color w:val="auto"/>
        </w:rPr>
        <w:t>62</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"_Toc117181358" </w:instrText>
      </w:r>
      <w:r>
        <w:rPr>
          <w:color w:val="auto"/>
        </w:rPr>
        <w:fldChar w:fldCharType="separate"/>
      </w:r>
      <w:r>
        <w:rPr>
          <w:rStyle w:val="21"/>
          <w:bCs/>
          <w:color w:val="auto"/>
        </w:rPr>
        <w:t>1.8.1</w:t>
      </w:r>
      <w:r>
        <w:rPr>
          <w:rStyle w:val="21"/>
          <w:color w:val="auto"/>
        </w:rPr>
        <w:t xml:space="preserve"> 自动化监控系统技术要求</w:t>
      </w:r>
      <w:r>
        <w:rPr>
          <w:color w:val="auto"/>
        </w:rPr>
        <w:tab/>
      </w:r>
      <w:r>
        <w:rPr>
          <w:color w:val="auto"/>
        </w:rPr>
        <w:fldChar w:fldCharType="begin"/>
      </w:r>
      <w:r>
        <w:rPr>
          <w:color w:val="auto"/>
        </w:rPr>
        <w:instrText xml:space="preserve"> PAGEREF _Toc117181358 \h </w:instrText>
      </w:r>
      <w:r>
        <w:rPr>
          <w:color w:val="auto"/>
        </w:rPr>
        <w:fldChar w:fldCharType="separate"/>
      </w:r>
      <w:r>
        <w:rPr>
          <w:color w:val="auto"/>
        </w:rPr>
        <w:t>62</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"_Toc117181359" </w:instrText>
      </w:r>
      <w:r>
        <w:rPr>
          <w:color w:val="auto"/>
        </w:rPr>
        <w:fldChar w:fldCharType="separate"/>
      </w:r>
      <w:r>
        <w:rPr>
          <w:rStyle w:val="21"/>
          <w:bCs/>
          <w:color w:val="auto"/>
        </w:rPr>
        <w:t>1.8.2 生产辅助系统技术要求</w:t>
      </w:r>
      <w:r>
        <w:rPr>
          <w:color w:val="auto"/>
        </w:rPr>
        <w:tab/>
      </w:r>
      <w:r>
        <w:rPr>
          <w:color w:val="auto"/>
        </w:rPr>
        <w:fldChar w:fldCharType="begin"/>
      </w:r>
      <w:r>
        <w:rPr>
          <w:color w:val="auto"/>
        </w:rPr>
        <w:instrText xml:space="preserve"> PAGEREF _Toc117181359 \h </w:instrText>
      </w:r>
      <w:r>
        <w:rPr>
          <w:color w:val="auto"/>
        </w:rPr>
        <w:fldChar w:fldCharType="separate"/>
      </w:r>
      <w:r>
        <w:rPr>
          <w:color w:val="auto"/>
        </w:rPr>
        <w:t>86</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"_Toc117181360" </w:instrText>
      </w:r>
      <w:r>
        <w:rPr>
          <w:color w:val="auto"/>
        </w:rPr>
        <w:fldChar w:fldCharType="separate"/>
      </w:r>
      <w:r>
        <w:rPr>
          <w:rStyle w:val="21"/>
          <w:bCs/>
          <w:color w:val="auto"/>
        </w:rPr>
        <w:t>1.8.3 在线仪表技术要求</w:t>
      </w:r>
      <w:r>
        <w:rPr>
          <w:color w:val="auto"/>
        </w:rPr>
        <w:tab/>
      </w:r>
      <w:r>
        <w:rPr>
          <w:color w:val="auto"/>
        </w:rPr>
        <w:fldChar w:fldCharType="begin"/>
      </w:r>
      <w:r>
        <w:rPr>
          <w:color w:val="auto"/>
        </w:rPr>
        <w:instrText xml:space="preserve"> PAGEREF _Toc117181360 \h </w:instrText>
      </w:r>
      <w:r>
        <w:rPr>
          <w:color w:val="auto"/>
        </w:rPr>
        <w:fldChar w:fldCharType="separate"/>
      </w:r>
      <w:r>
        <w:rPr>
          <w:color w:val="auto"/>
        </w:rPr>
        <w:t>92</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"_Toc117181361" </w:instrText>
      </w:r>
      <w:r>
        <w:rPr>
          <w:color w:val="auto"/>
        </w:rPr>
        <w:fldChar w:fldCharType="separate"/>
      </w:r>
      <w:r>
        <w:rPr>
          <w:rStyle w:val="21"/>
          <w:bCs/>
          <w:color w:val="auto"/>
        </w:rPr>
        <w:t>1.8.4 智慧水务技术要求</w:t>
      </w:r>
      <w:r>
        <w:rPr>
          <w:color w:val="auto"/>
        </w:rPr>
        <w:tab/>
      </w:r>
      <w:r>
        <w:rPr>
          <w:color w:val="auto"/>
        </w:rPr>
        <w:fldChar w:fldCharType="begin"/>
      </w:r>
      <w:r>
        <w:rPr>
          <w:color w:val="auto"/>
        </w:rPr>
        <w:instrText xml:space="preserve"> PAGEREF _Toc117181361 \h </w:instrText>
      </w:r>
      <w:r>
        <w:rPr>
          <w:color w:val="auto"/>
        </w:rPr>
        <w:fldChar w:fldCharType="separate"/>
      </w:r>
      <w:r>
        <w:rPr>
          <w:color w:val="auto"/>
        </w:rPr>
        <w:t>104</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"_Toc117181362" </w:instrText>
      </w:r>
      <w:r>
        <w:rPr>
          <w:color w:val="auto"/>
        </w:rPr>
        <w:fldChar w:fldCharType="separate"/>
      </w:r>
      <w:r>
        <w:rPr>
          <w:rStyle w:val="21"/>
          <w:b/>
          <w:color w:val="auto"/>
        </w:rPr>
        <w:t>1.9 防腐的相关要求</w:t>
      </w:r>
      <w:r>
        <w:rPr>
          <w:color w:val="auto"/>
        </w:rPr>
        <w:tab/>
      </w:r>
      <w:r>
        <w:rPr>
          <w:color w:val="auto"/>
        </w:rPr>
        <w:fldChar w:fldCharType="begin"/>
      </w:r>
      <w:r>
        <w:rPr>
          <w:color w:val="auto"/>
        </w:rPr>
        <w:instrText xml:space="preserve"> PAGEREF _Toc117181362 \h </w:instrText>
      </w:r>
      <w:r>
        <w:rPr>
          <w:color w:val="auto"/>
        </w:rPr>
        <w:fldChar w:fldCharType="separate"/>
      </w:r>
      <w:r>
        <w:rPr>
          <w:color w:val="auto"/>
        </w:rPr>
        <w:t>121</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"_Toc117181363" </w:instrText>
      </w:r>
      <w:r>
        <w:rPr>
          <w:color w:val="auto"/>
        </w:rPr>
        <w:fldChar w:fldCharType="separate"/>
      </w:r>
      <w:r>
        <w:rPr>
          <w:rStyle w:val="21"/>
          <w:b/>
          <w:color w:val="auto"/>
        </w:rPr>
        <w:t>1.10 备件的相关要求</w:t>
      </w:r>
      <w:r>
        <w:rPr>
          <w:color w:val="auto"/>
        </w:rPr>
        <w:tab/>
      </w:r>
      <w:r>
        <w:rPr>
          <w:color w:val="auto"/>
        </w:rPr>
        <w:fldChar w:fldCharType="begin"/>
      </w:r>
      <w:r>
        <w:rPr>
          <w:color w:val="auto"/>
        </w:rPr>
        <w:instrText xml:space="preserve"> PAGEREF _Toc117181363 \h </w:instrText>
      </w:r>
      <w:r>
        <w:rPr>
          <w:color w:val="auto"/>
        </w:rPr>
        <w:fldChar w:fldCharType="separate"/>
      </w:r>
      <w:r>
        <w:rPr>
          <w:color w:val="auto"/>
        </w:rPr>
        <w:t>121</w:t>
      </w:r>
      <w:r>
        <w:rPr>
          <w:color w:val="auto"/>
        </w:rPr>
        <w:fldChar w:fldCharType="end"/>
      </w:r>
      <w:r>
        <w:rPr>
          <w:color w:val="auto"/>
        </w:rPr>
        <w:fldChar w:fldCharType="end"/>
      </w:r>
    </w:p>
    <w:p>
      <w:pPr>
        <w:pStyle w:val="16"/>
        <w:rPr>
          <w:rFonts w:asciiTheme="minorHAnsi" w:hAnsiTheme="minorHAnsi" w:eastAsiaTheme="minorEastAsia"/>
          <w:b w:val="0"/>
          <w:color w:val="auto"/>
          <w:kern w:val="2"/>
          <w:sz w:val="21"/>
          <w:szCs w:val="22"/>
        </w:rPr>
      </w:pPr>
      <w:r>
        <w:rPr>
          <w:color w:val="auto"/>
        </w:rPr>
        <w:fldChar w:fldCharType="begin"/>
      </w:r>
      <w:r>
        <w:rPr>
          <w:color w:val="auto"/>
        </w:rPr>
        <w:instrText xml:space="preserve"> HYPERLINK \l "_Toc117181364" </w:instrText>
      </w:r>
      <w:r>
        <w:rPr>
          <w:color w:val="auto"/>
        </w:rPr>
        <w:fldChar w:fldCharType="separate"/>
      </w:r>
      <w:r>
        <w:rPr>
          <w:rStyle w:val="21"/>
          <w:color w:val="auto"/>
        </w:rPr>
        <w:t>第二章 污水处理厂技术要求</w:t>
      </w:r>
      <w:r>
        <w:rPr>
          <w:color w:val="auto"/>
        </w:rPr>
        <w:tab/>
      </w:r>
      <w:r>
        <w:rPr>
          <w:color w:val="auto"/>
        </w:rPr>
        <w:fldChar w:fldCharType="begin"/>
      </w:r>
      <w:r>
        <w:rPr>
          <w:color w:val="auto"/>
        </w:rPr>
        <w:instrText xml:space="preserve"> PAGEREF _Toc117181364 \h </w:instrText>
      </w:r>
      <w:r>
        <w:rPr>
          <w:color w:val="auto"/>
        </w:rPr>
        <w:fldChar w:fldCharType="separate"/>
      </w:r>
      <w:r>
        <w:rPr>
          <w:color w:val="auto"/>
        </w:rPr>
        <w:t>122</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"_Toc117181365" </w:instrText>
      </w:r>
      <w:r>
        <w:rPr>
          <w:color w:val="auto"/>
        </w:rPr>
        <w:fldChar w:fldCharType="separate"/>
      </w:r>
      <w:r>
        <w:rPr>
          <w:rStyle w:val="21"/>
          <w:b/>
          <w:color w:val="auto"/>
        </w:rPr>
        <w:t>2.1 机械设备的相关要求</w:t>
      </w:r>
      <w:r>
        <w:rPr>
          <w:color w:val="auto"/>
        </w:rPr>
        <w:tab/>
      </w:r>
      <w:r>
        <w:rPr>
          <w:color w:val="auto"/>
        </w:rPr>
        <w:fldChar w:fldCharType="begin"/>
      </w:r>
      <w:r>
        <w:rPr>
          <w:color w:val="auto"/>
        </w:rPr>
        <w:instrText xml:space="preserve"> PAGEREF _Toc117181365 \h </w:instrText>
      </w:r>
      <w:r>
        <w:rPr>
          <w:color w:val="auto"/>
        </w:rPr>
        <w:fldChar w:fldCharType="separate"/>
      </w:r>
      <w:r>
        <w:rPr>
          <w:color w:val="auto"/>
        </w:rPr>
        <w:t>122</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"_Toc117181366" </w:instrText>
      </w:r>
      <w:r>
        <w:rPr>
          <w:color w:val="auto"/>
        </w:rPr>
        <w:fldChar w:fldCharType="separate"/>
      </w:r>
      <w:r>
        <w:rPr>
          <w:rStyle w:val="21"/>
          <w:color w:val="auto"/>
        </w:rPr>
        <w:t>2.1.1 主要设备材料表</w:t>
      </w:r>
      <w:r>
        <w:rPr>
          <w:color w:val="auto"/>
        </w:rPr>
        <w:tab/>
      </w:r>
      <w:r>
        <w:rPr>
          <w:color w:val="auto"/>
        </w:rPr>
        <w:fldChar w:fldCharType="begin"/>
      </w:r>
      <w:r>
        <w:rPr>
          <w:color w:val="auto"/>
        </w:rPr>
        <w:instrText xml:space="preserve"> PAGEREF _Toc117181366 \h </w:instrText>
      </w:r>
      <w:r>
        <w:rPr>
          <w:color w:val="auto"/>
        </w:rPr>
        <w:fldChar w:fldCharType="separate"/>
      </w:r>
      <w:r>
        <w:rPr>
          <w:color w:val="auto"/>
        </w:rPr>
        <w:t>122</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"_Toc117181367" </w:instrText>
      </w:r>
      <w:r>
        <w:rPr>
          <w:color w:val="auto"/>
        </w:rPr>
        <w:fldChar w:fldCharType="separate"/>
      </w:r>
      <w:r>
        <w:rPr>
          <w:rStyle w:val="21"/>
          <w:color w:val="auto"/>
        </w:rPr>
        <w:t>2.1.2 粗格栅及提升泵房设备</w:t>
      </w:r>
      <w:r>
        <w:rPr>
          <w:color w:val="auto"/>
        </w:rPr>
        <w:tab/>
      </w:r>
      <w:r>
        <w:rPr>
          <w:color w:val="auto"/>
        </w:rPr>
        <w:fldChar w:fldCharType="begin"/>
      </w:r>
      <w:r>
        <w:rPr>
          <w:color w:val="auto"/>
        </w:rPr>
        <w:instrText xml:space="preserve"> PAGEREF _Toc117181367 \h </w:instrText>
      </w:r>
      <w:r>
        <w:rPr>
          <w:color w:val="auto"/>
        </w:rPr>
        <w:fldChar w:fldCharType="separate"/>
      </w:r>
      <w:r>
        <w:rPr>
          <w:color w:val="auto"/>
        </w:rPr>
        <w:t>146</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"_Toc117181368" </w:instrText>
      </w:r>
      <w:r>
        <w:rPr>
          <w:color w:val="auto"/>
        </w:rPr>
        <w:fldChar w:fldCharType="separate"/>
      </w:r>
      <w:r>
        <w:rPr>
          <w:rStyle w:val="21"/>
          <w:color w:val="auto"/>
        </w:rPr>
        <w:t>2.1.3 细格栅及曝气沉沙池</w:t>
      </w:r>
      <w:r>
        <w:rPr>
          <w:color w:val="auto"/>
        </w:rPr>
        <w:tab/>
      </w:r>
      <w:r>
        <w:rPr>
          <w:color w:val="auto"/>
        </w:rPr>
        <w:fldChar w:fldCharType="begin"/>
      </w:r>
      <w:r>
        <w:rPr>
          <w:color w:val="auto"/>
        </w:rPr>
        <w:instrText xml:space="preserve"> PAGEREF _Toc117181368 \h </w:instrText>
      </w:r>
      <w:r>
        <w:rPr>
          <w:color w:val="auto"/>
        </w:rPr>
        <w:fldChar w:fldCharType="separate"/>
      </w:r>
      <w:r>
        <w:rPr>
          <w:color w:val="auto"/>
        </w:rPr>
        <w:t>156</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"_Toc117181369" </w:instrText>
      </w:r>
      <w:r>
        <w:rPr>
          <w:color w:val="auto"/>
        </w:rPr>
        <w:fldChar w:fldCharType="separate"/>
      </w:r>
      <w:r>
        <w:rPr>
          <w:rStyle w:val="21"/>
          <w:bCs/>
          <w:color w:val="auto"/>
        </w:rPr>
        <w:t>2.1.4</w:t>
      </w:r>
      <w:r>
        <w:rPr>
          <w:rStyle w:val="21"/>
          <w:rFonts w:cs="宋体"/>
          <w:color w:val="auto"/>
        </w:rPr>
        <w:t xml:space="preserve"> 多级AO池</w:t>
      </w:r>
      <w:r>
        <w:rPr>
          <w:color w:val="auto"/>
        </w:rPr>
        <w:tab/>
      </w:r>
      <w:r>
        <w:rPr>
          <w:color w:val="auto"/>
        </w:rPr>
        <w:fldChar w:fldCharType="begin"/>
      </w:r>
      <w:r>
        <w:rPr>
          <w:color w:val="auto"/>
        </w:rPr>
        <w:instrText xml:space="preserve"> PAGEREF _Toc117181369 \h </w:instrText>
      </w:r>
      <w:r>
        <w:rPr>
          <w:color w:val="auto"/>
        </w:rPr>
        <w:fldChar w:fldCharType="separate"/>
      </w:r>
      <w:r>
        <w:rPr>
          <w:color w:val="auto"/>
        </w:rPr>
        <w:t>172</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"_Toc117181370" </w:instrText>
      </w:r>
      <w:r>
        <w:rPr>
          <w:color w:val="auto"/>
        </w:rPr>
        <w:fldChar w:fldCharType="separate"/>
      </w:r>
      <w:r>
        <w:rPr>
          <w:rStyle w:val="21"/>
          <w:bCs/>
          <w:color w:val="auto"/>
        </w:rPr>
        <w:t>2.1.5</w:t>
      </w:r>
      <w:r>
        <w:rPr>
          <w:rStyle w:val="21"/>
          <w:color w:val="auto"/>
        </w:rPr>
        <w:t xml:space="preserve"> 二沉池</w:t>
      </w:r>
      <w:r>
        <w:rPr>
          <w:color w:val="auto"/>
        </w:rPr>
        <w:tab/>
      </w:r>
      <w:r>
        <w:rPr>
          <w:color w:val="auto"/>
        </w:rPr>
        <w:fldChar w:fldCharType="begin"/>
      </w:r>
      <w:r>
        <w:rPr>
          <w:color w:val="auto"/>
        </w:rPr>
        <w:instrText xml:space="preserve"> PAGEREF _Toc117181370 \h </w:instrText>
      </w:r>
      <w:r>
        <w:rPr>
          <w:color w:val="auto"/>
        </w:rPr>
        <w:fldChar w:fldCharType="separate"/>
      </w:r>
      <w:r>
        <w:rPr>
          <w:color w:val="auto"/>
        </w:rPr>
        <w:t>186</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"_Toc117181371" </w:instrText>
      </w:r>
      <w:r>
        <w:rPr>
          <w:color w:val="auto"/>
        </w:rPr>
        <w:fldChar w:fldCharType="separate"/>
      </w:r>
      <w:r>
        <w:rPr>
          <w:rStyle w:val="21"/>
          <w:color w:val="auto"/>
        </w:rPr>
        <w:t>2.1.6 反硝化深床滤池</w:t>
      </w:r>
      <w:r>
        <w:rPr>
          <w:color w:val="auto"/>
        </w:rPr>
        <w:tab/>
      </w:r>
      <w:r>
        <w:rPr>
          <w:color w:val="auto"/>
        </w:rPr>
        <w:fldChar w:fldCharType="begin"/>
      </w:r>
      <w:r>
        <w:rPr>
          <w:color w:val="auto"/>
        </w:rPr>
        <w:instrText xml:space="preserve"> PAGEREF _Toc117181371 \h </w:instrText>
      </w:r>
      <w:r>
        <w:rPr>
          <w:color w:val="auto"/>
        </w:rPr>
        <w:fldChar w:fldCharType="separate"/>
      </w:r>
      <w:r>
        <w:rPr>
          <w:color w:val="auto"/>
        </w:rPr>
        <w:t>193</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"_Toc117181372" </w:instrText>
      </w:r>
      <w:r>
        <w:rPr>
          <w:color w:val="auto"/>
        </w:rPr>
        <w:fldChar w:fldCharType="separate"/>
      </w:r>
      <w:r>
        <w:rPr>
          <w:rStyle w:val="21"/>
          <w:color w:val="auto"/>
        </w:rPr>
        <w:t>2.1.7 中间提升泵房（污水）</w:t>
      </w:r>
      <w:r>
        <w:rPr>
          <w:color w:val="auto"/>
        </w:rPr>
        <w:tab/>
      </w:r>
      <w:r>
        <w:rPr>
          <w:color w:val="auto"/>
        </w:rPr>
        <w:fldChar w:fldCharType="begin"/>
      </w:r>
      <w:r>
        <w:rPr>
          <w:color w:val="auto"/>
        </w:rPr>
        <w:instrText xml:space="preserve"> PAGEREF _Toc117181372 \h </w:instrText>
      </w:r>
      <w:r>
        <w:rPr>
          <w:color w:val="auto"/>
        </w:rPr>
        <w:fldChar w:fldCharType="separate"/>
      </w:r>
      <w:r>
        <w:rPr>
          <w:color w:val="auto"/>
        </w:rPr>
        <w:t>209</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"_Toc117181373" </w:instrText>
      </w:r>
      <w:r>
        <w:rPr>
          <w:color w:val="auto"/>
        </w:rPr>
        <w:fldChar w:fldCharType="separate"/>
      </w:r>
      <w:r>
        <w:rPr>
          <w:rStyle w:val="21"/>
          <w:bCs/>
          <w:color w:val="auto"/>
        </w:rPr>
        <w:t>2.1.8 尾水泵房（清水）</w:t>
      </w:r>
      <w:r>
        <w:rPr>
          <w:color w:val="auto"/>
        </w:rPr>
        <w:tab/>
      </w:r>
      <w:r>
        <w:rPr>
          <w:color w:val="auto"/>
        </w:rPr>
        <w:fldChar w:fldCharType="begin"/>
      </w:r>
      <w:r>
        <w:rPr>
          <w:color w:val="auto"/>
        </w:rPr>
        <w:instrText xml:space="preserve"> PAGEREF _Toc117181373 \h </w:instrText>
      </w:r>
      <w:r>
        <w:rPr>
          <w:color w:val="auto"/>
        </w:rPr>
        <w:fldChar w:fldCharType="separate"/>
      </w:r>
      <w:r>
        <w:rPr>
          <w:color w:val="auto"/>
        </w:rPr>
        <w:t>213</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"_Toc117181374" </w:instrText>
      </w:r>
      <w:r>
        <w:rPr>
          <w:color w:val="auto"/>
        </w:rPr>
        <w:fldChar w:fldCharType="separate"/>
      </w:r>
      <w:r>
        <w:rPr>
          <w:rStyle w:val="21"/>
          <w:bCs/>
          <w:color w:val="auto"/>
        </w:rPr>
        <w:t>2.1.9 事故池</w:t>
      </w:r>
      <w:r>
        <w:rPr>
          <w:color w:val="auto"/>
        </w:rPr>
        <w:tab/>
      </w:r>
      <w:r>
        <w:rPr>
          <w:color w:val="auto"/>
        </w:rPr>
        <w:fldChar w:fldCharType="begin"/>
      </w:r>
      <w:r>
        <w:rPr>
          <w:color w:val="auto"/>
        </w:rPr>
        <w:instrText xml:space="preserve"> PAGEREF _Toc117181374 \h </w:instrText>
      </w:r>
      <w:r>
        <w:rPr>
          <w:color w:val="auto"/>
        </w:rPr>
        <w:fldChar w:fldCharType="separate"/>
      </w:r>
      <w:r>
        <w:rPr>
          <w:color w:val="auto"/>
        </w:rPr>
        <w:t>216</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"_Toc117181375" </w:instrText>
      </w:r>
      <w:r>
        <w:rPr>
          <w:color w:val="auto"/>
        </w:rPr>
        <w:fldChar w:fldCharType="separate"/>
      </w:r>
      <w:r>
        <w:rPr>
          <w:rStyle w:val="21"/>
          <w:color w:val="auto"/>
        </w:rPr>
        <w:t>2.1.10 加氯接触池及中水泵房（清水）</w:t>
      </w:r>
      <w:r>
        <w:rPr>
          <w:color w:val="auto"/>
        </w:rPr>
        <w:tab/>
      </w:r>
      <w:r>
        <w:rPr>
          <w:color w:val="auto"/>
        </w:rPr>
        <w:fldChar w:fldCharType="begin"/>
      </w:r>
      <w:r>
        <w:rPr>
          <w:color w:val="auto"/>
        </w:rPr>
        <w:instrText xml:space="preserve"> PAGEREF _Toc117181375 \h </w:instrText>
      </w:r>
      <w:r>
        <w:rPr>
          <w:color w:val="auto"/>
        </w:rPr>
        <w:fldChar w:fldCharType="separate"/>
      </w:r>
      <w:r>
        <w:rPr>
          <w:color w:val="auto"/>
        </w:rPr>
        <w:t>220</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"_Toc117181376" </w:instrText>
      </w:r>
      <w:r>
        <w:rPr>
          <w:color w:val="auto"/>
        </w:rPr>
        <w:fldChar w:fldCharType="separate"/>
      </w:r>
      <w:r>
        <w:rPr>
          <w:rStyle w:val="21"/>
          <w:color w:val="auto"/>
        </w:rPr>
        <w:t>2.1.11 鼓风机房</w:t>
      </w:r>
      <w:r>
        <w:rPr>
          <w:color w:val="auto"/>
        </w:rPr>
        <w:tab/>
      </w:r>
      <w:r>
        <w:rPr>
          <w:color w:val="auto"/>
        </w:rPr>
        <w:fldChar w:fldCharType="begin"/>
      </w:r>
      <w:r>
        <w:rPr>
          <w:color w:val="auto"/>
        </w:rPr>
        <w:instrText xml:space="preserve"> PAGEREF _Toc117181376 \h </w:instrText>
      </w:r>
      <w:r>
        <w:rPr>
          <w:color w:val="auto"/>
        </w:rPr>
        <w:fldChar w:fldCharType="separate"/>
      </w:r>
      <w:r>
        <w:rPr>
          <w:color w:val="auto"/>
        </w:rPr>
        <w:t>225</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"_Toc117181377" </w:instrText>
      </w:r>
      <w:r>
        <w:rPr>
          <w:color w:val="auto"/>
        </w:rPr>
        <w:fldChar w:fldCharType="separate"/>
      </w:r>
      <w:r>
        <w:rPr>
          <w:rStyle w:val="21"/>
          <w:color w:val="auto"/>
        </w:rPr>
        <w:t>2.1.12 污泥浓缩池</w:t>
      </w:r>
      <w:r>
        <w:rPr>
          <w:color w:val="auto"/>
        </w:rPr>
        <w:tab/>
      </w:r>
      <w:r>
        <w:rPr>
          <w:color w:val="auto"/>
        </w:rPr>
        <w:fldChar w:fldCharType="begin"/>
      </w:r>
      <w:r>
        <w:rPr>
          <w:color w:val="auto"/>
        </w:rPr>
        <w:instrText xml:space="preserve"> PAGEREF _Toc117181377 \h </w:instrText>
      </w:r>
      <w:r>
        <w:rPr>
          <w:color w:val="auto"/>
        </w:rPr>
        <w:fldChar w:fldCharType="separate"/>
      </w:r>
      <w:r>
        <w:rPr>
          <w:color w:val="auto"/>
        </w:rPr>
        <w:t>233</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"_Toc117181378" </w:instrText>
      </w:r>
      <w:r>
        <w:rPr>
          <w:color w:val="auto"/>
        </w:rPr>
        <w:fldChar w:fldCharType="separate"/>
      </w:r>
      <w:r>
        <w:rPr>
          <w:rStyle w:val="21"/>
          <w:color w:val="auto"/>
        </w:rPr>
        <w:t>2.1.13 污泥干化、碳化车间</w:t>
      </w:r>
      <w:r>
        <w:rPr>
          <w:color w:val="auto"/>
        </w:rPr>
        <w:tab/>
      </w:r>
      <w:r>
        <w:rPr>
          <w:color w:val="auto"/>
        </w:rPr>
        <w:fldChar w:fldCharType="begin"/>
      </w:r>
      <w:r>
        <w:rPr>
          <w:color w:val="auto"/>
        </w:rPr>
        <w:instrText xml:space="preserve"> PAGEREF _Toc117181378 \h </w:instrText>
      </w:r>
      <w:r>
        <w:rPr>
          <w:color w:val="auto"/>
        </w:rPr>
        <w:fldChar w:fldCharType="separate"/>
      </w:r>
      <w:r>
        <w:rPr>
          <w:color w:val="auto"/>
        </w:rPr>
        <w:t>238</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"_Toc117181379" </w:instrText>
      </w:r>
      <w:r>
        <w:rPr>
          <w:color w:val="auto"/>
        </w:rPr>
        <w:fldChar w:fldCharType="separate"/>
      </w:r>
      <w:r>
        <w:rPr>
          <w:rStyle w:val="21"/>
          <w:color w:val="auto"/>
        </w:rPr>
        <w:t>2.1.14 加药间及仓库</w:t>
      </w:r>
      <w:r>
        <w:rPr>
          <w:color w:val="auto"/>
        </w:rPr>
        <w:tab/>
      </w:r>
      <w:r>
        <w:rPr>
          <w:color w:val="auto"/>
        </w:rPr>
        <w:fldChar w:fldCharType="begin"/>
      </w:r>
      <w:r>
        <w:rPr>
          <w:color w:val="auto"/>
        </w:rPr>
        <w:instrText xml:space="preserve"> PAGEREF _Toc117181379 \h </w:instrText>
      </w:r>
      <w:r>
        <w:rPr>
          <w:color w:val="auto"/>
        </w:rPr>
        <w:fldChar w:fldCharType="separate"/>
      </w:r>
      <w:r>
        <w:rPr>
          <w:color w:val="auto"/>
        </w:rPr>
        <w:t>248</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"_Toc117181380" </w:instrText>
      </w:r>
      <w:r>
        <w:rPr>
          <w:color w:val="auto"/>
        </w:rPr>
        <w:fldChar w:fldCharType="separate"/>
      </w:r>
      <w:r>
        <w:rPr>
          <w:rStyle w:val="21"/>
          <w:bCs/>
          <w:color w:val="auto"/>
        </w:rPr>
        <w:t>2.1.15</w:t>
      </w:r>
      <w:r>
        <w:rPr>
          <w:rStyle w:val="21"/>
          <w:color w:val="auto"/>
        </w:rPr>
        <w:t xml:space="preserve"> 除臭设备</w:t>
      </w:r>
      <w:r>
        <w:rPr>
          <w:color w:val="auto"/>
        </w:rPr>
        <w:tab/>
      </w:r>
      <w:r>
        <w:rPr>
          <w:color w:val="auto"/>
        </w:rPr>
        <w:fldChar w:fldCharType="begin"/>
      </w:r>
      <w:r>
        <w:rPr>
          <w:color w:val="auto"/>
        </w:rPr>
        <w:instrText xml:space="preserve"> PAGEREF _Toc117181380 \h </w:instrText>
      </w:r>
      <w:r>
        <w:rPr>
          <w:color w:val="auto"/>
        </w:rPr>
        <w:fldChar w:fldCharType="separate"/>
      </w:r>
      <w:r>
        <w:rPr>
          <w:color w:val="auto"/>
        </w:rPr>
        <w:t>251</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"_Toc117181381" </w:instrText>
      </w:r>
      <w:r>
        <w:rPr>
          <w:color w:val="auto"/>
        </w:rPr>
        <w:fldChar w:fldCharType="separate"/>
      </w:r>
      <w:r>
        <w:rPr>
          <w:rStyle w:val="21"/>
          <w:b/>
          <w:color w:val="auto"/>
        </w:rPr>
        <w:t>2.2 电气设备的相关要求</w:t>
      </w:r>
      <w:r>
        <w:rPr>
          <w:color w:val="auto"/>
        </w:rPr>
        <w:tab/>
      </w:r>
      <w:r>
        <w:rPr>
          <w:color w:val="auto"/>
        </w:rPr>
        <w:fldChar w:fldCharType="begin"/>
      </w:r>
      <w:r>
        <w:rPr>
          <w:color w:val="auto"/>
        </w:rPr>
        <w:instrText xml:space="preserve"> PAGEREF _Toc117181381 \h </w:instrText>
      </w:r>
      <w:r>
        <w:rPr>
          <w:color w:val="auto"/>
        </w:rPr>
        <w:fldChar w:fldCharType="separate"/>
      </w:r>
      <w:r>
        <w:rPr>
          <w:color w:val="auto"/>
        </w:rPr>
        <w:t>266</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"_Toc117181382" </w:instrText>
      </w:r>
      <w:r>
        <w:rPr>
          <w:color w:val="auto"/>
        </w:rPr>
        <w:fldChar w:fldCharType="separate"/>
      </w:r>
      <w:r>
        <w:rPr>
          <w:rStyle w:val="21"/>
          <w:b/>
          <w:color w:val="auto"/>
        </w:rPr>
        <w:t>2.3</w:t>
      </w:r>
      <w:r>
        <w:rPr>
          <w:rStyle w:val="21"/>
          <w:color w:val="auto"/>
        </w:rPr>
        <w:t xml:space="preserve"> 仪表自控设备的相关要求</w:t>
      </w:r>
      <w:r>
        <w:rPr>
          <w:color w:val="auto"/>
        </w:rPr>
        <w:tab/>
      </w:r>
      <w:r>
        <w:rPr>
          <w:color w:val="auto"/>
        </w:rPr>
        <w:fldChar w:fldCharType="begin"/>
      </w:r>
      <w:r>
        <w:rPr>
          <w:color w:val="auto"/>
        </w:rPr>
        <w:instrText xml:space="preserve"> PAGEREF _Toc117181382 \h </w:instrText>
      </w:r>
      <w:r>
        <w:rPr>
          <w:color w:val="auto"/>
        </w:rPr>
        <w:fldChar w:fldCharType="separate"/>
      </w:r>
      <w:r>
        <w:rPr>
          <w:color w:val="auto"/>
        </w:rPr>
        <w:t>269</w:t>
      </w:r>
      <w:r>
        <w:rPr>
          <w:color w:val="auto"/>
        </w:rPr>
        <w:fldChar w:fldCharType="end"/>
      </w:r>
      <w:r>
        <w:rPr>
          <w:color w:val="auto"/>
        </w:rPr>
        <w:fldChar w:fldCharType="end"/>
      </w:r>
    </w:p>
    <w:p>
      <w:pPr>
        <w:pStyle w:val="16"/>
        <w:rPr>
          <w:rFonts w:asciiTheme="minorHAnsi" w:hAnsiTheme="minorHAnsi" w:eastAsiaTheme="minorEastAsia"/>
          <w:b w:val="0"/>
          <w:color w:val="auto"/>
          <w:kern w:val="2"/>
          <w:sz w:val="21"/>
          <w:szCs w:val="22"/>
        </w:rPr>
      </w:pPr>
      <w:r>
        <w:rPr>
          <w:color w:val="auto"/>
        </w:rPr>
        <w:fldChar w:fldCharType="begin"/>
      </w:r>
      <w:r>
        <w:rPr>
          <w:color w:val="auto"/>
        </w:rPr>
        <w:instrText xml:space="preserve"> HYPERLINK \l "_Toc117181383" </w:instrText>
      </w:r>
      <w:r>
        <w:rPr>
          <w:color w:val="auto"/>
        </w:rPr>
        <w:fldChar w:fldCharType="separate"/>
      </w:r>
      <w:r>
        <w:rPr>
          <w:rStyle w:val="21"/>
          <w:color w:val="auto"/>
        </w:rPr>
        <w:t>第三章 配套管网技术要求</w:t>
      </w:r>
      <w:r>
        <w:rPr>
          <w:color w:val="auto"/>
        </w:rPr>
        <w:tab/>
      </w:r>
      <w:r>
        <w:rPr>
          <w:color w:val="auto"/>
        </w:rPr>
        <w:fldChar w:fldCharType="begin"/>
      </w:r>
      <w:r>
        <w:rPr>
          <w:color w:val="auto"/>
        </w:rPr>
        <w:instrText xml:space="preserve"> PAGEREF _Toc117181383 \h </w:instrText>
      </w:r>
      <w:r>
        <w:rPr>
          <w:color w:val="auto"/>
        </w:rPr>
        <w:fldChar w:fldCharType="separate"/>
      </w:r>
      <w:r>
        <w:rPr>
          <w:color w:val="auto"/>
        </w:rPr>
        <w:t>287</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"_Toc117181384" </w:instrText>
      </w:r>
      <w:r>
        <w:rPr>
          <w:color w:val="auto"/>
        </w:rPr>
        <w:fldChar w:fldCharType="separate"/>
      </w:r>
      <w:r>
        <w:rPr>
          <w:rStyle w:val="21"/>
          <w:b/>
          <w:color w:val="auto"/>
        </w:rPr>
        <w:t>3.1</w:t>
      </w:r>
      <w:r>
        <w:rPr>
          <w:rStyle w:val="21"/>
          <w:color w:val="auto"/>
        </w:rPr>
        <w:t xml:space="preserve"> 主要设备材料表</w:t>
      </w:r>
      <w:r>
        <w:rPr>
          <w:color w:val="auto"/>
        </w:rPr>
        <w:tab/>
      </w:r>
      <w:r>
        <w:rPr>
          <w:color w:val="auto"/>
        </w:rPr>
        <w:fldChar w:fldCharType="begin"/>
      </w:r>
      <w:r>
        <w:rPr>
          <w:color w:val="auto"/>
        </w:rPr>
        <w:instrText xml:space="preserve"> PAGEREF _Toc117181384 \h </w:instrText>
      </w:r>
      <w:r>
        <w:rPr>
          <w:color w:val="auto"/>
        </w:rPr>
        <w:fldChar w:fldCharType="separate"/>
      </w:r>
      <w:r>
        <w:rPr>
          <w:color w:val="auto"/>
        </w:rPr>
        <w:t>287</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"_Toc117181385" </w:instrText>
      </w:r>
      <w:r>
        <w:rPr>
          <w:color w:val="auto"/>
        </w:rPr>
        <w:fldChar w:fldCharType="separate"/>
      </w:r>
      <w:r>
        <w:rPr>
          <w:rStyle w:val="21"/>
          <w:b/>
          <w:color w:val="auto"/>
        </w:rPr>
        <w:t>3.2 钢管</w:t>
      </w:r>
      <w:r>
        <w:rPr>
          <w:color w:val="auto"/>
        </w:rPr>
        <w:tab/>
      </w:r>
      <w:r>
        <w:rPr>
          <w:color w:val="auto"/>
        </w:rPr>
        <w:fldChar w:fldCharType="begin"/>
      </w:r>
      <w:r>
        <w:rPr>
          <w:color w:val="auto"/>
        </w:rPr>
        <w:instrText xml:space="preserve"> PAGEREF _Toc117181385 \h </w:instrText>
      </w:r>
      <w:r>
        <w:rPr>
          <w:color w:val="auto"/>
        </w:rPr>
        <w:fldChar w:fldCharType="separate"/>
      </w:r>
      <w:r>
        <w:rPr>
          <w:color w:val="auto"/>
        </w:rPr>
        <w:t>289</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"_Toc117181386" </w:instrText>
      </w:r>
      <w:r>
        <w:rPr>
          <w:color w:val="auto"/>
        </w:rPr>
        <w:fldChar w:fldCharType="separate"/>
      </w:r>
      <w:r>
        <w:rPr>
          <w:rStyle w:val="21"/>
          <w:b/>
          <w:color w:val="auto"/>
        </w:rPr>
        <w:t>3.3 复合式排气阀</w:t>
      </w:r>
      <w:r>
        <w:rPr>
          <w:color w:val="auto"/>
        </w:rPr>
        <w:tab/>
      </w:r>
      <w:r>
        <w:rPr>
          <w:color w:val="auto"/>
        </w:rPr>
        <w:fldChar w:fldCharType="begin"/>
      </w:r>
      <w:r>
        <w:rPr>
          <w:color w:val="auto"/>
        </w:rPr>
        <w:instrText xml:space="preserve"> PAGEREF _Toc117181386 \h </w:instrText>
      </w:r>
      <w:r>
        <w:rPr>
          <w:color w:val="auto"/>
        </w:rPr>
        <w:fldChar w:fldCharType="separate"/>
      </w:r>
      <w:r>
        <w:rPr>
          <w:color w:val="auto"/>
        </w:rPr>
        <w:t>292</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"_Toc117181387" </w:instrText>
      </w:r>
      <w:r>
        <w:rPr>
          <w:color w:val="auto"/>
        </w:rPr>
        <w:fldChar w:fldCharType="separate"/>
      </w:r>
      <w:r>
        <w:rPr>
          <w:rStyle w:val="21"/>
          <w:b/>
          <w:color w:val="auto"/>
        </w:rPr>
        <w:t>3.4 手动弹性座封闸阀</w:t>
      </w:r>
      <w:r>
        <w:rPr>
          <w:color w:val="auto"/>
        </w:rPr>
        <w:tab/>
      </w:r>
      <w:r>
        <w:rPr>
          <w:color w:val="auto"/>
        </w:rPr>
        <w:fldChar w:fldCharType="begin"/>
      </w:r>
      <w:r>
        <w:rPr>
          <w:color w:val="auto"/>
        </w:rPr>
        <w:instrText xml:space="preserve"> PAGEREF _Toc117181387 \h </w:instrText>
      </w:r>
      <w:r>
        <w:rPr>
          <w:color w:val="auto"/>
        </w:rPr>
        <w:fldChar w:fldCharType="separate"/>
      </w:r>
      <w:r>
        <w:rPr>
          <w:color w:val="auto"/>
        </w:rPr>
        <w:t>294</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"_Toc117181388" </w:instrText>
      </w:r>
      <w:r>
        <w:rPr>
          <w:color w:val="auto"/>
        </w:rPr>
        <w:fldChar w:fldCharType="separate"/>
      </w:r>
      <w:r>
        <w:rPr>
          <w:rStyle w:val="21"/>
          <w:b/>
          <w:color w:val="auto"/>
        </w:rPr>
        <w:t>3.5 手动/电动软密封法兰蝶阀</w:t>
      </w:r>
      <w:r>
        <w:rPr>
          <w:color w:val="auto"/>
        </w:rPr>
        <w:tab/>
      </w:r>
      <w:r>
        <w:rPr>
          <w:color w:val="auto"/>
        </w:rPr>
        <w:fldChar w:fldCharType="begin"/>
      </w:r>
      <w:r>
        <w:rPr>
          <w:color w:val="auto"/>
        </w:rPr>
        <w:instrText xml:space="preserve"> PAGEREF _Toc117181388 \h </w:instrText>
      </w:r>
      <w:r>
        <w:rPr>
          <w:color w:val="auto"/>
        </w:rPr>
        <w:fldChar w:fldCharType="separate"/>
      </w:r>
      <w:r>
        <w:rPr>
          <w:color w:val="auto"/>
        </w:rPr>
        <w:t>295</w:t>
      </w:r>
      <w:r>
        <w:rPr>
          <w:color w:val="auto"/>
        </w:rPr>
        <w:fldChar w:fldCharType="end"/>
      </w:r>
      <w:r>
        <w:rPr>
          <w:color w:val="auto"/>
        </w:rPr>
        <w:fldChar w:fldCharType="end"/>
      </w:r>
    </w:p>
    <w:p>
      <w:pPr>
        <w:pStyle w:val="16"/>
        <w:rPr>
          <w:rFonts w:asciiTheme="minorHAnsi" w:hAnsiTheme="minorHAnsi" w:eastAsiaTheme="minorEastAsia"/>
          <w:b w:val="0"/>
          <w:color w:val="auto"/>
          <w:kern w:val="2"/>
          <w:sz w:val="21"/>
          <w:szCs w:val="22"/>
        </w:rPr>
      </w:pPr>
      <w:r>
        <w:rPr>
          <w:color w:val="auto"/>
        </w:rPr>
        <w:fldChar w:fldCharType="begin"/>
      </w:r>
      <w:r>
        <w:rPr>
          <w:color w:val="auto"/>
        </w:rPr>
        <w:instrText xml:space="preserve"> HYPERLINK \l "_Toc117181389" </w:instrText>
      </w:r>
      <w:r>
        <w:rPr>
          <w:color w:val="auto"/>
        </w:rPr>
        <w:fldChar w:fldCharType="separate"/>
      </w:r>
      <w:r>
        <w:rPr>
          <w:rStyle w:val="21"/>
          <w:color w:val="auto"/>
        </w:rPr>
        <w:t>第四章 科教城泵站技术要求</w:t>
      </w:r>
      <w:r>
        <w:rPr>
          <w:color w:val="auto"/>
        </w:rPr>
        <w:tab/>
      </w:r>
      <w:r>
        <w:rPr>
          <w:color w:val="auto"/>
        </w:rPr>
        <w:fldChar w:fldCharType="begin"/>
      </w:r>
      <w:r>
        <w:rPr>
          <w:color w:val="auto"/>
        </w:rPr>
        <w:instrText xml:space="preserve"> PAGEREF _Toc117181389 \h </w:instrText>
      </w:r>
      <w:r>
        <w:rPr>
          <w:color w:val="auto"/>
        </w:rPr>
        <w:fldChar w:fldCharType="separate"/>
      </w:r>
      <w:r>
        <w:rPr>
          <w:color w:val="auto"/>
        </w:rPr>
        <w:t>302</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"_Toc117181390" </w:instrText>
      </w:r>
      <w:r>
        <w:rPr>
          <w:color w:val="auto"/>
        </w:rPr>
        <w:fldChar w:fldCharType="separate"/>
      </w:r>
      <w:r>
        <w:rPr>
          <w:rStyle w:val="21"/>
          <w:b/>
          <w:bCs/>
          <w:color w:val="auto"/>
        </w:rPr>
        <w:t>4.1 机械设备的相关要求</w:t>
      </w:r>
      <w:r>
        <w:rPr>
          <w:color w:val="auto"/>
        </w:rPr>
        <w:tab/>
      </w:r>
      <w:r>
        <w:rPr>
          <w:color w:val="auto"/>
        </w:rPr>
        <w:fldChar w:fldCharType="begin"/>
      </w:r>
      <w:r>
        <w:rPr>
          <w:color w:val="auto"/>
        </w:rPr>
        <w:instrText xml:space="preserve"> PAGEREF _Toc117181390 \h </w:instrText>
      </w:r>
      <w:r>
        <w:rPr>
          <w:color w:val="auto"/>
        </w:rPr>
        <w:fldChar w:fldCharType="separate"/>
      </w:r>
      <w:r>
        <w:rPr>
          <w:color w:val="auto"/>
        </w:rPr>
        <w:t>302</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"_Toc117181391" </w:instrText>
      </w:r>
      <w:r>
        <w:rPr>
          <w:color w:val="auto"/>
        </w:rPr>
        <w:fldChar w:fldCharType="separate"/>
      </w:r>
      <w:r>
        <w:rPr>
          <w:rStyle w:val="21"/>
          <w:rFonts w:cs="Calibri"/>
          <w:color w:val="auto"/>
        </w:rPr>
        <w:t>4.1.1</w:t>
      </w:r>
      <w:r>
        <w:rPr>
          <w:rStyle w:val="21"/>
          <w:color w:val="auto"/>
        </w:rPr>
        <w:t xml:space="preserve"> 主要设备材料表</w:t>
      </w:r>
      <w:r>
        <w:rPr>
          <w:color w:val="auto"/>
        </w:rPr>
        <w:tab/>
      </w:r>
      <w:r>
        <w:rPr>
          <w:color w:val="auto"/>
        </w:rPr>
        <w:fldChar w:fldCharType="begin"/>
      </w:r>
      <w:r>
        <w:rPr>
          <w:color w:val="auto"/>
        </w:rPr>
        <w:instrText xml:space="preserve"> PAGEREF _Toc117181391 \h </w:instrText>
      </w:r>
      <w:r>
        <w:rPr>
          <w:color w:val="auto"/>
        </w:rPr>
        <w:fldChar w:fldCharType="separate"/>
      </w:r>
      <w:r>
        <w:rPr>
          <w:color w:val="auto"/>
        </w:rPr>
        <w:t>302</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"_Toc117181392" </w:instrText>
      </w:r>
      <w:r>
        <w:rPr>
          <w:color w:val="auto"/>
        </w:rPr>
        <w:fldChar w:fldCharType="separate"/>
      </w:r>
      <w:r>
        <w:rPr>
          <w:rStyle w:val="21"/>
          <w:color w:val="auto"/>
        </w:rPr>
        <w:t>4.1.2 潜水污水泵</w:t>
      </w:r>
      <w:r>
        <w:rPr>
          <w:color w:val="auto"/>
        </w:rPr>
        <w:tab/>
      </w:r>
      <w:r>
        <w:rPr>
          <w:color w:val="auto"/>
        </w:rPr>
        <w:fldChar w:fldCharType="begin"/>
      </w:r>
      <w:r>
        <w:rPr>
          <w:color w:val="auto"/>
        </w:rPr>
        <w:instrText xml:space="preserve"> PAGEREF _Toc117181392 \h </w:instrText>
      </w:r>
      <w:r>
        <w:rPr>
          <w:color w:val="auto"/>
        </w:rPr>
        <w:fldChar w:fldCharType="separate"/>
      </w:r>
      <w:r>
        <w:rPr>
          <w:color w:val="auto"/>
        </w:rPr>
        <w:t>303</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"_Toc117181393" </w:instrText>
      </w:r>
      <w:r>
        <w:rPr>
          <w:color w:val="auto"/>
        </w:rPr>
        <w:fldChar w:fldCharType="separate"/>
      </w:r>
      <w:r>
        <w:rPr>
          <w:rStyle w:val="21"/>
          <w:color w:val="auto"/>
        </w:rPr>
        <w:t>4.1.3 格栅清污机</w:t>
      </w:r>
      <w:r>
        <w:rPr>
          <w:color w:val="auto"/>
        </w:rPr>
        <w:tab/>
      </w:r>
      <w:r>
        <w:rPr>
          <w:color w:val="auto"/>
        </w:rPr>
        <w:fldChar w:fldCharType="begin"/>
      </w:r>
      <w:r>
        <w:rPr>
          <w:color w:val="auto"/>
        </w:rPr>
        <w:instrText xml:space="preserve"> PAGEREF _Toc117181393 \h </w:instrText>
      </w:r>
      <w:r>
        <w:rPr>
          <w:color w:val="auto"/>
        </w:rPr>
        <w:fldChar w:fldCharType="separate"/>
      </w:r>
      <w:r>
        <w:rPr>
          <w:color w:val="auto"/>
        </w:rPr>
        <w:t>305</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"_Toc117181394" </w:instrText>
      </w:r>
      <w:r>
        <w:rPr>
          <w:color w:val="auto"/>
        </w:rPr>
        <w:fldChar w:fldCharType="separate"/>
      </w:r>
      <w:r>
        <w:rPr>
          <w:rStyle w:val="21"/>
          <w:color w:val="auto"/>
        </w:rPr>
        <w:t>4.1.4 闸门</w:t>
      </w:r>
      <w:r>
        <w:rPr>
          <w:color w:val="auto"/>
        </w:rPr>
        <w:tab/>
      </w:r>
      <w:r>
        <w:rPr>
          <w:color w:val="auto"/>
        </w:rPr>
        <w:fldChar w:fldCharType="begin"/>
      </w:r>
      <w:r>
        <w:rPr>
          <w:color w:val="auto"/>
        </w:rPr>
        <w:instrText xml:space="preserve"> PAGEREF _Toc117181394 \h </w:instrText>
      </w:r>
      <w:r>
        <w:rPr>
          <w:color w:val="auto"/>
        </w:rPr>
        <w:fldChar w:fldCharType="separate"/>
      </w:r>
      <w:r>
        <w:rPr>
          <w:color w:val="auto"/>
        </w:rPr>
        <w:t>308</w:t>
      </w:r>
      <w:r>
        <w:rPr>
          <w:color w:val="auto"/>
        </w:rPr>
        <w:fldChar w:fldCharType="end"/>
      </w:r>
      <w:r>
        <w:rPr>
          <w:color w:val="auto"/>
        </w:rPr>
        <w:fldChar w:fldCharType="end"/>
      </w:r>
    </w:p>
    <w:p>
      <w:pPr>
        <w:pStyle w:val="13"/>
        <w:tabs>
          <w:tab w:val="right" w:leader="dot" w:pos="8780"/>
        </w:tabs>
        <w:ind w:left="440"/>
        <w:rPr>
          <w:rFonts w:asciiTheme="minorHAnsi" w:hAnsiTheme="minorHAnsi"/>
          <w:color w:val="auto"/>
          <w:kern w:val="2"/>
          <w:sz w:val="21"/>
          <w:lang w:eastAsia="zh-CN"/>
        </w:rPr>
      </w:pPr>
      <w:r>
        <w:rPr>
          <w:color w:val="auto"/>
        </w:rPr>
        <w:fldChar w:fldCharType="begin"/>
      </w:r>
      <w:r>
        <w:rPr>
          <w:color w:val="auto"/>
        </w:rPr>
        <w:instrText xml:space="preserve"> HYPERLINK \l "_Toc117181395" </w:instrText>
      </w:r>
      <w:r>
        <w:rPr>
          <w:color w:val="auto"/>
        </w:rPr>
        <w:fldChar w:fldCharType="separate"/>
      </w:r>
      <w:r>
        <w:rPr>
          <w:rStyle w:val="21"/>
          <w:color w:val="auto"/>
        </w:rPr>
        <w:t>4.1.5 生物除臭系统</w:t>
      </w:r>
      <w:r>
        <w:rPr>
          <w:color w:val="auto"/>
        </w:rPr>
        <w:tab/>
      </w:r>
      <w:r>
        <w:rPr>
          <w:color w:val="auto"/>
        </w:rPr>
        <w:fldChar w:fldCharType="begin"/>
      </w:r>
      <w:r>
        <w:rPr>
          <w:color w:val="auto"/>
        </w:rPr>
        <w:instrText xml:space="preserve"> PAGEREF _Toc117181395 \h </w:instrText>
      </w:r>
      <w:r>
        <w:rPr>
          <w:color w:val="auto"/>
        </w:rPr>
        <w:fldChar w:fldCharType="separate"/>
      </w:r>
      <w:r>
        <w:rPr>
          <w:color w:val="auto"/>
        </w:rPr>
        <w:t>309</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"_Toc117181396" </w:instrText>
      </w:r>
      <w:r>
        <w:rPr>
          <w:color w:val="auto"/>
        </w:rPr>
        <w:fldChar w:fldCharType="separate"/>
      </w:r>
      <w:r>
        <w:rPr>
          <w:rStyle w:val="21"/>
          <w:b/>
          <w:bCs/>
          <w:color w:val="auto"/>
        </w:rPr>
        <w:t>4.2 泵站电气设备的相关要求</w:t>
      </w:r>
      <w:r>
        <w:rPr>
          <w:color w:val="auto"/>
        </w:rPr>
        <w:tab/>
      </w:r>
      <w:r>
        <w:rPr>
          <w:color w:val="auto"/>
        </w:rPr>
        <w:fldChar w:fldCharType="begin"/>
      </w:r>
      <w:r>
        <w:rPr>
          <w:color w:val="auto"/>
        </w:rPr>
        <w:instrText xml:space="preserve"> PAGEREF _Toc117181396 \h </w:instrText>
      </w:r>
      <w:r>
        <w:rPr>
          <w:color w:val="auto"/>
        </w:rPr>
        <w:fldChar w:fldCharType="separate"/>
      </w:r>
      <w:r>
        <w:rPr>
          <w:color w:val="auto"/>
        </w:rPr>
        <w:t>311</w:t>
      </w:r>
      <w:r>
        <w:rPr>
          <w:color w:val="auto"/>
        </w:rPr>
        <w:fldChar w:fldCharType="end"/>
      </w:r>
      <w:r>
        <w:rPr>
          <w:color w:val="auto"/>
        </w:rPr>
        <w:fldChar w:fldCharType="end"/>
      </w:r>
    </w:p>
    <w:p>
      <w:pPr>
        <w:pStyle w:val="17"/>
        <w:tabs>
          <w:tab w:val="right" w:leader="dot" w:pos="8780"/>
        </w:tabs>
        <w:ind w:left="220"/>
        <w:rPr>
          <w:rFonts w:asciiTheme="minorHAnsi" w:hAnsiTheme="minorHAnsi"/>
          <w:color w:val="auto"/>
          <w:kern w:val="2"/>
          <w:sz w:val="21"/>
          <w:lang w:eastAsia="zh-CN"/>
        </w:rPr>
      </w:pPr>
      <w:r>
        <w:rPr>
          <w:color w:val="auto"/>
        </w:rPr>
        <w:fldChar w:fldCharType="begin"/>
      </w:r>
      <w:r>
        <w:rPr>
          <w:color w:val="auto"/>
        </w:rPr>
        <w:instrText xml:space="preserve"> HYPERLINK \l "_Toc117181397" </w:instrText>
      </w:r>
      <w:r>
        <w:rPr>
          <w:color w:val="auto"/>
        </w:rPr>
        <w:fldChar w:fldCharType="separate"/>
      </w:r>
      <w:r>
        <w:rPr>
          <w:rStyle w:val="21"/>
          <w:b/>
          <w:bCs/>
          <w:color w:val="auto"/>
        </w:rPr>
        <w:t>4.3 仪表及自控设备的相关要求</w:t>
      </w:r>
      <w:r>
        <w:rPr>
          <w:color w:val="auto"/>
        </w:rPr>
        <w:tab/>
      </w:r>
      <w:r>
        <w:rPr>
          <w:color w:val="auto"/>
        </w:rPr>
        <w:fldChar w:fldCharType="begin"/>
      </w:r>
      <w:r>
        <w:rPr>
          <w:color w:val="auto"/>
        </w:rPr>
        <w:instrText xml:space="preserve"> PAGEREF _Toc117181397 \h </w:instrText>
      </w:r>
      <w:r>
        <w:rPr>
          <w:color w:val="auto"/>
        </w:rPr>
        <w:fldChar w:fldCharType="separate"/>
      </w:r>
      <w:r>
        <w:rPr>
          <w:color w:val="auto"/>
        </w:rPr>
        <w:t>312</w:t>
      </w:r>
      <w:r>
        <w:rPr>
          <w:color w:val="auto"/>
        </w:rPr>
        <w:fldChar w:fldCharType="end"/>
      </w:r>
      <w:r>
        <w:rPr>
          <w:color w:val="auto"/>
        </w:rPr>
        <w:fldChar w:fldCharType="end"/>
      </w:r>
    </w:p>
    <w:p>
      <w:pPr>
        <w:spacing w:line="357" w:lineRule="auto"/>
        <w:ind w:left="120" w:right="120"/>
        <w:jc w:val="both"/>
        <w:rPr>
          <w:rFonts w:ascii="宋体" w:hAnsi="宋体" w:eastAsia="宋体" w:cs="宋体"/>
          <w:b/>
          <w:bCs/>
          <w:color w:val="auto"/>
          <w:sz w:val="32"/>
          <w:szCs w:val="32"/>
          <w:lang w:eastAsia="zh-CN"/>
        </w:rPr>
      </w:pPr>
      <w:r>
        <w:rPr>
          <w:rFonts w:ascii="宋体" w:hAnsi="宋体" w:eastAsia="宋体" w:cs="宋体"/>
          <w:b/>
          <w:bCs/>
          <w:color w:val="auto"/>
          <w:sz w:val="32"/>
          <w:szCs w:val="32"/>
          <w:lang w:eastAsia="zh-CN"/>
        </w:rPr>
        <w:fldChar w:fldCharType="end"/>
      </w:r>
    </w:p>
    <w:p>
      <w:pPr>
        <w:spacing w:line="357" w:lineRule="auto"/>
        <w:ind w:left="120" w:right="120"/>
        <w:jc w:val="both"/>
        <w:rPr>
          <w:rFonts w:ascii="宋体" w:hAnsi="宋体" w:eastAsia="宋体" w:cs="宋体"/>
          <w:b/>
          <w:bCs/>
          <w:color w:val="auto"/>
          <w:sz w:val="32"/>
          <w:szCs w:val="32"/>
          <w:lang w:eastAsia="zh-CN"/>
        </w:rPr>
        <w:sectPr>
          <w:headerReference r:id="rId5" w:type="default"/>
          <w:footerReference r:id="rId6" w:type="default"/>
          <w:pgSz w:w="11910" w:h="16840"/>
          <w:pgMar w:top="1580" w:right="1560" w:bottom="280" w:left="1560" w:header="720" w:footer="720" w:gutter="0"/>
          <w:pgNumType w:fmt="upperRoman" w:start="1"/>
          <w:cols w:space="720" w:num="1"/>
        </w:sectPr>
      </w:pPr>
    </w:p>
    <w:p>
      <w:pPr>
        <w:pStyle w:val="32"/>
        <w:spacing w:before="120" w:after="120"/>
        <w:ind w:left="0"/>
        <w:rPr>
          <w:b/>
          <w:color w:val="auto"/>
        </w:rPr>
      </w:pPr>
      <w:bookmarkStart w:id="0" w:name="_Toc117181310"/>
      <w:r>
        <w:rPr>
          <w:b/>
          <w:color w:val="auto"/>
        </w:rPr>
        <w:t>通用性技术要求</w:t>
      </w:r>
      <w:bookmarkEnd w:id="0"/>
    </w:p>
    <w:p>
      <w:pPr>
        <w:pStyle w:val="28"/>
        <w:spacing w:before="120" w:after="120"/>
        <w:rPr>
          <w:b/>
          <w:color w:val="auto"/>
        </w:rPr>
      </w:pPr>
      <w:bookmarkStart w:id="1" w:name="_Toc117181311"/>
      <w:r>
        <w:rPr>
          <w:b/>
          <w:color w:val="auto"/>
        </w:rPr>
        <w:t>本工程概况</w:t>
      </w:r>
      <w:bookmarkEnd w:id="1"/>
    </w:p>
    <w:p>
      <w:pPr>
        <w:pStyle w:val="29"/>
        <w:ind w:firstLine="0" w:firstLineChars="0"/>
        <w:rPr>
          <w:color w:val="auto"/>
        </w:rPr>
      </w:pPr>
      <w:r>
        <w:rPr>
          <w:rFonts w:cs="宋体"/>
          <w:color w:val="auto"/>
        </w:rPr>
        <w:t>1</w:t>
      </w:r>
      <w:r>
        <w:rPr>
          <w:color w:val="auto"/>
        </w:rPr>
        <w:t>、新建</w:t>
      </w:r>
      <w:r>
        <w:rPr>
          <w:rFonts w:hint="eastAsia"/>
          <w:color w:val="auto"/>
        </w:rPr>
        <w:t>再生水厂</w:t>
      </w:r>
    </w:p>
    <w:p>
      <w:pPr>
        <w:pStyle w:val="29"/>
        <w:ind w:firstLine="472"/>
        <w:rPr>
          <w:color w:val="auto"/>
        </w:rPr>
      </w:pPr>
      <w:r>
        <w:rPr>
          <w:color w:val="auto"/>
        </w:rPr>
        <w:t>本工程于现状中新污水处理厂东侧规划用地红线内新建一座下沉式再生水厂，其中一期建设规模为土建10万m³/d，设备安装5万m³/d，采用全地下式布置形式，厂区地面新建综合楼及市政公园。</w:t>
      </w:r>
    </w:p>
    <w:p>
      <w:pPr>
        <w:pStyle w:val="29"/>
        <w:ind w:firstLine="0" w:firstLineChars="0"/>
        <w:rPr>
          <w:rFonts w:cs="宋体"/>
          <w:color w:val="auto"/>
        </w:rPr>
      </w:pPr>
      <w:r>
        <w:rPr>
          <w:rFonts w:cs="宋体"/>
          <w:color w:val="auto"/>
        </w:rPr>
        <w:t>2、</w:t>
      </w:r>
      <w:r>
        <w:rPr>
          <w:rFonts w:hint="eastAsia" w:cs="宋体"/>
          <w:color w:val="auto"/>
        </w:rPr>
        <w:t>配套管道建设</w:t>
      </w:r>
    </w:p>
    <w:p>
      <w:pPr>
        <w:pStyle w:val="29"/>
        <w:ind w:firstLine="472"/>
        <w:rPr>
          <w:color w:val="auto"/>
        </w:rPr>
      </w:pPr>
      <w:r>
        <w:rPr>
          <w:rFonts w:hint="eastAsia"/>
          <w:color w:val="auto"/>
        </w:rPr>
        <w:t>本工程</w:t>
      </w:r>
      <w:r>
        <w:rPr>
          <w:color w:val="auto"/>
        </w:rPr>
        <w:t>配套建设DN1000~DN1200污水压力管道3.9公里，DN1200~DN1500污水重力管道0.9公里，DN500~DN600再生水压力管道2.6公里。</w:t>
      </w:r>
    </w:p>
    <w:p>
      <w:pPr>
        <w:pStyle w:val="29"/>
        <w:ind w:firstLine="0" w:firstLineChars="0"/>
        <w:rPr>
          <w:rFonts w:cs="宋体"/>
          <w:color w:val="auto"/>
        </w:rPr>
      </w:pPr>
      <w:r>
        <w:rPr>
          <w:rFonts w:cs="宋体"/>
          <w:color w:val="auto"/>
        </w:rPr>
        <w:t>4、</w:t>
      </w:r>
      <w:r>
        <w:rPr>
          <w:rFonts w:hint="eastAsia" w:cs="宋体"/>
          <w:color w:val="auto"/>
        </w:rPr>
        <w:t>新建科教城</w:t>
      </w:r>
      <w:r>
        <w:rPr>
          <w:rFonts w:cs="宋体"/>
          <w:color w:val="auto"/>
        </w:rPr>
        <w:t>泵站</w:t>
      </w:r>
    </w:p>
    <w:p>
      <w:pPr>
        <w:pStyle w:val="29"/>
        <w:ind w:firstLine="474"/>
        <w:rPr>
          <w:color w:val="auto"/>
          <w:spacing w:val="-3"/>
        </w:rPr>
      </w:pPr>
      <w:r>
        <w:rPr>
          <w:rFonts w:hint="eastAsia"/>
          <w:color w:val="auto"/>
          <w:spacing w:val="-3"/>
        </w:rPr>
        <w:t>本工程于</w:t>
      </w:r>
      <w:r>
        <w:rPr>
          <w:color w:val="auto"/>
        </w:rPr>
        <w:t>文华路</w:t>
      </w:r>
      <w:r>
        <w:rPr>
          <w:rFonts w:hint="eastAsia"/>
          <w:color w:val="auto"/>
        </w:rPr>
        <w:t>新建1座科教城泵站，占地面积约</w:t>
      </w:r>
      <w:r>
        <w:rPr>
          <w:rFonts w:hint="eastAsia" w:cs="Times New Roman"/>
          <w:color w:val="auto"/>
        </w:rPr>
        <w:t>2673</w:t>
      </w:r>
      <w:r>
        <w:rPr>
          <w:rFonts w:cs="Times New Roman"/>
          <w:color w:val="auto"/>
        </w:rPr>
        <w:t>平方米</w:t>
      </w:r>
      <w:r>
        <w:rPr>
          <w:rFonts w:hint="eastAsia" w:cs="Times New Roman"/>
          <w:color w:val="auto"/>
        </w:rPr>
        <w:t>。泵站内主要构筑物包括泵房、变配电间、除臭间、值班室、道路、围墙等，泵房采用</w:t>
      </w:r>
      <w:r>
        <w:rPr>
          <w:color w:val="auto"/>
        </w:rPr>
        <w:t>全地下式布置形式</w:t>
      </w:r>
      <w:r>
        <w:rPr>
          <w:rFonts w:hint="eastAsia"/>
          <w:color w:val="auto"/>
        </w:rPr>
        <w:t>，服务范围为朱村街道、科教城。</w:t>
      </w:r>
      <w:r>
        <w:rPr>
          <w:color w:val="auto"/>
          <w:spacing w:val="-3"/>
        </w:rPr>
        <w:t>本次设计规模为</w:t>
      </w:r>
      <w:r>
        <w:rPr>
          <w:color w:val="auto"/>
        </w:rPr>
        <w:t>土建按</w:t>
      </w:r>
      <w:r>
        <w:rPr>
          <w:rFonts w:cs="宋体"/>
          <w:color w:val="auto"/>
        </w:rPr>
        <w:t>7.5</w:t>
      </w:r>
      <w:r>
        <w:rPr>
          <w:color w:val="auto"/>
        </w:rPr>
        <w:t>万</w:t>
      </w:r>
      <w:r>
        <w:rPr>
          <w:rFonts w:cs="宋体"/>
          <w:color w:val="auto"/>
        </w:rPr>
        <w:t>m³/d</w:t>
      </w:r>
      <w:r>
        <w:rPr>
          <w:color w:val="auto"/>
        </w:rPr>
        <w:t>设计并一次完成，设备安装按</w:t>
      </w:r>
      <w:r>
        <w:rPr>
          <w:rFonts w:cs="宋体"/>
          <w:color w:val="auto"/>
        </w:rPr>
        <w:t>4</w:t>
      </w:r>
      <w:r>
        <w:rPr>
          <w:color w:val="auto"/>
        </w:rPr>
        <w:t>万</w:t>
      </w:r>
      <w:r>
        <w:rPr>
          <w:rFonts w:cs="宋体"/>
          <w:color w:val="auto"/>
        </w:rPr>
        <w:t>m³/d</w:t>
      </w:r>
      <w:r>
        <w:rPr>
          <w:color w:val="auto"/>
        </w:rPr>
        <w:t>设计。</w:t>
      </w:r>
    </w:p>
    <w:p>
      <w:pPr>
        <w:pStyle w:val="28"/>
        <w:spacing w:before="120" w:after="120"/>
        <w:rPr>
          <w:b/>
          <w:color w:val="auto"/>
        </w:rPr>
      </w:pPr>
      <w:bookmarkStart w:id="2" w:name="_Toc117181312"/>
      <w:r>
        <w:rPr>
          <w:b/>
          <w:color w:val="auto"/>
        </w:rPr>
        <w:t>总体设计要求</w:t>
      </w:r>
      <w:bookmarkEnd w:id="2"/>
    </w:p>
    <w:p>
      <w:pPr>
        <w:pStyle w:val="29"/>
        <w:ind w:firstLine="472"/>
        <w:rPr>
          <w:color w:val="auto"/>
        </w:rPr>
      </w:pPr>
      <w:r>
        <w:rPr>
          <w:rFonts w:hint="eastAsia"/>
          <w:color w:val="auto"/>
        </w:rPr>
        <w:t>初步</w:t>
      </w:r>
      <w:r>
        <w:rPr>
          <w:color w:val="auto"/>
        </w:rPr>
        <w:t>设计文件</w:t>
      </w:r>
      <w:r>
        <w:rPr>
          <w:color w:val="auto"/>
          <w:spacing w:val="-3"/>
        </w:rPr>
        <w:t>的</w:t>
      </w:r>
      <w:r>
        <w:rPr>
          <w:color w:val="auto"/>
        </w:rPr>
        <w:t>推</w:t>
      </w:r>
      <w:r>
        <w:rPr>
          <w:color w:val="auto"/>
          <w:spacing w:val="-3"/>
        </w:rPr>
        <w:t>荐</w:t>
      </w:r>
      <w:r>
        <w:rPr>
          <w:color w:val="auto"/>
        </w:rPr>
        <w:t>方案</w:t>
      </w:r>
      <w:r>
        <w:rPr>
          <w:color w:val="auto"/>
          <w:spacing w:val="-3"/>
        </w:rPr>
        <w:t>已</w:t>
      </w:r>
      <w:r>
        <w:rPr>
          <w:color w:val="auto"/>
        </w:rPr>
        <w:t>经</w:t>
      </w:r>
      <w:r>
        <w:rPr>
          <w:color w:val="auto"/>
          <w:spacing w:val="-3"/>
        </w:rPr>
        <w:t>业</w:t>
      </w:r>
      <w:r>
        <w:rPr>
          <w:color w:val="auto"/>
        </w:rPr>
        <w:t>主</w:t>
      </w:r>
      <w:r>
        <w:rPr>
          <w:color w:val="auto"/>
          <w:spacing w:val="-3"/>
        </w:rPr>
        <w:t>认</w:t>
      </w:r>
      <w:r>
        <w:rPr>
          <w:color w:val="auto"/>
        </w:rPr>
        <w:t>可</w:t>
      </w:r>
      <w:r>
        <w:rPr>
          <w:color w:val="auto"/>
          <w:spacing w:val="-3"/>
        </w:rPr>
        <w:t>并</w:t>
      </w:r>
      <w:r>
        <w:rPr>
          <w:color w:val="auto"/>
        </w:rPr>
        <w:t>经</w:t>
      </w:r>
      <w:r>
        <w:rPr>
          <w:color w:val="auto"/>
          <w:spacing w:val="-3"/>
        </w:rPr>
        <w:t>主</w:t>
      </w:r>
      <w:r>
        <w:rPr>
          <w:color w:val="auto"/>
        </w:rPr>
        <w:t>管部</w:t>
      </w:r>
      <w:r>
        <w:rPr>
          <w:color w:val="auto"/>
          <w:spacing w:val="-3"/>
        </w:rPr>
        <w:t>门</w:t>
      </w:r>
      <w:r>
        <w:rPr>
          <w:color w:val="auto"/>
        </w:rPr>
        <w:t>批</w:t>
      </w:r>
      <w:r>
        <w:rPr>
          <w:color w:val="auto"/>
          <w:spacing w:val="-3"/>
        </w:rPr>
        <w:t>复</w:t>
      </w:r>
      <w:r>
        <w:rPr>
          <w:color w:val="auto"/>
          <w:spacing w:val="-97"/>
        </w:rPr>
        <w:t>。</w:t>
      </w:r>
      <w:r>
        <w:rPr>
          <w:color w:val="auto"/>
        </w:rPr>
        <w:t>本</w:t>
      </w:r>
      <w:r>
        <w:rPr>
          <w:color w:val="auto"/>
          <w:spacing w:val="-3"/>
        </w:rPr>
        <w:t>招</w:t>
      </w:r>
      <w:r>
        <w:rPr>
          <w:color w:val="auto"/>
        </w:rPr>
        <w:t>标</w:t>
      </w:r>
      <w:r>
        <w:rPr>
          <w:color w:val="auto"/>
          <w:spacing w:val="-3"/>
        </w:rPr>
        <w:t>技</w:t>
      </w:r>
      <w:r>
        <w:rPr>
          <w:color w:val="auto"/>
        </w:rPr>
        <w:t>术</w:t>
      </w:r>
      <w:r>
        <w:rPr>
          <w:color w:val="auto"/>
          <w:spacing w:val="-3"/>
        </w:rPr>
        <w:t>要</w:t>
      </w:r>
      <w:r>
        <w:rPr>
          <w:color w:val="auto"/>
        </w:rPr>
        <w:t>求是</w:t>
      </w:r>
      <w:r>
        <w:rPr>
          <w:color w:val="auto"/>
          <w:spacing w:val="-3"/>
        </w:rPr>
        <w:t>对</w:t>
      </w:r>
      <w:r>
        <w:rPr>
          <w:rFonts w:hint="eastAsia"/>
          <w:color w:val="auto"/>
        </w:rPr>
        <w:t>初步</w:t>
      </w:r>
      <w:r>
        <w:rPr>
          <w:color w:val="auto"/>
        </w:rPr>
        <w:t>设计文件的补充和修正，若与</w:t>
      </w:r>
      <w:r>
        <w:rPr>
          <w:rFonts w:hint="eastAsia"/>
          <w:color w:val="auto"/>
        </w:rPr>
        <w:t>初步</w:t>
      </w:r>
      <w:r>
        <w:rPr>
          <w:color w:val="auto"/>
        </w:rPr>
        <w:t>设计文件有所不同的，应以本招标技术要求为准。为便于运行管理，本项目的</w:t>
      </w:r>
      <w:r>
        <w:rPr>
          <w:rFonts w:hint="eastAsia"/>
          <w:color w:val="auto"/>
        </w:rPr>
        <w:t>初步</w:t>
      </w:r>
      <w:r>
        <w:rPr>
          <w:color w:val="auto"/>
        </w:rPr>
        <w:t>设计文件和招标技术要求等业主提供的设计文件应视作业主的</w:t>
      </w:r>
      <w:r>
        <w:rPr>
          <w:color w:val="auto"/>
          <w:spacing w:val="-7"/>
        </w:rPr>
        <w:t>基本要求和习惯做法，中标单位应尽可能满足，并进行复核、修正、优化设计。如有更合理、</w:t>
      </w:r>
      <w:r>
        <w:rPr>
          <w:color w:val="auto"/>
        </w:rPr>
        <w:t>更好的建议时，</w:t>
      </w:r>
      <w:r>
        <w:rPr>
          <w:rFonts w:hint="eastAsia"/>
          <w:color w:val="auto"/>
        </w:rPr>
        <w:t>中标单位</w:t>
      </w:r>
      <w:r>
        <w:rPr>
          <w:color w:val="auto"/>
        </w:rPr>
        <w:t>应进行详细的对比分析，经设计单位和业主同意后，方可更改。</w:t>
      </w:r>
    </w:p>
    <w:p>
      <w:pPr>
        <w:pStyle w:val="30"/>
        <w:spacing w:before="120" w:after="120"/>
        <w:rPr>
          <w:b w:val="0"/>
          <w:bCs/>
          <w:color w:val="auto"/>
        </w:rPr>
      </w:pPr>
      <w:bookmarkStart w:id="3" w:name="_Toc117181313"/>
      <w:r>
        <w:rPr>
          <w:color w:val="auto"/>
        </w:rPr>
        <w:t>依据及采用的主要规范及标准</w:t>
      </w:r>
      <w:bookmarkEnd w:id="3"/>
    </w:p>
    <w:p>
      <w:pPr>
        <w:pStyle w:val="31"/>
        <w:rPr>
          <w:color w:val="auto"/>
        </w:rPr>
      </w:pPr>
      <w:r>
        <w:rPr>
          <w:color w:val="auto"/>
        </w:rPr>
        <w:t>编制依据资料</w:t>
      </w:r>
    </w:p>
    <w:p>
      <w:pPr>
        <w:pStyle w:val="35"/>
        <w:ind w:firstLine="480"/>
        <w:rPr>
          <w:color w:val="auto"/>
        </w:rPr>
      </w:pPr>
      <w:r>
        <w:rPr>
          <w:color w:val="auto"/>
        </w:rPr>
        <w:t>《</w:t>
      </w:r>
      <w:r>
        <w:rPr>
          <w:rFonts w:hint="eastAsia"/>
          <w:color w:val="auto"/>
        </w:rPr>
        <w:t>增城国家级开发区中新园区基础设施配套中新下沉式再生水厂项目</w:t>
      </w:r>
      <w:r>
        <w:rPr>
          <w:color w:val="auto"/>
        </w:rPr>
        <w:t>可行性研究报告》</w:t>
      </w:r>
      <w:r>
        <w:rPr>
          <w:rFonts w:hint="eastAsia"/>
          <w:color w:val="auto"/>
        </w:rPr>
        <w:t>；</w:t>
      </w:r>
    </w:p>
    <w:p>
      <w:pPr>
        <w:pStyle w:val="35"/>
        <w:ind w:firstLine="480"/>
        <w:rPr>
          <w:color w:val="auto"/>
        </w:rPr>
      </w:pPr>
      <w:r>
        <w:rPr>
          <w:color w:val="auto"/>
        </w:rPr>
        <w:t>《</w:t>
      </w:r>
      <w:r>
        <w:rPr>
          <w:rFonts w:hint="eastAsia"/>
          <w:color w:val="auto"/>
        </w:rPr>
        <w:t>增城国家级开发区中新园区基础设施配套中新下沉式再生水厂项目</w:t>
      </w:r>
      <w:r>
        <w:rPr>
          <w:color w:val="auto"/>
        </w:rPr>
        <w:t>申请报告》</w:t>
      </w:r>
      <w:r>
        <w:rPr>
          <w:rFonts w:hint="eastAsia"/>
          <w:color w:val="auto"/>
        </w:rPr>
        <w:t>；</w:t>
      </w:r>
    </w:p>
    <w:p>
      <w:pPr>
        <w:pStyle w:val="35"/>
        <w:ind w:firstLine="480"/>
        <w:rPr>
          <w:color w:val="auto"/>
        </w:rPr>
      </w:pPr>
      <w:r>
        <w:rPr>
          <w:color w:val="auto"/>
        </w:rPr>
        <w:t>《</w:t>
      </w:r>
      <w:r>
        <w:rPr>
          <w:rFonts w:hint="eastAsia"/>
          <w:color w:val="auto"/>
        </w:rPr>
        <w:t>增城国家级开发区中新园区基础设施配套中新下沉式再生水厂项目初步设计</w:t>
      </w:r>
      <w:r>
        <w:rPr>
          <w:color w:val="auto"/>
        </w:rPr>
        <w:t>》</w:t>
      </w:r>
      <w:r>
        <w:rPr>
          <w:rFonts w:hint="eastAsia"/>
          <w:color w:val="auto"/>
        </w:rPr>
        <w:t>；</w:t>
      </w:r>
    </w:p>
    <w:p>
      <w:pPr>
        <w:pStyle w:val="35"/>
        <w:ind w:firstLine="480"/>
        <w:rPr>
          <w:color w:val="auto"/>
        </w:rPr>
      </w:pPr>
      <w:r>
        <w:rPr>
          <w:color w:val="auto"/>
        </w:rPr>
        <w:t>其他</w:t>
      </w:r>
      <w:r>
        <w:rPr>
          <w:color w:val="auto"/>
          <w:spacing w:val="-3"/>
        </w:rPr>
        <w:t>相</w:t>
      </w:r>
      <w:r>
        <w:rPr>
          <w:color w:val="auto"/>
        </w:rPr>
        <w:t>关</w:t>
      </w:r>
      <w:r>
        <w:rPr>
          <w:color w:val="auto"/>
          <w:spacing w:val="-3"/>
        </w:rPr>
        <w:t>文</w:t>
      </w:r>
      <w:r>
        <w:rPr>
          <w:color w:val="auto"/>
        </w:rPr>
        <w:t>件</w:t>
      </w:r>
      <w:r>
        <w:rPr>
          <w:color w:val="auto"/>
          <w:spacing w:val="-3"/>
        </w:rPr>
        <w:t>和</w:t>
      </w:r>
      <w:r>
        <w:rPr>
          <w:color w:val="auto"/>
        </w:rPr>
        <w:t>资</w:t>
      </w:r>
      <w:r>
        <w:rPr>
          <w:color w:val="auto"/>
          <w:spacing w:val="-3"/>
        </w:rPr>
        <w:t>料</w:t>
      </w:r>
      <w:r>
        <w:rPr>
          <w:color w:val="auto"/>
        </w:rPr>
        <w:t>（</w:t>
      </w:r>
      <w:r>
        <w:rPr>
          <w:color w:val="auto"/>
          <w:spacing w:val="-3"/>
        </w:rPr>
        <w:t>环</w:t>
      </w:r>
      <w:r>
        <w:rPr>
          <w:color w:val="auto"/>
        </w:rPr>
        <w:t>评、</w:t>
      </w:r>
      <w:r>
        <w:rPr>
          <w:color w:val="auto"/>
          <w:spacing w:val="-3"/>
        </w:rPr>
        <w:t>节</w:t>
      </w:r>
      <w:r>
        <w:rPr>
          <w:color w:val="auto"/>
        </w:rPr>
        <w:t>能</w:t>
      </w:r>
      <w:r>
        <w:rPr>
          <w:color w:val="auto"/>
          <w:spacing w:val="-3"/>
        </w:rPr>
        <w:t>评</w:t>
      </w:r>
      <w:r>
        <w:rPr>
          <w:color w:val="auto"/>
        </w:rPr>
        <w:t>估</w:t>
      </w:r>
      <w:r>
        <w:rPr>
          <w:color w:val="auto"/>
          <w:spacing w:val="-3"/>
        </w:rPr>
        <w:t>、</w:t>
      </w:r>
      <w:r>
        <w:rPr>
          <w:color w:val="auto"/>
        </w:rPr>
        <w:t>水</w:t>
      </w:r>
      <w:r>
        <w:rPr>
          <w:color w:val="auto"/>
          <w:spacing w:val="-3"/>
        </w:rPr>
        <w:t>保</w:t>
      </w:r>
      <w:r>
        <w:rPr>
          <w:color w:val="auto"/>
        </w:rPr>
        <w:t>、</w:t>
      </w:r>
      <w:r>
        <w:rPr>
          <w:color w:val="auto"/>
          <w:spacing w:val="-3"/>
        </w:rPr>
        <w:t>地</w:t>
      </w:r>
      <w:r>
        <w:rPr>
          <w:color w:val="auto"/>
        </w:rPr>
        <w:t>灾等</w:t>
      </w:r>
      <w:r>
        <w:rPr>
          <w:color w:val="auto"/>
          <w:spacing w:val="-108"/>
        </w:rPr>
        <w:t>）</w:t>
      </w:r>
      <w:r>
        <w:rPr>
          <w:color w:val="auto"/>
        </w:rPr>
        <w:t>。</w:t>
      </w:r>
    </w:p>
    <w:p>
      <w:pPr>
        <w:pStyle w:val="31"/>
        <w:rPr>
          <w:color w:val="auto"/>
        </w:rPr>
      </w:pPr>
      <w:r>
        <w:rPr>
          <w:color w:val="auto"/>
        </w:rPr>
        <w:t>采用的规范及标准</w:t>
      </w:r>
    </w:p>
    <w:p>
      <w:pPr>
        <w:pStyle w:val="35"/>
        <w:ind w:firstLine="480"/>
        <w:rPr>
          <w:color w:val="auto"/>
        </w:rPr>
      </w:pPr>
      <w:r>
        <w:rPr>
          <w:color w:val="auto"/>
        </w:rPr>
        <w:t>应执行国家、广东省、广州市现行的有关设计规范、标准、规程等。</w:t>
      </w:r>
    </w:p>
    <w:p>
      <w:pPr>
        <w:pStyle w:val="35"/>
        <w:ind w:firstLine="480"/>
        <w:rPr>
          <w:color w:val="auto"/>
        </w:rPr>
      </w:pPr>
      <w:r>
        <w:rPr>
          <w:color w:val="auto"/>
        </w:rPr>
        <w:t>除非另有规定</w:t>
      </w:r>
      <w:r>
        <w:rPr>
          <w:rFonts w:ascii="Calibri" w:hAnsi="Calibri" w:eastAsia="Calibri" w:cs="Calibri"/>
          <w:color w:val="auto"/>
        </w:rPr>
        <w:t>,</w:t>
      </w:r>
      <w:r>
        <w:rPr>
          <w:color w:val="auto"/>
        </w:rPr>
        <w:t>所有采用的规范和标准应是投标截至日</w:t>
      </w:r>
      <w:r>
        <w:rPr>
          <w:rFonts w:ascii="Calibri" w:hAnsi="Calibri" w:eastAsia="Calibri" w:cs="Calibri"/>
          <w:color w:val="auto"/>
        </w:rPr>
        <w:t>28</w:t>
      </w:r>
      <w:r>
        <w:rPr>
          <w:color w:val="auto"/>
        </w:rPr>
        <w:t>天前生效的版本。</w:t>
      </w:r>
    </w:p>
    <w:p>
      <w:pPr>
        <w:pStyle w:val="35"/>
        <w:ind w:firstLine="476"/>
        <w:rPr>
          <w:color w:val="auto"/>
        </w:rPr>
      </w:pPr>
      <w:r>
        <w:rPr>
          <w:color w:val="auto"/>
          <w:spacing w:val="-2"/>
        </w:rPr>
        <w:t>电气和供电系统应除符合国家、广东省、广州市现行的有关设计规范、标准、规程</w:t>
      </w:r>
      <w:r>
        <w:rPr>
          <w:color w:val="auto"/>
        </w:rPr>
        <w:t>外，还应符合南方电网的要求和规定。</w:t>
      </w:r>
    </w:p>
    <w:p>
      <w:pPr>
        <w:pStyle w:val="31"/>
        <w:rPr>
          <w:color w:val="auto"/>
        </w:rPr>
      </w:pPr>
      <w:r>
        <w:rPr>
          <w:color w:val="auto"/>
        </w:rPr>
        <w:t>编制原则及要求</w:t>
      </w:r>
    </w:p>
    <w:p>
      <w:pPr>
        <w:pStyle w:val="35"/>
        <w:ind w:firstLine="480"/>
        <w:rPr>
          <w:color w:val="auto"/>
        </w:rPr>
      </w:pPr>
      <w:r>
        <w:rPr>
          <w:color w:val="auto"/>
        </w:rPr>
        <w:t>总体布局要求满足政府有关部门对该项目环评、节能评估、水土保持、地质灾害等建设要求，并充分考虑近远期结合。</w:t>
      </w:r>
    </w:p>
    <w:p>
      <w:pPr>
        <w:pStyle w:val="35"/>
        <w:ind w:firstLine="480"/>
        <w:rPr>
          <w:color w:val="auto"/>
        </w:rPr>
      </w:pPr>
      <w:r>
        <w:rPr>
          <w:color w:val="auto"/>
        </w:rPr>
        <w:t>根据处理对象的水质水量状况，采用先进、成熟的水处理工艺，提高污水处理可靠性。处理系统运行有一定的灵活性和调节余地，以适应水质水量的变化。</w:t>
      </w:r>
    </w:p>
    <w:p>
      <w:pPr>
        <w:pStyle w:val="35"/>
        <w:ind w:firstLine="480"/>
        <w:rPr>
          <w:color w:val="auto"/>
        </w:rPr>
      </w:pPr>
      <w:r>
        <w:rPr>
          <w:color w:val="auto"/>
        </w:rPr>
        <w:t>合理布置处理构筑物及水力流程，减少工程投资，节约能源，方便运行管理。</w:t>
      </w:r>
    </w:p>
    <w:p>
      <w:pPr>
        <w:pStyle w:val="35"/>
        <w:ind w:firstLine="480"/>
        <w:rPr>
          <w:color w:val="auto"/>
        </w:rPr>
      </w:pPr>
      <w:r>
        <w:rPr>
          <w:color w:val="auto"/>
        </w:rPr>
        <w:t>采用行之有效的新工艺、新材料、新设备，力争降低工程造价，节省工程投资，节能降耗。</w:t>
      </w:r>
    </w:p>
    <w:p>
      <w:pPr>
        <w:pStyle w:val="35"/>
        <w:ind w:firstLine="472"/>
        <w:rPr>
          <w:color w:val="auto"/>
        </w:rPr>
      </w:pPr>
      <w:r>
        <w:rPr>
          <w:color w:val="auto"/>
          <w:spacing w:val="-4"/>
        </w:rPr>
        <w:t>设备选型做到运行安全可靠、先进、耐用、方便管理和维护，耗能设备还要求高效、节能，污水提升泵等重要运行设备应有足够备用率，且设备运行需符合环保部门对噪音等的</w:t>
      </w:r>
      <w:r>
        <w:rPr>
          <w:color w:val="auto"/>
        </w:rPr>
        <w:t>要求。</w:t>
      </w:r>
    </w:p>
    <w:p>
      <w:pPr>
        <w:pStyle w:val="35"/>
        <w:ind w:firstLine="480"/>
        <w:rPr>
          <w:color w:val="auto"/>
        </w:rPr>
      </w:pPr>
      <w:r>
        <w:rPr>
          <w:color w:val="auto"/>
        </w:rPr>
        <w:t>采用完整的、成熟的自动化控制和监测系统，自控系统采用“集中监控、管理，分</w:t>
      </w:r>
      <w:r>
        <w:rPr>
          <w:color w:val="auto"/>
          <w:spacing w:val="-4"/>
        </w:rPr>
        <w:t>散控制”的集散型系统，设置与工艺相适应的在线检测仪表，并设置视频监控系统和安全防</w:t>
      </w:r>
      <w:r>
        <w:rPr>
          <w:color w:val="auto"/>
        </w:rPr>
        <w:t>范系统。</w:t>
      </w:r>
    </w:p>
    <w:p>
      <w:pPr>
        <w:pStyle w:val="35"/>
        <w:ind w:firstLine="480"/>
        <w:rPr>
          <w:color w:val="auto"/>
        </w:rPr>
      </w:pPr>
      <w:r>
        <w:rPr>
          <w:color w:val="auto"/>
        </w:rPr>
        <w:t>工程设计应满足相关环保、节能节水、水土保持、消防、劳动安全保护等政府相关部门的要求。</w:t>
      </w:r>
    </w:p>
    <w:p>
      <w:pPr>
        <w:pStyle w:val="30"/>
        <w:spacing w:before="120" w:after="120"/>
        <w:rPr>
          <w:b w:val="0"/>
          <w:bCs/>
          <w:color w:val="auto"/>
        </w:rPr>
      </w:pPr>
      <w:bookmarkStart w:id="4" w:name="_Toc117181314"/>
      <w:r>
        <w:rPr>
          <w:color w:val="auto"/>
        </w:rPr>
        <w:t>工程目标</w:t>
      </w:r>
      <w:bookmarkEnd w:id="4"/>
    </w:p>
    <w:p>
      <w:pPr>
        <w:pStyle w:val="29"/>
        <w:ind w:firstLine="472"/>
        <w:rPr>
          <w:color w:val="auto"/>
          <w:spacing w:val="-1"/>
        </w:rPr>
      </w:pPr>
      <w:r>
        <w:rPr>
          <w:color w:val="auto"/>
        </w:rPr>
        <w:t>（一）污水处理水质目标根据工程可研报告（具体处理指标以环评批复结果为准），污水处理厂设计进出水水质</w:t>
      </w:r>
      <w:r>
        <w:rPr>
          <w:color w:val="auto"/>
          <w:spacing w:val="-1"/>
        </w:rPr>
        <w:t>指标如下：</w:t>
      </w:r>
    </w:p>
    <w:p>
      <w:pPr>
        <w:pStyle w:val="33"/>
        <w:rPr>
          <w:color w:val="auto"/>
        </w:rPr>
      </w:pPr>
      <w:r>
        <w:rPr>
          <w:color w:val="auto"/>
        </w:rPr>
        <w:t>设计进水水质（单位：</w:t>
      </w:r>
      <w:r>
        <w:rPr>
          <w:rFonts w:ascii="Calibri" w:hAnsi="Calibri" w:eastAsia="Calibri" w:cs="Calibri"/>
          <w:color w:val="auto"/>
        </w:rPr>
        <w:t>mg/L</w:t>
      </w:r>
      <w:r>
        <w:rPr>
          <w:color w:val="auto"/>
        </w:rPr>
        <w:t>）</w:t>
      </w:r>
    </w:p>
    <w:p>
      <w:pPr>
        <w:spacing w:before="3"/>
        <w:rPr>
          <w:rFonts w:ascii="宋体" w:hAnsi="宋体" w:eastAsia="宋体" w:cs="宋体"/>
          <w:color w:val="auto"/>
          <w:sz w:val="7"/>
          <w:szCs w:val="7"/>
          <w:lang w:eastAsia="zh-CN"/>
        </w:rPr>
      </w:pPr>
    </w:p>
    <w:tbl>
      <w:tblPr>
        <w:tblStyle w:val="23"/>
        <w:tblW w:w="9006"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52"/>
        <w:gridCol w:w="1218"/>
        <w:gridCol w:w="1218"/>
        <w:gridCol w:w="1027"/>
        <w:gridCol w:w="1218"/>
        <w:gridCol w:w="1218"/>
        <w:gridCol w:w="11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1952" w:type="dxa"/>
            <w:vAlign w:val="center"/>
          </w:tcPr>
          <w:p>
            <w:pPr>
              <w:pStyle w:val="38"/>
              <w:adjustRightInd w:val="0"/>
              <w:snapToGrid w:val="0"/>
              <w:spacing w:before="60" w:beforeLines="25" w:line="300" w:lineRule="auto"/>
              <w:rPr>
                <w:b/>
                <w:bCs/>
                <w:color w:val="auto"/>
                <w:sz w:val="21"/>
                <w:szCs w:val="21"/>
              </w:rPr>
            </w:pPr>
            <w:r>
              <w:rPr>
                <w:b/>
                <w:bCs/>
                <w:color w:val="auto"/>
                <w:sz w:val="21"/>
                <w:szCs w:val="21"/>
              </w:rPr>
              <w:t>污染物指标</w:t>
            </w:r>
          </w:p>
        </w:tc>
        <w:tc>
          <w:tcPr>
            <w:tcW w:w="1218" w:type="dxa"/>
            <w:vAlign w:val="center"/>
          </w:tcPr>
          <w:p>
            <w:pPr>
              <w:pStyle w:val="38"/>
              <w:adjustRightInd w:val="0"/>
              <w:snapToGrid w:val="0"/>
              <w:spacing w:before="60" w:beforeLines="25" w:line="300" w:lineRule="auto"/>
              <w:rPr>
                <w:b/>
                <w:bCs/>
                <w:color w:val="auto"/>
                <w:sz w:val="21"/>
                <w:szCs w:val="21"/>
              </w:rPr>
            </w:pPr>
            <w:r>
              <w:rPr>
                <w:b/>
                <w:bCs/>
                <w:color w:val="auto"/>
                <w:sz w:val="21"/>
                <w:szCs w:val="21"/>
              </w:rPr>
              <w:t>BOD</w:t>
            </w:r>
            <w:r>
              <w:rPr>
                <w:b/>
                <w:bCs/>
                <w:color w:val="auto"/>
                <w:sz w:val="21"/>
                <w:szCs w:val="21"/>
                <w:vertAlign w:val="subscript"/>
              </w:rPr>
              <w:t>5</w:t>
            </w:r>
          </w:p>
        </w:tc>
        <w:tc>
          <w:tcPr>
            <w:tcW w:w="1218" w:type="dxa"/>
            <w:vAlign w:val="center"/>
          </w:tcPr>
          <w:p>
            <w:pPr>
              <w:pStyle w:val="38"/>
              <w:adjustRightInd w:val="0"/>
              <w:snapToGrid w:val="0"/>
              <w:spacing w:before="60" w:beforeLines="25" w:line="300" w:lineRule="auto"/>
              <w:rPr>
                <w:b/>
                <w:bCs/>
                <w:color w:val="auto"/>
                <w:sz w:val="21"/>
                <w:szCs w:val="21"/>
              </w:rPr>
            </w:pPr>
            <w:r>
              <w:rPr>
                <w:b/>
                <w:bCs/>
                <w:color w:val="auto"/>
                <w:sz w:val="21"/>
                <w:szCs w:val="21"/>
              </w:rPr>
              <w:t>COD</w:t>
            </w:r>
            <w:r>
              <w:rPr>
                <w:b/>
                <w:bCs/>
                <w:color w:val="auto"/>
                <w:sz w:val="21"/>
                <w:szCs w:val="21"/>
                <w:vertAlign w:val="subscript"/>
              </w:rPr>
              <w:t>Cr</w:t>
            </w:r>
          </w:p>
        </w:tc>
        <w:tc>
          <w:tcPr>
            <w:tcW w:w="1027" w:type="dxa"/>
            <w:vAlign w:val="center"/>
          </w:tcPr>
          <w:p>
            <w:pPr>
              <w:pStyle w:val="38"/>
              <w:adjustRightInd w:val="0"/>
              <w:snapToGrid w:val="0"/>
              <w:spacing w:before="60" w:beforeLines="25" w:line="300" w:lineRule="auto"/>
              <w:rPr>
                <w:b/>
                <w:bCs/>
                <w:color w:val="auto"/>
                <w:sz w:val="21"/>
                <w:szCs w:val="21"/>
              </w:rPr>
            </w:pPr>
            <w:r>
              <w:rPr>
                <w:b/>
                <w:bCs/>
                <w:color w:val="auto"/>
                <w:sz w:val="21"/>
                <w:szCs w:val="21"/>
              </w:rPr>
              <w:t>SS</w:t>
            </w:r>
          </w:p>
        </w:tc>
        <w:tc>
          <w:tcPr>
            <w:tcW w:w="1218" w:type="dxa"/>
            <w:vAlign w:val="center"/>
          </w:tcPr>
          <w:p>
            <w:pPr>
              <w:pStyle w:val="38"/>
              <w:adjustRightInd w:val="0"/>
              <w:snapToGrid w:val="0"/>
              <w:spacing w:before="60" w:beforeLines="25" w:line="300" w:lineRule="auto"/>
              <w:rPr>
                <w:b/>
                <w:bCs/>
                <w:color w:val="auto"/>
                <w:sz w:val="21"/>
                <w:szCs w:val="21"/>
              </w:rPr>
            </w:pPr>
            <w:r>
              <w:rPr>
                <w:b/>
                <w:bCs/>
                <w:color w:val="auto"/>
                <w:sz w:val="21"/>
                <w:szCs w:val="21"/>
              </w:rPr>
              <w:t>TN</w:t>
            </w:r>
          </w:p>
        </w:tc>
        <w:tc>
          <w:tcPr>
            <w:tcW w:w="1218" w:type="dxa"/>
            <w:vAlign w:val="center"/>
          </w:tcPr>
          <w:p>
            <w:pPr>
              <w:pStyle w:val="38"/>
              <w:adjustRightInd w:val="0"/>
              <w:snapToGrid w:val="0"/>
              <w:spacing w:before="60" w:beforeLines="25" w:line="300" w:lineRule="auto"/>
              <w:rPr>
                <w:b/>
                <w:bCs/>
                <w:color w:val="auto"/>
                <w:sz w:val="21"/>
                <w:szCs w:val="21"/>
              </w:rPr>
            </w:pPr>
            <w:r>
              <w:rPr>
                <w:b/>
                <w:bCs/>
                <w:color w:val="auto"/>
                <w:sz w:val="21"/>
                <w:szCs w:val="21"/>
              </w:rPr>
              <w:t>NH</w:t>
            </w:r>
            <w:r>
              <w:rPr>
                <w:b/>
                <w:bCs/>
                <w:color w:val="auto"/>
                <w:sz w:val="21"/>
                <w:szCs w:val="21"/>
                <w:vertAlign w:val="subscript"/>
              </w:rPr>
              <w:t>4</w:t>
            </w:r>
            <w:r>
              <w:rPr>
                <w:b/>
                <w:bCs/>
                <w:color w:val="auto"/>
                <w:sz w:val="21"/>
                <w:szCs w:val="21"/>
                <w:vertAlign w:val="superscript"/>
              </w:rPr>
              <w:t>+</w:t>
            </w:r>
            <w:r>
              <w:rPr>
                <w:b/>
                <w:bCs/>
                <w:color w:val="auto"/>
                <w:sz w:val="21"/>
                <w:szCs w:val="21"/>
              </w:rPr>
              <w:sym w:font="Symbol" w:char="F02D"/>
            </w:r>
            <w:r>
              <w:rPr>
                <w:b/>
                <w:bCs/>
                <w:color w:val="auto"/>
                <w:sz w:val="21"/>
                <w:szCs w:val="21"/>
              </w:rPr>
              <w:t>N</w:t>
            </w:r>
          </w:p>
        </w:tc>
        <w:tc>
          <w:tcPr>
            <w:tcW w:w="1155" w:type="dxa"/>
            <w:vAlign w:val="center"/>
          </w:tcPr>
          <w:p>
            <w:pPr>
              <w:pStyle w:val="38"/>
              <w:adjustRightInd w:val="0"/>
              <w:snapToGrid w:val="0"/>
              <w:spacing w:before="60" w:beforeLines="25" w:line="300" w:lineRule="auto"/>
              <w:rPr>
                <w:b/>
                <w:bCs/>
                <w:color w:val="auto"/>
                <w:sz w:val="21"/>
                <w:szCs w:val="21"/>
              </w:rPr>
            </w:pPr>
            <w:r>
              <w:rPr>
                <w:b/>
                <w:bCs/>
                <w:color w:val="auto"/>
                <w:sz w:val="21"/>
                <w:szCs w:val="21"/>
              </w:rPr>
              <w:t>TP</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1952" w:type="dxa"/>
            <w:vAlign w:val="center"/>
          </w:tcPr>
          <w:p>
            <w:pPr>
              <w:pStyle w:val="38"/>
              <w:adjustRightInd w:val="0"/>
              <w:snapToGrid w:val="0"/>
              <w:spacing w:before="60" w:beforeLines="25" w:line="300" w:lineRule="auto"/>
              <w:rPr>
                <w:color w:val="auto"/>
                <w:sz w:val="21"/>
                <w:szCs w:val="21"/>
              </w:rPr>
            </w:pPr>
            <w:r>
              <w:rPr>
                <w:color w:val="auto"/>
                <w:sz w:val="21"/>
                <w:szCs w:val="21"/>
              </w:rPr>
              <w:t>进水（mg/L）</w:t>
            </w:r>
          </w:p>
        </w:tc>
        <w:tc>
          <w:tcPr>
            <w:tcW w:w="1218" w:type="dxa"/>
            <w:vAlign w:val="center"/>
          </w:tcPr>
          <w:p>
            <w:pPr>
              <w:pStyle w:val="38"/>
              <w:adjustRightInd w:val="0"/>
              <w:snapToGrid w:val="0"/>
              <w:spacing w:before="60" w:beforeLines="25" w:line="300" w:lineRule="auto"/>
              <w:rPr>
                <w:color w:val="auto"/>
                <w:sz w:val="21"/>
                <w:szCs w:val="21"/>
              </w:rPr>
            </w:pPr>
            <w:r>
              <w:rPr>
                <w:color w:val="auto"/>
                <w:sz w:val="21"/>
                <w:szCs w:val="21"/>
              </w:rPr>
              <w:t>140</w:t>
            </w:r>
          </w:p>
        </w:tc>
        <w:tc>
          <w:tcPr>
            <w:tcW w:w="1218" w:type="dxa"/>
            <w:vAlign w:val="center"/>
          </w:tcPr>
          <w:p>
            <w:pPr>
              <w:pStyle w:val="38"/>
              <w:adjustRightInd w:val="0"/>
              <w:snapToGrid w:val="0"/>
              <w:spacing w:before="60" w:beforeLines="25" w:line="300" w:lineRule="auto"/>
              <w:rPr>
                <w:color w:val="auto"/>
                <w:sz w:val="21"/>
                <w:szCs w:val="21"/>
              </w:rPr>
            </w:pPr>
            <w:r>
              <w:rPr>
                <w:color w:val="auto"/>
                <w:sz w:val="21"/>
                <w:szCs w:val="21"/>
              </w:rPr>
              <w:t>300</w:t>
            </w:r>
          </w:p>
        </w:tc>
        <w:tc>
          <w:tcPr>
            <w:tcW w:w="1027" w:type="dxa"/>
            <w:vAlign w:val="center"/>
          </w:tcPr>
          <w:p>
            <w:pPr>
              <w:pStyle w:val="38"/>
              <w:adjustRightInd w:val="0"/>
              <w:snapToGrid w:val="0"/>
              <w:spacing w:before="60" w:beforeLines="25" w:line="300" w:lineRule="auto"/>
              <w:rPr>
                <w:color w:val="auto"/>
                <w:sz w:val="21"/>
                <w:szCs w:val="21"/>
              </w:rPr>
            </w:pPr>
            <w:r>
              <w:rPr>
                <w:color w:val="auto"/>
                <w:sz w:val="21"/>
                <w:szCs w:val="21"/>
              </w:rPr>
              <w:t>200</w:t>
            </w:r>
          </w:p>
        </w:tc>
        <w:tc>
          <w:tcPr>
            <w:tcW w:w="1218" w:type="dxa"/>
            <w:vAlign w:val="center"/>
          </w:tcPr>
          <w:p>
            <w:pPr>
              <w:pStyle w:val="38"/>
              <w:adjustRightInd w:val="0"/>
              <w:snapToGrid w:val="0"/>
              <w:spacing w:before="60" w:beforeLines="25" w:line="300" w:lineRule="auto"/>
              <w:rPr>
                <w:color w:val="auto"/>
                <w:sz w:val="21"/>
                <w:szCs w:val="21"/>
              </w:rPr>
            </w:pPr>
            <w:r>
              <w:rPr>
                <w:color w:val="auto"/>
                <w:sz w:val="21"/>
                <w:szCs w:val="21"/>
              </w:rPr>
              <w:t>40</w:t>
            </w:r>
          </w:p>
        </w:tc>
        <w:tc>
          <w:tcPr>
            <w:tcW w:w="1218" w:type="dxa"/>
            <w:vAlign w:val="center"/>
          </w:tcPr>
          <w:p>
            <w:pPr>
              <w:pStyle w:val="38"/>
              <w:adjustRightInd w:val="0"/>
              <w:snapToGrid w:val="0"/>
              <w:spacing w:before="60" w:beforeLines="25" w:line="300" w:lineRule="auto"/>
              <w:rPr>
                <w:color w:val="auto"/>
                <w:sz w:val="21"/>
                <w:szCs w:val="21"/>
              </w:rPr>
            </w:pPr>
            <w:r>
              <w:rPr>
                <w:color w:val="auto"/>
                <w:sz w:val="21"/>
                <w:szCs w:val="21"/>
              </w:rPr>
              <w:t>35</w:t>
            </w:r>
          </w:p>
        </w:tc>
        <w:tc>
          <w:tcPr>
            <w:tcW w:w="1155" w:type="dxa"/>
            <w:vAlign w:val="center"/>
          </w:tcPr>
          <w:p>
            <w:pPr>
              <w:pStyle w:val="38"/>
              <w:adjustRightInd w:val="0"/>
              <w:snapToGrid w:val="0"/>
              <w:spacing w:before="60" w:beforeLines="25" w:line="300" w:lineRule="auto"/>
              <w:rPr>
                <w:color w:val="auto"/>
                <w:sz w:val="21"/>
                <w:szCs w:val="21"/>
              </w:rPr>
            </w:pPr>
            <w:r>
              <w:rPr>
                <w:color w:val="auto"/>
                <w:sz w:val="21"/>
                <w:szCs w:val="21"/>
              </w:rPr>
              <w:t>5</w:t>
            </w:r>
          </w:p>
        </w:tc>
      </w:tr>
    </w:tbl>
    <w:p>
      <w:pPr>
        <w:pStyle w:val="29"/>
        <w:ind w:firstLine="472"/>
        <w:rPr>
          <w:color w:val="auto"/>
        </w:rPr>
      </w:pPr>
      <w:bookmarkStart w:id="5" w:name="_Hlk55134969"/>
      <w:r>
        <w:rPr>
          <w:color w:val="auto"/>
        </w:rPr>
        <w:t>根据环评报告，中新下沉式再生水厂出水</w:t>
      </w:r>
      <w:r>
        <w:rPr>
          <w:rFonts w:hint="eastAsia"/>
          <w:color w:val="auto"/>
        </w:rPr>
        <w:t>执行</w:t>
      </w:r>
      <w:bookmarkEnd w:id="5"/>
      <w:r>
        <w:rPr>
          <w:color w:val="auto"/>
        </w:rPr>
        <w:t>广东省地方标准《水污染排放限值》（DB44/26-2001）第二时段一级标准和《城镇污水处理厂污染物排放标准》（</w:t>
      </w:r>
      <w:r>
        <w:rPr>
          <w:rFonts w:hint="eastAsia"/>
          <w:color w:val="auto"/>
        </w:rPr>
        <w:t>G</w:t>
      </w:r>
      <w:r>
        <w:rPr>
          <w:color w:val="auto"/>
        </w:rPr>
        <w:t>B18918-2002）一级A标准</w:t>
      </w:r>
      <w:r>
        <w:rPr>
          <w:rFonts w:hint="eastAsia"/>
          <w:color w:val="auto"/>
        </w:rPr>
        <w:t>较严值</w:t>
      </w:r>
      <w:r>
        <w:rPr>
          <w:color w:val="auto"/>
        </w:rPr>
        <w:t>。</w:t>
      </w:r>
      <w:r>
        <w:rPr>
          <w:rFonts w:hint="eastAsia"/>
          <w:color w:val="auto"/>
        </w:rPr>
        <w:t>设计目标水质为准IV类水标准。</w:t>
      </w:r>
      <w:r>
        <w:rPr>
          <w:color w:val="auto"/>
        </w:rPr>
        <w:t>出</w:t>
      </w:r>
      <w:r>
        <w:rPr>
          <w:color w:val="auto"/>
          <w:spacing w:val="-1"/>
        </w:rPr>
        <w:t>水指标如下：</w:t>
      </w:r>
    </w:p>
    <w:p>
      <w:pPr>
        <w:pStyle w:val="33"/>
        <w:rPr>
          <w:color w:val="auto"/>
        </w:rPr>
      </w:pPr>
      <w:r>
        <w:rPr>
          <w:color w:val="auto"/>
        </w:rPr>
        <w:t>设计出水水质（单位：</w:t>
      </w:r>
      <w:r>
        <w:rPr>
          <w:rFonts w:ascii="Calibri" w:hAnsi="Calibri" w:eastAsia="Calibri" w:cs="Calibri"/>
          <w:color w:val="auto"/>
        </w:rPr>
        <w:t>mg/L</w:t>
      </w:r>
      <w:r>
        <w:rPr>
          <w:color w:val="auto"/>
        </w:rPr>
        <w:t>）</w:t>
      </w:r>
    </w:p>
    <w:tbl>
      <w:tblPr>
        <w:tblStyle w:val="23"/>
        <w:tblW w:w="9006"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52"/>
        <w:gridCol w:w="1218"/>
        <w:gridCol w:w="1218"/>
        <w:gridCol w:w="1027"/>
        <w:gridCol w:w="1218"/>
        <w:gridCol w:w="1218"/>
        <w:gridCol w:w="11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1952" w:type="dxa"/>
            <w:vAlign w:val="center"/>
          </w:tcPr>
          <w:p>
            <w:pPr>
              <w:pStyle w:val="38"/>
              <w:adjustRightInd w:val="0"/>
              <w:spacing w:before="60" w:beforeLines="25" w:line="300" w:lineRule="auto"/>
              <w:rPr>
                <w:b/>
                <w:bCs/>
                <w:color w:val="auto"/>
                <w:sz w:val="21"/>
                <w:szCs w:val="21"/>
              </w:rPr>
            </w:pPr>
            <w:r>
              <w:rPr>
                <w:b/>
                <w:bCs/>
                <w:color w:val="auto"/>
                <w:sz w:val="21"/>
                <w:szCs w:val="21"/>
              </w:rPr>
              <w:t>污染物指标</w:t>
            </w:r>
          </w:p>
        </w:tc>
        <w:tc>
          <w:tcPr>
            <w:tcW w:w="1218" w:type="dxa"/>
            <w:vAlign w:val="center"/>
          </w:tcPr>
          <w:p>
            <w:pPr>
              <w:pStyle w:val="38"/>
              <w:adjustRightInd w:val="0"/>
              <w:spacing w:before="60" w:beforeLines="25" w:line="300" w:lineRule="auto"/>
              <w:rPr>
                <w:b/>
                <w:bCs/>
                <w:color w:val="auto"/>
                <w:sz w:val="21"/>
                <w:szCs w:val="21"/>
              </w:rPr>
            </w:pPr>
            <w:r>
              <w:rPr>
                <w:b/>
                <w:bCs/>
                <w:color w:val="auto"/>
                <w:sz w:val="21"/>
                <w:szCs w:val="21"/>
              </w:rPr>
              <w:t>BOD</w:t>
            </w:r>
            <w:r>
              <w:rPr>
                <w:b/>
                <w:bCs/>
                <w:color w:val="auto"/>
                <w:sz w:val="21"/>
                <w:szCs w:val="21"/>
                <w:vertAlign w:val="subscript"/>
              </w:rPr>
              <w:t>5</w:t>
            </w:r>
          </w:p>
        </w:tc>
        <w:tc>
          <w:tcPr>
            <w:tcW w:w="1218" w:type="dxa"/>
            <w:vAlign w:val="center"/>
          </w:tcPr>
          <w:p>
            <w:pPr>
              <w:pStyle w:val="38"/>
              <w:adjustRightInd w:val="0"/>
              <w:spacing w:before="60" w:beforeLines="25" w:line="300" w:lineRule="auto"/>
              <w:rPr>
                <w:b/>
                <w:bCs/>
                <w:color w:val="auto"/>
                <w:sz w:val="21"/>
                <w:szCs w:val="21"/>
              </w:rPr>
            </w:pPr>
            <w:r>
              <w:rPr>
                <w:b/>
                <w:bCs/>
                <w:color w:val="auto"/>
                <w:sz w:val="21"/>
                <w:szCs w:val="21"/>
              </w:rPr>
              <w:t>COD</w:t>
            </w:r>
            <w:r>
              <w:rPr>
                <w:b/>
                <w:bCs/>
                <w:color w:val="auto"/>
                <w:sz w:val="21"/>
                <w:szCs w:val="21"/>
                <w:vertAlign w:val="subscript"/>
              </w:rPr>
              <w:t>Cr</w:t>
            </w:r>
          </w:p>
        </w:tc>
        <w:tc>
          <w:tcPr>
            <w:tcW w:w="1027" w:type="dxa"/>
            <w:vAlign w:val="center"/>
          </w:tcPr>
          <w:p>
            <w:pPr>
              <w:pStyle w:val="38"/>
              <w:adjustRightInd w:val="0"/>
              <w:spacing w:before="60" w:beforeLines="25" w:line="300" w:lineRule="auto"/>
              <w:rPr>
                <w:b/>
                <w:bCs/>
                <w:color w:val="auto"/>
                <w:sz w:val="21"/>
                <w:szCs w:val="21"/>
              </w:rPr>
            </w:pPr>
            <w:r>
              <w:rPr>
                <w:b/>
                <w:bCs/>
                <w:color w:val="auto"/>
                <w:sz w:val="21"/>
                <w:szCs w:val="21"/>
              </w:rPr>
              <w:t>SS</w:t>
            </w:r>
          </w:p>
        </w:tc>
        <w:tc>
          <w:tcPr>
            <w:tcW w:w="1218" w:type="dxa"/>
            <w:vAlign w:val="center"/>
          </w:tcPr>
          <w:p>
            <w:pPr>
              <w:pStyle w:val="38"/>
              <w:adjustRightInd w:val="0"/>
              <w:spacing w:before="60" w:beforeLines="25" w:line="300" w:lineRule="auto"/>
              <w:rPr>
                <w:b/>
                <w:bCs/>
                <w:color w:val="auto"/>
                <w:sz w:val="21"/>
                <w:szCs w:val="21"/>
              </w:rPr>
            </w:pPr>
            <w:r>
              <w:rPr>
                <w:b/>
                <w:bCs/>
                <w:color w:val="auto"/>
                <w:sz w:val="21"/>
                <w:szCs w:val="21"/>
              </w:rPr>
              <w:t>TN</w:t>
            </w:r>
          </w:p>
        </w:tc>
        <w:tc>
          <w:tcPr>
            <w:tcW w:w="1218" w:type="dxa"/>
            <w:vAlign w:val="center"/>
          </w:tcPr>
          <w:p>
            <w:pPr>
              <w:pStyle w:val="38"/>
              <w:adjustRightInd w:val="0"/>
              <w:spacing w:before="60" w:beforeLines="25" w:line="300" w:lineRule="auto"/>
              <w:rPr>
                <w:b/>
                <w:bCs/>
                <w:color w:val="auto"/>
                <w:sz w:val="21"/>
                <w:szCs w:val="21"/>
              </w:rPr>
            </w:pPr>
            <w:r>
              <w:rPr>
                <w:b/>
                <w:bCs/>
                <w:color w:val="auto"/>
                <w:sz w:val="21"/>
                <w:szCs w:val="21"/>
              </w:rPr>
              <w:t>NH</w:t>
            </w:r>
            <w:r>
              <w:rPr>
                <w:b/>
                <w:bCs/>
                <w:color w:val="auto"/>
                <w:sz w:val="21"/>
                <w:szCs w:val="21"/>
                <w:vertAlign w:val="subscript"/>
              </w:rPr>
              <w:t>4</w:t>
            </w:r>
            <w:r>
              <w:rPr>
                <w:b/>
                <w:bCs/>
                <w:color w:val="auto"/>
                <w:sz w:val="21"/>
                <w:szCs w:val="21"/>
                <w:vertAlign w:val="superscript"/>
              </w:rPr>
              <w:t>+</w:t>
            </w:r>
            <w:r>
              <w:rPr>
                <w:b/>
                <w:bCs/>
                <w:color w:val="auto"/>
                <w:sz w:val="21"/>
                <w:szCs w:val="21"/>
              </w:rPr>
              <w:sym w:font="Symbol" w:char="F02D"/>
            </w:r>
            <w:r>
              <w:rPr>
                <w:b/>
                <w:bCs/>
                <w:color w:val="auto"/>
                <w:sz w:val="21"/>
                <w:szCs w:val="21"/>
              </w:rPr>
              <w:t>N</w:t>
            </w:r>
          </w:p>
        </w:tc>
        <w:tc>
          <w:tcPr>
            <w:tcW w:w="1155" w:type="dxa"/>
            <w:vAlign w:val="center"/>
          </w:tcPr>
          <w:p>
            <w:pPr>
              <w:pStyle w:val="38"/>
              <w:adjustRightInd w:val="0"/>
              <w:spacing w:before="60" w:beforeLines="25" w:line="300" w:lineRule="auto"/>
              <w:rPr>
                <w:b/>
                <w:bCs/>
                <w:color w:val="auto"/>
                <w:sz w:val="21"/>
                <w:szCs w:val="21"/>
              </w:rPr>
            </w:pPr>
            <w:r>
              <w:rPr>
                <w:b/>
                <w:bCs/>
                <w:color w:val="auto"/>
                <w:sz w:val="21"/>
                <w:szCs w:val="21"/>
              </w:rPr>
              <w:t>TP</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1952" w:type="dxa"/>
            <w:vAlign w:val="center"/>
          </w:tcPr>
          <w:p>
            <w:pPr>
              <w:pStyle w:val="38"/>
              <w:adjustRightInd w:val="0"/>
              <w:spacing w:before="60" w:beforeLines="25" w:line="300" w:lineRule="auto"/>
              <w:rPr>
                <w:color w:val="auto"/>
                <w:sz w:val="21"/>
                <w:szCs w:val="21"/>
              </w:rPr>
            </w:pPr>
            <w:r>
              <w:rPr>
                <w:rFonts w:hint="eastAsia"/>
                <w:color w:val="auto"/>
                <w:sz w:val="21"/>
                <w:szCs w:val="21"/>
              </w:rPr>
              <w:t>环评</w:t>
            </w:r>
            <w:r>
              <w:rPr>
                <w:color w:val="auto"/>
                <w:sz w:val="21"/>
                <w:szCs w:val="21"/>
              </w:rPr>
              <w:t>出水</w:t>
            </w:r>
            <w:r>
              <w:rPr>
                <w:rFonts w:hint="eastAsia"/>
                <w:color w:val="auto"/>
                <w:sz w:val="21"/>
                <w:szCs w:val="21"/>
              </w:rPr>
              <w:t>标准（暂定）</w:t>
            </w:r>
            <w:r>
              <w:rPr>
                <w:color w:val="auto"/>
                <w:sz w:val="21"/>
                <w:szCs w:val="21"/>
              </w:rPr>
              <w:t>（mg/L）</w:t>
            </w:r>
          </w:p>
        </w:tc>
        <w:tc>
          <w:tcPr>
            <w:tcW w:w="1218" w:type="dxa"/>
            <w:vAlign w:val="center"/>
          </w:tcPr>
          <w:p>
            <w:pPr>
              <w:pStyle w:val="38"/>
              <w:adjustRightInd w:val="0"/>
              <w:spacing w:before="60" w:beforeLines="25" w:line="300" w:lineRule="auto"/>
              <w:rPr>
                <w:color w:val="auto"/>
                <w:sz w:val="21"/>
                <w:szCs w:val="21"/>
              </w:rPr>
            </w:pPr>
            <w:r>
              <w:rPr>
                <w:rFonts w:hint="eastAsia"/>
                <w:color w:val="auto"/>
                <w:sz w:val="21"/>
                <w:szCs w:val="21"/>
              </w:rPr>
              <w:t>10</w:t>
            </w:r>
          </w:p>
        </w:tc>
        <w:tc>
          <w:tcPr>
            <w:tcW w:w="1218" w:type="dxa"/>
            <w:vAlign w:val="center"/>
          </w:tcPr>
          <w:p>
            <w:pPr>
              <w:pStyle w:val="38"/>
              <w:adjustRightInd w:val="0"/>
              <w:spacing w:before="60" w:beforeLines="25" w:line="300" w:lineRule="auto"/>
              <w:rPr>
                <w:color w:val="auto"/>
                <w:sz w:val="21"/>
                <w:szCs w:val="21"/>
              </w:rPr>
            </w:pPr>
            <w:r>
              <w:rPr>
                <w:rFonts w:hint="eastAsia"/>
                <w:color w:val="auto"/>
                <w:sz w:val="21"/>
                <w:szCs w:val="21"/>
              </w:rPr>
              <w:t>4</w:t>
            </w:r>
            <w:r>
              <w:rPr>
                <w:color w:val="auto"/>
                <w:sz w:val="21"/>
                <w:szCs w:val="21"/>
              </w:rPr>
              <w:t>0</w:t>
            </w:r>
          </w:p>
        </w:tc>
        <w:tc>
          <w:tcPr>
            <w:tcW w:w="1027" w:type="dxa"/>
            <w:vAlign w:val="center"/>
          </w:tcPr>
          <w:p>
            <w:pPr>
              <w:pStyle w:val="38"/>
              <w:adjustRightInd w:val="0"/>
              <w:spacing w:before="60" w:beforeLines="25" w:line="300" w:lineRule="auto"/>
              <w:rPr>
                <w:color w:val="auto"/>
                <w:sz w:val="21"/>
                <w:szCs w:val="21"/>
              </w:rPr>
            </w:pPr>
            <w:r>
              <w:rPr>
                <w:color w:val="auto"/>
                <w:sz w:val="21"/>
                <w:szCs w:val="21"/>
              </w:rPr>
              <w:t>10</w:t>
            </w:r>
          </w:p>
        </w:tc>
        <w:tc>
          <w:tcPr>
            <w:tcW w:w="1218" w:type="dxa"/>
            <w:vAlign w:val="center"/>
          </w:tcPr>
          <w:p>
            <w:pPr>
              <w:pStyle w:val="38"/>
              <w:adjustRightInd w:val="0"/>
              <w:spacing w:before="60" w:beforeLines="25" w:line="300" w:lineRule="auto"/>
              <w:rPr>
                <w:color w:val="auto"/>
                <w:sz w:val="21"/>
                <w:szCs w:val="21"/>
              </w:rPr>
            </w:pPr>
            <w:r>
              <w:rPr>
                <w:color w:val="auto"/>
                <w:sz w:val="21"/>
                <w:szCs w:val="21"/>
              </w:rPr>
              <w:t>15</w:t>
            </w:r>
          </w:p>
        </w:tc>
        <w:tc>
          <w:tcPr>
            <w:tcW w:w="1218" w:type="dxa"/>
            <w:vAlign w:val="center"/>
          </w:tcPr>
          <w:p>
            <w:pPr>
              <w:pStyle w:val="38"/>
              <w:adjustRightInd w:val="0"/>
              <w:spacing w:before="60" w:beforeLines="25" w:line="300" w:lineRule="auto"/>
              <w:rPr>
                <w:color w:val="auto"/>
                <w:sz w:val="21"/>
                <w:szCs w:val="21"/>
              </w:rPr>
            </w:pPr>
            <w:r>
              <w:rPr>
                <w:rFonts w:hint="eastAsia"/>
                <w:color w:val="auto"/>
                <w:sz w:val="21"/>
                <w:szCs w:val="21"/>
              </w:rPr>
              <w:t>5</w:t>
            </w:r>
          </w:p>
        </w:tc>
        <w:tc>
          <w:tcPr>
            <w:tcW w:w="1155" w:type="dxa"/>
            <w:vAlign w:val="center"/>
          </w:tcPr>
          <w:p>
            <w:pPr>
              <w:pStyle w:val="38"/>
              <w:adjustRightInd w:val="0"/>
              <w:spacing w:before="60" w:beforeLines="25" w:line="300" w:lineRule="auto"/>
              <w:rPr>
                <w:color w:val="auto"/>
                <w:sz w:val="21"/>
                <w:szCs w:val="21"/>
              </w:rPr>
            </w:pPr>
            <w:r>
              <w:rPr>
                <w:rFonts w:hint="eastAsia"/>
                <w:color w:val="auto"/>
                <w:sz w:val="21"/>
                <w:szCs w:val="21"/>
              </w:rPr>
              <w:t>0.5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1952" w:type="dxa"/>
            <w:vAlign w:val="center"/>
          </w:tcPr>
          <w:p>
            <w:pPr>
              <w:pStyle w:val="38"/>
              <w:adjustRightInd w:val="0"/>
              <w:spacing w:before="60" w:beforeLines="25" w:line="300" w:lineRule="auto"/>
              <w:rPr>
                <w:color w:val="auto"/>
                <w:sz w:val="21"/>
                <w:szCs w:val="21"/>
              </w:rPr>
            </w:pPr>
            <w:r>
              <w:rPr>
                <w:rFonts w:hint="eastAsia"/>
                <w:color w:val="auto"/>
                <w:sz w:val="21"/>
                <w:szCs w:val="21"/>
              </w:rPr>
              <w:t>内控出水目标</w:t>
            </w:r>
            <w:r>
              <w:rPr>
                <w:color w:val="auto"/>
                <w:sz w:val="21"/>
                <w:szCs w:val="21"/>
              </w:rPr>
              <w:t>（mg/L）</w:t>
            </w:r>
          </w:p>
        </w:tc>
        <w:tc>
          <w:tcPr>
            <w:tcW w:w="1218" w:type="dxa"/>
            <w:vAlign w:val="center"/>
          </w:tcPr>
          <w:p>
            <w:pPr>
              <w:pStyle w:val="38"/>
              <w:adjustRightInd w:val="0"/>
              <w:spacing w:before="60" w:beforeLines="25" w:line="300" w:lineRule="auto"/>
              <w:rPr>
                <w:color w:val="auto"/>
                <w:sz w:val="21"/>
                <w:szCs w:val="21"/>
              </w:rPr>
            </w:pPr>
            <w:r>
              <w:rPr>
                <w:rFonts w:hint="eastAsia"/>
                <w:color w:val="auto"/>
                <w:sz w:val="21"/>
                <w:szCs w:val="21"/>
              </w:rPr>
              <w:t>6</w:t>
            </w:r>
          </w:p>
        </w:tc>
        <w:tc>
          <w:tcPr>
            <w:tcW w:w="1218" w:type="dxa"/>
            <w:vAlign w:val="center"/>
          </w:tcPr>
          <w:p>
            <w:pPr>
              <w:pStyle w:val="38"/>
              <w:adjustRightInd w:val="0"/>
              <w:spacing w:before="60" w:beforeLines="25" w:line="300" w:lineRule="auto"/>
              <w:rPr>
                <w:color w:val="auto"/>
                <w:sz w:val="21"/>
                <w:szCs w:val="21"/>
              </w:rPr>
            </w:pPr>
            <w:r>
              <w:rPr>
                <w:rFonts w:hint="eastAsia"/>
                <w:color w:val="auto"/>
                <w:sz w:val="21"/>
                <w:szCs w:val="21"/>
              </w:rPr>
              <w:t>30</w:t>
            </w:r>
          </w:p>
        </w:tc>
        <w:tc>
          <w:tcPr>
            <w:tcW w:w="1027" w:type="dxa"/>
            <w:vAlign w:val="center"/>
          </w:tcPr>
          <w:p>
            <w:pPr>
              <w:pStyle w:val="38"/>
              <w:adjustRightInd w:val="0"/>
              <w:spacing w:before="60" w:beforeLines="25" w:line="300" w:lineRule="auto"/>
              <w:rPr>
                <w:rFonts w:hint="eastAsia" w:eastAsia="宋体"/>
                <w:color w:val="auto"/>
                <w:sz w:val="21"/>
                <w:szCs w:val="21"/>
                <w:lang w:eastAsia="zh-CN"/>
              </w:rPr>
            </w:pPr>
            <w:r>
              <w:rPr>
                <w:rFonts w:hint="eastAsia"/>
                <w:color w:val="auto"/>
                <w:sz w:val="21"/>
                <w:szCs w:val="21"/>
                <w:lang w:val="en-US" w:eastAsia="zh-CN"/>
              </w:rPr>
              <w:t>6</w:t>
            </w:r>
          </w:p>
        </w:tc>
        <w:tc>
          <w:tcPr>
            <w:tcW w:w="1218" w:type="dxa"/>
            <w:vAlign w:val="center"/>
          </w:tcPr>
          <w:p>
            <w:pPr>
              <w:pStyle w:val="38"/>
              <w:adjustRightInd w:val="0"/>
              <w:spacing w:before="60" w:beforeLines="25" w:line="300" w:lineRule="auto"/>
              <w:rPr>
                <w:color w:val="auto"/>
                <w:sz w:val="21"/>
                <w:szCs w:val="21"/>
              </w:rPr>
            </w:pPr>
            <w:r>
              <w:rPr>
                <w:rFonts w:hint="eastAsia"/>
                <w:color w:val="auto"/>
                <w:sz w:val="21"/>
                <w:szCs w:val="21"/>
              </w:rPr>
              <w:t>15</w:t>
            </w:r>
          </w:p>
        </w:tc>
        <w:tc>
          <w:tcPr>
            <w:tcW w:w="1218" w:type="dxa"/>
            <w:vAlign w:val="center"/>
          </w:tcPr>
          <w:p>
            <w:pPr>
              <w:pStyle w:val="38"/>
              <w:adjustRightInd w:val="0"/>
              <w:spacing w:before="60" w:beforeLines="25" w:line="300" w:lineRule="auto"/>
              <w:rPr>
                <w:color w:val="auto"/>
                <w:sz w:val="21"/>
                <w:szCs w:val="21"/>
              </w:rPr>
            </w:pPr>
            <w:r>
              <w:rPr>
                <w:rFonts w:hint="eastAsia"/>
                <w:color w:val="auto"/>
                <w:sz w:val="21"/>
                <w:szCs w:val="21"/>
              </w:rPr>
              <w:t>1.5</w:t>
            </w:r>
          </w:p>
        </w:tc>
        <w:tc>
          <w:tcPr>
            <w:tcW w:w="1155" w:type="dxa"/>
            <w:vAlign w:val="center"/>
          </w:tcPr>
          <w:p>
            <w:pPr>
              <w:pStyle w:val="38"/>
              <w:adjustRightInd w:val="0"/>
              <w:spacing w:before="60" w:beforeLines="25" w:line="300" w:lineRule="auto"/>
              <w:rPr>
                <w:color w:val="auto"/>
                <w:sz w:val="21"/>
                <w:szCs w:val="21"/>
              </w:rPr>
            </w:pPr>
            <w:r>
              <w:rPr>
                <w:rFonts w:hint="eastAsia"/>
                <w:color w:val="auto"/>
                <w:sz w:val="21"/>
                <w:szCs w:val="21"/>
              </w:rPr>
              <w:t>0.3</w:t>
            </w:r>
          </w:p>
        </w:tc>
      </w:tr>
    </w:tbl>
    <w:p>
      <w:pPr>
        <w:pStyle w:val="30"/>
        <w:spacing w:before="120" w:after="120"/>
        <w:rPr>
          <w:color w:val="auto"/>
        </w:rPr>
      </w:pPr>
      <w:bookmarkStart w:id="6" w:name="_Toc117181315"/>
      <w:r>
        <w:rPr>
          <w:color w:val="auto"/>
        </w:rPr>
        <w:t>工程范围</w:t>
      </w:r>
      <w:bookmarkEnd w:id="6"/>
    </w:p>
    <w:p>
      <w:pPr>
        <w:pStyle w:val="29"/>
        <w:ind w:firstLine="0" w:firstLineChars="0"/>
        <w:rPr>
          <w:color w:val="auto"/>
        </w:rPr>
      </w:pPr>
      <w:r>
        <w:rPr>
          <w:rFonts w:cs="宋体"/>
          <w:color w:val="auto"/>
        </w:rPr>
        <w:t>1</w:t>
      </w:r>
      <w:r>
        <w:rPr>
          <w:color w:val="auto"/>
        </w:rPr>
        <w:t>、新建</w:t>
      </w:r>
      <w:r>
        <w:rPr>
          <w:rFonts w:hint="eastAsia"/>
          <w:color w:val="auto"/>
        </w:rPr>
        <w:t>再生水厂</w:t>
      </w:r>
    </w:p>
    <w:p>
      <w:pPr>
        <w:pStyle w:val="29"/>
        <w:ind w:firstLine="472"/>
        <w:rPr>
          <w:color w:val="auto"/>
        </w:rPr>
      </w:pPr>
      <w:r>
        <w:rPr>
          <w:color w:val="auto"/>
        </w:rPr>
        <w:t>本工程于现状中新污水处理厂东侧规划用地红线内新建一座下沉式再生水厂，其中一期建设规模为土建10万m³/d，设备安装5万m³/d，采用全地下式布置形式，厂区地面新建综合楼及市政公园。</w:t>
      </w:r>
    </w:p>
    <w:p>
      <w:pPr>
        <w:pStyle w:val="29"/>
        <w:ind w:firstLine="0" w:firstLineChars="0"/>
        <w:rPr>
          <w:rFonts w:cs="宋体"/>
          <w:color w:val="auto"/>
        </w:rPr>
      </w:pPr>
      <w:r>
        <w:rPr>
          <w:rFonts w:cs="宋体"/>
          <w:color w:val="auto"/>
        </w:rPr>
        <w:t>2、</w:t>
      </w:r>
      <w:r>
        <w:rPr>
          <w:rFonts w:hint="eastAsia" w:cs="宋体"/>
          <w:color w:val="auto"/>
        </w:rPr>
        <w:t>配套管道建设</w:t>
      </w:r>
    </w:p>
    <w:p>
      <w:pPr>
        <w:pStyle w:val="29"/>
        <w:ind w:firstLine="472"/>
        <w:rPr>
          <w:color w:val="auto"/>
        </w:rPr>
      </w:pPr>
      <w:r>
        <w:rPr>
          <w:rFonts w:hint="eastAsia"/>
          <w:color w:val="auto"/>
        </w:rPr>
        <w:t>本工程</w:t>
      </w:r>
      <w:r>
        <w:rPr>
          <w:color w:val="auto"/>
        </w:rPr>
        <w:t>配套建设DN1000~DN1200污水压力管道3.9公里，DN1200~DN1500污水重力管道0.9公里，DN500~DN600再生水压力管道2.6公里。</w:t>
      </w:r>
    </w:p>
    <w:p>
      <w:pPr>
        <w:pStyle w:val="29"/>
        <w:ind w:firstLine="0" w:firstLineChars="0"/>
        <w:rPr>
          <w:rFonts w:cs="宋体"/>
          <w:color w:val="auto"/>
        </w:rPr>
      </w:pPr>
      <w:r>
        <w:rPr>
          <w:rFonts w:cs="宋体"/>
          <w:color w:val="auto"/>
        </w:rPr>
        <w:t>4、</w:t>
      </w:r>
      <w:r>
        <w:rPr>
          <w:rFonts w:hint="eastAsia" w:cs="宋体"/>
          <w:color w:val="auto"/>
        </w:rPr>
        <w:t>新建科教城</w:t>
      </w:r>
      <w:r>
        <w:rPr>
          <w:rFonts w:cs="宋体"/>
          <w:color w:val="auto"/>
        </w:rPr>
        <w:t>泵站</w:t>
      </w:r>
    </w:p>
    <w:p>
      <w:pPr>
        <w:pStyle w:val="29"/>
        <w:ind w:firstLine="474"/>
        <w:rPr>
          <w:color w:val="auto"/>
          <w:spacing w:val="-3"/>
        </w:rPr>
      </w:pPr>
      <w:r>
        <w:rPr>
          <w:rFonts w:hint="eastAsia"/>
          <w:color w:val="auto"/>
          <w:spacing w:val="-3"/>
        </w:rPr>
        <w:t>本工程于</w:t>
      </w:r>
      <w:r>
        <w:rPr>
          <w:color w:val="auto"/>
        </w:rPr>
        <w:t>文华路</w:t>
      </w:r>
      <w:r>
        <w:rPr>
          <w:rFonts w:hint="eastAsia"/>
          <w:color w:val="auto"/>
        </w:rPr>
        <w:t>新建1座科教城泵站，占地面积约</w:t>
      </w:r>
      <w:r>
        <w:rPr>
          <w:rFonts w:hint="eastAsia" w:cs="Times New Roman"/>
          <w:color w:val="auto"/>
        </w:rPr>
        <w:t>2673</w:t>
      </w:r>
      <w:r>
        <w:rPr>
          <w:rFonts w:cs="Times New Roman"/>
          <w:color w:val="auto"/>
        </w:rPr>
        <w:t>平方米</w:t>
      </w:r>
      <w:r>
        <w:rPr>
          <w:rFonts w:hint="eastAsia" w:cs="Times New Roman"/>
          <w:color w:val="auto"/>
        </w:rPr>
        <w:t>。泵站内主要构筑物包括泵房、变配电间、除臭间、值班室、道路、围墙等，泵房采用</w:t>
      </w:r>
      <w:r>
        <w:rPr>
          <w:color w:val="auto"/>
        </w:rPr>
        <w:t>全地下式布置形式</w:t>
      </w:r>
      <w:r>
        <w:rPr>
          <w:rFonts w:hint="eastAsia"/>
          <w:color w:val="auto"/>
        </w:rPr>
        <w:t>，服务范围为朱村街道、科教城。</w:t>
      </w:r>
      <w:r>
        <w:rPr>
          <w:color w:val="auto"/>
          <w:spacing w:val="-3"/>
        </w:rPr>
        <w:t>本次设计规模为</w:t>
      </w:r>
      <w:r>
        <w:rPr>
          <w:color w:val="auto"/>
        </w:rPr>
        <w:t>土建按</w:t>
      </w:r>
      <w:r>
        <w:rPr>
          <w:rFonts w:cs="宋体"/>
          <w:color w:val="auto"/>
        </w:rPr>
        <w:t>7.5</w:t>
      </w:r>
      <w:r>
        <w:rPr>
          <w:color w:val="auto"/>
        </w:rPr>
        <w:t>万</w:t>
      </w:r>
      <w:r>
        <w:rPr>
          <w:rFonts w:cs="宋体"/>
          <w:color w:val="auto"/>
        </w:rPr>
        <w:t>m³/d</w:t>
      </w:r>
      <w:r>
        <w:rPr>
          <w:color w:val="auto"/>
        </w:rPr>
        <w:t>设计并一次完成，设备安装按</w:t>
      </w:r>
      <w:r>
        <w:rPr>
          <w:rFonts w:cs="宋体"/>
          <w:color w:val="auto"/>
        </w:rPr>
        <w:t>4</w:t>
      </w:r>
      <w:r>
        <w:rPr>
          <w:color w:val="auto"/>
        </w:rPr>
        <w:t>万</w:t>
      </w:r>
      <w:r>
        <w:rPr>
          <w:rFonts w:cs="宋体"/>
          <w:color w:val="auto"/>
        </w:rPr>
        <w:t>m³/d</w:t>
      </w:r>
      <w:r>
        <w:rPr>
          <w:color w:val="auto"/>
        </w:rPr>
        <w:t>设计。</w:t>
      </w:r>
    </w:p>
    <w:p>
      <w:pPr>
        <w:pStyle w:val="28"/>
        <w:spacing w:before="120" w:after="120"/>
        <w:rPr>
          <w:b/>
          <w:color w:val="auto"/>
        </w:rPr>
      </w:pPr>
      <w:bookmarkStart w:id="7" w:name="_Toc117181316"/>
      <w:r>
        <w:rPr>
          <w:b/>
          <w:color w:val="auto"/>
        </w:rPr>
        <w:t>建筑通用性材料要求</w:t>
      </w:r>
      <w:bookmarkEnd w:id="7"/>
    </w:p>
    <w:p>
      <w:pPr>
        <w:pStyle w:val="33"/>
        <w:rPr>
          <w:color w:val="auto"/>
        </w:rPr>
      </w:pPr>
      <w:r>
        <w:rPr>
          <w:color w:val="auto"/>
        </w:rPr>
        <w:t>主要建筑材料</w:t>
      </w:r>
    </w:p>
    <w:tbl>
      <w:tblPr>
        <w:tblStyle w:val="25"/>
        <w:tblW w:w="8657" w:type="dxa"/>
        <w:jc w:val="center"/>
        <w:tblInd w:w="0" w:type="dxa"/>
        <w:tblLayout w:type="fixed"/>
        <w:tblCellMar>
          <w:top w:w="0" w:type="dxa"/>
          <w:left w:w="0" w:type="dxa"/>
          <w:bottom w:w="0" w:type="dxa"/>
          <w:right w:w="0" w:type="dxa"/>
        </w:tblCellMar>
      </w:tblPr>
      <w:tblGrid>
        <w:gridCol w:w="665"/>
        <w:gridCol w:w="1821"/>
        <w:gridCol w:w="6171"/>
      </w:tblGrid>
      <w:tr>
        <w:tblPrEx>
          <w:tblLayout w:type="fixed"/>
        </w:tblPrEx>
        <w:trPr>
          <w:tblHeader/>
          <w:jc w:val="center"/>
        </w:trPr>
        <w:tc>
          <w:tcPr>
            <w:tcW w:w="6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序号</w:t>
            </w:r>
          </w:p>
        </w:tc>
        <w:tc>
          <w:tcPr>
            <w:tcW w:w="182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项目名称</w:t>
            </w:r>
          </w:p>
        </w:tc>
        <w:tc>
          <w:tcPr>
            <w:tcW w:w="617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推荐品牌</w:t>
            </w:r>
          </w:p>
        </w:tc>
      </w:tr>
      <w:tr>
        <w:tblPrEx>
          <w:tblLayout w:type="fixed"/>
          <w:tblCellMar>
            <w:top w:w="0" w:type="dxa"/>
            <w:left w:w="0" w:type="dxa"/>
            <w:bottom w:w="0" w:type="dxa"/>
            <w:right w:w="0" w:type="dxa"/>
          </w:tblCellMar>
        </w:tblPrEx>
        <w:trPr>
          <w:jc w:val="center"/>
        </w:trPr>
        <w:tc>
          <w:tcPr>
            <w:tcW w:w="6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1</w:t>
            </w:r>
          </w:p>
        </w:tc>
        <w:tc>
          <w:tcPr>
            <w:tcW w:w="182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钢筋</w:t>
            </w:r>
          </w:p>
        </w:tc>
        <w:tc>
          <w:tcPr>
            <w:tcW w:w="6171" w:type="dxa"/>
            <w:tcBorders>
              <w:top w:val="single" w:color="000000" w:sz="4" w:space="0"/>
              <w:left w:val="single" w:color="000000" w:sz="4" w:space="0"/>
              <w:bottom w:val="single" w:color="000000" w:sz="4" w:space="0"/>
              <w:right w:val="single" w:color="000000" w:sz="4" w:space="0"/>
            </w:tcBorders>
          </w:tcPr>
          <w:p>
            <w:pPr>
              <w:pStyle w:val="27"/>
              <w:spacing w:line="360" w:lineRule="auto"/>
              <w:ind w:left="113"/>
              <w:rPr>
                <w:rFonts w:ascii="宋体"/>
                <w:color w:val="auto"/>
                <w:sz w:val="21"/>
                <w:szCs w:val="24"/>
                <w:lang w:eastAsia="zh-CN"/>
              </w:rPr>
            </w:pPr>
            <w:r>
              <w:rPr>
                <w:rFonts w:ascii="宋体"/>
                <w:color w:val="auto"/>
                <w:sz w:val="21"/>
                <w:szCs w:val="24"/>
                <w:lang w:eastAsia="zh-CN"/>
              </w:rPr>
              <w:t>广钢</w:t>
            </w:r>
            <w:r>
              <w:rPr>
                <w:rFonts w:hint="eastAsia" w:ascii="宋体"/>
                <w:color w:val="auto"/>
                <w:sz w:val="21"/>
                <w:szCs w:val="24"/>
                <w:lang w:eastAsia="zh-CN"/>
              </w:rPr>
              <w:t>、</w:t>
            </w:r>
            <w:r>
              <w:rPr>
                <w:rFonts w:ascii="宋体"/>
                <w:color w:val="auto"/>
                <w:sz w:val="21"/>
                <w:szCs w:val="24"/>
                <w:lang w:eastAsia="zh-CN"/>
              </w:rPr>
              <w:t>韶钢</w:t>
            </w:r>
            <w:r>
              <w:rPr>
                <w:rFonts w:hint="eastAsia" w:ascii="宋体"/>
                <w:color w:val="auto"/>
                <w:sz w:val="21"/>
                <w:szCs w:val="24"/>
                <w:lang w:eastAsia="zh-CN"/>
              </w:rPr>
              <w:t>、</w:t>
            </w:r>
            <w:r>
              <w:rPr>
                <w:rFonts w:ascii="宋体"/>
                <w:color w:val="auto"/>
                <w:sz w:val="21"/>
                <w:szCs w:val="24"/>
                <w:lang w:eastAsia="zh-CN"/>
              </w:rPr>
              <w:t>鞍钢</w:t>
            </w:r>
            <w:r>
              <w:rPr>
                <w:rFonts w:hint="eastAsia" w:ascii="宋体"/>
                <w:color w:val="auto"/>
                <w:sz w:val="21"/>
                <w:szCs w:val="24"/>
                <w:lang w:eastAsia="zh-CN"/>
              </w:rPr>
              <w:t>、</w:t>
            </w:r>
            <w:r>
              <w:rPr>
                <w:rFonts w:ascii="宋体"/>
                <w:color w:val="auto"/>
                <w:sz w:val="21"/>
                <w:szCs w:val="24"/>
                <w:lang w:eastAsia="zh-CN"/>
              </w:rPr>
              <w:t>柳钢</w:t>
            </w:r>
            <w:r>
              <w:rPr>
                <w:rFonts w:hint="eastAsia" w:ascii="宋体"/>
                <w:color w:val="auto"/>
                <w:sz w:val="21"/>
                <w:szCs w:val="24"/>
                <w:lang w:eastAsia="zh-CN"/>
              </w:rPr>
              <w:t>、</w:t>
            </w:r>
            <w:r>
              <w:rPr>
                <w:rFonts w:ascii="宋体"/>
                <w:color w:val="auto"/>
                <w:sz w:val="21"/>
                <w:szCs w:val="24"/>
                <w:lang w:eastAsia="zh-CN"/>
              </w:rPr>
              <w:t>湘钢</w:t>
            </w:r>
            <w:r>
              <w:rPr>
                <w:rFonts w:hint="eastAsia" w:ascii="宋体"/>
                <w:color w:val="auto"/>
                <w:sz w:val="21"/>
                <w:szCs w:val="24"/>
                <w:lang w:eastAsia="zh-CN"/>
              </w:rPr>
              <w:t>、</w:t>
            </w:r>
            <w:r>
              <w:rPr>
                <w:rFonts w:ascii="宋体"/>
                <w:color w:val="auto"/>
                <w:sz w:val="21"/>
                <w:szCs w:val="24"/>
                <w:lang w:eastAsia="zh-CN"/>
              </w:rPr>
              <w:t>珠海粤裕丰、广西桂鑫</w:t>
            </w:r>
            <w:r>
              <w:rPr>
                <w:rFonts w:ascii="宋体"/>
                <w:color w:val="auto"/>
                <w:sz w:val="21"/>
                <w:szCs w:val="24"/>
                <w:lang w:eastAsia="zh-CN"/>
              </w:rPr>
              <w:br w:type="textWrapping"/>
            </w:r>
            <w:r>
              <w:rPr>
                <w:rFonts w:ascii="宋体"/>
                <w:color w:val="auto"/>
                <w:sz w:val="21"/>
                <w:szCs w:val="24"/>
                <w:lang w:eastAsia="zh-CN"/>
              </w:rPr>
              <w:t>广州市番禺裕丰钢铁有限公司（裕丰）</w:t>
            </w:r>
          </w:p>
        </w:tc>
      </w:tr>
      <w:tr>
        <w:tblPrEx>
          <w:tblLayout w:type="fixed"/>
          <w:tblCellMar>
            <w:top w:w="0" w:type="dxa"/>
            <w:left w:w="0" w:type="dxa"/>
            <w:bottom w:w="0" w:type="dxa"/>
            <w:right w:w="0" w:type="dxa"/>
          </w:tblCellMar>
        </w:tblPrEx>
        <w:trPr>
          <w:jc w:val="center"/>
        </w:trPr>
        <w:tc>
          <w:tcPr>
            <w:tcW w:w="6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2</w:t>
            </w:r>
          </w:p>
        </w:tc>
        <w:tc>
          <w:tcPr>
            <w:tcW w:w="182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水泥</w:t>
            </w:r>
          </w:p>
        </w:tc>
        <w:tc>
          <w:tcPr>
            <w:tcW w:w="6171" w:type="dxa"/>
            <w:tcBorders>
              <w:top w:val="single" w:color="000000" w:sz="4" w:space="0"/>
              <w:left w:val="single" w:color="000000" w:sz="4" w:space="0"/>
              <w:bottom w:val="single" w:color="000000" w:sz="4" w:space="0"/>
              <w:right w:val="single" w:color="000000" w:sz="4" w:space="0"/>
            </w:tcBorders>
          </w:tcPr>
          <w:p>
            <w:pPr>
              <w:pStyle w:val="27"/>
              <w:spacing w:line="360" w:lineRule="auto"/>
              <w:ind w:left="113"/>
              <w:rPr>
                <w:rFonts w:ascii="宋体"/>
                <w:color w:val="auto"/>
                <w:sz w:val="21"/>
                <w:szCs w:val="24"/>
                <w:lang w:eastAsia="zh-CN"/>
              </w:rPr>
            </w:pPr>
            <w:r>
              <w:rPr>
                <w:rFonts w:hint="eastAsia" w:ascii="宋体"/>
                <w:color w:val="auto"/>
                <w:sz w:val="21"/>
                <w:szCs w:val="24"/>
                <w:lang w:eastAsia="zh-CN"/>
              </w:rPr>
              <w:t>金羊、海螺、华润、台泥、粤磊、光大</w:t>
            </w:r>
          </w:p>
        </w:tc>
      </w:tr>
      <w:tr>
        <w:tblPrEx>
          <w:tblLayout w:type="fixed"/>
          <w:tblCellMar>
            <w:top w:w="0" w:type="dxa"/>
            <w:left w:w="0" w:type="dxa"/>
            <w:bottom w:w="0" w:type="dxa"/>
            <w:right w:w="0" w:type="dxa"/>
          </w:tblCellMar>
        </w:tblPrEx>
        <w:trPr>
          <w:jc w:val="center"/>
        </w:trPr>
        <w:tc>
          <w:tcPr>
            <w:tcW w:w="6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3</w:t>
            </w:r>
          </w:p>
        </w:tc>
        <w:tc>
          <w:tcPr>
            <w:tcW w:w="182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球墨铸铁管及管件</w:t>
            </w:r>
          </w:p>
        </w:tc>
        <w:tc>
          <w:tcPr>
            <w:tcW w:w="617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13"/>
              <w:rPr>
                <w:rFonts w:ascii="宋体"/>
                <w:color w:val="auto"/>
                <w:sz w:val="21"/>
                <w:szCs w:val="24"/>
                <w:lang w:eastAsia="zh-CN"/>
              </w:rPr>
            </w:pPr>
            <w:r>
              <w:rPr>
                <w:rFonts w:hint="eastAsia" w:ascii="宋体"/>
                <w:color w:val="auto"/>
                <w:sz w:val="21"/>
                <w:szCs w:val="24"/>
                <w:lang w:eastAsia="zh-CN"/>
              </w:rPr>
              <w:t>新兴铸管股份有限公司、邯郸新世界管业有限公司、河北省徐水县兴华铸造有限公司、安钢集团永通球墨铸铁管有限责任公司、青岛世纪球墨铸铁管业有限公司、晋城市健牛冶铸有限公司</w:t>
            </w:r>
          </w:p>
        </w:tc>
      </w:tr>
      <w:tr>
        <w:tblPrEx>
          <w:tblLayout w:type="fixed"/>
          <w:tblCellMar>
            <w:top w:w="0" w:type="dxa"/>
            <w:left w:w="0" w:type="dxa"/>
            <w:bottom w:w="0" w:type="dxa"/>
            <w:right w:w="0" w:type="dxa"/>
          </w:tblCellMar>
        </w:tblPrEx>
        <w:trPr>
          <w:jc w:val="center"/>
        </w:trPr>
        <w:tc>
          <w:tcPr>
            <w:tcW w:w="6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4</w:t>
            </w:r>
          </w:p>
        </w:tc>
        <w:tc>
          <w:tcPr>
            <w:tcW w:w="182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钢管及管件（大管</w:t>
            </w:r>
            <w:r>
              <w:rPr>
                <w:rFonts w:ascii="宋体" w:hAnsi="宋体" w:eastAsia="宋体" w:cs="宋体"/>
                <w:color w:val="auto"/>
                <w:sz w:val="21"/>
                <w:szCs w:val="21"/>
                <w:lang w:eastAsia="zh-CN"/>
              </w:rPr>
              <w:t>径）</w:t>
            </w:r>
          </w:p>
        </w:tc>
        <w:tc>
          <w:tcPr>
            <w:tcW w:w="617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13"/>
              <w:rPr>
                <w:rFonts w:ascii="宋体"/>
                <w:color w:val="auto"/>
                <w:sz w:val="21"/>
                <w:szCs w:val="24"/>
                <w:lang w:eastAsia="zh-CN"/>
              </w:rPr>
            </w:pPr>
            <w:r>
              <w:rPr>
                <w:rFonts w:hint="eastAsia" w:ascii="宋体"/>
                <w:color w:val="auto"/>
                <w:sz w:val="21"/>
                <w:szCs w:val="24"/>
                <w:lang w:eastAsia="zh-CN"/>
              </w:rPr>
              <w:t>广州珠江管业科技有限公司、广州荣刚金属制品有限公司、广东邦达、广东华捷钢管实业有限公司、广州祥基金属制品有限公司、佛山市鑫水源</w:t>
            </w:r>
          </w:p>
        </w:tc>
      </w:tr>
      <w:tr>
        <w:tblPrEx>
          <w:tblLayout w:type="fixed"/>
          <w:tblCellMar>
            <w:top w:w="0" w:type="dxa"/>
            <w:left w:w="0" w:type="dxa"/>
            <w:bottom w:w="0" w:type="dxa"/>
            <w:right w:w="0" w:type="dxa"/>
          </w:tblCellMar>
        </w:tblPrEx>
        <w:trPr>
          <w:jc w:val="center"/>
        </w:trPr>
        <w:tc>
          <w:tcPr>
            <w:tcW w:w="6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5</w:t>
            </w:r>
          </w:p>
        </w:tc>
        <w:tc>
          <w:tcPr>
            <w:tcW w:w="182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卷材防水材料</w:t>
            </w:r>
          </w:p>
        </w:tc>
        <w:tc>
          <w:tcPr>
            <w:tcW w:w="617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13"/>
              <w:rPr>
                <w:rFonts w:ascii="宋体"/>
                <w:color w:val="auto"/>
                <w:sz w:val="21"/>
                <w:szCs w:val="24"/>
                <w:lang w:eastAsia="zh-CN"/>
              </w:rPr>
            </w:pPr>
            <w:r>
              <w:rPr>
                <w:rFonts w:ascii="宋体"/>
                <w:color w:val="auto"/>
                <w:sz w:val="21"/>
                <w:szCs w:val="24"/>
                <w:lang w:eastAsia="zh-CN"/>
              </w:rPr>
              <w:t>广东科顺化工实业有限公司（科顺）</w:t>
            </w:r>
          </w:p>
          <w:p>
            <w:pPr>
              <w:pStyle w:val="27"/>
              <w:spacing w:line="360" w:lineRule="auto"/>
              <w:ind w:left="113"/>
              <w:rPr>
                <w:rFonts w:ascii="宋体"/>
                <w:color w:val="auto"/>
                <w:sz w:val="21"/>
                <w:szCs w:val="24"/>
                <w:lang w:eastAsia="zh-CN"/>
              </w:rPr>
            </w:pPr>
            <w:r>
              <w:rPr>
                <w:rFonts w:ascii="宋体"/>
                <w:color w:val="auto"/>
                <w:sz w:val="21"/>
                <w:szCs w:val="24"/>
                <w:lang w:eastAsia="zh-CN"/>
              </w:rPr>
              <w:t>广州大禹建筑防水有限公司（大禹）</w:t>
            </w:r>
            <w:r>
              <w:rPr>
                <w:rFonts w:ascii="宋体"/>
                <w:color w:val="auto"/>
                <w:sz w:val="21"/>
                <w:szCs w:val="24"/>
                <w:lang w:eastAsia="zh-CN"/>
              </w:rPr>
              <w:br w:type="textWrapping"/>
            </w:r>
            <w:r>
              <w:rPr>
                <w:rFonts w:ascii="宋体"/>
                <w:color w:val="auto"/>
                <w:sz w:val="21"/>
                <w:szCs w:val="24"/>
                <w:lang w:eastAsia="zh-CN"/>
              </w:rPr>
              <w:t>深圳市蓝盾防水工程有限公司（蓝盾）</w:t>
            </w:r>
            <w:r>
              <w:rPr>
                <w:rFonts w:ascii="宋体"/>
                <w:color w:val="auto"/>
                <w:sz w:val="21"/>
                <w:szCs w:val="24"/>
                <w:lang w:eastAsia="zh-CN"/>
              </w:rPr>
              <w:br w:type="textWrapping"/>
            </w:r>
            <w:r>
              <w:rPr>
                <w:rFonts w:ascii="宋体"/>
                <w:color w:val="auto"/>
                <w:sz w:val="21"/>
                <w:szCs w:val="24"/>
                <w:lang w:eastAsia="zh-CN"/>
              </w:rPr>
              <w:t>广州禹神建筑防水有限公司（禹能）</w:t>
            </w:r>
            <w:r>
              <w:rPr>
                <w:rFonts w:ascii="宋体"/>
                <w:color w:val="auto"/>
                <w:sz w:val="21"/>
                <w:szCs w:val="24"/>
                <w:lang w:eastAsia="zh-CN"/>
              </w:rPr>
              <w:br w:type="textWrapping"/>
            </w:r>
            <w:r>
              <w:rPr>
                <w:rFonts w:ascii="宋体"/>
                <w:color w:val="auto"/>
                <w:sz w:val="21"/>
                <w:szCs w:val="24"/>
                <w:lang w:eastAsia="zh-CN"/>
              </w:rPr>
              <w:t>广东闽禹防水防腐科技有限公司（闽禹）</w:t>
            </w:r>
            <w:r>
              <w:rPr>
                <w:rFonts w:ascii="宋体"/>
                <w:color w:val="auto"/>
                <w:sz w:val="21"/>
                <w:szCs w:val="24"/>
                <w:lang w:eastAsia="zh-CN"/>
              </w:rPr>
              <w:br w:type="textWrapping"/>
            </w:r>
            <w:r>
              <w:rPr>
                <w:rFonts w:ascii="宋体"/>
                <w:color w:val="auto"/>
                <w:sz w:val="21"/>
                <w:szCs w:val="24"/>
                <w:lang w:eastAsia="zh-CN"/>
              </w:rPr>
              <w:t>广州鲁惠防水技术开发有限公司（鲁惠）</w:t>
            </w:r>
            <w:r>
              <w:rPr>
                <w:rFonts w:ascii="宋体"/>
                <w:color w:val="auto"/>
                <w:sz w:val="21"/>
                <w:szCs w:val="24"/>
                <w:lang w:eastAsia="zh-CN"/>
              </w:rPr>
              <w:br w:type="textWrapping"/>
            </w:r>
            <w:r>
              <w:rPr>
                <w:rFonts w:ascii="宋体"/>
                <w:color w:val="auto"/>
                <w:sz w:val="21"/>
                <w:szCs w:val="24"/>
                <w:lang w:eastAsia="zh-CN"/>
              </w:rPr>
              <w:t>广西武宣金牌防水材料科技有限公司（桂宝）</w:t>
            </w:r>
          </w:p>
          <w:p>
            <w:pPr>
              <w:pStyle w:val="27"/>
              <w:spacing w:line="360" w:lineRule="auto"/>
              <w:ind w:left="113"/>
              <w:rPr>
                <w:rFonts w:ascii="宋体"/>
                <w:color w:val="auto"/>
                <w:sz w:val="21"/>
                <w:szCs w:val="24"/>
                <w:lang w:eastAsia="zh-CN"/>
              </w:rPr>
            </w:pPr>
            <w:r>
              <w:rPr>
                <w:color w:val="auto"/>
              </w:rPr>
              <w:fldChar w:fldCharType="begin"/>
            </w:r>
            <w:r>
              <w:rPr>
                <w:color w:val="auto"/>
              </w:rPr>
              <w:instrText xml:space="preserve"> HYPERLINK "http://www.baidu.com/link?url=E5f6PzcdgJBBVVkfxFlysp7W1KF82r55CgJVl6RMvRGNRrTba5xp4xP95_r8hB6H" \h </w:instrText>
            </w:r>
            <w:r>
              <w:rPr>
                <w:color w:val="auto"/>
              </w:rPr>
              <w:fldChar w:fldCharType="separate"/>
            </w:r>
            <w:r>
              <w:rPr>
                <w:rFonts w:ascii="宋体"/>
                <w:color w:val="auto"/>
                <w:sz w:val="21"/>
                <w:szCs w:val="24"/>
                <w:lang w:eastAsia="zh-CN"/>
              </w:rPr>
              <w:t>北京东方雨虹防水技术股份有限公司</w:t>
            </w:r>
            <w:r>
              <w:rPr>
                <w:rFonts w:ascii="宋体"/>
                <w:color w:val="auto"/>
                <w:sz w:val="21"/>
                <w:szCs w:val="24"/>
                <w:lang w:eastAsia="zh-CN"/>
              </w:rPr>
              <w:fldChar w:fldCharType="end"/>
            </w:r>
            <w:r>
              <w:rPr>
                <w:rFonts w:hint="eastAsia" w:ascii="宋体"/>
                <w:color w:val="auto"/>
                <w:sz w:val="21"/>
                <w:szCs w:val="24"/>
                <w:lang w:eastAsia="zh-CN"/>
              </w:rPr>
              <w:t>（东方雨虹）</w:t>
            </w:r>
          </w:p>
        </w:tc>
      </w:tr>
      <w:tr>
        <w:tblPrEx>
          <w:tblLayout w:type="fixed"/>
          <w:tblCellMar>
            <w:top w:w="0" w:type="dxa"/>
            <w:left w:w="0" w:type="dxa"/>
            <w:bottom w:w="0" w:type="dxa"/>
            <w:right w:w="0" w:type="dxa"/>
          </w:tblCellMar>
        </w:tblPrEx>
        <w:trPr>
          <w:jc w:val="center"/>
        </w:trPr>
        <w:tc>
          <w:tcPr>
            <w:tcW w:w="6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6</w:t>
            </w:r>
          </w:p>
        </w:tc>
        <w:tc>
          <w:tcPr>
            <w:tcW w:w="182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pacing w:val="-2"/>
                <w:sz w:val="21"/>
                <w:szCs w:val="21"/>
              </w:rPr>
              <w:t>聚氨酯防水、水泥</w:t>
            </w:r>
            <w:r>
              <w:rPr>
                <w:rFonts w:ascii="宋体" w:hAnsi="宋体" w:eastAsia="宋体" w:cs="宋体"/>
                <w:color w:val="auto"/>
                <w:sz w:val="21"/>
                <w:szCs w:val="21"/>
              </w:rPr>
              <w:t>基防水涂膜</w:t>
            </w:r>
          </w:p>
        </w:tc>
        <w:tc>
          <w:tcPr>
            <w:tcW w:w="617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13"/>
              <w:rPr>
                <w:rFonts w:ascii="宋体"/>
                <w:color w:val="auto"/>
                <w:sz w:val="21"/>
                <w:szCs w:val="24"/>
                <w:lang w:eastAsia="zh-CN"/>
              </w:rPr>
            </w:pPr>
            <w:r>
              <w:rPr>
                <w:rFonts w:ascii="宋体"/>
                <w:color w:val="auto"/>
                <w:sz w:val="21"/>
                <w:szCs w:val="24"/>
                <w:lang w:eastAsia="zh-CN"/>
              </w:rPr>
              <w:t>广东科顺化工实业有限公司（科顺）</w:t>
            </w:r>
          </w:p>
          <w:p>
            <w:pPr>
              <w:pStyle w:val="27"/>
              <w:spacing w:line="360" w:lineRule="auto"/>
              <w:ind w:left="113"/>
              <w:rPr>
                <w:rFonts w:ascii="宋体"/>
                <w:color w:val="auto"/>
                <w:sz w:val="21"/>
                <w:szCs w:val="24"/>
                <w:lang w:eastAsia="zh-CN"/>
              </w:rPr>
            </w:pPr>
            <w:r>
              <w:rPr>
                <w:rFonts w:ascii="宋体"/>
                <w:color w:val="auto"/>
                <w:sz w:val="21"/>
                <w:szCs w:val="24"/>
                <w:lang w:eastAsia="zh-CN"/>
              </w:rPr>
              <w:t>广州大禹建筑防水有限公司（大禹）</w:t>
            </w:r>
            <w:r>
              <w:rPr>
                <w:rFonts w:ascii="宋体"/>
                <w:color w:val="auto"/>
                <w:sz w:val="21"/>
                <w:szCs w:val="24"/>
                <w:lang w:eastAsia="zh-CN"/>
              </w:rPr>
              <w:br w:type="textWrapping"/>
            </w:r>
            <w:r>
              <w:rPr>
                <w:rFonts w:ascii="宋体"/>
                <w:color w:val="auto"/>
                <w:sz w:val="21"/>
                <w:szCs w:val="24"/>
                <w:lang w:eastAsia="zh-CN"/>
              </w:rPr>
              <w:t>深圳市蓝盾防水工程有限公司（蓝盾）</w:t>
            </w:r>
            <w:r>
              <w:rPr>
                <w:rFonts w:ascii="宋体"/>
                <w:color w:val="auto"/>
                <w:sz w:val="21"/>
                <w:szCs w:val="24"/>
                <w:lang w:eastAsia="zh-CN"/>
              </w:rPr>
              <w:br w:type="textWrapping"/>
            </w:r>
            <w:r>
              <w:rPr>
                <w:rFonts w:ascii="宋体"/>
                <w:color w:val="auto"/>
                <w:sz w:val="21"/>
                <w:szCs w:val="24"/>
                <w:lang w:eastAsia="zh-CN"/>
              </w:rPr>
              <w:t>广州禹神建筑防水有限公司（禹能）</w:t>
            </w:r>
            <w:r>
              <w:rPr>
                <w:rFonts w:ascii="宋体"/>
                <w:color w:val="auto"/>
                <w:sz w:val="21"/>
                <w:szCs w:val="24"/>
                <w:lang w:eastAsia="zh-CN"/>
              </w:rPr>
              <w:br w:type="textWrapping"/>
            </w:r>
            <w:r>
              <w:rPr>
                <w:rFonts w:ascii="宋体"/>
                <w:color w:val="auto"/>
                <w:sz w:val="21"/>
                <w:szCs w:val="24"/>
                <w:lang w:eastAsia="zh-CN"/>
              </w:rPr>
              <w:t>广东闽禹防水防腐科技有限公司（闽禹）</w:t>
            </w:r>
            <w:r>
              <w:rPr>
                <w:rFonts w:ascii="宋体"/>
                <w:color w:val="auto"/>
                <w:sz w:val="21"/>
                <w:szCs w:val="24"/>
                <w:lang w:eastAsia="zh-CN"/>
              </w:rPr>
              <w:br w:type="textWrapping"/>
            </w:r>
            <w:r>
              <w:rPr>
                <w:rFonts w:ascii="宋体"/>
                <w:color w:val="auto"/>
                <w:sz w:val="21"/>
                <w:szCs w:val="24"/>
                <w:lang w:eastAsia="zh-CN"/>
              </w:rPr>
              <w:t>广州鲁惠防水技术开发有限公司（鲁惠）</w:t>
            </w:r>
            <w:r>
              <w:rPr>
                <w:rFonts w:ascii="宋体"/>
                <w:color w:val="auto"/>
                <w:sz w:val="21"/>
                <w:szCs w:val="24"/>
                <w:lang w:eastAsia="zh-CN"/>
              </w:rPr>
              <w:br w:type="textWrapping"/>
            </w:r>
            <w:r>
              <w:rPr>
                <w:rFonts w:ascii="宋体"/>
                <w:color w:val="auto"/>
                <w:sz w:val="21"/>
                <w:szCs w:val="24"/>
                <w:lang w:eastAsia="zh-CN"/>
              </w:rPr>
              <w:t>广西武宣金牌防水材料科技有限公司（桂宝）</w:t>
            </w:r>
          </w:p>
          <w:p>
            <w:pPr>
              <w:pStyle w:val="27"/>
              <w:spacing w:line="360" w:lineRule="auto"/>
              <w:ind w:left="113"/>
              <w:rPr>
                <w:rFonts w:ascii="宋体"/>
                <w:color w:val="auto"/>
                <w:sz w:val="21"/>
                <w:szCs w:val="24"/>
                <w:lang w:eastAsia="zh-CN"/>
              </w:rPr>
            </w:pPr>
            <w:r>
              <w:rPr>
                <w:color w:val="auto"/>
              </w:rPr>
              <w:fldChar w:fldCharType="begin"/>
            </w:r>
            <w:r>
              <w:rPr>
                <w:color w:val="auto"/>
              </w:rPr>
              <w:instrText xml:space="preserve"> HYPERLINK "http://www.baidu.com/link?url=E5f6PzcdgJBBVVkfxFlysp7W1KF82r55CgJVl6RMvRGNRrTba5xp4xP95_r8hB6H" \h </w:instrText>
            </w:r>
            <w:r>
              <w:rPr>
                <w:color w:val="auto"/>
              </w:rPr>
              <w:fldChar w:fldCharType="separate"/>
            </w:r>
            <w:r>
              <w:rPr>
                <w:rFonts w:ascii="宋体"/>
                <w:color w:val="auto"/>
                <w:sz w:val="21"/>
                <w:szCs w:val="24"/>
                <w:lang w:eastAsia="zh-CN"/>
              </w:rPr>
              <w:t>北京东方雨虹防水技术股份有限公司</w:t>
            </w:r>
            <w:r>
              <w:rPr>
                <w:rFonts w:ascii="宋体"/>
                <w:color w:val="auto"/>
                <w:sz w:val="21"/>
                <w:szCs w:val="24"/>
                <w:lang w:eastAsia="zh-CN"/>
              </w:rPr>
              <w:fldChar w:fldCharType="end"/>
            </w:r>
            <w:r>
              <w:rPr>
                <w:rFonts w:hint="eastAsia" w:ascii="宋体"/>
                <w:color w:val="auto"/>
                <w:sz w:val="21"/>
                <w:szCs w:val="24"/>
                <w:lang w:eastAsia="zh-CN"/>
              </w:rPr>
              <w:t>（东方雨虹）</w:t>
            </w:r>
          </w:p>
        </w:tc>
      </w:tr>
    </w:tbl>
    <w:p>
      <w:pPr>
        <w:pStyle w:val="29"/>
        <w:ind w:firstLine="472"/>
        <w:rPr>
          <w:color w:val="auto"/>
        </w:rPr>
      </w:pPr>
    </w:p>
    <w:p>
      <w:pPr>
        <w:pStyle w:val="33"/>
        <w:rPr>
          <w:color w:val="auto"/>
        </w:rPr>
      </w:pPr>
      <w:r>
        <w:rPr>
          <w:color w:val="auto"/>
        </w:rPr>
        <w:t>厂区用房建设材料</w:t>
      </w:r>
    </w:p>
    <w:tbl>
      <w:tblPr>
        <w:tblStyle w:val="25"/>
        <w:tblW w:w="8525" w:type="dxa"/>
        <w:tblInd w:w="107" w:type="dxa"/>
        <w:tblLayout w:type="fixed"/>
        <w:tblCellMar>
          <w:top w:w="0" w:type="dxa"/>
          <w:left w:w="0" w:type="dxa"/>
          <w:bottom w:w="0" w:type="dxa"/>
          <w:right w:w="0" w:type="dxa"/>
        </w:tblCellMar>
      </w:tblPr>
      <w:tblGrid>
        <w:gridCol w:w="665"/>
        <w:gridCol w:w="1957"/>
        <w:gridCol w:w="5903"/>
      </w:tblGrid>
      <w:tr>
        <w:tblPrEx>
          <w:tblLayout w:type="fixed"/>
          <w:tblCellMar>
            <w:top w:w="0" w:type="dxa"/>
            <w:left w:w="0" w:type="dxa"/>
            <w:bottom w:w="0" w:type="dxa"/>
            <w:right w:w="0" w:type="dxa"/>
          </w:tblCellMar>
        </w:tblPrEx>
        <w:trPr>
          <w:tblHeader/>
        </w:trPr>
        <w:tc>
          <w:tcPr>
            <w:tcW w:w="6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b/>
                <w:bCs/>
                <w:color w:val="auto"/>
                <w:sz w:val="21"/>
                <w:szCs w:val="24"/>
              </w:rPr>
            </w:pPr>
            <w:r>
              <w:rPr>
                <w:rFonts w:ascii="宋体"/>
                <w:b/>
                <w:bCs/>
                <w:color w:val="auto"/>
                <w:sz w:val="21"/>
                <w:szCs w:val="24"/>
              </w:rPr>
              <w:t>序号</w:t>
            </w:r>
          </w:p>
        </w:tc>
        <w:tc>
          <w:tcPr>
            <w:tcW w:w="1957"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b/>
                <w:bCs/>
                <w:color w:val="auto"/>
                <w:sz w:val="21"/>
                <w:szCs w:val="24"/>
              </w:rPr>
            </w:pPr>
            <w:r>
              <w:rPr>
                <w:rFonts w:ascii="宋体"/>
                <w:b/>
                <w:bCs/>
                <w:color w:val="auto"/>
                <w:sz w:val="21"/>
                <w:szCs w:val="24"/>
              </w:rPr>
              <w:t>项目名称</w:t>
            </w:r>
          </w:p>
        </w:tc>
        <w:tc>
          <w:tcPr>
            <w:tcW w:w="590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2"/>
              <w:jc w:val="center"/>
              <w:rPr>
                <w:rFonts w:ascii="宋体"/>
                <w:b/>
                <w:bCs/>
                <w:color w:val="auto"/>
                <w:sz w:val="21"/>
                <w:szCs w:val="24"/>
              </w:rPr>
            </w:pPr>
            <w:r>
              <w:rPr>
                <w:rFonts w:ascii="宋体"/>
                <w:b/>
                <w:bCs/>
                <w:color w:val="auto"/>
                <w:sz w:val="21"/>
                <w:szCs w:val="24"/>
              </w:rPr>
              <w:t>推荐品牌</w:t>
            </w:r>
          </w:p>
        </w:tc>
      </w:tr>
      <w:tr>
        <w:tblPrEx>
          <w:tblLayout w:type="fixed"/>
          <w:tblCellMar>
            <w:top w:w="0" w:type="dxa"/>
            <w:left w:w="0" w:type="dxa"/>
            <w:bottom w:w="0" w:type="dxa"/>
            <w:right w:w="0" w:type="dxa"/>
          </w:tblCellMar>
        </w:tblPrEx>
        <w:tc>
          <w:tcPr>
            <w:tcW w:w="6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color w:val="auto"/>
                <w:sz w:val="21"/>
                <w:szCs w:val="24"/>
              </w:rPr>
            </w:pPr>
            <w:r>
              <w:rPr>
                <w:rFonts w:ascii="宋体"/>
                <w:color w:val="auto"/>
                <w:sz w:val="21"/>
                <w:szCs w:val="24"/>
              </w:rPr>
              <w:t>1</w:t>
            </w:r>
          </w:p>
        </w:tc>
        <w:tc>
          <w:tcPr>
            <w:tcW w:w="1957"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color w:val="auto"/>
                <w:sz w:val="21"/>
                <w:szCs w:val="24"/>
              </w:rPr>
            </w:pPr>
            <w:r>
              <w:rPr>
                <w:rFonts w:ascii="宋体"/>
                <w:color w:val="auto"/>
                <w:sz w:val="21"/>
                <w:szCs w:val="24"/>
              </w:rPr>
              <w:t>预制管桩</w:t>
            </w:r>
          </w:p>
        </w:tc>
        <w:tc>
          <w:tcPr>
            <w:tcW w:w="5903" w:type="dxa"/>
            <w:tcBorders>
              <w:top w:val="single" w:color="000000" w:sz="4" w:space="0"/>
              <w:left w:val="single" w:color="000000" w:sz="4" w:space="0"/>
              <w:bottom w:val="single" w:color="000000" w:sz="4" w:space="0"/>
              <w:right w:val="single" w:color="000000" w:sz="4" w:space="0"/>
            </w:tcBorders>
          </w:tcPr>
          <w:p>
            <w:pPr>
              <w:pStyle w:val="27"/>
              <w:spacing w:line="360" w:lineRule="auto"/>
              <w:rPr>
                <w:rFonts w:ascii="宋体"/>
                <w:color w:val="auto"/>
                <w:sz w:val="21"/>
                <w:szCs w:val="24"/>
                <w:lang w:eastAsia="zh-CN"/>
              </w:rPr>
            </w:pPr>
            <w:r>
              <w:rPr>
                <w:rFonts w:hint="eastAsia" w:ascii="宋体"/>
                <w:color w:val="auto"/>
                <w:sz w:val="21"/>
                <w:szCs w:val="24"/>
                <w:lang w:eastAsia="zh-CN"/>
              </w:rPr>
              <w:t xml:space="preserve">广东建华管桩有限公司 </w:t>
            </w:r>
            <w:r>
              <w:rPr>
                <w:rFonts w:hint="eastAsia" w:ascii="宋体"/>
                <w:color w:val="auto"/>
                <w:sz w:val="21"/>
                <w:szCs w:val="24"/>
                <w:lang w:eastAsia="zh-CN"/>
              </w:rPr>
              <w:br w:type="textWrapping"/>
            </w:r>
            <w:r>
              <w:rPr>
                <w:rFonts w:hint="eastAsia" w:ascii="宋体"/>
                <w:color w:val="auto"/>
                <w:sz w:val="21"/>
                <w:szCs w:val="24"/>
                <w:lang w:eastAsia="zh-CN"/>
              </w:rPr>
              <w:t xml:space="preserve">广东宏基管桩有限公司 </w:t>
            </w:r>
            <w:r>
              <w:rPr>
                <w:rFonts w:hint="eastAsia" w:ascii="宋体"/>
                <w:color w:val="auto"/>
                <w:sz w:val="21"/>
                <w:szCs w:val="24"/>
                <w:lang w:eastAsia="zh-CN"/>
              </w:rPr>
              <w:br w:type="textWrapping"/>
            </w:r>
            <w:r>
              <w:rPr>
                <w:rFonts w:hint="eastAsia" w:ascii="宋体"/>
                <w:color w:val="auto"/>
                <w:sz w:val="21"/>
                <w:szCs w:val="24"/>
                <w:lang w:eastAsia="zh-CN"/>
              </w:rPr>
              <w:t>广州兴南华建材有限公司</w:t>
            </w:r>
            <w:r>
              <w:rPr>
                <w:rFonts w:ascii="宋体"/>
                <w:color w:val="auto"/>
                <w:sz w:val="21"/>
                <w:szCs w:val="24"/>
                <w:lang w:eastAsia="zh-CN"/>
              </w:rPr>
              <w:br w:type="textWrapping"/>
            </w:r>
            <w:r>
              <w:rPr>
                <w:rFonts w:hint="eastAsia" w:ascii="宋体"/>
                <w:color w:val="auto"/>
                <w:sz w:val="21"/>
                <w:szCs w:val="24"/>
                <w:lang w:eastAsia="zh-CN"/>
              </w:rPr>
              <w:t>惠州市三环构件有限公司</w:t>
            </w:r>
            <w:r>
              <w:rPr>
                <w:rFonts w:hint="eastAsia" w:ascii="宋体"/>
                <w:color w:val="auto"/>
                <w:sz w:val="21"/>
                <w:szCs w:val="24"/>
                <w:lang w:eastAsia="zh-CN"/>
              </w:rPr>
              <w:br w:type="textWrapping"/>
            </w:r>
            <w:r>
              <w:rPr>
                <w:rFonts w:hint="eastAsia" w:ascii="宋体"/>
                <w:color w:val="auto"/>
                <w:sz w:val="21"/>
                <w:szCs w:val="24"/>
                <w:lang w:eastAsia="zh-CN"/>
              </w:rPr>
              <w:t>中山市永成水泥制品有限公司</w:t>
            </w:r>
          </w:p>
        </w:tc>
      </w:tr>
      <w:tr>
        <w:tblPrEx>
          <w:tblLayout w:type="fixed"/>
          <w:tblCellMar>
            <w:top w:w="0" w:type="dxa"/>
            <w:left w:w="0" w:type="dxa"/>
            <w:bottom w:w="0" w:type="dxa"/>
            <w:right w:w="0" w:type="dxa"/>
          </w:tblCellMar>
        </w:tblPrEx>
        <w:tc>
          <w:tcPr>
            <w:tcW w:w="6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color w:val="auto"/>
                <w:sz w:val="21"/>
                <w:szCs w:val="24"/>
              </w:rPr>
            </w:pPr>
            <w:r>
              <w:rPr>
                <w:rFonts w:ascii="宋体"/>
                <w:color w:val="auto"/>
                <w:sz w:val="21"/>
                <w:szCs w:val="24"/>
              </w:rPr>
              <w:t>2</w:t>
            </w:r>
          </w:p>
        </w:tc>
        <w:tc>
          <w:tcPr>
            <w:tcW w:w="1957"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
              <w:jc w:val="center"/>
              <w:rPr>
                <w:rFonts w:ascii="宋体"/>
                <w:color w:val="auto"/>
                <w:sz w:val="21"/>
                <w:szCs w:val="24"/>
              </w:rPr>
            </w:pPr>
            <w:r>
              <w:rPr>
                <w:rFonts w:ascii="宋体"/>
                <w:color w:val="auto"/>
                <w:sz w:val="21"/>
                <w:szCs w:val="24"/>
              </w:rPr>
              <w:t>地面砖</w:t>
            </w:r>
          </w:p>
        </w:tc>
        <w:tc>
          <w:tcPr>
            <w:tcW w:w="5903" w:type="dxa"/>
            <w:tcBorders>
              <w:top w:val="single" w:color="000000" w:sz="4" w:space="0"/>
              <w:left w:val="single" w:color="000000" w:sz="4" w:space="0"/>
              <w:bottom w:val="single" w:color="000000" w:sz="4" w:space="0"/>
              <w:right w:val="single" w:color="000000" w:sz="4" w:space="0"/>
            </w:tcBorders>
          </w:tcPr>
          <w:p>
            <w:pPr>
              <w:pStyle w:val="27"/>
              <w:spacing w:line="360" w:lineRule="auto"/>
              <w:rPr>
                <w:rFonts w:ascii="宋体"/>
                <w:color w:val="auto"/>
                <w:sz w:val="21"/>
                <w:szCs w:val="24"/>
                <w:lang w:eastAsia="zh-CN"/>
              </w:rPr>
            </w:pPr>
            <w:r>
              <w:rPr>
                <w:rFonts w:hint="eastAsia" w:ascii="宋体"/>
                <w:color w:val="auto"/>
                <w:sz w:val="21"/>
                <w:szCs w:val="24"/>
                <w:lang w:eastAsia="zh-CN"/>
              </w:rPr>
              <w:t>广东宏威陶瓷实业有限公司（宏威）</w:t>
            </w:r>
            <w:r>
              <w:rPr>
                <w:rFonts w:ascii="宋体"/>
                <w:color w:val="auto"/>
                <w:sz w:val="21"/>
                <w:szCs w:val="24"/>
                <w:lang w:eastAsia="zh-CN"/>
              </w:rPr>
              <w:br w:type="textWrapping"/>
            </w:r>
            <w:r>
              <w:rPr>
                <w:rFonts w:hint="eastAsia" w:ascii="宋体"/>
                <w:color w:val="auto"/>
                <w:sz w:val="21"/>
                <w:szCs w:val="24"/>
                <w:lang w:eastAsia="zh-CN"/>
              </w:rPr>
              <w:t xml:space="preserve"> 广州市东鹏陶瓷有限责任公司（东鹏）</w:t>
            </w:r>
            <w:r>
              <w:rPr>
                <w:rFonts w:ascii="宋体"/>
                <w:color w:val="auto"/>
                <w:sz w:val="21"/>
                <w:szCs w:val="24"/>
                <w:lang w:eastAsia="zh-CN"/>
              </w:rPr>
              <w:br w:type="textWrapping"/>
            </w:r>
            <w:r>
              <w:rPr>
                <w:rFonts w:hint="eastAsia" w:ascii="宋体"/>
                <w:color w:val="auto"/>
                <w:sz w:val="21"/>
                <w:szCs w:val="24"/>
                <w:lang w:eastAsia="zh-CN"/>
              </w:rPr>
              <w:t>佛山石湾鹰牌陶瓷有限公司（鹰牌）</w:t>
            </w:r>
            <w:r>
              <w:rPr>
                <w:rFonts w:ascii="宋体"/>
                <w:color w:val="auto"/>
                <w:sz w:val="21"/>
                <w:szCs w:val="24"/>
                <w:lang w:eastAsia="zh-CN"/>
              </w:rPr>
              <w:br w:type="textWrapping"/>
            </w:r>
            <w:r>
              <w:rPr>
                <w:rFonts w:hint="eastAsia" w:ascii="宋体"/>
                <w:color w:val="auto"/>
                <w:sz w:val="21"/>
                <w:szCs w:val="24"/>
                <w:lang w:eastAsia="zh-CN"/>
              </w:rPr>
              <w:t>广东新明珠陶瓷集团有限公司（冠珠）</w:t>
            </w:r>
            <w:r>
              <w:rPr>
                <w:rFonts w:ascii="宋体"/>
                <w:color w:val="auto"/>
                <w:sz w:val="21"/>
                <w:szCs w:val="24"/>
                <w:lang w:eastAsia="zh-CN"/>
              </w:rPr>
              <w:br w:type="textWrapping"/>
            </w:r>
            <w:r>
              <w:rPr>
                <w:rFonts w:hint="eastAsia" w:ascii="宋体"/>
                <w:color w:val="auto"/>
                <w:sz w:val="21"/>
                <w:szCs w:val="24"/>
                <w:lang w:eastAsia="zh-CN"/>
              </w:rPr>
              <w:t xml:space="preserve"> 广东新中源陶瓷有限公司（新中源）</w:t>
            </w:r>
            <w:r>
              <w:rPr>
                <w:rFonts w:hint="eastAsia" w:ascii="宋体"/>
                <w:color w:val="auto"/>
                <w:sz w:val="21"/>
                <w:szCs w:val="24"/>
                <w:lang w:eastAsia="zh-CN"/>
              </w:rPr>
              <w:br w:type="textWrapping"/>
            </w:r>
            <w:r>
              <w:rPr>
                <w:rFonts w:hint="eastAsia" w:ascii="宋体"/>
                <w:color w:val="auto"/>
                <w:sz w:val="21"/>
                <w:szCs w:val="24"/>
                <w:lang w:eastAsia="zh-CN"/>
              </w:rPr>
              <w:t>佛山市大唐合盛陶瓷有限公司（大唐合盛）</w:t>
            </w:r>
            <w:r>
              <w:rPr>
                <w:rFonts w:ascii="宋体"/>
                <w:color w:val="auto"/>
                <w:sz w:val="21"/>
                <w:szCs w:val="24"/>
                <w:lang w:eastAsia="zh-CN"/>
              </w:rPr>
              <w:br w:type="textWrapping"/>
            </w:r>
            <w:r>
              <w:rPr>
                <w:rFonts w:hint="eastAsia" w:ascii="宋体"/>
                <w:color w:val="auto"/>
                <w:sz w:val="21"/>
                <w:szCs w:val="24"/>
                <w:lang w:eastAsia="zh-CN"/>
              </w:rPr>
              <w:t>广东宏宇陶瓷有限公司（宏宇）</w:t>
            </w:r>
            <w:r>
              <w:rPr>
                <w:rFonts w:hint="eastAsia" w:ascii="宋体"/>
                <w:color w:val="auto"/>
                <w:sz w:val="21"/>
                <w:szCs w:val="24"/>
                <w:lang w:eastAsia="zh-CN"/>
              </w:rPr>
              <w:br w:type="textWrapping"/>
            </w:r>
            <w:r>
              <w:rPr>
                <w:rFonts w:hint="eastAsia" w:ascii="宋体"/>
                <w:color w:val="auto"/>
                <w:sz w:val="21"/>
                <w:szCs w:val="24"/>
                <w:lang w:eastAsia="zh-CN"/>
              </w:rPr>
              <w:t>广东华夏瓷艺建材有限公司（华夏）</w:t>
            </w:r>
            <w:r>
              <w:rPr>
                <w:rFonts w:hint="eastAsia" w:ascii="宋体"/>
                <w:color w:val="auto"/>
                <w:sz w:val="21"/>
                <w:szCs w:val="24"/>
                <w:lang w:eastAsia="zh-CN"/>
              </w:rPr>
              <w:br w:type="textWrapping"/>
            </w:r>
            <w:r>
              <w:rPr>
                <w:rFonts w:hint="eastAsia" w:ascii="宋体"/>
                <w:color w:val="auto"/>
                <w:sz w:val="21"/>
                <w:szCs w:val="24"/>
                <w:lang w:eastAsia="zh-CN"/>
              </w:rPr>
              <w:t>肇庆市将军陶瓷有限公司（大将军）</w:t>
            </w:r>
          </w:p>
        </w:tc>
      </w:tr>
      <w:tr>
        <w:tblPrEx>
          <w:tblLayout w:type="fixed"/>
          <w:tblCellMar>
            <w:top w:w="0" w:type="dxa"/>
            <w:left w:w="0" w:type="dxa"/>
            <w:bottom w:w="0" w:type="dxa"/>
            <w:right w:w="0" w:type="dxa"/>
          </w:tblCellMar>
        </w:tblPrEx>
        <w:trPr>
          <w:trHeight w:val="988" w:hRule="atLeast"/>
        </w:trPr>
        <w:tc>
          <w:tcPr>
            <w:tcW w:w="6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color w:val="auto"/>
                <w:sz w:val="21"/>
                <w:szCs w:val="24"/>
              </w:rPr>
            </w:pPr>
            <w:r>
              <w:rPr>
                <w:rFonts w:ascii="宋体"/>
                <w:color w:val="auto"/>
                <w:sz w:val="21"/>
                <w:szCs w:val="24"/>
              </w:rPr>
              <w:t>3</w:t>
            </w:r>
          </w:p>
        </w:tc>
        <w:tc>
          <w:tcPr>
            <w:tcW w:w="1957"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color w:val="auto"/>
                <w:sz w:val="21"/>
                <w:szCs w:val="24"/>
              </w:rPr>
            </w:pPr>
            <w:r>
              <w:rPr>
                <w:rFonts w:ascii="宋体"/>
                <w:color w:val="auto"/>
                <w:sz w:val="21"/>
                <w:szCs w:val="24"/>
              </w:rPr>
              <w:t>内墙瓷砖</w:t>
            </w:r>
          </w:p>
        </w:tc>
        <w:tc>
          <w:tcPr>
            <w:tcW w:w="5903" w:type="dxa"/>
            <w:tcBorders>
              <w:top w:val="single" w:color="000000" w:sz="4" w:space="0"/>
              <w:left w:val="single" w:color="000000" w:sz="4" w:space="0"/>
              <w:bottom w:val="single" w:color="000000" w:sz="4" w:space="0"/>
              <w:right w:val="single" w:color="000000" w:sz="4" w:space="0"/>
            </w:tcBorders>
          </w:tcPr>
          <w:p>
            <w:pPr>
              <w:pStyle w:val="27"/>
              <w:spacing w:line="360" w:lineRule="auto"/>
              <w:rPr>
                <w:rFonts w:ascii="宋体"/>
                <w:color w:val="auto"/>
                <w:sz w:val="21"/>
                <w:szCs w:val="24"/>
                <w:lang w:eastAsia="zh-CN"/>
              </w:rPr>
            </w:pPr>
            <w:r>
              <w:rPr>
                <w:rFonts w:hint="eastAsia" w:ascii="宋体"/>
                <w:color w:val="auto"/>
                <w:sz w:val="21"/>
                <w:szCs w:val="24"/>
                <w:lang w:eastAsia="zh-CN"/>
              </w:rPr>
              <w:t xml:space="preserve">广东宏威陶瓷实业有限公司（宏威） </w:t>
            </w:r>
            <w:r>
              <w:rPr>
                <w:rFonts w:hint="eastAsia" w:ascii="宋体"/>
                <w:color w:val="auto"/>
                <w:sz w:val="21"/>
                <w:szCs w:val="24"/>
                <w:lang w:eastAsia="zh-CN"/>
              </w:rPr>
              <w:br w:type="textWrapping"/>
            </w:r>
            <w:r>
              <w:rPr>
                <w:rFonts w:hint="eastAsia" w:ascii="宋体"/>
                <w:color w:val="auto"/>
                <w:sz w:val="21"/>
                <w:szCs w:val="24"/>
                <w:lang w:eastAsia="zh-CN"/>
              </w:rPr>
              <w:t>广州市东鹏陶瓷有限责任公司（东鹏）</w:t>
            </w:r>
            <w:r>
              <w:rPr>
                <w:rFonts w:ascii="宋体"/>
                <w:color w:val="auto"/>
                <w:sz w:val="21"/>
                <w:szCs w:val="24"/>
                <w:lang w:eastAsia="zh-CN"/>
              </w:rPr>
              <w:br w:type="textWrapping"/>
            </w:r>
            <w:r>
              <w:rPr>
                <w:rFonts w:hint="eastAsia" w:ascii="宋体"/>
                <w:color w:val="auto"/>
                <w:sz w:val="21"/>
                <w:szCs w:val="24"/>
                <w:lang w:eastAsia="zh-CN"/>
              </w:rPr>
              <w:t>佛山石湾鹰牌陶瓷有限公司（鹰牌）</w:t>
            </w:r>
            <w:r>
              <w:rPr>
                <w:rFonts w:ascii="宋体"/>
                <w:color w:val="auto"/>
                <w:sz w:val="21"/>
                <w:szCs w:val="24"/>
                <w:lang w:eastAsia="zh-CN"/>
              </w:rPr>
              <w:br w:type="textWrapping"/>
            </w:r>
            <w:r>
              <w:rPr>
                <w:rFonts w:hint="eastAsia" w:ascii="宋体"/>
                <w:color w:val="auto"/>
                <w:sz w:val="21"/>
                <w:szCs w:val="24"/>
                <w:lang w:eastAsia="zh-CN"/>
              </w:rPr>
              <w:t>广东新明珠陶瓷集团有限公司（冠珠）</w:t>
            </w:r>
            <w:r>
              <w:rPr>
                <w:rFonts w:ascii="宋体"/>
                <w:color w:val="auto"/>
                <w:sz w:val="21"/>
                <w:szCs w:val="24"/>
                <w:lang w:eastAsia="zh-CN"/>
              </w:rPr>
              <w:br w:type="textWrapping"/>
            </w:r>
            <w:r>
              <w:rPr>
                <w:rFonts w:hint="eastAsia" w:ascii="宋体"/>
                <w:color w:val="auto"/>
                <w:sz w:val="21"/>
                <w:szCs w:val="24"/>
                <w:lang w:eastAsia="zh-CN"/>
              </w:rPr>
              <w:t xml:space="preserve"> 广东新中源陶瓷有限公司（新中源）</w:t>
            </w:r>
            <w:r>
              <w:rPr>
                <w:rFonts w:hint="eastAsia" w:ascii="宋体"/>
                <w:color w:val="auto"/>
                <w:sz w:val="21"/>
                <w:szCs w:val="24"/>
                <w:lang w:eastAsia="zh-CN"/>
              </w:rPr>
              <w:br w:type="textWrapping"/>
            </w:r>
            <w:r>
              <w:rPr>
                <w:rFonts w:hint="eastAsia" w:ascii="宋体"/>
                <w:color w:val="auto"/>
                <w:sz w:val="21"/>
                <w:szCs w:val="24"/>
                <w:lang w:eastAsia="zh-CN"/>
              </w:rPr>
              <w:t>佛山市大唐合盛陶瓷有限公司（大唐合盛）</w:t>
            </w:r>
            <w:r>
              <w:rPr>
                <w:rFonts w:ascii="宋体"/>
                <w:color w:val="auto"/>
                <w:sz w:val="21"/>
                <w:szCs w:val="24"/>
                <w:lang w:eastAsia="zh-CN"/>
              </w:rPr>
              <w:br w:type="textWrapping"/>
            </w:r>
            <w:r>
              <w:rPr>
                <w:rFonts w:hint="eastAsia" w:ascii="宋体"/>
                <w:color w:val="auto"/>
                <w:sz w:val="21"/>
                <w:szCs w:val="24"/>
                <w:lang w:eastAsia="zh-CN"/>
              </w:rPr>
              <w:t>广东宏宇陶瓷有限公司（宏宇）</w:t>
            </w:r>
            <w:r>
              <w:rPr>
                <w:rFonts w:hint="eastAsia" w:ascii="宋体"/>
                <w:color w:val="auto"/>
                <w:sz w:val="21"/>
                <w:szCs w:val="24"/>
                <w:lang w:eastAsia="zh-CN"/>
              </w:rPr>
              <w:br w:type="textWrapping"/>
            </w:r>
            <w:r>
              <w:rPr>
                <w:rFonts w:hint="eastAsia" w:ascii="宋体"/>
                <w:color w:val="auto"/>
                <w:sz w:val="21"/>
                <w:szCs w:val="24"/>
                <w:lang w:eastAsia="zh-CN"/>
              </w:rPr>
              <w:t>广东华夏瓷艺建材有限公司（华夏）</w:t>
            </w:r>
            <w:r>
              <w:rPr>
                <w:rFonts w:hint="eastAsia" w:ascii="宋体"/>
                <w:color w:val="auto"/>
                <w:sz w:val="21"/>
                <w:szCs w:val="24"/>
                <w:lang w:eastAsia="zh-CN"/>
              </w:rPr>
              <w:br w:type="textWrapping"/>
            </w:r>
            <w:r>
              <w:rPr>
                <w:rFonts w:hint="eastAsia" w:ascii="宋体"/>
                <w:color w:val="auto"/>
                <w:sz w:val="21"/>
                <w:szCs w:val="24"/>
                <w:lang w:eastAsia="zh-CN"/>
              </w:rPr>
              <w:t>肇庆市将军陶瓷有限公司（大将军）</w:t>
            </w:r>
          </w:p>
        </w:tc>
      </w:tr>
      <w:tr>
        <w:tblPrEx>
          <w:tblLayout w:type="fixed"/>
          <w:tblCellMar>
            <w:top w:w="0" w:type="dxa"/>
            <w:left w:w="0" w:type="dxa"/>
            <w:bottom w:w="0" w:type="dxa"/>
            <w:right w:w="0" w:type="dxa"/>
          </w:tblCellMar>
        </w:tblPrEx>
        <w:tc>
          <w:tcPr>
            <w:tcW w:w="6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color w:val="auto"/>
                <w:sz w:val="21"/>
                <w:szCs w:val="24"/>
              </w:rPr>
            </w:pPr>
            <w:r>
              <w:rPr>
                <w:rFonts w:ascii="宋体"/>
                <w:color w:val="auto"/>
                <w:sz w:val="21"/>
                <w:szCs w:val="24"/>
              </w:rPr>
              <w:t>4</w:t>
            </w:r>
          </w:p>
        </w:tc>
        <w:tc>
          <w:tcPr>
            <w:tcW w:w="1957"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
              <w:jc w:val="center"/>
              <w:rPr>
                <w:rFonts w:ascii="宋体"/>
                <w:color w:val="auto"/>
                <w:sz w:val="21"/>
                <w:szCs w:val="24"/>
              </w:rPr>
            </w:pPr>
            <w:r>
              <w:rPr>
                <w:rFonts w:ascii="宋体"/>
                <w:color w:val="auto"/>
                <w:sz w:val="21"/>
                <w:szCs w:val="24"/>
              </w:rPr>
              <w:t>外墙砖</w:t>
            </w:r>
          </w:p>
        </w:tc>
        <w:tc>
          <w:tcPr>
            <w:tcW w:w="5903" w:type="dxa"/>
            <w:tcBorders>
              <w:top w:val="single" w:color="000000" w:sz="4" w:space="0"/>
              <w:left w:val="single" w:color="000000" w:sz="4" w:space="0"/>
              <w:bottom w:val="single" w:color="000000" w:sz="4" w:space="0"/>
              <w:right w:val="single" w:color="000000" w:sz="4" w:space="0"/>
            </w:tcBorders>
          </w:tcPr>
          <w:p>
            <w:pPr>
              <w:pStyle w:val="27"/>
              <w:spacing w:line="360" w:lineRule="auto"/>
              <w:rPr>
                <w:rFonts w:ascii="宋体"/>
                <w:color w:val="auto"/>
                <w:sz w:val="21"/>
                <w:szCs w:val="24"/>
                <w:lang w:eastAsia="zh-CN"/>
              </w:rPr>
            </w:pPr>
            <w:r>
              <w:rPr>
                <w:rFonts w:hint="eastAsia" w:ascii="宋体"/>
                <w:color w:val="auto"/>
                <w:sz w:val="21"/>
                <w:szCs w:val="24"/>
                <w:lang w:eastAsia="zh-CN"/>
              </w:rPr>
              <w:t>佛山市新东龙陶瓷有限公司（龙驹）</w:t>
            </w:r>
            <w:r>
              <w:rPr>
                <w:rFonts w:ascii="宋体"/>
                <w:color w:val="auto"/>
                <w:sz w:val="21"/>
                <w:szCs w:val="24"/>
                <w:lang w:eastAsia="zh-CN"/>
              </w:rPr>
              <w:br w:type="textWrapping"/>
            </w:r>
            <w:r>
              <w:rPr>
                <w:rFonts w:hint="eastAsia" w:ascii="宋体"/>
                <w:color w:val="auto"/>
                <w:sz w:val="21"/>
                <w:szCs w:val="24"/>
                <w:lang w:eastAsia="zh-CN"/>
              </w:rPr>
              <w:t>广东新明珠陶瓷集团有限公司（冠珠）</w:t>
            </w:r>
            <w:r>
              <w:rPr>
                <w:rFonts w:ascii="宋体"/>
                <w:color w:val="auto"/>
                <w:sz w:val="21"/>
                <w:szCs w:val="24"/>
                <w:lang w:eastAsia="zh-CN"/>
              </w:rPr>
              <w:br w:type="textWrapping"/>
            </w:r>
            <w:r>
              <w:rPr>
                <w:rFonts w:hint="eastAsia" w:ascii="宋体"/>
                <w:color w:val="auto"/>
                <w:sz w:val="21"/>
                <w:szCs w:val="24"/>
                <w:lang w:eastAsia="zh-CN"/>
              </w:rPr>
              <w:t xml:space="preserve">珠海市白兔陶瓷有限公司（白兔） </w:t>
            </w:r>
            <w:r>
              <w:rPr>
                <w:rFonts w:hint="eastAsia" w:ascii="宋体"/>
                <w:color w:val="auto"/>
                <w:sz w:val="21"/>
                <w:szCs w:val="24"/>
                <w:lang w:eastAsia="zh-CN"/>
              </w:rPr>
              <w:br w:type="textWrapping"/>
            </w:r>
            <w:r>
              <w:rPr>
                <w:rFonts w:hint="eastAsia" w:ascii="宋体"/>
                <w:color w:val="auto"/>
                <w:sz w:val="21"/>
                <w:szCs w:val="24"/>
                <w:lang w:eastAsia="zh-CN"/>
              </w:rPr>
              <w:t>广东宏宇陶瓷有限公司（宏宇）</w:t>
            </w:r>
            <w:r>
              <w:rPr>
                <w:rFonts w:hint="eastAsia" w:ascii="宋体"/>
                <w:color w:val="auto"/>
                <w:sz w:val="21"/>
                <w:szCs w:val="24"/>
                <w:lang w:eastAsia="zh-CN"/>
              </w:rPr>
              <w:br w:type="textWrapping"/>
            </w:r>
            <w:r>
              <w:rPr>
                <w:rFonts w:hint="eastAsia" w:ascii="宋体"/>
                <w:color w:val="auto"/>
                <w:sz w:val="21"/>
                <w:szCs w:val="24"/>
                <w:lang w:eastAsia="zh-CN"/>
              </w:rPr>
              <w:t>广东华夏瓷艺建材有限公司（华夏）</w:t>
            </w:r>
            <w:r>
              <w:rPr>
                <w:rFonts w:hint="eastAsia" w:ascii="宋体"/>
                <w:color w:val="auto"/>
                <w:sz w:val="21"/>
                <w:szCs w:val="24"/>
                <w:lang w:eastAsia="zh-CN"/>
              </w:rPr>
              <w:br w:type="textWrapping"/>
            </w:r>
            <w:r>
              <w:rPr>
                <w:rFonts w:hint="eastAsia" w:ascii="宋体"/>
                <w:color w:val="auto"/>
                <w:sz w:val="21"/>
                <w:szCs w:val="24"/>
                <w:lang w:eastAsia="zh-CN"/>
              </w:rPr>
              <w:t>肇庆市将军陶瓷有限公司（大将军）</w:t>
            </w:r>
            <w:r>
              <w:rPr>
                <w:rFonts w:hint="eastAsia" w:ascii="宋体"/>
                <w:color w:val="auto"/>
                <w:sz w:val="21"/>
                <w:szCs w:val="24"/>
                <w:lang w:eastAsia="zh-CN"/>
              </w:rPr>
              <w:br w:type="textWrapping"/>
            </w:r>
            <w:r>
              <w:rPr>
                <w:rFonts w:hint="eastAsia" w:ascii="宋体"/>
                <w:color w:val="auto"/>
                <w:sz w:val="21"/>
                <w:szCs w:val="24"/>
                <w:lang w:eastAsia="zh-CN"/>
              </w:rPr>
              <w:t>广宁广陶陶瓷有限公司（广陶）</w:t>
            </w:r>
          </w:p>
        </w:tc>
      </w:tr>
      <w:tr>
        <w:tblPrEx>
          <w:tblLayout w:type="fixed"/>
          <w:tblCellMar>
            <w:top w:w="0" w:type="dxa"/>
            <w:left w:w="0" w:type="dxa"/>
            <w:bottom w:w="0" w:type="dxa"/>
            <w:right w:w="0" w:type="dxa"/>
          </w:tblCellMar>
        </w:tblPrEx>
        <w:tc>
          <w:tcPr>
            <w:tcW w:w="6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color w:val="auto"/>
                <w:sz w:val="21"/>
                <w:szCs w:val="24"/>
              </w:rPr>
            </w:pPr>
            <w:r>
              <w:rPr>
                <w:rFonts w:ascii="宋体"/>
                <w:color w:val="auto"/>
                <w:sz w:val="21"/>
                <w:szCs w:val="24"/>
              </w:rPr>
              <w:t>5</w:t>
            </w:r>
          </w:p>
        </w:tc>
        <w:tc>
          <w:tcPr>
            <w:tcW w:w="1957"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color w:val="auto"/>
                <w:sz w:val="21"/>
                <w:szCs w:val="24"/>
              </w:rPr>
            </w:pPr>
            <w:r>
              <w:rPr>
                <w:rFonts w:ascii="宋体"/>
                <w:color w:val="auto"/>
                <w:sz w:val="21"/>
                <w:szCs w:val="24"/>
              </w:rPr>
              <w:t>铝合金门窗</w:t>
            </w:r>
          </w:p>
        </w:tc>
        <w:tc>
          <w:tcPr>
            <w:tcW w:w="5903" w:type="dxa"/>
            <w:tcBorders>
              <w:top w:val="single" w:color="000000" w:sz="4" w:space="0"/>
              <w:left w:val="single" w:color="000000" w:sz="4" w:space="0"/>
              <w:bottom w:val="single" w:color="000000" w:sz="4" w:space="0"/>
              <w:right w:val="single" w:color="000000" w:sz="4" w:space="0"/>
            </w:tcBorders>
          </w:tcPr>
          <w:p>
            <w:pPr>
              <w:pStyle w:val="27"/>
              <w:spacing w:line="360" w:lineRule="auto"/>
              <w:ind w:left="1"/>
              <w:rPr>
                <w:rFonts w:ascii="宋体"/>
                <w:color w:val="auto"/>
                <w:sz w:val="21"/>
                <w:szCs w:val="24"/>
                <w:lang w:eastAsia="zh-CN"/>
              </w:rPr>
            </w:pPr>
            <w:r>
              <w:rPr>
                <w:rFonts w:hint="eastAsia" w:ascii="宋体"/>
                <w:color w:val="auto"/>
                <w:sz w:val="21"/>
                <w:szCs w:val="24"/>
                <w:lang w:eastAsia="zh-CN"/>
              </w:rPr>
              <w:t>广铝集团有限公司（前进牌）</w:t>
            </w:r>
            <w:r>
              <w:rPr>
                <w:rFonts w:hint="eastAsia" w:ascii="宋体"/>
                <w:color w:val="auto"/>
                <w:sz w:val="21"/>
                <w:szCs w:val="24"/>
                <w:lang w:eastAsia="zh-CN"/>
              </w:rPr>
              <w:br w:type="textWrapping"/>
            </w:r>
            <w:r>
              <w:rPr>
                <w:rFonts w:hint="eastAsia" w:ascii="宋体"/>
                <w:color w:val="auto"/>
                <w:sz w:val="21"/>
                <w:szCs w:val="24"/>
                <w:lang w:eastAsia="zh-CN"/>
              </w:rPr>
              <w:t>广东凤铝铝业有限公司（凤铝）</w:t>
            </w:r>
            <w:r>
              <w:rPr>
                <w:rFonts w:ascii="宋体"/>
                <w:color w:val="auto"/>
                <w:sz w:val="21"/>
                <w:szCs w:val="24"/>
                <w:lang w:eastAsia="zh-CN"/>
              </w:rPr>
              <w:br w:type="textWrapping"/>
            </w:r>
            <w:r>
              <w:rPr>
                <w:rFonts w:hint="eastAsia" w:ascii="宋体"/>
                <w:color w:val="auto"/>
                <w:sz w:val="21"/>
                <w:szCs w:val="24"/>
                <w:lang w:eastAsia="zh-CN"/>
              </w:rPr>
              <w:t>肇庆新中亚铝材有限公司（亚亚牌）</w:t>
            </w:r>
            <w:r>
              <w:rPr>
                <w:rFonts w:hint="eastAsia" w:ascii="宋体"/>
                <w:color w:val="auto"/>
                <w:sz w:val="21"/>
                <w:szCs w:val="24"/>
                <w:lang w:eastAsia="zh-CN"/>
              </w:rPr>
              <w:br w:type="textWrapping"/>
            </w:r>
            <w:r>
              <w:rPr>
                <w:rFonts w:hint="eastAsia" w:ascii="宋体"/>
                <w:color w:val="auto"/>
                <w:sz w:val="21"/>
                <w:szCs w:val="24"/>
                <w:lang w:eastAsia="zh-CN"/>
              </w:rPr>
              <w:t>广东兴发铝业有限公司（兴发）</w:t>
            </w:r>
            <w:r>
              <w:rPr>
                <w:rFonts w:hint="eastAsia" w:ascii="宋体"/>
                <w:color w:val="auto"/>
                <w:sz w:val="21"/>
                <w:szCs w:val="24"/>
                <w:lang w:eastAsia="zh-CN"/>
              </w:rPr>
              <w:br w:type="textWrapping"/>
            </w:r>
            <w:r>
              <w:rPr>
                <w:rFonts w:hint="eastAsia" w:ascii="宋体"/>
                <w:color w:val="auto"/>
                <w:sz w:val="21"/>
                <w:szCs w:val="24"/>
                <w:lang w:eastAsia="zh-CN"/>
              </w:rPr>
              <w:t>广东坚美铝型材厂（集团）有限公司（坚美）</w:t>
            </w:r>
          </w:p>
        </w:tc>
      </w:tr>
      <w:tr>
        <w:tblPrEx>
          <w:tblLayout w:type="fixed"/>
          <w:tblCellMar>
            <w:top w:w="0" w:type="dxa"/>
            <w:left w:w="0" w:type="dxa"/>
            <w:bottom w:w="0" w:type="dxa"/>
            <w:right w:w="0" w:type="dxa"/>
          </w:tblCellMar>
        </w:tblPrEx>
        <w:tc>
          <w:tcPr>
            <w:tcW w:w="6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color w:val="auto"/>
                <w:sz w:val="21"/>
                <w:szCs w:val="24"/>
              </w:rPr>
            </w:pPr>
            <w:r>
              <w:rPr>
                <w:rFonts w:ascii="宋体"/>
                <w:color w:val="auto"/>
                <w:sz w:val="21"/>
                <w:szCs w:val="24"/>
              </w:rPr>
              <w:t>6</w:t>
            </w:r>
          </w:p>
        </w:tc>
        <w:tc>
          <w:tcPr>
            <w:tcW w:w="1957"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室内普通乳胶漆（工程漆）</w:t>
            </w:r>
          </w:p>
        </w:tc>
        <w:tc>
          <w:tcPr>
            <w:tcW w:w="5903" w:type="dxa"/>
            <w:tcBorders>
              <w:top w:val="single" w:color="000000" w:sz="4" w:space="0"/>
              <w:left w:val="single" w:color="000000" w:sz="4" w:space="0"/>
              <w:bottom w:val="single" w:color="000000" w:sz="4" w:space="0"/>
              <w:right w:val="single" w:color="000000" w:sz="4" w:space="0"/>
            </w:tcBorders>
          </w:tcPr>
          <w:p>
            <w:pPr>
              <w:pStyle w:val="27"/>
              <w:spacing w:line="360" w:lineRule="auto"/>
              <w:ind w:left="1"/>
              <w:rPr>
                <w:rFonts w:ascii="宋体"/>
                <w:color w:val="auto"/>
                <w:sz w:val="21"/>
                <w:szCs w:val="24"/>
                <w:lang w:eastAsia="zh-CN"/>
              </w:rPr>
            </w:pPr>
            <w:r>
              <w:rPr>
                <w:rFonts w:hint="eastAsia" w:ascii="宋体"/>
                <w:color w:val="auto"/>
                <w:sz w:val="21"/>
                <w:szCs w:val="24"/>
                <w:lang w:eastAsia="zh-CN"/>
              </w:rPr>
              <w:t>卜内门太古漆油（中国）有限公司（多乐士）</w:t>
            </w:r>
            <w:r>
              <w:rPr>
                <w:rFonts w:hint="eastAsia" w:ascii="宋体"/>
                <w:color w:val="auto"/>
                <w:sz w:val="21"/>
                <w:szCs w:val="24"/>
                <w:lang w:eastAsia="zh-CN"/>
              </w:rPr>
              <w:br w:type="textWrapping"/>
            </w:r>
            <w:r>
              <w:rPr>
                <w:rFonts w:hint="eastAsia" w:ascii="宋体"/>
                <w:color w:val="auto"/>
                <w:sz w:val="21"/>
                <w:szCs w:val="24"/>
                <w:lang w:eastAsia="zh-CN"/>
              </w:rPr>
              <w:t>南方牌乳胶漆</w:t>
            </w:r>
            <w:r>
              <w:rPr>
                <w:rFonts w:hint="eastAsia" w:ascii="宋体"/>
                <w:color w:val="auto"/>
                <w:sz w:val="21"/>
                <w:szCs w:val="24"/>
                <w:lang w:eastAsia="zh-CN"/>
              </w:rPr>
              <w:br w:type="textWrapping"/>
            </w:r>
            <w:r>
              <w:rPr>
                <w:rFonts w:hint="eastAsia" w:ascii="宋体"/>
                <w:color w:val="auto"/>
                <w:sz w:val="21"/>
                <w:szCs w:val="24"/>
                <w:lang w:eastAsia="zh-CN"/>
              </w:rPr>
              <w:t>广州市诺宝涂料有限公司（诺宝）</w:t>
            </w:r>
            <w:r>
              <w:rPr>
                <w:rFonts w:hint="eastAsia" w:ascii="宋体"/>
                <w:color w:val="auto"/>
                <w:sz w:val="21"/>
                <w:szCs w:val="24"/>
                <w:lang w:eastAsia="zh-CN"/>
              </w:rPr>
              <w:br w:type="textWrapping"/>
            </w:r>
            <w:r>
              <w:rPr>
                <w:rFonts w:hint="eastAsia" w:ascii="宋体"/>
                <w:color w:val="auto"/>
                <w:sz w:val="21"/>
                <w:szCs w:val="24"/>
                <w:lang w:eastAsia="zh-CN"/>
              </w:rPr>
              <w:t>三棵树涂料股份有限公司（三棵树）</w:t>
            </w:r>
            <w:r>
              <w:rPr>
                <w:rFonts w:hint="eastAsia" w:ascii="宋体"/>
                <w:color w:val="auto"/>
                <w:sz w:val="21"/>
                <w:szCs w:val="24"/>
                <w:lang w:eastAsia="zh-CN"/>
              </w:rPr>
              <w:br w:type="textWrapping"/>
            </w:r>
            <w:r>
              <w:rPr>
                <w:rFonts w:hint="eastAsia" w:ascii="宋体"/>
                <w:color w:val="auto"/>
                <w:sz w:val="21"/>
                <w:szCs w:val="24"/>
                <w:lang w:eastAsia="zh-CN"/>
              </w:rPr>
              <w:t>广东狮子涂料有限公司（狮子）</w:t>
            </w:r>
          </w:p>
        </w:tc>
      </w:tr>
      <w:tr>
        <w:tblPrEx>
          <w:tblLayout w:type="fixed"/>
          <w:tblCellMar>
            <w:top w:w="0" w:type="dxa"/>
            <w:left w:w="0" w:type="dxa"/>
            <w:bottom w:w="0" w:type="dxa"/>
            <w:right w:w="0" w:type="dxa"/>
          </w:tblCellMar>
        </w:tblPrEx>
        <w:tc>
          <w:tcPr>
            <w:tcW w:w="66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color w:val="auto"/>
                <w:sz w:val="21"/>
                <w:szCs w:val="24"/>
              </w:rPr>
            </w:pPr>
            <w:r>
              <w:rPr>
                <w:rFonts w:ascii="宋体"/>
                <w:color w:val="auto"/>
                <w:sz w:val="21"/>
                <w:szCs w:val="24"/>
              </w:rPr>
              <w:t>7</w:t>
            </w:r>
          </w:p>
        </w:tc>
        <w:tc>
          <w:tcPr>
            <w:tcW w:w="1957"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
              <w:jc w:val="center"/>
              <w:rPr>
                <w:rFonts w:ascii="宋体"/>
                <w:color w:val="auto"/>
                <w:sz w:val="21"/>
                <w:szCs w:val="24"/>
              </w:rPr>
            </w:pPr>
            <w:r>
              <w:rPr>
                <w:rFonts w:ascii="宋体"/>
                <w:color w:val="auto"/>
                <w:sz w:val="21"/>
                <w:szCs w:val="24"/>
              </w:rPr>
              <w:t>玻璃</w:t>
            </w:r>
          </w:p>
        </w:tc>
        <w:tc>
          <w:tcPr>
            <w:tcW w:w="590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
              <w:rPr>
                <w:rFonts w:ascii="宋体"/>
                <w:color w:val="auto"/>
                <w:sz w:val="21"/>
                <w:szCs w:val="24"/>
                <w:lang w:eastAsia="zh-CN"/>
              </w:rPr>
            </w:pPr>
            <w:r>
              <w:rPr>
                <w:rFonts w:hint="eastAsia" w:ascii="宋体"/>
                <w:color w:val="auto"/>
                <w:sz w:val="21"/>
                <w:szCs w:val="24"/>
                <w:lang w:eastAsia="zh-CN"/>
              </w:rPr>
              <w:t>信义玻璃工程（东莞）有限公司、江门恒辉镀膜玻璃有限公司、佛山市中南罗森玻璃有限公司、广州通用玻璃有限公司、惠州市昊扬实业有限公司、广州顺之发玻璃有限公司</w:t>
            </w:r>
          </w:p>
        </w:tc>
      </w:tr>
    </w:tbl>
    <w:p>
      <w:pPr>
        <w:rPr>
          <w:rFonts w:ascii="宋体" w:hAnsi="宋体" w:eastAsia="宋体" w:cs="宋体"/>
          <w:color w:val="auto"/>
          <w:sz w:val="20"/>
          <w:szCs w:val="20"/>
          <w:lang w:eastAsia="zh-CN"/>
        </w:rPr>
      </w:pPr>
    </w:p>
    <w:p>
      <w:pPr>
        <w:pStyle w:val="33"/>
        <w:rPr>
          <w:color w:val="auto"/>
        </w:rPr>
      </w:pPr>
      <w:r>
        <w:rPr>
          <w:color w:val="auto"/>
        </w:rPr>
        <w:t>厂区用房机电材料</w:t>
      </w:r>
    </w:p>
    <w:tbl>
      <w:tblPr>
        <w:tblStyle w:val="23"/>
        <w:tblW w:w="9720" w:type="dxa"/>
        <w:tblInd w:w="93" w:type="dxa"/>
        <w:tblLayout w:type="fixed"/>
        <w:tblCellMar>
          <w:top w:w="0" w:type="dxa"/>
          <w:left w:w="108" w:type="dxa"/>
          <w:bottom w:w="0" w:type="dxa"/>
          <w:right w:w="108" w:type="dxa"/>
        </w:tblCellMar>
      </w:tblPr>
      <w:tblGrid>
        <w:gridCol w:w="432"/>
        <w:gridCol w:w="2942"/>
        <w:gridCol w:w="6346"/>
      </w:tblGrid>
      <w:tr>
        <w:tblPrEx>
          <w:tblLayout w:type="fixed"/>
          <w:tblCellMar>
            <w:top w:w="0" w:type="dxa"/>
            <w:left w:w="108" w:type="dxa"/>
            <w:bottom w:w="0" w:type="dxa"/>
            <w:right w:w="108" w:type="dxa"/>
          </w:tblCellMar>
        </w:tblPrEx>
        <w:trPr>
          <w:trHeight w:val="285" w:hRule="atLeast"/>
        </w:trPr>
        <w:tc>
          <w:tcPr>
            <w:tcW w:w="972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rPr>
                <w:rFonts w:ascii="宋体"/>
                <w:color w:val="auto"/>
                <w:sz w:val="21"/>
                <w:szCs w:val="24"/>
                <w:lang w:eastAsia="zh-CN"/>
              </w:rPr>
            </w:pPr>
            <w:r>
              <w:rPr>
                <w:rFonts w:hint="eastAsia" w:ascii="宋体"/>
                <w:b/>
                <w:bCs/>
                <w:color w:val="auto"/>
                <w:sz w:val="21"/>
                <w:szCs w:val="24"/>
                <w:lang w:eastAsia="zh-CN"/>
              </w:rPr>
              <w:t>一、厂区用房机电材料</w:t>
            </w:r>
          </w:p>
        </w:tc>
      </w:tr>
      <w:tr>
        <w:tblPrEx>
          <w:tblLayout w:type="fixed"/>
          <w:tblCellMar>
            <w:top w:w="0" w:type="dxa"/>
            <w:left w:w="108" w:type="dxa"/>
            <w:bottom w:w="0" w:type="dxa"/>
            <w:right w:w="108" w:type="dxa"/>
          </w:tblCellMar>
        </w:tblPrEx>
        <w:trPr>
          <w:trHeight w:val="780"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1</w:t>
            </w:r>
          </w:p>
        </w:tc>
        <w:tc>
          <w:tcPr>
            <w:tcW w:w="294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 xml:space="preserve">配电箱 </w:t>
            </w:r>
            <w:r>
              <w:rPr>
                <w:rFonts w:ascii="宋体"/>
                <w:color w:val="auto"/>
                <w:sz w:val="21"/>
                <w:szCs w:val="24"/>
                <w:lang w:eastAsia="zh-CN"/>
              </w:rPr>
              <w:br w:type="textWrapping"/>
            </w:r>
            <w:r>
              <w:rPr>
                <w:rFonts w:ascii="宋体"/>
                <w:color w:val="auto"/>
                <w:sz w:val="21"/>
                <w:szCs w:val="24"/>
                <w:lang w:eastAsia="zh-CN"/>
              </w:rPr>
              <w:t>（参数施工图时提供）</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ascii="宋体"/>
                <w:color w:val="auto"/>
                <w:sz w:val="21"/>
                <w:szCs w:val="24"/>
                <w:lang w:eastAsia="zh-CN"/>
              </w:rPr>
              <w:t>东莞基业电气设备有限公司、广州白云电器设备股份有限公司、松本电工实业有限公司、广州市光大电力工程有限公司、 广东基业、广东鸿源集团有限公司、广东金铭利、广州雷诺尔、广东粤科</w:t>
            </w:r>
          </w:p>
        </w:tc>
      </w:tr>
      <w:tr>
        <w:tblPrEx>
          <w:tblLayout w:type="fixed"/>
          <w:tblCellMar>
            <w:top w:w="0" w:type="dxa"/>
            <w:left w:w="108" w:type="dxa"/>
            <w:bottom w:w="0" w:type="dxa"/>
            <w:right w:w="108" w:type="dxa"/>
          </w:tblCellMar>
        </w:tblPrEx>
        <w:trPr>
          <w:trHeight w:val="1020"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2</w:t>
            </w:r>
          </w:p>
        </w:tc>
        <w:tc>
          <w:tcPr>
            <w:tcW w:w="2942"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ascii="宋体"/>
                <w:color w:val="auto"/>
                <w:sz w:val="21"/>
                <w:szCs w:val="24"/>
                <w:lang w:eastAsia="zh-CN"/>
              </w:rPr>
              <w:t>电缆 、电线</w:t>
            </w:r>
            <w:r>
              <w:rPr>
                <w:rFonts w:ascii="宋体"/>
                <w:color w:val="auto"/>
                <w:sz w:val="21"/>
                <w:szCs w:val="24"/>
                <w:lang w:eastAsia="zh-CN"/>
              </w:rPr>
              <w:br w:type="textWrapping"/>
            </w:r>
            <w:r>
              <w:rPr>
                <w:rFonts w:ascii="宋体"/>
                <w:color w:val="auto"/>
                <w:sz w:val="21"/>
                <w:szCs w:val="24"/>
                <w:lang w:eastAsia="zh-CN"/>
              </w:rPr>
              <w:t>（低烟无卤型、耐火型、阻燃型、）</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州电缆厂、广东天虹电缆有限公司、中国惠州信牌电缆、广东庆丰电缆有限公司、广东南洋电缆集团股份有限公司、佛山珠江、广州市珠江电线厂有限公司、广州明兴、珠江花环电力科技有限公司、广东华新电缆实业有限公司、广东胜宇电缆实业有限公司</w:t>
            </w:r>
          </w:p>
        </w:tc>
      </w:tr>
      <w:tr>
        <w:tblPrEx>
          <w:tblLayout w:type="fixed"/>
          <w:tblCellMar>
            <w:top w:w="0" w:type="dxa"/>
            <w:left w:w="108" w:type="dxa"/>
            <w:bottom w:w="0" w:type="dxa"/>
            <w:right w:w="108" w:type="dxa"/>
          </w:tblCellMar>
        </w:tblPrEx>
        <w:trPr>
          <w:trHeight w:val="720"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3</w:t>
            </w:r>
          </w:p>
        </w:tc>
        <w:tc>
          <w:tcPr>
            <w:tcW w:w="294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桥架</w:t>
            </w:r>
            <w:r>
              <w:rPr>
                <w:rFonts w:ascii="宋体"/>
                <w:color w:val="auto"/>
                <w:sz w:val="21"/>
                <w:szCs w:val="24"/>
                <w:lang w:eastAsia="zh-CN"/>
              </w:rPr>
              <w:br w:type="textWrapping"/>
            </w:r>
            <w:r>
              <w:rPr>
                <w:rFonts w:ascii="宋体"/>
                <w:color w:val="auto"/>
                <w:sz w:val="21"/>
                <w:szCs w:val="24"/>
                <w:lang w:eastAsia="zh-CN"/>
              </w:rPr>
              <w:t>(封闭式金属线槽)</w:t>
            </w:r>
          </w:p>
        </w:tc>
        <w:tc>
          <w:tcPr>
            <w:tcW w:w="6346" w:type="dxa"/>
            <w:tcBorders>
              <w:top w:val="nil"/>
              <w:left w:val="nil"/>
              <w:bottom w:val="nil"/>
              <w:right w:val="nil"/>
            </w:tcBorders>
            <w:shd w:val="clear" w:color="auto" w:fill="auto"/>
            <w:vAlign w:val="bottom"/>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广州市番禺电缆桥架厂有限公司、广州市番禺天虹工业开发有限公司、广州市海珠区中兴五金线槽桥架厂、广州文兴、广州百基、广州誉通、佛山市文电电气、广州一州电气、广州亿能建材、江苏镇江银佳</w:t>
            </w:r>
          </w:p>
        </w:tc>
      </w:tr>
      <w:tr>
        <w:tblPrEx>
          <w:tblLayout w:type="fixed"/>
          <w:tblCellMar>
            <w:top w:w="0" w:type="dxa"/>
            <w:left w:w="108" w:type="dxa"/>
            <w:bottom w:w="0" w:type="dxa"/>
            <w:right w:w="108" w:type="dxa"/>
          </w:tblCellMar>
        </w:tblPrEx>
        <w:trPr>
          <w:trHeight w:val="1020"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4</w:t>
            </w:r>
          </w:p>
        </w:tc>
        <w:tc>
          <w:tcPr>
            <w:tcW w:w="294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镀锌线管</w:t>
            </w:r>
            <w:r>
              <w:rPr>
                <w:rFonts w:ascii="宋体"/>
                <w:color w:val="auto"/>
                <w:sz w:val="21"/>
                <w:szCs w:val="24"/>
                <w:lang w:eastAsia="zh-CN"/>
              </w:rPr>
              <w:br w:type="textWrapping"/>
            </w:r>
            <w:r>
              <w:rPr>
                <w:rFonts w:ascii="宋体"/>
                <w:color w:val="auto"/>
                <w:sz w:val="21"/>
                <w:szCs w:val="24"/>
                <w:lang w:eastAsia="zh-CN"/>
              </w:rPr>
              <w:t>（DN20~200）</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广东珠江管业科技有限公司、广州钢管厂有限公司、广东华捷钢管实业有限公司、广州市番禺天虹工业开发有限公司、广州市白云区鸿际电气设备厂、广州文兴、广州百基、广州誉通、佛山市文电电气</w:t>
            </w:r>
          </w:p>
        </w:tc>
      </w:tr>
      <w:tr>
        <w:tblPrEx>
          <w:tblLayout w:type="fixed"/>
          <w:tblCellMar>
            <w:top w:w="0" w:type="dxa"/>
            <w:left w:w="108" w:type="dxa"/>
            <w:bottom w:w="0" w:type="dxa"/>
            <w:right w:w="108" w:type="dxa"/>
          </w:tblCellMar>
        </w:tblPrEx>
        <w:trPr>
          <w:trHeight w:val="1275"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5</w:t>
            </w:r>
          </w:p>
        </w:tc>
        <w:tc>
          <w:tcPr>
            <w:tcW w:w="294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PVC 线管 (DN20~DN200)</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东联塑科技实业有限公司、广东雄塑科技集团股份有限公司、广州广熙塑料管道工程有限公司（无该厂家名称）、广东省增城区新塘镇超能建材塑料有限公司、广东德塑科技有限公司、广东顾地塑胶有限公司、广东省增城区新塘镇超能建材塑料有限公司、四会市祥塑实业有限公司</w:t>
            </w:r>
          </w:p>
        </w:tc>
      </w:tr>
      <w:tr>
        <w:tblPrEx>
          <w:tblLayout w:type="fixed"/>
          <w:tblCellMar>
            <w:top w:w="0" w:type="dxa"/>
            <w:left w:w="108" w:type="dxa"/>
            <w:bottom w:w="0" w:type="dxa"/>
            <w:right w:w="108" w:type="dxa"/>
          </w:tblCellMar>
        </w:tblPrEx>
        <w:trPr>
          <w:trHeight w:val="1530"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6</w:t>
            </w:r>
          </w:p>
        </w:tc>
        <w:tc>
          <w:tcPr>
            <w:tcW w:w="2942"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灯具 （含应急疏散指示灯）</w:t>
            </w:r>
            <w:r>
              <w:rPr>
                <w:rFonts w:hint="eastAsia" w:ascii="宋体"/>
                <w:color w:val="auto"/>
                <w:sz w:val="21"/>
                <w:szCs w:val="24"/>
                <w:lang w:eastAsia="zh-CN"/>
              </w:rPr>
              <w:br w:type="textWrapping"/>
            </w:r>
            <w:r>
              <w:rPr>
                <w:rFonts w:hint="eastAsia" w:ascii="宋体"/>
                <w:color w:val="auto"/>
                <w:sz w:val="21"/>
                <w:szCs w:val="24"/>
                <w:lang w:eastAsia="zh-CN"/>
              </w:rPr>
              <w:t>荧光灯具（T5 光管、带电子镇流器）</w:t>
            </w:r>
            <w:r>
              <w:rPr>
                <w:rFonts w:hint="eastAsia" w:ascii="宋体"/>
                <w:color w:val="auto"/>
                <w:sz w:val="21"/>
                <w:szCs w:val="24"/>
                <w:lang w:eastAsia="zh-CN"/>
              </w:rPr>
              <w:br w:type="textWrapping"/>
            </w:r>
            <w:r>
              <w:rPr>
                <w:rFonts w:hint="eastAsia" w:ascii="宋体"/>
                <w:color w:val="auto"/>
                <w:sz w:val="21"/>
                <w:szCs w:val="24"/>
                <w:lang w:eastAsia="zh-CN"/>
              </w:rPr>
              <w:t>应急疏散指示灯（LED 或场致发光，电池备用时间</w:t>
            </w:r>
            <w:r>
              <w:rPr>
                <w:rFonts w:hint="eastAsia" w:ascii="宋体"/>
                <w:color w:val="auto"/>
                <w:sz w:val="21"/>
                <w:szCs w:val="24"/>
                <w:lang w:eastAsia="zh-CN"/>
              </w:rPr>
              <w:br w:type="textWrapping"/>
            </w:r>
            <w:r>
              <w:rPr>
                <w:rFonts w:hint="eastAsia" w:ascii="宋体"/>
                <w:color w:val="auto"/>
                <w:sz w:val="21"/>
                <w:szCs w:val="24"/>
                <w:lang w:eastAsia="zh-CN"/>
              </w:rPr>
              <w:t>≥30min）</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州市九佛电器有限公司、广州三雄电器科技有限公司、佛山照明、广州市安捷路消防科技发展有限公司、麒麟奇光电科技有限公司、汾江照明、中山华领、广东敏华电器有限公司、深圳市泰和安科技有限公司、深圳市高新投三江电子股份有限公司</w:t>
            </w:r>
          </w:p>
        </w:tc>
      </w:tr>
      <w:tr>
        <w:tblPrEx>
          <w:tblLayout w:type="fixed"/>
          <w:tblCellMar>
            <w:top w:w="0" w:type="dxa"/>
            <w:left w:w="108" w:type="dxa"/>
            <w:bottom w:w="0" w:type="dxa"/>
            <w:right w:w="108" w:type="dxa"/>
          </w:tblCellMar>
        </w:tblPrEx>
        <w:trPr>
          <w:trHeight w:val="960"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7</w:t>
            </w:r>
          </w:p>
        </w:tc>
        <w:tc>
          <w:tcPr>
            <w:tcW w:w="2942"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ascii="宋体"/>
                <w:color w:val="auto"/>
                <w:sz w:val="21"/>
                <w:szCs w:val="24"/>
                <w:lang w:eastAsia="zh-CN"/>
              </w:rPr>
              <w:t>母线槽(三相五线制)</w:t>
            </w:r>
            <w:r>
              <w:rPr>
                <w:rFonts w:ascii="宋体"/>
                <w:color w:val="auto"/>
                <w:sz w:val="21"/>
                <w:szCs w:val="24"/>
                <w:lang w:eastAsia="zh-CN"/>
              </w:rPr>
              <w:br w:type="textWrapping"/>
            </w:r>
            <w:r>
              <w:rPr>
                <w:rFonts w:ascii="宋体"/>
                <w:color w:val="auto"/>
                <w:sz w:val="21"/>
                <w:szCs w:val="24"/>
                <w:lang w:eastAsia="zh-CN"/>
              </w:rPr>
              <w:t>（1000A、1250A、1600A、 2000A）</w:t>
            </w:r>
          </w:p>
        </w:tc>
        <w:tc>
          <w:tcPr>
            <w:tcW w:w="6346" w:type="dxa"/>
            <w:tcBorders>
              <w:top w:val="nil"/>
              <w:left w:val="nil"/>
              <w:bottom w:val="nil"/>
              <w:right w:val="nil"/>
            </w:tcBorders>
            <w:shd w:val="clear" w:color="auto" w:fill="auto"/>
            <w:vAlign w:val="bottom"/>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东卓亚电气实业有限公司、广东汉光电力设备有限公司、镇江西门子母线有限公司、广州半径电力铜材有限公司、广州文兴、东莞正丰、广东中汉达电气、广东中迈电气、广州安伏特电力、佛山市文电电气、广州天勤</w:t>
            </w:r>
          </w:p>
        </w:tc>
      </w:tr>
      <w:tr>
        <w:tblPrEx>
          <w:tblLayout w:type="fixed"/>
          <w:tblCellMar>
            <w:top w:w="0" w:type="dxa"/>
            <w:left w:w="108" w:type="dxa"/>
            <w:bottom w:w="0" w:type="dxa"/>
            <w:right w:w="108" w:type="dxa"/>
          </w:tblCellMar>
        </w:tblPrEx>
        <w:trPr>
          <w:trHeight w:val="510"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ascii="宋体"/>
                <w:color w:val="auto"/>
                <w:sz w:val="21"/>
                <w:szCs w:val="24"/>
                <w:lang w:eastAsia="zh-CN"/>
              </w:rPr>
              <w:t>8</w:t>
            </w:r>
          </w:p>
        </w:tc>
        <w:tc>
          <w:tcPr>
            <w:tcW w:w="2942"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柴油发电机</w:t>
            </w:r>
            <w:r>
              <w:rPr>
                <w:rFonts w:hint="eastAsia" w:ascii="宋体"/>
                <w:color w:val="auto"/>
                <w:sz w:val="21"/>
                <w:szCs w:val="24"/>
                <w:lang w:eastAsia="zh-CN"/>
              </w:rPr>
              <w:br w:type="textWrapping"/>
            </w:r>
            <w:r>
              <w:rPr>
                <w:rFonts w:hint="eastAsia" w:ascii="宋体"/>
                <w:color w:val="auto"/>
                <w:sz w:val="21"/>
                <w:szCs w:val="24"/>
                <w:lang w:eastAsia="zh-CN"/>
              </w:rPr>
              <w:t>(应急启动型)</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广东康菱、山东潍柴、山东济柴、无锡动力、广西玉柴、常柴</w:t>
            </w:r>
          </w:p>
        </w:tc>
      </w:tr>
      <w:tr>
        <w:tblPrEx>
          <w:tblLayout w:type="fixed"/>
          <w:tblCellMar>
            <w:top w:w="0" w:type="dxa"/>
            <w:left w:w="108" w:type="dxa"/>
            <w:bottom w:w="0" w:type="dxa"/>
            <w:right w:w="108" w:type="dxa"/>
          </w:tblCellMar>
        </w:tblPrEx>
        <w:trPr>
          <w:trHeight w:val="510"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9</w:t>
            </w:r>
          </w:p>
        </w:tc>
        <w:tc>
          <w:tcPr>
            <w:tcW w:w="294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插座 、开关 (10A、16A)</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ascii="Times New Roman" w:hAnsi="Times New Roman" w:cs="Times New Roman"/>
                <w:color w:val="auto"/>
                <w:spacing w:val="-1"/>
                <w:sz w:val="21"/>
                <w:szCs w:val="21"/>
                <w:lang w:eastAsia="zh-CN"/>
              </w:rPr>
              <w:t>施耐德</w:t>
            </w:r>
            <w:r>
              <w:rPr>
                <w:rFonts w:hint="eastAsia" w:ascii="Times New Roman" w:hAnsi="Times New Roman" w:cs="Times New Roman"/>
                <w:color w:val="auto"/>
                <w:spacing w:val="-1"/>
                <w:sz w:val="21"/>
                <w:szCs w:val="21"/>
                <w:lang w:eastAsia="zh-CN"/>
              </w:rPr>
              <w:t>、</w:t>
            </w:r>
            <w:r>
              <w:rPr>
                <w:rFonts w:ascii="Times New Roman" w:hAnsi="Times New Roman" w:cs="Times New Roman"/>
                <w:color w:val="auto"/>
                <w:sz w:val="21"/>
                <w:szCs w:val="21"/>
                <w:lang w:eastAsia="zh-CN"/>
              </w:rPr>
              <w:t xml:space="preserve"> ABB</w:t>
            </w: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西门子、</w:t>
            </w:r>
            <w:r>
              <w:rPr>
                <w:rFonts w:ascii="宋体"/>
                <w:color w:val="auto"/>
                <w:sz w:val="21"/>
                <w:szCs w:val="24"/>
                <w:lang w:eastAsia="zh-CN"/>
              </w:rPr>
              <w:t>广东松本电工电器有限公司、</w:t>
            </w:r>
            <w:r>
              <w:rPr>
                <w:rFonts w:hint="eastAsia" w:ascii="宋体"/>
                <w:color w:val="auto"/>
                <w:sz w:val="21"/>
                <w:szCs w:val="24"/>
                <w:lang w:eastAsia="zh-CN"/>
              </w:rPr>
              <w:t>TCL-罗格朗国际电工、广州真善美电气有限公司、广州市九佛电器有限公司、麒麟奇光电科技有限公司、天津西门子、公牛、正泰</w:t>
            </w:r>
          </w:p>
        </w:tc>
      </w:tr>
      <w:tr>
        <w:tblPrEx>
          <w:tblLayout w:type="fixed"/>
          <w:tblCellMar>
            <w:top w:w="0" w:type="dxa"/>
            <w:left w:w="108" w:type="dxa"/>
            <w:bottom w:w="0" w:type="dxa"/>
            <w:right w:w="108" w:type="dxa"/>
          </w:tblCellMar>
        </w:tblPrEx>
        <w:trPr>
          <w:trHeight w:val="510"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10</w:t>
            </w:r>
          </w:p>
        </w:tc>
        <w:tc>
          <w:tcPr>
            <w:tcW w:w="294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三箱元气件</w:t>
            </w:r>
            <w:r>
              <w:rPr>
                <w:rFonts w:ascii="宋体"/>
                <w:color w:val="auto"/>
                <w:sz w:val="21"/>
                <w:szCs w:val="24"/>
                <w:lang w:eastAsia="zh-CN"/>
              </w:rPr>
              <w:br w:type="textWrapping"/>
            </w:r>
            <w:r>
              <w:rPr>
                <w:rFonts w:ascii="宋体"/>
                <w:color w:val="auto"/>
                <w:sz w:val="21"/>
                <w:szCs w:val="24"/>
                <w:lang w:eastAsia="zh-CN"/>
              </w:rPr>
              <w:t>（参数施工图时提供）</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海格电气、常熟开关制造有限公司、浙江正泰、西门子、上海人民、杭州之江</w:t>
            </w:r>
          </w:p>
        </w:tc>
      </w:tr>
      <w:tr>
        <w:tblPrEx>
          <w:tblLayout w:type="fixed"/>
          <w:tblCellMar>
            <w:top w:w="0" w:type="dxa"/>
            <w:left w:w="108" w:type="dxa"/>
            <w:bottom w:w="0" w:type="dxa"/>
            <w:right w:w="108" w:type="dxa"/>
          </w:tblCellMar>
        </w:tblPrEx>
        <w:trPr>
          <w:trHeight w:val="765"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11</w:t>
            </w:r>
          </w:p>
        </w:tc>
        <w:tc>
          <w:tcPr>
            <w:tcW w:w="294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弱电线缆</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宇洪、上海玖开、广东一舟电缆有限公司、华亿电线、广州市南缆线缆有限公司、广州富羽电缆实业有限公、联嘉祥、晟景</w:t>
            </w:r>
          </w:p>
        </w:tc>
      </w:tr>
      <w:tr>
        <w:tblPrEx>
          <w:tblLayout w:type="fixed"/>
          <w:tblCellMar>
            <w:top w:w="0" w:type="dxa"/>
            <w:left w:w="108" w:type="dxa"/>
            <w:bottom w:w="0" w:type="dxa"/>
            <w:right w:w="108" w:type="dxa"/>
          </w:tblCellMar>
        </w:tblPrEx>
        <w:trPr>
          <w:trHeight w:val="510"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12</w:t>
            </w:r>
          </w:p>
        </w:tc>
        <w:tc>
          <w:tcPr>
            <w:tcW w:w="294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合金电线电缆</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世德合金电缆、河南华星合金电缆、上海胜华、江苏南亚、广东崇德、广东欣意合金</w:t>
            </w:r>
          </w:p>
        </w:tc>
      </w:tr>
      <w:tr>
        <w:tblPrEx>
          <w:tblLayout w:type="fixed"/>
          <w:tblCellMar>
            <w:top w:w="0" w:type="dxa"/>
            <w:left w:w="108" w:type="dxa"/>
            <w:bottom w:w="0" w:type="dxa"/>
            <w:right w:w="108" w:type="dxa"/>
          </w:tblCellMar>
        </w:tblPrEx>
        <w:trPr>
          <w:trHeight w:val="270" w:hRule="atLeast"/>
        </w:trPr>
        <w:tc>
          <w:tcPr>
            <w:tcW w:w="9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rPr>
                <w:rFonts w:ascii="宋体"/>
                <w:color w:val="auto"/>
                <w:sz w:val="21"/>
                <w:szCs w:val="24"/>
                <w:lang w:eastAsia="zh-CN"/>
              </w:rPr>
            </w:pPr>
            <w:r>
              <w:rPr>
                <w:rFonts w:ascii="宋体"/>
                <w:b/>
                <w:bCs/>
                <w:color w:val="auto"/>
                <w:sz w:val="21"/>
                <w:szCs w:val="24"/>
                <w:lang w:eastAsia="zh-CN"/>
              </w:rPr>
              <w:t>二、给排水工程</w:t>
            </w:r>
          </w:p>
        </w:tc>
      </w:tr>
      <w:tr>
        <w:tblPrEx>
          <w:tblLayout w:type="fixed"/>
          <w:tblCellMar>
            <w:top w:w="0" w:type="dxa"/>
            <w:left w:w="108" w:type="dxa"/>
            <w:bottom w:w="0" w:type="dxa"/>
            <w:right w:w="108" w:type="dxa"/>
          </w:tblCellMar>
        </w:tblPrEx>
        <w:trPr>
          <w:trHeight w:val="1020"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1</w:t>
            </w:r>
          </w:p>
        </w:tc>
        <w:tc>
          <w:tcPr>
            <w:tcW w:w="2942"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ascii="宋体"/>
                <w:color w:val="auto"/>
                <w:sz w:val="21"/>
                <w:szCs w:val="24"/>
                <w:lang w:eastAsia="zh-CN"/>
              </w:rPr>
              <w:t>内涂塑钢排水管</w:t>
            </w:r>
            <w:r>
              <w:rPr>
                <w:rFonts w:ascii="宋体"/>
                <w:color w:val="auto"/>
                <w:sz w:val="21"/>
                <w:szCs w:val="24"/>
                <w:lang w:eastAsia="zh-CN"/>
              </w:rPr>
              <w:br w:type="textWrapping"/>
            </w:r>
            <w:r>
              <w:rPr>
                <w:rFonts w:ascii="宋体"/>
                <w:color w:val="auto"/>
                <w:sz w:val="21"/>
                <w:szCs w:val="24"/>
                <w:lang w:eastAsia="zh-CN"/>
              </w:rPr>
              <w:t>（室内雨水、压力排水） (DN50~300)</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广州珠江管业科技有限公司、广州荣钢金属制品有限公司、广东邦达、广东华捷钢管实业有限公司、广州祥基金属制品</w:t>
            </w:r>
            <w:r>
              <w:rPr>
                <w:rFonts w:hint="eastAsia" w:ascii="宋体"/>
                <w:color w:val="auto"/>
                <w:sz w:val="21"/>
                <w:szCs w:val="24"/>
                <w:lang w:eastAsia="zh-CN"/>
              </w:rPr>
              <w:br w:type="textWrapping"/>
            </w:r>
            <w:r>
              <w:rPr>
                <w:rFonts w:hint="eastAsia" w:ascii="宋体"/>
                <w:color w:val="auto"/>
                <w:sz w:val="21"/>
                <w:szCs w:val="24"/>
                <w:lang w:eastAsia="zh-CN"/>
              </w:rPr>
              <w:t>有限公司、广州番禺先河塑钢有限公司、佛山市鑫水源钢管有限公司</w:t>
            </w:r>
          </w:p>
        </w:tc>
      </w:tr>
      <w:tr>
        <w:tblPrEx>
          <w:tblLayout w:type="fixed"/>
          <w:tblCellMar>
            <w:top w:w="0" w:type="dxa"/>
            <w:left w:w="108" w:type="dxa"/>
            <w:bottom w:w="0" w:type="dxa"/>
            <w:right w:w="108" w:type="dxa"/>
          </w:tblCellMar>
        </w:tblPrEx>
        <w:trPr>
          <w:trHeight w:val="510"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2</w:t>
            </w:r>
          </w:p>
        </w:tc>
        <w:tc>
          <w:tcPr>
            <w:tcW w:w="2942"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ascii="宋体"/>
                <w:color w:val="auto"/>
                <w:sz w:val="21"/>
                <w:szCs w:val="24"/>
                <w:lang w:eastAsia="zh-CN"/>
              </w:rPr>
              <w:t>PP-R 冷水给水管 DN15-DN250</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ascii="宋体"/>
                <w:color w:val="auto"/>
                <w:sz w:val="21"/>
                <w:szCs w:val="24"/>
                <w:lang w:eastAsia="zh-CN"/>
              </w:rPr>
              <w:t>广东联塑科技实业有限公司、广州广熙塑料管道工程有限公司、广东雄塑科技实业有限公司、宏图管材、广州风叶</w:t>
            </w:r>
          </w:p>
        </w:tc>
      </w:tr>
      <w:tr>
        <w:tblPrEx>
          <w:tblLayout w:type="fixed"/>
          <w:tblCellMar>
            <w:top w:w="0" w:type="dxa"/>
            <w:left w:w="108" w:type="dxa"/>
            <w:bottom w:w="0" w:type="dxa"/>
            <w:right w:w="108" w:type="dxa"/>
          </w:tblCellMar>
        </w:tblPrEx>
        <w:trPr>
          <w:trHeight w:val="765"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3</w:t>
            </w:r>
          </w:p>
        </w:tc>
        <w:tc>
          <w:tcPr>
            <w:tcW w:w="2942"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ascii="宋体"/>
                <w:color w:val="auto"/>
                <w:sz w:val="21"/>
                <w:szCs w:val="24"/>
                <w:lang w:eastAsia="zh-CN"/>
              </w:rPr>
              <w:t>PVC-U 排水管、UPVC 双壁波纹管、HDPE 双壁波纹管</w:t>
            </w:r>
            <w:r>
              <w:rPr>
                <w:rFonts w:ascii="宋体"/>
                <w:color w:val="auto"/>
                <w:sz w:val="21"/>
                <w:szCs w:val="24"/>
                <w:lang w:eastAsia="zh-CN"/>
              </w:rPr>
              <w:br w:type="textWrapping"/>
            </w:r>
            <w:r>
              <w:rPr>
                <w:rFonts w:ascii="宋体"/>
                <w:color w:val="auto"/>
                <w:sz w:val="21"/>
                <w:szCs w:val="24"/>
                <w:lang w:eastAsia="zh-CN"/>
              </w:rPr>
              <w:t>DN32-DN1000</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广东联塑科技实业有限公司、广东雄塑科技实业有限公司、广州广熙塑料管道工程有限公司、广东永高塑业发展有限公司、宏图管材、广州风叶、四会市祥塑实业有限公司</w:t>
            </w:r>
          </w:p>
        </w:tc>
      </w:tr>
      <w:tr>
        <w:tblPrEx>
          <w:tblLayout w:type="fixed"/>
          <w:tblCellMar>
            <w:top w:w="0" w:type="dxa"/>
            <w:left w:w="108" w:type="dxa"/>
            <w:bottom w:w="0" w:type="dxa"/>
            <w:right w:w="108" w:type="dxa"/>
          </w:tblCellMar>
        </w:tblPrEx>
        <w:trPr>
          <w:trHeight w:val="765"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4</w:t>
            </w:r>
          </w:p>
        </w:tc>
        <w:tc>
          <w:tcPr>
            <w:tcW w:w="2942"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ascii="宋体"/>
                <w:color w:val="auto"/>
                <w:sz w:val="21"/>
                <w:szCs w:val="24"/>
                <w:lang w:eastAsia="zh-CN"/>
              </w:rPr>
              <w:t>柔性卡箍离心铸铁排水管</w:t>
            </w:r>
            <w:r>
              <w:rPr>
                <w:rFonts w:ascii="宋体"/>
                <w:color w:val="auto"/>
                <w:sz w:val="21"/>
                <w:szCs w:val="24"/>
                <w:lang w:eastAsia="zh-CN"/>
              </w:rPr>
              <w:br w:type="textWrapping"/>
            </w:r>
            <w:r>
              <w:rPr>
                <w:rFonts w:ascii="宋体"/>
                <w:color w:val="auto"/>
                <w:sz w:val="21"/>
                <w:szCs w:val="24"/>
                <w:lang w:eastAsia="zh-CN"/>
              </w:rPr>
              <w:t>(DN50~300)</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新兴铸管股份有限公司、安钢集团永通球墨铸铁管有限责任公司、河南夏都、河北兴华、、鹤山冠华、广东晨晖管业销售有限公司、顺世达管道有限公司</w:t>
            </w:r>
          </w:p>
        </w:tc>
      </w:tr>
      <w:tr>
        <w:tblPrEx>
          <w:tblLayout w:type="fixed"/>
          <w:tblCellMar>
            <w:top w:w="0" w:type="dxa"/>
            <w:left w:w="108" w:type="dxa"/>
            <w:bottom w:w="0" w:type="dxa"/>
            <w:right w:w="108" w:type="dxa"/>
          </w:tblCellMar>
        </w:tblPrEx>
        <w:trPr>
          <w:trHeight w:val="270" w:hRule="atLeast"/>
        </w:trPr>
        <w:tc>
          <w:tcPr>
            <w:tcW w:w="972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rPr>
                <w:rFonts w:ascii="宋体"/>
                <w:color w:val="auto"/>
                <w:sz w:val="21"/>
                <w:szCs w:val="24"/>
                <w:lang w:eastAsia="zh-CN"/>
              </w:rPr>
            </w:pPr>
            <w:r>
              <w:rPr>
                <w:rFonts w:ascii="宋体"/>
                <w:b/>
                <w:bCs/>
                <w:color w:val="auto"/>
                <w:sz w:val="21"/>
                <w:szCs w:val="24"/>
                <w:lang w:eastAsia="zh-CN"/>
              </w:rPr>
              <w:t>三、消防工程</w:t>
            </w:r>
          </w:p>
        </w:tc>
      </w:tr>
      <w:tr>
        <w:tblPrEx>
          <w:tblLayout w:type="fixed"/>
          <w:tblCellMar>
            <w:top w:w="0" w:type="dxa"/>
            <w:left w:w="108" w:type="dxa"/>
            <w:bottom w:w="0" w:type="dxa"/>
            <w:right w:w="108" w:type="dxa"/>
          </w:tblCellMar>
        </w:tblPrEx>
        <w:trPr>
          <w:trHeight w:val="765"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1</w:t>
            </w:r>
          </w:p>
        </w:tc>
        <w:tc>
          <w:tcPr>
            <w:tcW w:w="294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水流指示器(DN50~150通过了国家强制性认证)</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广东平安消防设备有限公司、福建天广消防科技股份有限公司、广东胜捷消防设备有限公司、福建水力消防成套设备有限公司、福建安利达消防科技有限公司、广威消防科技有限公司</w:t>
            </w:r>
          </w:p>
        </w:tc>
      </w:tr>
      <w:tr>
        <w:tblPrEx>
          <w:tblLayout w:type="fixed"/>
          <w:tblCellMar>
            <w:top w:w="0" w:type="dxa"/>
            <w:left w:w="108" w:type="dxa"/>
            <w:bottom w:w="0" w:type="dxa"/>
            <w:right w:w="108" w:type="dxa"/>
          </w:tblCellMar>
        </w:tblPrEx>
        <w:trPr>
          <w:trHeight w:val="765"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2</w:t>
            </w:r>
          </w:p>
        </w:tc>
        <w:tc>
          <w:tcPr>
            <w:tcW w:w="2942"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ascii="宋体"/>
                <w:color w:val="auto"/>
                <w:sz w:val="21"/>
                <w:szCs w:val="24"/>
                <w:lang w:eastAsia="zh-CN"/>
              </w:rPr>
              <w:t>湿式报警阀 (DN50~150 通过了国家强制性认证)</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广东平安消防设备有限公司、福建天广消防科技股份有限公司、广东胜捷消防设备有限公司、福建水力消防成套设备有限公司、福建安利达消防科技有限公司、广威消防科技有限公司</w:t>
            </w:r>
          </w:p>
        </w:tc>
      </w:tr>
      <w:tr>
        <w:tblPrEx>
          <w:tblLayout w:type="fixed"/>
          <w:tblCellMar>
            <w:top w:w="0" w:type="dxa"/>
            <w:left w:w="108" w:type="dxa"/>
            <w:bottom w:w="0" w:type="dxa"/>
            <w:right w:w="108" w:type="dxa"/>
          </w:tblCellMar>
        </w:tblPrEx>
        <w:trPr>
          <w:trHeight w:val="765"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3</w:t>
            </w:r>
          </w:p>
        </w:tc>
        <w:tc>
          <w:tcPr>
            <w:tcW w:w="2942"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ascii="宋体"/>
                <w:color w:val="auto"/>
                <w:sz w:val="21"/>
                <w:szCs w:val="24"/>
                <w:lang w:eastAsia="zh-CN"/>
              </w:rPr>
              <w:t>室内消火栓、喷淋头（通过了国家强制性认证）</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广东平安消防设备有限公司、广州市消防器材厂有限公司、福建天广消防科技股份有限公司、福建水力消防成套设备有限公司、广威消防科技有限公、广州恒安消防器材厂</w:t>
            </w:r>
          </w:p>
        </w:tc>
      </w:tr>
      <w:tr>
        <w:tblPrEx>
          <w:tblLayout w:type="fixed"/>
          <w:tblCellMar>
            <w:top w:w="0" w:type="dxa"/>
            <w:left w:w="108" w:type="dxa"/>
            <w:bottom w:w="0" w:type="dxa"/>
            <w:right w:w="108" w:type="dxa"/>
          </w:tblCellMar>
        </w:tblPrEx>
        <w:trPr>
          <w:trHeight w:val="765"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4</w:t>
            </w:r>
          </w:p>
        </w:tc>
        <w:tc>
          <w:tcPr>
            <w:tcW w:w="2942"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灭火器具</w:t>
            </w:r>
            <w:r>
              <w:rPr>
                <w:rFonts w:hint="eastAsia" w:ascii="宋体"/>
                <w:color w:val="auto"/>
                <w:sz w:val="21"/>
                <w:szCs w:val="24"/>
                <w:lang w:eastAsia="zh-CN"/>
              </w:rPr>
              <w:br w:type="textWrapping"/>
            </w:r>
            <w:r>
              <w:rPr>
                <w:rFonts w:hint="eastAsia" w:ascii="宋体"/>
                <w:color w:val="auto"/>
                <w:sz w:val="21"/>
                <w:szCs w:val="24"/>
                <w:lang w:eastAsia="zh-CN"/>
              </w:rPr>
              <w:t>（MF/2`5ABC,MFT/20ABC</w:t>
            </w:r>
            <w:r>
              <w:rPr>
                <w:rFonts w:hint="eastAsia" w:ascii="宋体"/>
                <w:color w:val="auto"/>
                <w:sz w:val="21"/>
                <w:szCs w:val="24"/>
                <w:lang w:eastAsia="zh-CN"/>
              </w:rPr>
              <w:br w:type="textWrapping"/>
            </w:r>
            <w:r>
              <w:rPr>
                <w:rFonts w:hint="eastAsia" w:ascii="宋体"/>
                <w:color w:val="auto"/>
                <w:sz w:val="21"/>
                <w:szCs w:val="24"/>
                <w:lang w:eastAsia="zh-CN"/>
              </w:rPr>
              <w:t>通过了国家强制性认证）</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广东平安消防设备有限公司、广州市消防器材厂有限公司、福建天广消防科技股份有限公司、广东胜捷消防设备有限公司、深圳鑫安、</w:t>
            </w:r>
          </w:p>
        </w:tc>
      </w:tr>
      <w:tr>
        <w:tblPrEx>
          <w:tblLayout w:type="fixed"/>
          <w:tblCellMar>
            <w:top w:w="0" w:type="dxa"/>
            <w:left w:w="108" w:type="dxa"/>
            <w:bottom w:w="0" w:type="dxa"/>
            <w:right w:w="108" w:type="dxa"/>
          </w:tblCellMar>
        </w:tblPrEx>
        <w:trPr>
          <w:trHeight w:val="765"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5</w:t>
            </w:r>
          </w:p>
        </w:tc>
        <w:tc>
          <w:tcPr>
            <w:tcW w:w="294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消防水泵接合器</w:t>
            </w:r>
            <w:r>
              <w:rPr>
                <w:rFonts w:ascii="宋体"/>
                <w:color w:val="auto"/>
                <w:sz w:val="21"/>
                <w:szCs w:val="24"/>
                <w:lang w:eastAsia="zh-CN"/>
              </w:rPr>
              <w:br w:type="textWrapping"/>
            </w:r>
            <w:r>
              <w:rPr>
                <w:rFonts w:ascii="宋体"/>
                <w:color w:val="auto"/>
                <w:sz w:val="21"/>
                <w:szCs w:val="24"/>
                <w:lang w:eastAsia="zh-CN"/>
              </w:rPr>
              <w:t>（SQ100~150）</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广东平安消防设备有限公司、福建天广消防科技股份有限公司、广东胜捷消防设备有限公司、福建水力消防成套设备有限公司、福建安利达消防科技有限公司、广威消防科技有限公司</w:t>
            </w:r>
          </w:p>
        </w:tc>
      </w:tr>
      <w:tr>
        <w:tblPrEx>
          <w:tblLayout w:type="fixed"/>
          <w:tblCellMar>
            <w:top w:w="0" w:type="dxa"/>
            <w:left w:w="108" w:type="dxa"/>
            <w:bottom w:w="0" w:type="dxa"/>
            <w:right w:w="108" w:type="dxa"/>
          </w:tblCellMar>
        </w:tblPrEx>
        <w:trPr>
          <w:trHeight w:val="765"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ascii="宋体"/>
                <w:color w:val="auto"/>
                <w:sz w:val="21"/>
                <w:szCs w:val="24"/>
                <w:lang w:eastAsia="zh-CN"/>
              </w:rPr>
              <w:t>6</w:t>
            </w:r>
          </w:p>
        </w:tc>
        <w:tc>
          <w:tcPr>
            <w:tcW w:w="2942"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ascii="宋体"/>
                <w:color w:val="auto"/>
                <w:sz w:val="21"/>
                <w:szCs w:val="24"/>
                <w:lang w:eastAsia="zh-CN"/>
              </w:rPr>
              <w:t>消防供水设备</w:t>
            </w:r>
            <w:r>
              <w:rPr>
                <w:rFonts w:ascii="宋体"/>
                <w:color w:val="auto"/>
                <w:sz w:val="21"/>
                <w:szCs w:val="24"/>
                <w:lang w:eastAsia="zh-CN"/>
              </w:rPr>
              <w:br w:type="textWrapping"/>
            </w:r>
            <w:r>
              <w:rPr>
                <w:rFonts w:ascii="宋体"/>
                <w:color w:val="auto"/>
                <w:sz w:val="21"/>
                <w:szCs w:val="24"/>
                <w:lang w:eastAsia="zh-CN"/>
              </w:rPr>
              <w:t>（参数施工图时提供）</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广州市白云泵业集团有限公司、广州广一泵业有限公司、上广州昌宁机电设备有限公司、山东双轮、广东佛山水泵厂、上海驰泉、上海汇业、江西瑞康</w:t>
            </w:r>
          </w:p>
        </w:tc>
      </w:tr>
      <w:tr>
        <w:tblPrEx>
          <w:tblLayout w:type="fixed"/>
          <w:tblCellMar>
            <w:top w:w="0" w:type="dxa"/>
            <w:left w:w="108" w:type="dxa"/>
            <w:bottom w:w="0" w:type="dxa"/>
            <w:right w:w="108" w:type="dxa"/>
          </w:tblCellMar>
        </w:tblPrEx>
        <w:trPr>
          <w:trHeight w:val="765"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7</w:t>
            </w:r>
          </w:p>
        </w:tc>
        <w:tc>
          <w:tcPr>
            <w:tcW w:w="2942"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ascii="宋体"/>
                <w:color w:val="auto"/>
                <w:sz w:val="21"/>
                <w:szCs w:val="24"/>
                <w:lang w:eastAsia="zh-CN"/>
              </w:rPr>
              <w:t>卡箍（含配件） (DN50~250)</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广东永泉阀门科技有限公司、广东邦达、 潍坊市长胜管业有限公司、中山凯翔、 青岛威龙卡特管道系统有限公司、上海瑞孚管路系统有限公司、潍坊钰兴机械有限公司</w:t>
            </w:r>
          </w:p>
        </w:tc>
      </w:tr>
      <w:tr>
        <w:tblPrEx>
          <w:tblLayout w:type="fixed"/>
          <w:tblCellMar>
            <w:top w:w="0" w:type="dxa"/>
            <w:left w:w="108" w:type="dxa"/>
            <w:bottom w:w="0" w:type="dxa"/>
            <w:right w:w="108" w:type="dxa"/>
          </w:tblCellMar>
        </w:tblPrEx>
        <w:trPr>
          <w:trHeight w:val="765"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8</w:t>
            </w:r>
          </w:p>
        </w:tc>
        <w:tc>
          <w:tcPr>
            <w:tcW w:w="2942"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ascii="宋体"/>
                <w:color w:val="auto"/>
                <w:sz w:val="21"/>
                <w:szCs w:val="24"/>
                <w:lang w:eastAsia="zh-CN"/>
              </w:rPr>
              <w:t>七氟丙烷自动</w:t>
            </w:r>
            <w:r>
              <w:rPr>
                <w:rFonts w:ascii="宋体"/>
                <w:color w:val="auto"/>
                <w:sz w:val="21"/>
                <w:szCs w:val="24"/>
                <w:lang w:eastAsia="zh-CN"/>
              </w:rPr>
              <w:br w:type="textWrapping"/>
            </w:r>
            <w:r>
              <w:rPr>
                <w:rFonts w:ascii="宋体"/>
                <w:color w:val="auto"/>
                <w:sz w:val="21"/>
                <w:szCs w:val="24"/>
                <w:lang w:eastAsia="zh-CN"/>
              </w:rPr>
              <w:t>灭火系统（参数施工图时提供）</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广州兴进消防设备有限公司、广东平安消防设备有限公司、广州番禺振兴、福建天广消防科技股份有限公司、广东胜捷消防设备有限公司、广州三山、浙江瑞港消防设备有限公司、</w:t>
            </w:r>
          </w:p>
        </w:tc>
      </w:tr>
      <w:tr>
        <w:tblPrEx>
          <w:tblLayout w:type="fixed"/>
          <w:tblCellMar>
            <w:top w:w="0" w:type="dxa"/>
            <w:left w:w="108" w:type="dxa"/>
            <w:bottom w:w="0" w:type="dxa"/>
            <w:right w:w="108" w:type="dxa"/>
          </w:tblCellMar>
        </w:tblPrEx>
        <w:trPr>
          <w:trHeight w:val="1020" w:hRule="atLeast"/>
        </w:trPr>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9</w:t>
            </w:r>
          </w:p>
        </w:tc>
        <w:tc>
          <w:tcPr>
            <w:tcW w:w="294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7"/>
              <w:spacing w:line="360" w:lineRule="auto"/>
              <w:jc w:val="center"/>
              <w:rPr>
                <w:rFonts w:ascii="宋体"/>
                <w:color w:val="auto"/>
                <w:sz w:val="21"/>
                <w:szCs w:val="24"/>
                <w:lang w:eastAsia="zh-CN"/>
              </w:rPr>
            </w:pPr>
            <w:r>
              <w:rPr>
                <w:rFonts w:ascii="宋体"/>
                <w:color w:val="auto"/>
                <w:sz w:val="21"/>
                <w:szCs w:val="24"/>
                <w:lang w:eastAsia="zh-CN"/>
              </w:rPr>
              <w:t>消防系统管道（镀锌钢管）(DN25~250)</w:t>
            </w:r>
          </w:p>
        </w:tc>
        <w:tc>
          <w:tcPr>
            <w:tcW w:w="6346" w:type="dxa"/>
            <w:tcBorders>
              <w:top w:val="single" w:color="000000" w:sz="4" w:space="0"/>
              <w:left w:val="single" w:color="000000" w:sz="4" w:space="0"/>
              <w:bottom w:val="single" w:color="000000" w:sz="4" w:space="0"/>
              <w:right w:val="single" w:color="000000" w:sz="4" w:space="0"/>
            </w:tcBorders>
            <w:shd w:val="clear" w:color="auto" w:fill="auto"/>
          </w:tcPr>
          <w:p>
            <w:pPr>
              <w:pStyle w:val="27"/>
              <w:spacing w:line="360" w:lineRule="auto"/>
              <w:jc w:val="center"/>
              <w:rPr>
                <w:rFonts w:ascii="宋体"/>
                <w:color w:val="auto"/>
                <w:sz w:val="21"/>
                <w:szCs w:val="24"/>
                <w:lang w:eastAsia="zh-CN"/>
              </w:rPr>
            </w:pPr>
            <w:r>
              <w:rPr>
                <w:rFonts w:hint="eastAsia" w:ascii="宋体"/>
                <w:color w:val="auto"/>
                <w:sz w:val="21"/>
                <w:szCs w:val="24"/>
                <w:lang w:eastAsia="zh-CN"/>
              </w:rPr>
              <w:t>广州市南粤钢管有限公司、广州市荣钢金属制品有限公司、广州海珠区珠江镀锌钢管厂、广东华捷钢管实业有限公司、广州钢管厂、广州番禺先河塑钢有限公司、国丰钢管、碧源管业、广州联兴热镀锌有限公司、佛山市三水振鸿钢制品有限公司</w:t>
            </w:r>
          </w:p>
        </w:tc>
      </w:tr>
    </w:tbl>
    <w:p>
      <w:pPr>
        <w:spacing w:before="8"/>
        <w:rPr>
          <w:rFonts w:ascii="宋体" w:hAnsi="宋体" w:eastAsia="宋体" w:cs="宋体"/>
          <w:color w:val="auto"/>
          <w:sz w:val="14"/>
          <w:szCs w:val="14"/>
          <w:lang w:eastAsia="zh-CN"/>
        </w:rPr>
      </w:pPr>
    </w:p>
    <w:p>
      <w:pPr>
        <w:pStyle w:val="28"/>
        <w:spacing w:before="120" w:after="120"/>
        <w:rPr>
          <w:b/>
          <w:color w:val="auto"/>
        </w:rPr>
      </w:pPr>
      <w:bookmarkStart w:id="8" w:name="_Toc117181317"/>
      <w:r>
        <w:rPr>
          <w:b/>
          <w:color w:val="auto"/>
        </w:rPr>
        <w:t>机械设备通用性要求</w:t>
      </w:r>
      <w:bookmarkEnd w:id="8"/>
    </w:p>
    <w:p>
      <w:pPr>
        <w:pStyle w:val="30"/>
        <w:spacing w:before="120" w:after="120"/>
        <w:rPr>
          <w:b w:val="0"/>
          <w:bCs/>
          <w:color w:val="auto"/>
        </w:rPr>
      </w:pPr>
      <w:bookmarkStart w:id="9" w:name="_Toc117181318"/>
      <w:r>
        <w:rPr>
          <w:color w:val="auto"/>
        </w:rPr>
        <w:t>参考标准</w:t>
      </w:r>
      <w:bookmarkEnd w:id="9"/>
    </w:p>
    <w:p>
      <w:pPr>
        <w:pStyle w:val="29"/>
        <w:ind w:firstLine="474"/>
        <w:rPr>
          <w:color w:val="auto"/>
        </w:rPr>
      </w:pPr>
      <w:r>
        <w:rPr>
          <w:color w:val="auto"/>
          <w:spacing w:val="-3"/>
        </w:rPr>
        <w:t>使用标准已列入陈述本工程所需设备技术要求的相应章节中，当合同内没有表明或商定</w:t>
      </w:r>
      <w:r>
        <w:rPr>
          <w:color w:val="auto"/>
        </w:rPr>
        <w:t>任何标准时，所有详细资料、材料、设备及制造工艺应符合技术说明的规定并提交业主认可。</w:t>
      </w:r>
    </w:p>
    <w:p>
      <w:pPr>
        <w:pStyle w:val="30"/>
        <w:spacing w:before="120" w:after="120"/>
        <w:rPr>
          <w:color w:val="auto"/>
        </w:rPr>
      </w:pPr>
      <w:bookmarkStart w:id="10" w:name="_Toc117181319"/>
      <w:r>
        <w:rPr>
          <w:color w:val="auto"/>
        </w:rPr>
        <w:t>使用期限</w:t>
      </w:r>
      <w:bookmarkEnd w:id="10"/>
    </w:p>
    <w:p>
      <w:pPr>
        <w:pStyle w:val="29"/>
        <w:ind w:firstLine="476"/>
        <w:rPr>
          <w:color w:val="auto"/>
        </w:rPr>
      </w:pPr>
      <w:r>
        <w:rPr>
          <w:color w:val="auto"/>
          <w:spacing w:val="-2"/>
        </w:rPr>
        <w:t>设计的材料和设备均应有长的使用期，并应适合于长期的每天二十四小时的连续运转，</w:t>
      </w:r>
      <w:r>
        <w:rPr>
          <w:color w:val="auto"/>
        </w:rPr>
        <w:t>且只须进行最少量的维修，可以要求承包商对任何部件使用期作出证明，承包商可以用相类似设备的使用记录或用广泛的测试记录来证明。常规的维护和修理应尽可能的不要求技术高的人员来服务。</w:t>
      </w:r>
    </w:p>
    <w:p>
      <w:pPr>
        <w:pStyle w:val="29"/>
        <w:ind w:firstLine="472"/>
        <w:rPr>
          <w:color w:val="auto"/>
        </w:rPr>
      </w:pPr>
      <w:r>
        <w:rPr>
          <w:color w:val="auto"/>
        </w:rPr>
        <w:t>除去易耗件如密封垫料等正常情况就需要较频繁的更换外，凡是须经受磨耗的无论那一种的部件，除另有规定外，无故障工作时间均不应少于</w:t>
      </w:r>
      <w:r>
        <w:rPr>
          <w:rFonts w:cs="宋体"/>
          <w:color w:val="auto"/>
        </w:rPr>
        <w:t>10000h</w:t>
      </w:r>
      <w:r>
        <w:rPr>
          <w:color w:val="auto"/>
        </w:rPr>
        <w:t>，整机的工作寿命应不少于</w:t>
      </w:r>
      <w:r>
        <w:rPr>
          <w:rFonts w:cs="宋体"/>
          <w:color w:val="auto"/>
        </w:rPr>
        <w:t>20</w:t>
      </w:r>
      <w:r>
        <w:rPr>
          <w:color w:val="auto"/>
        </w:rPr>
        <w:t>年，滚动轴承的基本额定寿命（</w:t>
      </w:r>
      <w:r>
        <w:rPr>
          <w:rFonts w:cs="宋体"/>
          <w:color w:val="auto"/>
        </w:rPr>
        <w:t>L10</w:t>
      </w:r>
      <w:r>
        <w:rPr>
          <w:color w:val="auto"/>
        </w:rPr>
        <w:t>）为</w:t>
      </w:r>
      <w:r>
        <w:rPr>
          <w:rFonts w:cs="宋体"/>
          <w:color w:val="auto"/>
        </w:rPr>
        <w:t>100,000</w:t>
      </w:r>
      <w:r>
        <w:rPr>
          <w:color w:val="auto"/>
        </w:rPr>
        <w:t>小时。</w:t>
      </w:r>
    </w:p>
    <w:p>
      <w:pPr>
        <w:pStyle w:val="30"/>
        <w:spacing w:before="120" w:after="120"/>
        <w:rPr>
          <w:b w:val="0"/>
          <w:bCs/>
          <w:color w:val="auto"/>
        </w:rPr>
      </w:pPr>
      <w:bookmarkStart w:id="11" w:name="_Toc117181320"/>
      <w:r>
        <w:rPr>
          <w:color w:val="auto"/>
        </w:rPr>
        <w:t>材料</w:t>
      </w:r>
      <w:bookmarkEnd w:id="11"/>
    </w:p>
    <w:p>
      <w:pPr>
        <w:pStyle w:val="29"/>
        <w:ind w:firstLine="472"/>
        <w:rPr>
          <w:color w:val="auto"/>
        </w:rPr>
      </w:pPr>
      <w:r>
        <w:rPr>
          <w:color w:val="auto"/>
        </w:rPr>
        <w:t>工程中所使用的材料必须是最适合该工作的，并应是新的，优质的，无缺陷的，且应选择使用寿命长，维护要求低的材料。</w:t>
      </w:r>
    </w:p>
    <w:p>
      <w:pPr>
        <w:pStyle w:val="29"/>
        <w:ind w:firstLine="472"/>
        <w:rPr>
          <w:color w:val="auto"/>
        </w:rPr>
      </w:pPr>
      <w:r>
        <w:rPr>
          <w:color w:val="auto"/>
        </w:rPr>
        <w:t>浸没在水下的设备的活动部分及表面，如销、栓与心轴等，应是抗腐蚀的。直接与各种化学制品接触的部件应具有对这些化学制品有完全的抗腐蚀与抗磨损的能力，并能保证这些部件不会由于时间的消逝，暴露在日光下或任何其它原因引起老化。</w:t>
      </w:r>
    </w:p>
    <w:p>
      <w:pPr>
        <w:pStyle w:val="29"/>
        <w:ind w:firstLine="474"/>
        <w:rPr>
          <w:color w:val="auto"/>
        </w:rPr>
      </w:pPr>
      <w:r>
        <w:rPr>
          <w:color w:val="auto"/>
          <w:spacing w:val="-3"/>
        </w:rPr>
        <w:t>当规定中标注“不锈钢”而未标注不锈钢标号（牌号）材料时，它应具有不低于英国标</w:t>
      </w:r>
      <w:r>
        <w:rPr>
          <w:color w:val="auto"/>
        </w:rPr>
        <w:t>准</w:t>
      </w:r>
      <w:r>
        <w:rPr>
          <w:rFonts w:cs="宋体"/>
          <w:color w:val="auto"/>
        </w:rPr>
        <w:t>BS970</w:t>
      </w:r>
      <w:r>
        <w:rPr>
          <w:color w:val="auto"/>
        </w:rPr>
        <w:t>第四部分规定的抗大气腐蚀的能力。</w:t>
      </w:r>
    </w:p>
    <w:p>
      <w:pPr>
        <w:pStyle w:val="29"/>
        <w:ind w:firstLine="472"/>
        <w:rPr>
          <w:color w:val="auto"/>
        </w:rPr>
      </w:pPr>
      <w:r>
        <w:rPr>
          <w:rFonts w:cs="宋体"/>
          <w:color w:val="auto"/>
        </w:rPr>
        <w:t>1.</w:t>
      </w:r>
      <w:r>
        <w:rPr>
          <w:color w:val="auto"/>
        </w:rPr>
        <w:t>水、污水</w:t>
      </w:r>
      <w:r>
        <w:rPr>
          <w:rFonts w:cs="宋体"/>
          <w:color w:val="auto"/>
        </w:rPr>
        <w:t>(</w:t>
      </w:r>
      <w:r>
        <w:rPr>
          <w:color w:val="auto"/>
        </w:rPr>
        <w:t>包括含氯污水或其他水</w:t>
      </w:r>
      <w:r>
        <w:rPr>
          <w:rFonts w:cs="宋体"/>
          <w:color w:val="auto"/>
        </w:rPr>
        <w:t>)</w:t>
      </w:r>
      <w:r>
        <w:rPr>
          <w:color w:val="auto"/>
        </w:rPr>
        <w:t>为</w:t>
      </w:r>
      <w:r>
        <w:rPr>
          <w:rFonts w:cs="宋体"/>
          <w:color w:val="auto"/>
        </w:rPr>
        <w:t>316S12</w:t>
      </w:r>
      <w:r>
        <w:rPr>
          <w:color w:val="auto"/>
        </w:rPr>
        <w:t>级种类奥氏体钢。</w:t>
      </w:r>
    </w:p>
    <w:p>
      <w:pPr>
        <w:pStyle w:val="29"/>
        <w:ind w:firstLine="472"/>
        <w:rPr>
          <w:color w:val="auto"/>
        </w:rPr>
      </w:pPr>
      <w:r>
        <w:rPr>
          <w:rFonts w:cs="宋体"/>
          <w:color w:val="auto"/>
        </w:rPr>
        <w:t>2.</w:t>
      </w:r>
      <w:r>
        <w:rPr>
          <w:color w:val="auto"/>
        </w:rPr>
        <w:t>大气中为</w:t>
      </w:r>
      <w:r>
        <w:rPr>
          <w:rFonts w:cs="宋体"/>
          <w:color w:val="auto"/>
        </w:rPr>
        <w:t>304S15</w:t>
      </w:r>
      <w:r>
        <w:rPr>
          <w:color w:val="auto"/>
        </w:rPr>
        <w:t>级奥氏体钢。这种类型的不锈钢在焊接后应不产生晶间腐蚀，相对滑动（摩擦）场合须防止它们相互侵蚀而粘附，具有合适的硬度差和粗糙度，以及使用润滑剂来防止粘附。标注“铸铁”时，应具有</w:t>
      </w:r>
      <w:r>
        <w:rPr>
          <w:rFonts w:cs="宋体"/>
          <w:color w:val="auto"/>
        </w:rPr>
        <w:t>GG25</w:t>
      </w:r>
      <w:r>
        <w:rPr>
          <w:color w:val="auto"/>
        </w:rPr>
        <w:t>以上机械特性。</w:t>
      </w:r>
    </w:p>
    <w:p>
      <w:pPr>
        <w:pStyle w:val="29"/>
        <w:ind w:firstLine="472"/>
        <w:rPr>
          <w:color w:val="auto"/>
        </w:rPr>
      </w:pPr>
      <w:r>
        <w:rPr>
          <w:color w:val="auto"/>
        </w:rPr>
        <w:t>标注“工程塑料”时，应采用</w:t>
      </w:r>
      <w:r>
        <w:rPr>
          <w:rFonts w:cs="宋体"/>
          <w:color w:val="auto"/>
        </w:rPr>
        <w:t>UPVC</w:t>
      </w:r>
      <w:r>
        <w:rPr>
          <w:color w:val="auto"/>
        </w:rPr>
        <w:t>。</w:t>
      </w:r>
      <w:r>
        <w:rPr>
          <w:color w:val="auto"/>
          <w:spacing w:val="-2"/>
        </w:rPr>
        <w:t>指定或使用青铜时，必须用不含锌的青铜。</w:t>
      </w:r>
    </w:p>
    <w:p>
      <w:pPr>
        <w:pStyle w:val="29"/>
        <w:ind w:firstLine="472"/>
        <w:rPr>
          <w:color w:val="auto"/>
        </w:rPr>
      </w:pPr>
      <w:r>
        <w:rPr>
          <w:color w:val="auto"/>
        </w:rPr>
        <w:t>应防止由于二种电位接近的金属接合而引起的腐蚀，当必须使用不同金属并须相互接触时，则应作那样的选择以使双金属的腐蚀越低越好。必要时应使用橡胶或其它被批准的绝缘材料。</w:t>
      </w:r>
    </w:p>
    <w:p>
      <w:pPr>
        <w:pStyle w:val="29"/>
        <w:ind w:firstLine="474"/>
        <w:rPr>
          <w:color w:val="auto"/>
        </w:rPr>
      </w:pPr>
      <w:r>
        <w:rPr>
          <w:color w:val="auto"/>
          <w:spacing w:val="-3"/>
        </w:rPr>
        <w:t>当合同上规定需要提供材料的样品时，承包商应将这些样品材料在进行制造任何设备前</w:t>
      </w:r>
      <w:r>
        <w:rPr>
          <w:color w:val="auto"/>
        </w:rPr>
        <w:t>的不少于三十个日历日之前，自费提交给业主认可，而这些样品所代表的材料，在未获得认可时则不得进行制造，送达现场或用于任何工程中去。</w:t>
      </w:r>
    </w:p>
    <w:p>
      <w:pPr>
        <w:pStyle w:val="30"/>
        <w:spacing w:before="120" w:after="120"/>
        <w:rPr>
          <w:b w:val="0"/>
          <w:bCs/>
          <w:color w:val="auto"/>
        </w:rPr>
      </w:pPr>
      <w:bookmarkStart w:id="12" w:name="_Toc117181321"/>
      <w:r>
        <w:rPr>
          <w:color w:val="auto"/>
        </w:rPr>
        <w:t>质量控制</w:t>
      </w:r>
      <w:bookmarkEnd w:id="12"/>
    </w:p>
    <w:p>
      <w:pPr>
        <w:pStyle w:val="29"/>
        <w:ind w:firstLine="472"/>
        <w:rPr>
          <w:color w:val="auto"/>
        </w:rPr>
      </w:pPr>
      <w:r>
        <w:rPr>
          <w:color w:val="auto"/>
        </w:rPr>
        <w:t>制造厂应具有</w:t>
      </w:r>
      <w:r>
        <w:rPr>
          <w:rFonts w:cs="宋体"/>
          <w:color w:val="auto"/>
        </w:rPr>
        <w:t>ISO9000</w:t>
      </w:r>
      <w:r>
        <w:rPr>
          <w:color w:val="auto"/>
        </w:rPr>
        <w:t>系列质量管理控制体系或同类质量管理控制体系的认证。任何机械设备和钢结构件的设计与制造均必须受上述的质量管理体系控制。</w:t>
      </w:r>
    </w:p>
    <w:p>
      <w:pPr>
        <w:pStyle w:val="30"/>
        <w:spacing w:before="120" w:after="120"/>
        <w:rPr>
          <w:b w:val="0"/>
          <w:bCs/>
          <w:color w:val="auto"/>
        </w:rPr>
      </w:pPr>
      <w:bookmarkStart w:id="13" w:name="_Toc117181322"/>
      <w:r>
        <w:rPr>
          <w:color w:val="auto"/>
        </w:rPr>
        <w:t>铸造与锻造</w:t>
      </w:r>
      <w:bookmarkEnd w:id="13"/>
    </w:p>
    <w:p>
      <w:pPr>
        <w:pStyle w:val="29"/>
        <w:ind w:firstLine="472"/>
        <w:rPr>
          <w:color w:val="auto"/>
        </w:rPr>
      </w:pPr>
      <w:r>
        <w:rPr>
          <w:rFonts w:cs="宋体"/>
          <w:color w:val="auto"/>
        </w:rPr>
        <w:t>1.</w:t>
      </w:r>
      <w:r>
        <w:rPr>
          <w:color w:val="auto"/>
        </w:rPr>
        <w:t>铸钢件</w:t>
      </w:r>
    </w:p>
    <w:p>
      <w:pPr>
        <w:pStyle w:val="29"/>
        <w:ind w:firstLine="472"/>
        <w:rPr>
          <w:color w:val="auto"/>
        </w:rPr>
      </w:pPr>
      <w:r>
        <w:rPr>
          <w:color w:val="auto"/>
        </w:rPr>
        <w:t>铸件应尽可能从</w:t>
      </w:r>
      <w:r>
        <w:rPr>
          <w:rFonts w:cs="宋体"/>
          <w:color w:val="auto"/>
        </w:rPr>
        <w:t>DIN1681</w:t>
      </w:r>
      <w:r>
        <w:rPr>
          <w:color w:val="auto"/>
        </w:rPr>
        <w:t>、</w:t>
      </w:r>
      <w:r>
        <w:rPr>
          <w:rFonts w:cs="宋体"/>
          <w:color w:val="auto"/>
        </w:rPr>
        <w:t>DIN17245</w:t>
      </w:r>
      <w:r>
        <w:rPr>
          <w:color w:val="auto"/>
        </w:rPr>
        <w:t>、</w:t>
      </w:r>
      <w:r>
        <w:rPr>
          <w:rFonts w:cs="宋体"/>
          <w:color w:val="auto"/>
        </w:rPr>
        <w:t>DIN17445</w:t>
      </w:r>
      <w:r>
        <w:rPr>
          <w:color w:val="auto"/>
        </w:rPr>
        <w:t>和</w:t>
      </w:r>
      <w:r>
        <w:rPr>
          <w:rFonts w:cs="宋体"/>
          <w:color w:val="auto"/>
        </w:rPr>
        <w:t>SEW510</w:t>
      </w:r>
      <w:r>
        <w:rPr>
          <w:color w:val="auto"/>
        </w:rPr>
        <w:t>或相当的标准所述材料范围选用，且其检验、质量和其它要求只要认为是最低的可接受的标准。</w:t>
      </w:r>
    </w:p>
    <w:p>
      <w:pPr>
        <w:pStyle w:val="29"/>
        <w:ind w:firstLine="476"/>
        <w:rPr>
          <w:color w:val="auto"/>
        </w:rPr>
      </w:pPr>
      <w:r>
        <w:rPr>
          <w:color w:val="auto"/>
          <w:spacing w:val="-2"/>
        </w:rPr>
        <w:t>由于对缺陷而言各种使用场合有不同的要求，因此铸钢件应按</w:t>
      </w:r>
      <w:r>
        <w:rPr>
          <w:rFonts w:cs="宋体"/>
          <w:color w:val="auto"/>
          <w:spacing w:val="-1"/>
        </w:rPr>
        <w:t>DIN</w:t>
      </w:r>
      <w:r>
        <w:rPr>
          <w:rFonts w:cs="宋体"/>
          <w:color w:val="auto"/>
          <w:spacing w:val="-2"/>
        </w:rPr>
        <w:t>17245</w:t>
      </w:r>
      <w:r>
        <w:rPr>
          <w:color w:val="auto"/>
          <w:spacing w:val="-2"/>
        </w:rPr>
        <w:t>（表</w:t>
      </w:r>
      <w:r>
        <w:rPr>
          <w:rFonts w:cs="宋体"/>
          <w:color w:val="auto"/>
          <w:spacing w:val="-27"/>
        </w:rPr>
        <w:t>3</w:t>
      </w:r>
      <w:r>
        <w:rPr>
          <w:color w:val="auto"/>
          <w:spacing w:val="-27"/>
        </w:rPr>
        <w:t>）、质</w:t>
      </w:r>
      <w:r>
        <w:rPr>
          <w:color w:val="auto"/>
        </w:rPr>
        <w:t>量级别Ⅰ、Ⅱ和Ⅲ级提供。这些质量等级的使用范围如下：</w:t>
      </w:r>
    </w:p>
    <w:p>
      <w:pPr>
        <w:pStyle w:val="29"/>
        <w:ind w:firstLine="472"/>
        <w:rPr>
          <w:color w:val="auto"/>
        </w:rPr>
      </w:pPr>
      <w:r>
        <w:rPr>
          <w:color w:val="auto"/>
        </w:rPr>
        <w:t>介质温度不超过</w:t>
      </w:r>
      <w:r>
        <w:rPr>
          <w:rFonts w:cs="宋体"/>
          <w:color w:val="auto"/>
        </w:rPr>
        <w:t>400</w:t>
      </w:r>
      <w:r>
        <w:rPr>
          <w:color w:val="auto"/>
        </w:rPr>
        <w:t>℃或可能的最高工作压力达</w:t>
      </w:r>
      <w:r>
        <w:rPr>
          <w:rFonts w:cs="宋体"/>
          <w:color w:val="auto"/>
        </w:rPr>
        <w:t>32bar</w:t>
      </w:r>
      <w:r>
        <w:rPr>
          <w:color w:val="auto"/>
        </w:rPr>
        <w:t>（表压）以下──质量等级：Ⅰ级。</w:t>
      </w:r>
    </w:p>
    <w:p>
      <w:pPr>
        <w:pStyle w:val="29"/>
        <w:ind w:firstLine="472"/>
        <w:rPr>
          <w:color w:val="auto"/>
        </w:rPr>
      </w:pPr>
      <w:r>
        <w:rPr>
          <w:color w:val="auto"/>
        </w:rPr>
        <w:t>介质温度为</w:t>
      </w:r>
      <w:r>
        <w:rPr>
          <w:rFonts w:cs="宋体"/>
          <w:color w:val="auto"/>
        </w:rPr>
        <w:t>400</w:t>
      </w:r>
      <w:r>
        <w:rPr>
          <w:color w:val="auto"/>
        </w:rPr>
        <w:t>～</w:t>
      </w:r>
      <w:r>
        <w:rPr>
          <w:rFonts w:cs="宋体"/>
          <w:color w:val="auto"/>
        </w:rPr>
        <w:t>500</w:t>
      </w:r>
      <w:r>
        <w:rPr>
          <w:color w:val="auto"/>
        </w:rPr>
        <w:t>℃或可能的最高工作压力达</w:t>
      </w:r>
      <w:r>
        <w:rPr>
          <w:rFonts w:cs="宋体"/>
          <w:color w:val="auto"/>
        </w:rPr>
        <w:t>32</w:t>
      </w:r>
      <w:r>
        <w:rPr>
          <w:color w:val="auto"/>
        </w:rPr>
        <w:t>～</w:t>
      </w:r>
      <w:r>
        <w:rPr>
          <w:rFonts w:cs="宋体"/>
          <w:color w:val="auto"/>
        </w:rPr>
        <w:t>80bar</w:t>
      </w:r>
      <w:r>
        <w:rPr>
          <w:color w:val="auto"/>
        </w:rPr>
        <w:t>（表压）──质量等级：Ⅱ级。</w:t>
      </w:r>
    </w:p>
    <w:p>
      <w:pPr>
        <w:pStyle w:val="29"/>
        <w:ind w:firstLine="476"/>
        <w:rPr>
          <w:color w:val="auto"/>
        </w:rPr>
      </w:pPr>
      <w:r>
        <w:rPr>
          <w:color w:val="auto"/>
          <w:spacing w:val="-2"/>
        </w:rPr>
        <w:t>介质温度＞</w:t>
      </w:r>
      <w:r>
        <w:rPr>
          <w:rFonts w:cs="宋体"/>
          <w:color w:val="auto"/>
          <w:spacing w:val="-2"/>
        </w:rPr>
        <w:t>450</w:t>
      </w:r>
      <w:r>
        <w:rPr>
          <w:color w:val="auto"/>
          <w:spacing w:val="-2"/>
        </w:rPr>
        <w:t>℃或可能的最高工作压力达</w:t>
      </w:r>
      <w:r>
        <w:rPr>
          <w:rFonts w:cs="宋体"/>
          <w:color w:val="auto"/>
          <w:spacing w:val="-2"/>
        </w:rPr>
        <w:t>80bar</w:t>
      </w:r>
      <w:r>
        <w:rPr>
          <w:color w:val="auto"/>
          <w:spacing w:val="-2"/>
        </w:rPr>
        <w:t>（表压）以上──质量等级：Ⅲ级。</w:t>
      </w:r>
      <w:r>
        <w:rPr>
          <w:color w:val="auto"/>
        </w:rPr>
        <w:t>如果压力和温度数据不在同一级别时，应取用两种级别中的较高者。</w:t>
      </w:r>
    </w:p>
    <w:p>
      <w:pPr>
        <w:pStyle w:val="29"/>
        <w:ind w:firstLine="472"/>
        <w:rPr>
          <w:color w:val="auto"/>
        </w:rPr>
      </w:pPr>
      <w:r>
        <w:rPr>
          <w:rFonts w:cs="宋体"/>
          <w:color w:val="auto"/>
        </w:rPr>
        <w:t>2.</w:t>
      </w:r>
      <w:r>
        <w:rPr>
          <w:color w:val="auto"/>
        </w:rPr>
        <w:t>铸铁件</w:t>
      </w:r>
    </w:p>
    <w:p>
      <w:pPr>
        <w:pStyle w:val="29"/>
        <w:ind w:firstLine="472"/>
        <w:rPr>
          <w:color w:val="auto"/>
        </w:rPr>
      </w:pPr>
      <w:r>
        <w:rPr>
          <w:color w:val="auto"/>
        </w:rPr>
        <w:t>除非“项目监理”特别认可，铸铁将不能使用于受拉伸或冲击、或工作温度超过</w:t>
      </w:r>
      <w:r>
        <w:rPr>
          <w:rFonts w:cs="宋体"/>
          <w:color w:val="auto"/>
        </w:rPr>
        <w:t>100</w:t>
      </w:r>
      <w:r>
        <w:rPr>
          <w:color w:val="auto"/>
        </w:rPr>
        <w:t>℃的任何设备零件。</w:t>
      </w:r>
    </w:p>
    <w:p>
      <w:pPr>
        <w:pStyle w:val="29"/>
        <w:ind w:firstLine="472"/>
        <w:rPr>
          <w:color w:val="auto"/>
        </w:rPr>
      </w:pPr>
      <w:r>
        <w:rPr>
          <w:color w:val="auto"/>
        </w:rPr>
        <w:t>铸件的材料应符合有关标准，如</w:t>
      </w:r>
      <w:r>
        <w:rPr>
          <w:rFonts w:cs="宋体"/>
          <w:color w:val="auto"/>
        </w:rPr>
        <w:t>DIN</w:t>
      </w:r>
      <w:r>
        <w:rPr>
          <w:rFonts w:cs="宋体"/>
          <w:color w:val="auto"/>
          <w:spacing w:val="-6"/>
        </w:rPr>
        <w:t>1691</w:t>
      </w:r>
      <w:r>
        <w:rPr>
          <w:color w:val="auto"/>
          <w:spacing w:val="-6"/>
        </w:rPr>
        <w:t>、</w:t>
      </w:r>
      <w:r>
        <w:rPr>
          <w:rFonts w:cs="宋体"/>
          <w:color w:val="auto"/>
          <w:spacing w:val="-6"/>
        </w:rPr>
        <w:t>DIN1692</w:t>
      </w:r>
      <w:r>
        <w:rPr>
          <w:color w:val="auto"/>
          <w:spacing w:val="-6"/>
        </w:rPr>
        <w:t>、</w:t>
      </w:r>
      <w:r>
        <w:rPr>
          <w:rFonts w:cs="宋体"/>
          <w:color w:val="auto"/>
          <w:spacing w:val="-6"/>
        </w:rPr>
        <w:t>DIN1693</w:t>
      </w:r>
      <w:r>
        <w:rPr>
          <w:color w:val="auto"/>
          <w:spacing w:val="-6"/>
        </w:rPr>
        <w:t>、</w:t>
      </w:r>
      <w:r>
        <w:rPr>
          <w:rFonts w:cs="宋体"/>
          <w:color w:val="auto"/>
          <w:spacing w:val="-6"/>
        </w:rPr>
        <w:t>DIN</w:t>
      </w:r>
      <w:r>
        <w:rPr>
          <w:rFonts w:cs="宋体"/>
          <w:color w:val="auto"/>
        </w:rPr>
        <w:t>1694</w:t>
      </w:r>
      <w:r>
        <w:rPr>
          <w:color w:val="auto"/>
        </w:rPr>
        <w:t>和</w:t>
      </w:r>
      <w:r>
        <w:rPr>
          <w:rFonts w:cs="宋体"/>
          <w:color w:val="auto"/>
        </w:rPr>
        <w:t>DIN17006</w:t>
      </w:r>
      <w:r>
        <w:rPr>
          <w:color w:val="auto"/>
        </w:rPr>
        <w:t>或相当标准的要求。</w:t>
      </w:r>
    </w:p>
    <w:p>
      <w:pPr>
        <w:pStyle w:val="29"/>
        <w:ind w:firstLine="472"/>
        <w:rPr>
          <w:color w:val="auto"/>
        </w:rPr>
      </w:pPr>
      <w:r>
        <w:rPr>
          <w:rFonts w:cs="宋体"/>
          <w:color w:val="auto"/>
        </w:rPr>
        <w:t>3.</w:t>
      </w:r>
      <w:r>
        <w:rPr>
          <w:color w:val="auto"/>
        </w:rPr>
        <w:t>锻钢件</w:t>
      </w:r>
    </w:p>
    <w:p>
      <w:pPr>
        <w:pStyle w:val="29"/>
        <w:ind w:firstLine="472"/>
        <w:rPr>
          <w:color w:val="auto"/>
        </w:rPr>
      </w:pPr>
      <w:r>
        <w:rPr>
          <w:color w:val="auto"/>
        </w:rPr>
        <w:t>承包商应提供一份重要材料采购技术规范的英文版复制件。各有关文件都应对质量和检查要求作明确的陈述。</w:t>
      </w:r>
    </w:p>
    <w:p>
      <w:pPr>
        <w:pStyle w:val="29"/>
        <w:ind w:firstLine="474"/>
        <w:rPr>
          <w:color w:val="auto"/>
        </w:rPr>
      </w:pPr>
      <w:r>
        <w:rPr>
          <w:color w:val="auto"/>
          <w:spacing w:val="-3"/>
        </w:rPr>
        <w:t>凡有可能，锻钢件材料和其技术要求尽可能从审定过的国际标准中选用。例如对钢铁材</w:t>
      </w:r>
      <w:r>
        <w:rPr>
          <w:color w:val="auto"/>
          <w:spacing w:val="-10"/>
        </w:rPr>
        <w:t>料技术规范：</w:t>
      </w:r>
      <w:r>
        <w:rPr>
          <w:rFonts w:cs="宋体"/>
          <w:color w:val="auto"/>
          <w:spacing w:val="-10"/>
        </w:rPr>
        <w:t>SEW550</w:t>
      </w:r>
      <w:r>
        <w:rPr>
          <w:color w:val="auto"/>
        </w:rPr>
        <w:t>和</w:t>
      </w:r>
      <w:r>
        <w:rPr>
          <w:rFonts w:cs="宋体"/>
          <w:color w:val="auto"/>
          <w:spacing w:val="-9"/>
        </w:rPr>
        <w:t>SEQ620</w:t>
      </w:r>
      <w:r>
        <w:rPr>
          <w:color w:val="auto"/>
          <w:spacing w:val="-9"/>
        </w:rPr>
        <w:t>，对钢铁供货状态</w:t>
      </w:r>
      <w:r>
        <w:rPr>
          <w:rFonts w:cs="宋体"/>
          <w:color w:val="auto"/>
          <w:spacing w:val="-12"/>
        </w:rPr>
        <w:t>SEL620</w:t>
      </w:r>
      <w:r>
        <w:rPr>
          <w:color w:val="auto"/>
          <w:spacing w:val="-12"/>
        </w:rPr>
        <w:t>，</w:t>
      </w:r>
      <w:r>
        <w:rPr>
          <w:rFonts w:cs="宋体"/>
          <w:color w:val="auto"/>
          <w:spacing w:val="-12"/>
        </w:rPr>
        <w:t>TR107</w:t>
      </w:r>
      <w:r>
        <w:rPr>
          <w:color w:val="auto"/>
          <w:spacing w:val="-12"/>
        </w:rPr>
        <w:t>，对锻件的有关要求</w:t>
      </w:r>
      <w:r>
        <w:rPr>
          <w:rFonts w:cs="宋体"/>
          <w:color w:val="auto"/>
          <w:spacing w:val="-1"/>
        </w:rPr>
        <w:t>DIN7521</w:t>
      </w:r>
      <w:r>
        <w:rPr>
          <w:color w:val="auto"/>
          <w:spacing w:val="-1"/>
        </w:rPr>
        <w:t>，</w:t>
      </w:r>
      <w:r>
        <w:rPr>
          <w:rFonts w:cs="宋体"/>
          <w:color w:val="auto"/>
        </w:rPr>
        <w:t>DIN7522</w:t>
      </w:r>
      <w:r>
        <w:rPr>
          <w:color w:val="auto"/>
        </w:rPr>
        <w:t>等。</w:t>
      </w:r>
    </w:p>
    <w:p>
      <w:pPr>
        <w:pStyle w:val="29"/>
        <w:ind w:firstLine="474"/>
        <w:rPr>
          <w:color w:val="auto"/>
        </w:rPr>
      </w:pPr>
      <w:r>
        <w:rPr>
          <w:color w:val="auto"/>
          <w:spacing w:val="-3"/>
        </w:rPr>
        <w:t>所有锻件都应用硷性电炉钢或镇静酸性转炉钢制造。有些情况下应考虑用真空脱氧钢。</w:t>
      </w:r>
      <w:r>
        <w:rPr>
          <w:color w:val="auto"/>
        </w:rPr>
        <w:t>锻件的外表及内表均应没有裂纹、无机加工所不能消除的大范围的夹渣及表面缺陷。</w:t>
      </w:r>
      <w:r>
        <w:rPr>
          <w:color w:val="auto"/>
          <w:spacing w:val="-6"/>
        </w:rPr>
        <w:t>每个锻件应恰当地敲上钢印（标记号），这个号码应在所有精加工过程一直保留。识别</w:t>
      </w:r>
      <w:r>
        <w:rPr>
          <w:color w:val="auto"/>
        </w:rPr>
        <w:t>标记号应写在该锻件的所有文件及试验证书上。</w:t>
      </w:r>
    </w:p>
    <w:p>
      <w:pPr>
        <w:pStyle w:val="30"/>
        <w:spacing w:before="120" w:after="120"/>
        <w:rPr>
          <w:b w:val="0"/>
          <w:bCs/>
          <w:color w:val="auto"/>
        </w:rPr>
      </w:pPr>
      <w:bookmarkStart w:id="14" w:name="_Toc117181323"/>
      <w:r>
        <w:rPr>
          <w:color w:val="auto"/>
        </w:rPr>
        <w:t>齿轮传动与齿轮箱</w:t>
      </w:r>
      <w:bookmarkEnd w:id="14"/>
    </w:p>
    <w:p>
      <w:pPr>
        <w:pStyle w:val="29"/>
        <w:ind w:firstLine="472"/>
        <w:rPr>
          <w:color w:val="auto"/>
        </w:rPr>
      </w:pPr>
      <w:r>
        <w:rPr>
          <w:rFonts w:cs="宋体"/>
          <w:color w:val="auto"/>
        </w:rPr>
        <w:t>1.</w:t>
      </w:r>
      <w:r>
        <w:rPr>
          <w:color w:val="auto"/>
        </w:rPr>
        <w:t>所有的齿轮传动均应符合</w:t>
      </w:r>
      <w:r>
        <w:rPr>
          <w:rFonts w:cs="宋体"/>
          <w:color w:val="auto"/>
        </w:rPr>
        <w:t>ISO</w:t>
      </w:r>
      <w:r>
        <w:rPr>
          <w:color w:val="auto"/>
        </w:rPr>
        <w:t>标准或同类标准，服务系数不低于</w:t>
      </w:r>
      <w:r>
        <w:rPr>
          <w:rFonts w:cs="宋体"/>
          <w:color w:val="auto"/>
        </w:rPr>
        <w:t>1.4</w:t>
      </w:r>
      <w:r>
        <w:rPr>
          <w:color w:val="auto"/>
        </w:rPr>
        <w:t>，所有的齿轮传动均应由箱体封闭的。齿轮的材料应采用合金钢</w:t>
      </w:r>
      <w:r>
        <w:rPr>
          <w:rFonts w:cs="宋体"/>
          <w:color w:val="auto"/>
        </w:rPr>
        <w:t>16MnCr</w:t>
      </w:r>
      <w:r>
        <w:rPr>
          <w:color w:val="auto"/>
        </w:rPr>
        <w:t>或更好，齿面需作渗碳淬火处理，表面硬度</w:t>
      </w:r>
      <w:r>
        <w:rPr>
          <w:rFonts w:cs="宋体"/>
          <w:color w:val="auto"/>
        </w:rPr>
        <w:t>HRC58</w:t>
      </w:r>
      <w:r>
        <w:rPr>
          <w:color w:val="auto"/>
        </w:rPr>
        <w:t>～</w:t>
      </w:r>
      <w:r>
        <w:rPr>
          <w:rFonts w:cs="宋体"/>
          <w:color w:val="auto"/>
        </w:rPr>
        <w:t>62</w:t>
      </w:r>
      <w:r>
        <w:rPr>
          <w:color w:val="auto"/>
        </w:rPr>
        <w:t>，磨齿精度不低于</w:t>
      </w:r>
      <w:r>
        <w:rPr>
          <w:rFonts w:cs="宋体"/>
          <w:color w:val="auto"/>
        </w:rPr>
        <w:t>DIN3962</w:t>
      </w:r>
      <w:r>
        <w:rPr>
          <w:color w:val="auto"/>
        </w:rPr>
        <w:t>的</w:t>
      </w:r>
      <w:r>
        <w:rPr>
          <w:rFonts w:cs="宋体"/>
          <w:color w:val="auto"/>
        </w:rPr>
        <w:t>7</w:t>
      </w:r>
      <w:r>
        <w:rPr>
          <w:color w:val="auto"/>
        </w:rPr>
        <w:t>级。</w:t>
      </w:r>
      <w:r>
        <w:rPr>
          <w:rFonts w:cs="宋体"/>
          <w:color w:val="auto"/>
        </w:rPr>
        <w:t>2.</w:t>
      </w:r>
      <w:r>
        <w:rPr>
          <w:color w:val="auto"/>
        </w:rPr>
        <w:t>齿轮箱应按以下规定来设计和制造，应具有：</w:t>
      </w:r>
    </w:p>
    <w:p>
      <w:pPr>
        <w:pStyle w:val="29"/>
        <w:ind w:firstLine="472"/>
        <w:rPr>
          <w:color w:val="auto"/>
        </w:rPr>
      </w:pPr>
      <w:r>
        <w:rPr>
          <w:color w:val="auto"/>
        </w:rPr>
        <w:t>刻度清楚的观察玻璃或量油尺，以显示流动的或静止的油位；齿轮箱的所有接缝处须密封可靠以防止水与灰尘的进入或润滑剂的外流；</w:t>
      </w:r>
      <w:r>
        <w:rPr>
          <w:color w:val="auto"/>
          <w:spacing w:val="-3"/>
        </w:rPr>
        <w:t>装有用螺栓拧紧盖的检查孔、加油的接头、通气塞、排放旋塞或塞阀，如果需要的话，</w:t>
      </w:r>
    </w:p>
    <w:p>
      <w:pPr>
        <w:pStyle w:val="29"/>
        <w:ind w:firstLine="472"/>
        <w:rPr>
          <w:color w:val="auto"/>
        </w:rPr>
      </w:pPr>
      <w:r>
        <w:rPr>
          <w:color w:val="auto"/>
        </w:rPr>
        <w:t>溢流与排放的接管应予以延伸并与排放装置联结；以避免排出的油溢出；箱体上须设置手</w:t>
      </w:r>
      <w:r>
        <w:rPr>
          <w:color w:val="auto"/>
          <w:spacing w:val="-7"/>
        </w:rPr>
        <w:t>柄或吊环；每个齿轮箱接合面或底座上用圆锥销定位；齿轮传动部件应便于检查和进行维修。</w:t>
      </w:r>
    </w:p>
    <w:p>
      <w:pPr>
        <w:pStyle w:val="30"/>
        <w:spacing w:before="120" w:after="120"/>
        <w:rPr>
          <w:b w:val="0"/>
          <w:bCs/>
          <w:color w:val="auto"/>
        </w:rPr>
      </w:pPr>
      <w:bookmarkStart w:id="15" w:name="_Toc117181324"/>
      <w:r>
        <w:rPr>
          <w:color w:val="auto"/>
        </w:rPr>
        <w:t>焊接</w:t>
      </w:r>
      <w:bookmarkEnd w:id="15"/>
    </w:p>
    <w:p>
      <w:pPr>
        <w:pStyle w:val="29"/>
        <w:ind w:firstLine="472"/>
        <w:rPr>
          <w:color w:val="auto"/>
        </w:rPr>
      </w:pPr>
      <w:r>
        <w:rPr>
          <w:rFonts w:cs="宋体"/>
          <w:color w:val="auto"/>
        </w:rPr>
        <w:t>1</w:t>
      </w:r>
      <w:r>
        <w:rPr>
          <w:color w:val="auto"/>
        </w:rPr>
        <w:t>、总述执行本合同所进行的一切焊接，都应遵守本款规定的有关标准或项目监理同意的相当</w:t>
      </w:r>
    </w:p>
    <w:p>
      <w:pPr>
        <w:pStyle w:val="29"/>
        <w:ind w:firstLine="472"/>
        <w:rPr>
          <w:color w:val="auto"/>
        </w:rPr>
      </w:pPr>
      <w:r>
        <w:rPr>
          <w:color w:val="auto"/>
        </w:rPr>
        <w:t>标准。为了得到认可，承包商应证实所拟采用的焊接技术规范和标准与本技术规范的要求不存在矛盾之处，并与有关章节里的设计规范是一致的。在设计规范和标准间有矛盾时，应由项目监理决定何者为准。</w:t>
      </w:r>
    </w:p>
    <w:p>
      <w:pPr>
        <w:pStyle w:val="29"/>
        <w:ind w:firstLine="472"/>
        <w:rPr>
          <w:color w:val="auto"/>
        </w:rPr>
      </w:pPr>
      <w:r>
        <w:rPr>
          <w:color w:val="auto"/>
        </w:rPr>
        <w:t>承包商应满足按每个设备的技术规范进行焊接所必需的机械、劳动力、设备、工具、材料及消耗品。所有设备、机械和工具应该有好的质量和维护并完全适合于使用目的。</w:t>
      </w:r>
    </w:p>
    <w:p>
      <w:pPr>
        <w:pStyle w:val="29"/>
        <w:ind w:firstLine="472"/>
        <w:rPr>
          <w:color w:val="auto"/>
        </w:rPr>
      </w:pPr>
      <w:r>
        <w:rPr>
          <w:color w:val="auto"/>
        </w:rPr>
        <w:t>承包商应对其设备和人员与政府机构和其它地方当局颁布的规则和要求相符合负责。这些规则是指针对气割和焊接操作、放射源和同位素的使用、搬运和储存。</w:t>
      </w:r>
    </w:p>
    <w:p>
      <w:pPr>
        <w:pStyle w:val="29"/>
        <w:ind w:firstLine="472"/>
        <w:rPr>
          <w:color w:val="auto"/>
        </w:rPr>
      </w:pPr>
      <w:r>
        <w:rPr>
          <w:color w:val="auto"/>
        </w:rPr>
        <w:t>施焊人员均应具有相应等级的焊工资格证书及在焊接监督员的监督之下进行。派往工地的焊接监督员应该是在建设工地焊接监督有经验的人员，并具有执行本技术规范所述标准的工作经验。</w:t>
      </w:r>
    </w:p>
    <w:p>
      <w:pPr>
        <w:pStyle w:val="29"/>
        <w:ind w:firstLine="472"/>
        <w:rPr>
          <w:color w:val="auto"/>
        </w:rPr>
      </w:pPr>
      <w:r>
        <w:rPr>
          <w:rFonts w:cs="宋体"/>
          <w:color w:val="auto"/>
        </w:rPr>
        <w:t>2</w:t>
      </w:r>
      <w:r>
        <w:rPr>
          <w:color w:val="auto"/>
        </w:rPr>
        <w:t>、焊接技术</w:t>
      </w:r>
    </w:p>
    <w:p>
      <w:pPr>
        <w:pStyle w:val="29"/>
        <w:ind w:firstLine="474"/>
        <w:rPr>
          <w:color w:val="auto"/>
        </w:rPr>
      </w:pPr>
      <w:r>
        <w:rPr>
          <w:color w:val="auto"/>
          <w:spacing w:val="-3"/>
        </w:rPr>
        <w:t>低合金钢、高屈服点钢及其它Ⅰ级钢（</w:t>
      </w:r>
      <w:r>
        <w:rPr>
          <w:rFonts w:cs="宋体"/>
          <w:color w:val="auto"/>
          <w:spacing w:val="-3"/>
        </w:rPr>
        <w:t>BS2633</w:t>
      </w:r>
      <w:r>
        <w:rPr>
          <w:color w:val="auto"/>
          <w:spacing w:val="-3"/>
        </w:rPr>
        <w:t>：输送流体的管道用铁素体钢的电弧焊）</w:t>
      </w:r>
      <w:r>
        <w:rPr>
          <w:color w:val="auto"/>
        </w:rPr>
        <w:t>的单侧对接焊需用钨级惰性气体保护焊或手工气体保护焊打底（根部）。金属焊丝惰性气体</w:t>
      </w:r>
    </w:p>
    <w:p>
      <w:pPr>
        <w:pStyle w:val="29"/>
        <w:ind w:firstLine="474"/>
        <w:rPr>
          <w:color w:val="auto"/>
        </w:rPr>
      </w:pPr>
      <w:r>
        <w:rPr>
          <w:color w:val="auto"/>
          <w:spacing w:val="-3"/>
          <w:position w:val="1"/>
        </w:rPr>
        <w:t>（</w:t>
      </w:r>
      <w:r>
        <w:rPr>
          <w:rFonts w:cs="宋体"/>
          <w:color w:val="auto"/>
          <w:spacing w:val="-3"/>
          <w:position w:val="1"/>
        </w:rPr>
        <w:t>CO</w:t>
      </w:r>
      <w:r>
        <w:rPr>
          <w:rFonts w:cs="宋体"/>
          <w:color w:val="auto"/>
          <w:spacing w:val="-3"/>
          <w:sz w:val="11"/>
          <w:szCs w:val="11"/>
        </w:rPr>
        <w:t>2</w:t>
      </w:r>
      <w:r>
        <w:rPr>
          <w:color w:val="auto"/>
          <w:spacing w:val="-3"/>
          <w:position w:val="1"/>
        </w:rPr>
        <w:t>）保护自动焊（</w:t>
      </w:r>
      <w:r>
        <w:rPr>
          <w:rFonts w:cs="宋体"/>
          <w:color w:val="auto"/>
          <w:spacing w:val="-3"/>
          <w:position w:val="1"/>
        </w:rPr>
        <w:t>MIG</w:t>
      </w:r>
      <w:r>
        <w:rPr>
          <w:color w:val="auto"/>
          <w:spacing w:val="-3"/>
          <w:position w:val="1"/>
        </w:rPr>
        <w:t>）短路过渡焊及金属焊丝惰性气体保护焊中采用焊药芯焊都是不能</w:t>
      </w:r>
      <w:r>
        <w:rPr>
          <w:color w:val="auto"/>
        </w:rPr>
        <w:t>接受的。对于Ⅰ级钢不能采用衬环、衬底和易熔的根部嵌条，而仅可在项目监理事先同意的其它系统中采用。焊接过程的设计应保证至少</w:t>
      </w:r>
      <w:r>
        <w:rPr>
          <w:rFonts w:cs="宋体"/>
          <w:color w:val="auto"/>
        </w:rPr>
        <w:t>1.5mm</w:t>
      </w:r>
      <w:r>
        <w:rPr>
          <w:color w:val="auto"/>
        </w:rPr>
        <w:t>～最大</w:t>
      </w:r>
      <w:r>
        <w:rPr>
          <w:rFonts w:cs="宋体"/>
          <w:color w:val="auto"/>
        </w:rPr>
        <w:t>3.0mm</w:t>
      </w:r>
      <w:r>
        <w:rPr>
          <w:color w:val="auto"/>
        </w:rPr>
        <w:t>的焊接加强高度。</w:t>
      </w:r>
    </w:p>
    <w:p>
      <w:pPr>
        <w:pStyle w:val="29"/>
        <w:ind w:firstLine="472"/>
        <w:rPr>
          <w:color w:val="auto"/>
        </w:rPr>
      </w:pPr>
      <w:r>
        <w:rPr>
          <w:color w:val="auto"/>
        </w:rPr>
        <w:t>按</w:t>
      </w:r>
      <w:r>
        <w:rPr>
          <w:rFonts w:cs="宋体"/>
          <w:color w:val="auto"/>
        </w:rPr>
        <w:t>ANSI31.1</w:t>
      </w:r>
      <w:r>
        <w:rPr>
          <w:color w:val="auto"/>
        </w:rPr>
        <w:t>的要求和</w:t>
      </w:r>
      <w:r>
        <w:rPr>
          <w:rFonts w:cs="宋体"/>
          <w:color w:val="auto"/>
        </w:rPr>
        <w:t>SAME</w:t>
      </w:r>
      <w:r>
        <w:rPr>
          <w:color w:val="auto"/>
        </w:rPr>
        <w:t>规范第九章规定为每一种焊接形式应提供两份最新版“焊</w:t>
      </w:r>
      <w:r>
        <w:rPr>
          <w:color w:val="auto"/>
          <w:spacing w:val="-8"/>
        </w:rPr>
        <w:t>接工艺技术规范”（</w:t>
      </w:r>
      <w:r>
        <w:rPr>
          <w:rFonts w:cs="宋体"/>
          <w:color w:val="auto"/>
          <w:spacing w:val="-8"/>
        </w:rPr>
        <w:t>WPS</w:t>
      </w:r>
      <w:r>
        <w:rPr>
          <w:color w:val="auto"/>
          <w:spacing w:val="-8"/>
        </w:rPr>
        <w:t>）和“工艺鉴定记录”（</w:t>
      </w:r>
      <w:r>
        <w:rPr>
          <w:rFonts w:cs="宋体"/>
          <w:color w:val="auto"/>
          <w:spacing w:val="-8"/>
        </w:rPr>
        <w:t>PQR</w:t>
      </w:r>
      <w:r>
        <w:rPr>
          <w:color w:val="auto"/>
          <w:spacing w:val="-8"/>
        </w:rPr>
        <w:t>）的复印件。</w:t>
      </w:r>
    </w:p>
    <w:p>
      <w:pPr>
        <w:pStyle w:val="29"/>
        <w:ind w:firstLine="472"/>
        <w:rPr>
          <w:color w:val="auto"/>
        </w:rPr>
      </w:pPr>
      <w:r>
        <w:rPr>
          <w:rFonts w:cs="宋体"/>
          <w:color w:val="auto"/>
        </w:rPr>
        <w:t>3</w:t>
      </w:r>
      <w:r>
        <w:rPr>
          <w:color w:val="auto"/>
        </w:rPr>
        <w:t>、焊接消耗品的存储所有焊接电焊条、焊丝和焊剂应存储在清洁干燥的地方，并应防止各种形式的破坏。</w:t>
      </w:r>
    </w:p>
    <w:p>
      <w:pPr>
        <w:pStyle w:val="29"/>
        <w:ind w:firstLine="472"/>
        <w:rPr>
          <w:color w:val="auto"/>
        </w:rPr>
      </w:pPr>
      <w:r>
        <w:rPr>
          <w:color w:val="auto"/>
        </w:rPr>
        <w:t>所有焊接消耗品应正确地进行标记，并将这些标记一直保留到使用时为止。每批电焊条和焊丝可用各制造厂的试验证书和使用注意事项加以识别，并将严格地按供应顺序进行使用。</w:t>
      </w:r>
    </w:p>
    <w:p>
      <w:pPr>
        <w:pStyle w:val="29"/>
        <w:ind w:firstLine="472"/>
        <w:rPr>
          <w:color w:val="auto"/>
        </w:rPr>
      </w:pPr>
      <w:r>
        <w:rPr>
          <w:color w:val="auto"/>
        </w:rPr>
        <w:t>焊剂层损坏的焊条、弯曲的焊条及遗失标记的焊条都不能用于本技术规范所包括的场合。</w:t>
      </w:r>
    </w:p>
    <w:p>
      <w:pPr>
        <w:pStyle w:val="29"/>
        <w:ind w:firstLine="474"/>
        <w:rPr>
          <w:color w:val="auto"/>
        </w:rPr>
      </w:pPr>
      <w:r>
        <w:rPr>
          <w:color w:val="auto"/>
          <w:spacing w:val="-3"/>
        </w:rPr>
        <w:t>承包商应供应足够数量的干燥烘箱，以便在使用前</w:t>
      </w:r>
      <w:r>
        <w:rPr>
          <w:rFonts w:cs="宋体"/>
          <w:color w:val="auto"/>
        </w:rPr>
        <w:t>48</w:t>
      </w:r>
      <w:r>
        <w:rPr>
          <w:color w:val="auto"/>
          <w:spacing w:val="-3"/>
        </w:rPr>
        <w:t>小时内正确地存储电焊条。干燥</w:t>
      </w:r>
      <w:r>
        <w:rPr>
          <w:color w:val="auto"/>
          <w:spacing w:val="-7"/>
        </w:rPr>
        <w:t>烘箱应采用电加热，并有加热温度自动控制器及目视温度计。电焊条存储温度由制造厂提供；</w:t>
      </w:r>
      <w:r>
        <w:rPr>
          <w:color w:val="auto"/>
          <w:spacing w:val="-3"/>
        </w:rPr>
        <w:t>但对于低氢成分的电焊条，不应低于</w:t>
      </w:r>
      <w:r>
        <w:rPr>
          <w:rFonts w:cs="宋体"/>
          <w:color w:val="auto"/>
          <w:spacing w:val="-3"/>
        </w:rPr>
        <w:t>100</w:t>
      </w:r>
      <w:r>
        <w:rPr>
          <w:color w:val="auto"/>
          <w:spacing w:val="-3"/>
        </w:rPr>
        <w:t>℃。低氢成分的电焊条再次烘干时应严格地按制造</w:t>
      </w:r>
      <w:r>
        <w:rPr>
          <w:color w:val="auto"/>
        </w:rPr>
        <w:t>厂的建议进行。</w:t>
      </w:r>
    </w:p>
    <w:p>
      <w:pPr>
        <w:pStyle w:val="29"/>
        <w:ind w:firstLine="472"/>
        <w:rPr>
          <w:color w:val="auto"/>
        </w:rPr>
      </w:pPr>
      <w:r>
        <w:rPr>
          <w:color w:val="auto"/>
        </w:rPr>
        <w:t>所有电焊条向工作场所发送时应放在保温箱内运送。电焊条在使用以前都应留在保温的容器内。</w:t>
      </w:r>
    </w:p>
    <w:p>
      <w:pPr>
        <w:pStyle w:val="29"/>
        <w:ind w:firstLine="476"/>
        <w:rPr>
          <w:color w:val="auto"/>
        </w:rPr>
      </w:pPr>
      <w:r>
        <w:rPr>
          <w:color w:val="auto"/>
          <w:spacing w:val="-2"/>
        </w:rPr>
        <w:t>与燃烧或焊接设备一起使用的气瓶应按</w:t>
      </w:r>
      <w:r>
        <w:rPr>
          <w:rFonts w:cs="宋体"/>
          <w:color w:val="auto"/>
        </w:rPr>
        <w:t>ISO</w:t>
      </w:r>
      <w:r>
        <w:rPr>
          <w:color w:val="auto"/>
          <w:spacing w:val="-2"/>
        </w:rPr>
        <w:t>标准的要求进行标志后才供应给工作场合。</w:t>
      </w:r>
      <w:r>
        <w:rPr>
          <w:color w:val="auto"/>
        </w:rPr>
        <w:t>它们在需要使用以前应存放在有适当遮阳设施的地方。</w:t>
      </w:r>
    </w:p>
    <w:p>
      <w:pPr>
        <w:pStyle w:val="29"/>
        <w:ind w:firstLine="472"/>
        <w:rPr>
          <w:color w:val="auto"/>
        </w:rPr>
      </w:pPr>
      <w:r>
        <w:rPr>
          <w:rFonts w:cs="宋体"/>
          <w:color w:val="auto"/>
        </w:rPr>
        <w:t>4</w:t>
      </w:r>
      <w:r>
        <w:rPr>
          <w:color w:val="auto"/>
        </w:rPr>
        <w:t>、焊接设备</w:t>
      </w:r>
    </w:p>
    <w:p>
      <w:pPr>
        <w:pStyle w:val="29"/>
        <w:ind w:firstLine="472"/>
        <w:rPr>
          <w:color w:val="auto"/>
        </w:rPr>
      </w:pPr>
      <w:r>
        <w:rPr>
          <w:color w:val="auto"/>
        </w:rPr>
        <w:t>焊接设备应有充足的容量，并维持在保证焊接质量的良好状态，能使用工地所要求的所有尺寸的电焊条。</w:t>
      </w:r>
    </w:p>
    <w:p>
      <w:pPr>
        <w:pStyle w:val="29"/>
        <w:ind w:firstLine="474"/>
        <w:rPr>
          <w:color w:val="auto"/>
        </w:rPr>
      </w:pPr>
      <w:r>
        <w:rPr>
          <w:color w:val="auto"/>
          <w:spacing w:val="-3"/>
        </w:rPr>
        <w:t>任何焊接设备，如果业主</w:t>
      </w:r>
      <w:r>
        <w:rPr>
          <w:rFonts w:cs="宋体"/>
          <w:color w:val="auto"/>
          <w:spacing w:val="-3"/>
        </w:rPr>
        <w:t>/</w:t>
      </w:r>
      <w:r>
        <w:rPr>
          <w:color w:val="auto"/>
          <w:spacing w:val="-3"/>
        </w:rPr>
        <w:t>项目监理认为不适用或不能满足工作要求的，承包商应予以</w:t>
      </w:r>
      <w:r>
        <w:rPr>
          <w:color w:val="auto"/>
        </w:rPr>
        <w:t>更换。</w:t>
      </w:r>
    </w:p>
    <w:p>
      <w:pPr>
        <w:pStyle w:val="29"/>
        <w:ind w:firstLine="472"/>
        <w:rPr>
          <w:color w:val="auto"/>
        </w:rPr>
      </w:pPr>
      <w:r>
        <w:rPr>
          <w:color w:val="auto"/>
        </w:rPr>
        <w:t>焊接机械接地线应用夹头或其它认可的方法牢固地固在工作场地上。焊接电缆应维持完好状态，避免纽结和连接点松脱。</w:t>
      </w:r>
    </w:p>
    <w:p>
      <w:pPr>
        <w:pStyle w:val="29"/>
        <w:ind w:firstLine="472"/>
        <w:rPr>
          <w:color w:val="auto"/>
        </w:rPr>
      </w:pPr>
      <w:r>
        <w:rPr>
          <w:rFonts w:cs="宋体"/>
          <w:color w:val="auto"/>
        </w:rPr>
        <w:t>5</w:t>
      </w:r>
      <w:r>
        <w:rPr>
          <w:color w:val="auto"/>
        </w:rPr>
        <w:t>、焊接工作</w:t>
      </w:r>
    </w:p>
    <w:p>
      <w:pPr>
        <w:pStyle w:val="29"/>
        <w:ind w:firstLine="472"/>
        <w:rPr>
          <w:color w:val="auto"/>
        </w:rPr>
      </w:pPr>
      <w:r>
        <w:rPr>
          <w:color w:val="auto"/>
        </w:rPr>
        <w:t>焊接工、焊接工作应有适当的防火、防风、防风沙及防潮湿水分的设备。焊接工作不应在天气条件不允许满意地操作和充分地检查的情况下进行。</w:t>
      </w:r>
    </w:p>
    <w:p>
      <w:pPr>
        <w:pStyle w:val="29"/>
        <w:ind w:firstLine="472"/>
        <w:rPr>
          <w:color w:val="auto"/>
        </w:rPr>
      </w:pPr>
      <w:r>
        <w:rPr>
          <w:color w:val="auto"/>
        </w:rPr>
        <w:t>焊接坡口的准备可以是加工、剪切、气割和磨削，应仔细精确的进行。气割时应尽量使用机械引导工具。一切边缘都应去除渣屑、毛刺、氧化皮及异物，最后的坡口应与设计要求相符合。</w:t>
      </w:r>
    </w:p>
    <w:p>
      <w:pPr>
        <w:pStyle w:val="29"/>
        <w:ind w:firstLine="472"/>
        <w:rPr>
          <w:color w:val="auto"/>
        </w:rPr>
      </w:pPr>
      <w:r>
        <w:rPr>
          <w:color w:val="auto"/>
        </w:rPr>
        <w:t>在进行焊接以前，焊口应是干燥的，无潮气形成的凝结水。</w:t>
      </w:r>
      <w:r>
        <w:rPr>
          <w:color w:val="auto"/>
          <w:spacing w:val="-3"/>
        </w:rPr>
        <w:t>承压部件及结构零件的焊口应进行超声波检查、着色试验（用液体试验）或磁粉检查。</w:t>
      </w:r>
      <w:r>
        <w:rPr>
          <w:color w:val="auto"/>
        </w:rPr>
        <w:t>应采用认可的对中轧头，并且在根部焊接完成以前不能取下。凡使用过的定位板或跨</w:t>
      </w:r>
    </w:p>
    <w:p>
      <w:pPr>
        <w:pStyle w:val="29"/>
        <w:ind w:firstLine="472"/>
        <w:rPr>
          <w:color w:val="auto"/>
        </w:rPr>
      </w:pPr>
      <w:r>
        <w:rPr>
          <w:color w:val="auto"/>
        </w:rPr>
        <w:t>接件在割掉时应特别小心。焊缝送去检查以前应将裂缝及缺陷磨掉。这些部位应按与焊缝同样的方法进行检验，如果这些部位要承压或位于钢构件上的话。焊接准备中采用点焊是可以允许的，但在完成根部焊接以前应彻底磨掉。电焊条及点</w:t>
      </w:r>
    </w:p>
    <w:p>
      <w:pPr>
        <w:pStyle w:val="29"/>
        <w:ind w:firstLine="472"/>
        <w:rPr>
          <w:color w:val="auto"/>
        </w:rPr>
      </w:pPr>
      <w:r>
        <w:rPr>
          <w:color w:val="auto"/>
        </w:rPr>
        <w:t>焊的预热要求与实焊时的要求相同。任何不完善的点焊应在进行焊接根部以前清除。需要进行预热的情况下凡是可能都应该用电阻或高频设备来预热，或者用特殊形式的火焰喷嘴。预热和层间温度都应用测温笔在离开焊缝不小于</w:t>
      </w:r>
      <w:r>
        <w:rPr>
          <w:rFonts w:cs="宋体"/>
          <w:color w:val="auto"/>
        </w:rPr>
        <w:t>75mm</w:t>
      </w:r>
      <w:r>
        <w:rPr>
          <w:color w:val="auto"/>
        </w:rPr>
        <w:t>的地方进行检查。用手握火炬进行预热是不允许的。应按英国标准</w:t>
      </w:r>
      <w:r>
        <w:rPr>
          <w:rFonts w:cs="宋体"/>
          <w:color w:val="auto"/>
        </w:rPr>
        <w:t>BS2633</w:t>
      </w:r>
      <w:r>
        <w:rPr>
          <w:color w:val="auto"/>
        </w:rPr>
        <w:t>或相当的标准进行热处理。</w:t>
      </w:r>
    </w:p>
    <w:p>
      <w:pPr>
        <w:pStyle w:val="29"/>
        <w:ind w:firstLine="472"/>
        <w:rPr>
          <w:color w:val="auto"/>
        </w:rPr>
      </w:pPr>
      <w:r>
        <w:rPr>
          <w:color w:val="auto"/>
        </w:rPr>
        <w:t>在焊接过程中应去除焊渣、多余的焊缝金属及不规则的表面。清理工作可用手或有动力的工具。禁止用火焰刨削。</w:t>
      </w:r>
    </w:p>
    <w:p>
      <w:pPr>
        <w:pStyle w:val="29"/>
        <w:ind w:firstLine="472"/>
        <w:rPr>
          <w:color w:val="auto"/>
        </w:rPr>
      </w:pPr>
      <w:r>
        <w:rPr>
          <w:color w:val="auto"/>
        </w:rPr>
        <w:t>背面的修整可用电弧空气刨，前提是要将焊槽磨成光滑的曲面，所有在电弧气刨过程中生成的表面不规则物都应被除去，然后对焊槽用磁粉试验方法进行检查。</w:t>
      </w:r>
    </w:p>
    <w:p>
      <w:pPr>
        <w:pStyle w:val="29"/>
        <w:ind w:firstLine="472"/>
        <w:rPr>
          <w:color w:val="auto"/>
        </w:rPr>
      </w:pPr>
      <w:r>
        <w:rPr>
          <w:color w:val="auto"/>
        </w:rPr>
        <w:t>焊上的附加件，如搭子、楔子、支撑铁等应远离应力高及承压的焊缝。如果附加件跨过主焊缝，那么设计应保证在距主焊缝</w:t>
      </w:r>
      <w:r>
        <w:rPr>
          <w:rFonts w:cs="宋体"/>
          <w:color w:val="auto"/>
        </w:rPr>
        <w:t>40mm</w:t>
      </w:r>
      <w:r>
        <w:rPr>
          <w:color w:val="auto"/>
        </w:rPr>
        <w:t>之内不再另有焊缝存在。跨过主焊缝的附件应设计成在与主焊缝之间至少保留</w:t>
      </w:r>
      <w:r>
        <w:rPr>
          <w:rFonts w:cs="宋体"/>
          <w:color w:val="auto"/>
        </w:rPr>
        <w:t>25mm</w:t>
      </w:r>
      <w:r>
        <w:rPr>
          <w:color w:val="auto"/>
        </w:rPr>
        <w:t>的空挡。</w:t>
      </w:r>
    </w:p>
    <w:p>
      <w:pPr>
        <w:pStyle w:val="29"/>
        <w:ind w:firstLine="472"/>
        <w:rPr>
          <w:color w:val="auto"/>
        </w:rPr>
      </w:pPr>
      <w:r>
        <w:rPr>
          <w:color w:val="auto"/>
        </w:rPr>
        <w:t>不同材料间的过渡焊接应由制造厂在可控制的条件下进行。高屈服点结构钢的现场焊接没有项目监理预先同意是不允许。</w:t>
      </w:r>
    </w:p>
    <w:p>
      <w:pPr>
        <w:pStyle w:val="29"/>
        <w:ind w:firstLine="472"/>
        <w:rPr>
          <w:color w:val="auto"/>
        </w:rPr>
      </w:pPr>
      <w:r>
        <w:rPr>
          <w:color w:val="auto"/>
        </w:rPr>
        <w:t>所有管子的对接焊应</w:t>
      </w:r>
      <w:r>
        <w:rPr>
          <w:rFonts w:cs="宋体"/>
          <w:color w:val="auto"/>
        </w:rPr>
        <w:t>100</w:t>
      </w:r>
      <w:r>
        <w:rPr>
          <w:color w:val="auto"/>
        </w:rPr>
        <w:t>％的焊透，其根部要有最大为</w:t>
      </w:r>
      <w:r>
        <w:rPr>
          <w:rFonts w:cs="宋体"/>
          <w:color w:val="auto"/>
        </w:rPr>
        <w:t>3mm</w:t>
      </w:r>
      <w:r>
        <w:rPr>
          <w:color w:val="auto"/>
        </w:rPr>
        <w:t>的超透焊。除非另有规定而外，接受</w:t>
      </w:r>
      <w:r>
        <w:rPr>
          <w:rFonts w:cs="宋体"/>
          <w:color w:val="auto"/>
        </w:rPr>
        <w:t>X</w:t>
      </w:r>
      <w:r>
        <w:rPr>
          <w:color w:val="auto"/>
        </w:rPr>
        <w:t>射线、超声波或其它形式非破坏性试验的焊接件焊缝应修</w:t>
      </w:r>
    </w:p>
    <w:p>
      <w:pPr>
        <w:pStyle w:val="29"/>
        <w:ind w:firstLine="466"/>
        <w:rPr>
          <w:color w:val="auto"/>
        </w:rPr>
      </w:pPr>
      <w:r>
        <w:rPr>
          <w:color w:val="auto"/>
          <w:spacing w:val="-7"/>
        </w:rPr>
        <w:t>整光滑。应注意焊接金属和母材的熔合而无过度熔化现象。支管和附件的焊接缝应修正平滑，</w:t>
      </w:r>
      <w:r>
        <w:rPr>
          <w:color w:val="auto"/>
        </w:rPr>
        <w:t>且直角焊缝应修光。用埋弧焊或其它认可的方法焊接的焊缝，假如焊接波纹不会影响非破坏性试验结果的评价就可以不再加工。所有焊缝修整应在最终热处理前进行。</w:t>
      </w:r>
    </w:p>
    <w:p>
      <w:pPr>
        <w:pStyle w:val="29"/>
        <w:ind w:firstLine="472"/>
        <w:rPr>
          <w:color w:val="auto"/>
        </w:rPr>
      </w:pPr>
      <w:r>
        <w:rPr>
          <w:color w:val="auto"/>
        </w:rPr>
        <w:t>焊后热处理应按</w:t>
      </w:r>
      <w:r>
        <w:rPr>
          <w:rFonts w:cs="宋体"/>
          <w:color w:val="auto"/>
        </w:rPr>
        <w:t>BS2633</w:t>
      </w:r>
      <w:r>
        <w:rPr>
          <w:color w:val="auto"/>
        </w:rPr>
        <w:t>用专门为此设计的设备进行。气体烧嘴或手握火炬不准采用。凡在热处理炉中进行处理者，承包商应提供热处理图表的复印件。用电加热元件进行热处理者应设置适用的热电偶监视，热电偶与记录仪相连。最少要有两支热电偶，将复制的热处理图表提交给项目监理。</w:t>
      </w:r>
    </w:p>
    <w:p>
      <w:pPr>
        <w:pStyle w:val="29"/>
        <w:ind w:firstLine="472"/>
        <w:rPr>
          <w:color w:val="auto"/>
        </w:rPr>
      </w:pPr>
      <w:r>
        <w:rPr>
          <w:rFonts w:cs="宋体"/>
          <w:color w:val="auto"/>
        </w:rPr>
        <w:t>6</w:t>
      </w:r>
      <w:r>
        <w:rPr>
          <w:color w:val="auto"/>
        </w:rPr>
        <w:t>、焊接标准</w:t>
      </w:r>
    </w:p>
    <w:p>
      <w:pPr>
        <w:pStyle w:val="29"/>
        <w:ind w:firstLine="474"/>
        <w:rPr>
          <w:color w:val="auto"/>
        </w:rPr>
      </w:pPr>
      <w:r>
        <w:rPr>
          <w:color w:val="auto"/>
          <w:spacing w:val="-3"/>
        </w:rPr>
        <w:t>所有焊接件的检查和试验应按但不限于有关的英国标准技术规范（由设备的设计条件</w:t>
      </w:r>
      <w:r>
        <w:rPr>
          <w:color w:val="auto"/>
        </w:rPr>
        <w:t>所要求的）或相当的标准进行。</w:t>
      </w:r>
    </w:p>
    <w:p>
      <w:pPr>
        <w:pStyle w:val="30"/>
        <w:spacing w:before="120" w:after="120"/>
        <w:rPr>
          <w:b w:val="0"/>
          <w:bCs/>
          <w:color w:val="auto"/>
        </w:rPr>
      </w:pPr>
      <w:bookmarkStart w:id="16" w:name="_Toc117181325"/>
      <w:r>
        <w:rPr>
          <w:color w:val="auto"/>
        </w:rPr>
        <w:t>平衡</w:t>
      </w:r>
      <w:bookmarkEnd w:id="16"/>
    </w:p>
    <w:p>
      <w:pPr>
        <w:pStyle w:val="29"/>
        <w:ind w:firstLine="472"/>
        <w:rPr>
          <w:color w:val="auto"/>
        </w:rPr>
      </w:pPr>
      <w:r>
        <w:rPr>
          <w:color w:val="auto"/>
        </w:rPr>
        <w:t>所有的旋转部分均应作适当的静态与动态平衡，以使在正常的全速运转时，并在最险峻的负荷条件时，均不应在设备本体、或在车间内、或在其周边出现过分的振动。</w:t>
      </w:r>
    </w:p>
    <w:p>
      <w:pPr>
        <w:pStyle w:val="30"/>
        <w:spacing w:before="120" w:after="120"/>
        <w:rPr>
          <w:b w:val="0"/>
          <w:bCs/>
          <w:color w:val="auto"/>
        </w:rPr>
      </w:pPr>
      <w:bookmarkStart w:id="17" w:name="_Toc117181326"/>
      <w:r>
        <w:rPr>
          <w:color w:val="auto"/>
        </w:rPr>
        <w:t>互换性</w:t>
      </w:r>
      <w:bookmarkEnd w:id="17"/>
    </w:p>
    <w:p>
      <w:pPr>
        <w:pStyle w:val="29"/>
        <w:ind w:firstLine="472"/>
        <w:rPr>
          <w:color w:val="auto"/>
        </w:rPr>
      </w:pPr>
      <w:r>
        <w:rPr>
          <w:color w:val="auto"/>
        </w:rPr>
        <w:t>所有相同规格的设备不论是作为一个整体或是它的有关部件均应是绝对地可以互换的。</w:t>
      </w:r>
    </w:p>
    <w:p>
      <w:pPr>
        <w:pStyle w:val="29"/>
        <w:ind w:firstLine="472"/>
        <w:rPr>
          <w:color w:val="auto"/>
        </w:rPr>
      </w:pPr>
      <w:r>
        <w:rPr>
          <w:color w:val="auto"/>
        </w:rPr>
        <w:t>所提供的设备的种类必须是合乎标准化的，就这一点而论在实际上能使设备的一些部件具有最大的互换性。</w:t>
      </w:r>
    </w:p>
    <w:p>
      <w:pPr>
        <w:pStyle w:val="30"/>
        <w:spacing w:before="120" w:after="120"/>
        <w:rPr>
          <w:b w:val="0"/>
          <w:bCs/>
          <w:color w:val="auto"/>
        </w:rPr>
      </w:pPr>
      <w:bookmarkStart w:id="18" w:name="_Toc117181327"/>
      <w:r>
        <w:rPr>
          <w:color w:val="auto"/>
        </w:rPr>
        <w:t>噪音控制</w:t>
      </w:r>
      <w:bookmarkEnd w:id="18"/>
    </w:p>
    <w:p>
      <w:pPr>
        <w:pStyle w:val="29"/>
        <w:ind w:firstLine="472"/>
        <w:rPr>
          <w:color w:val="auto"/>
        </w:rPr>
      </w:pPr>
      <w:r>
        <w:rPr>
          <w:color w:val="auto"/>
        </w:rPr>
        <w:t>承包商应注意保证所安装的设备的所有项目在运转时是无异常噪声。如果需要的话应安装消音器以使设备在操作时在离其</w:t>
      </w:r>
      <w:r>
        <w:rPr>
          <w:rFonts w:cs="宋体"/>
          <w:color w:val="auto"/>
        </w:rPr>
        <w:t>1m</w:t>
      </w:r>
      <w:r>
        <w:rPr>
          <w:color w:val="auto"/>
        </w:rPr>
        <w:t>的圆周不超过</w:t>
      </w:r>
      <w:r>
        <w:rPr>
          <w:rFonts w:cs="宋体"/>
          <w:color w:val="auto"/>
        </w:rPr>
        <w:t>80dB(A)</w:t>
      </w:r>
      <w:r>
        <w:rPr>
          <w:color w:val="auto"/>
        </w:rPr>
        <w:t>的噪声。</w:t>
      </w:r>
    </w:p>
    <w:p>
      <w:pPr>
        <w:pStyle w:val="30"/>
        <w:spacing w:before="120" w:after="120"/>
        <w:rPr>
          <w:b w:val="0"/>
          <w:bCs/>
          <w:color w:val="auto"/>
        </w:rPr>
      </w:pPr>
      <w:bookmarkStart w:id="19" w:name="_Toc117181328"/>
      <w:r>
        <w:rPr>
          <w:color w:val="auto"/>
        </w:rPr>
        <w:t>润滑和清洗</w:t>
      </w:r>
      <w:bookmarkEnd w:id="19"/>
    </w:p>
    <w:p>
      <w:pPr>
        <w:pStyle w:val="29"/>
        <w:ind w:firstLine="472"/>
        <w:rPr>
          <w:color w:val="auto"/>
        </w:rPr>
      </w:pPr>
      <w:r>
        <w:rPr>
          <w:color w:val="auto"/>
        </w:rPr>
        <w:t>为了进行定期的检查与清洗，以及活动部件加注润滑油，应作适当的布局安排。承包商应尽可能安排使整个设备中需加注润滑脂或油的那些部分，尽量使用同一个等级或类型的润滑剂。需要周期性加注润滑脂的机械装置的所有轴承座，均应具有经批准的类型的加油嘴，如果需要的话，可将它们通过延伸管引出到一个便于到达的位置上，用于加润滑脂的必须的手动压注机或加油泵应与工具和备件同时提供。</w:t>
      </w:r>
    </w:p>
    <w:p>
      <w:pPr>
        <w:pStyle w:val="29"/>
        <w:ind w:firstLine="472"/>
        <w:rPr>
          <w:color w:val="auto"/>
        </w:rPr>
      </w:pPr>
      <w:r>
        <w:rPr>
          <w:color w:val="auto"/>
        </w:rPr>
        <w:t>承包商应提供必需的润滑剂，用于设备在发送前的测试，以及在预处理厂现场，在设备完全交付使用时使用。</w:t>
      </w:r>
    </w:p>
    <w:p>
      <w:pPr>
        <w:pStyle w:val="29"/>
        <w:ind w:firstLine="472"/>
        <w:rPr>
          <w:color w:val="auto"/>
          <w:spacing w:val="-2"/>
        </w:rPr>
      </w:pPr>
      <w:r>
        <w:rPr>
          <w:color w:val="auto"/>
        </w:rPr>
        <w:t>承包商应用适当的金属盛器来装盛足够用</w:t>
      </w:r>
      <w:r>
        <w:rPr>
          <w:rFonts w:cs="宋体"/>
          <w:color w:val="auto"/>
        </w:rPr>
        <w:t>24</w:t>
      </w:r>
      <w:r>
        <w:rPr>
          <w:color w:val="auto"/>
          <w:spacing w:val="-5"/>
        </w:rPr>
        <w:t>个月的，适用于装置不同部件的，推荐等</w:t>
      </w:r>
      <w:r>
        <w:rPr>
          <w:color w:val="auto"/>
          <w:spacing w:val="-2"/>
        </w:rPr>
        <w:t>级的各种润滑油及脂，提供并运至业主的仓库。那些润滑剂应列入备件和工具的一览表内。</w:t>
      </w:r>
    </w:p>
    <w:p>
      <w:pPr>
        <w:pStyle w:val="30"/>
        <w:spacing w:before="120" w:after="120"/>
        <w:rPr>
          <w:color w:val="auto"/>
        </w:rPr>
      </w:pPr>
      <w:bookmarkStart w:id="20" w:name="_Toc117181329"/>
      <w:r>
        <w:rPr>
          <w:color w:val="auto"/>
        </w:rPr>
        <w:t>铭牌、标志与电路原理牌</w:t>
      </w:r>
      <w:bookmarkEnd w:id="20"/>
    </w:p>
    <w:p>
      <w:pPr>
        <w:pStyle w:val="29"/>
        <w:ind w:firstLine="472"/>
        <w:rPr>
          <w:color w:val="auto"/>
        </w:rPr>
      </w:pPr>
      <w:r>
        <w:rPr>
          <w:color w:val="auto"/>
        </w:rPr>
        <w:t>每台机器和所有的其它设备均应具有一个金属制铭牌板，用认可的方式固定，以中文</w:t>
      </w:r>
      <w:r>
        <w:rPr>
          <w:color w:val="auto"/>
          <w:spacing w:val="-7"/>
        </w:rPr>
        <w:t>和英文把制造商的名称、编号以及全部工作特性（诸如输出功率、速度、压力、制造日期等）</w:t>
      </w:r>
      <w:r>
        <w:rPr>
          <w:color w:val="auto"/>
        </w:rPr>
        <w:t>清楚地表明在上面。</w:t>
      </w:r>
    </w:p>
    <w:p>
      <w:pPr>
        <w:pStyle w:val="29"/>
        <w:ind w:firstLine="472"/>
        <w:rPr>
          <w:color w:val="auto"/>
        </w:rPr>
      </w:pPr>
      <w:r>
        <w:rPr>
          <w:color w:val="auto"/>
        </w:rPr>
        <w:t>当所提供的设备的厂名牌可能设在一个不方便的部位时，如浸没式泵，那末承包商应提供另外一个把详细情况综合在一起的厂名牌，并应装订在或邻近于该设备的控制板处。所有的标志，电路原理牌等应以中文和英文雕刻，中文应雕在英文的上方。除非另有规定，所有电气设备如绝缘器，起动装置，开关或保险熔丝以及其它等应清楚地加以标明，以示该单元的功能，而在单相设备的情况时，则表明该设备是连接到那一相的，并应以螺栓把它固定在电气箱的外表面上。</w:t>
      </w:r>
    </w:p>
    <w:p>
      <w:pPr>
        <w:pStyle w:val="29"/>
        <w:ind w:firstLine="472"/>
        <w:rPr>
          <w:color w:val="auto"/>
        </w:rPr>
      </w:pPr>
      <w:r>
        <w:rPr>
          <w:color w:val="auto"/>
        </w:rPr>
        <w:t>不受气候影响的开关盘，室外绝缘器等应如上述一样固定雕刻好的标志。对在保险熔丝器板上的电路原理表牌的标志应在该熔丝器板上，如上述所规定的那样表明之。每个电路均应加以签定和识别。</w:t>
      </w:r>
      <w:r>
        <w:rPr>
          <w:color w:val="auto"/>
          <w:spacing w:val="-6"/>
        </w:rPr>
        <w:t>标志上的字句雕刻，应在该工作未进行之前由业主批准。在警告标志上的字样应以“危</w:t>
      </w:r>
      <w:r>
        <w:rPr>
          <w:color w:val="auto"/>
        </w:rPr>
        <w:t>险”二字开始，并以红底白字用中英文书写。</w:t>
      </w:r>
    </w:p>
    <w:p>
      <w:pPr>
        <w:pStyle w:val="30"/>
        <w:spacing w:before="120" w:after="120"/>
        <w:rPr>
          <w:b w:val="0"/>
          <w:bCs/>
          <w:color w:val="auto"/>
        </w:rPr>
      </w:pPr>
      <w:bookmarkStart w:id="21" w:name="_Toc117181330"/>
      <w:r>
        <w:rPr>
          <w:color w:val="auto"/>
        </w:rPr>
        <w:t>地脚螺栓和二次灌浆</w:t>
      </w:r>
      <w:bookmarkEnd w:id="21"/>
    </w:p>
    <w:p>
      <w:pPr>
        <w:pStyle w:val="29"/>
        <w:ind w:firstLine="472"/>
        <w:rPr>
          <w:color w:val="auto"/>
        </w:rPr>
      </w:pPr>
      <w:r>
        <w:rPr>
          <w:color w:val="auto"/>
        </w:rPr>
        <w:t>设备和装置所必需的所有基础均应根据由业主所批准的设备与装置供应者的细节与图纸建造之。</w:t>
      </w:r>
    </w:p>
    <w:p>
      <w:pPr>
        <w:pStyle w:val="29"/>
        <w:ind w:firstLine="472"/>
        <w:rPr>
          <w:color w:val="auto"/>
        </w:rPr>
      </w:pPr>
      <w:r>
        <w:rPr>
          <w:color w:val="auto"/>
        </w:rPr>
        <w:t>承包商应提供为本合同所规定供应的全部设备和装置上需用于锚固、紧固、定位等方面的所有螺栓、垫圈、螺母、垫板、支架、托架、基座和基础螺栓等，以及为安装固定设备的预留孔、预留洞、沟槽、预埋铁板、特殊埋件、土建基础等所需的二次灌浆，包括设备安</w:t>
      </w:r>
      <w:r>
        <w:rPr>
          <w:color w:val="auto"/>
          <w:spacing w:val="-6"/>
        </w:rPr>
        <w:t>装基础、凿毛、找平和其他相关工作（如刮泥机池底等）。</w:t>
      </w:r>
    </w:p>
    <w:p>
      <w:pPr>
        <w:pStyle w:val="29"/>
        <w:ind w:firstLine="472"/>
        <w:rPr>
          <w:color w:val="auto"/>
        </w:rPr>
      </w:pPr>
      <w:r>
        <w:rPr>
          <w:color w:val="auto"/>
        </w:rPr>
        <w:t>二次灌浆的材料的配比应视灌注体大小和强度要求确定，灌浆料的品质和施工工艺应经项目监理批准。</w:t>
      </w:r>
    </w:p>
    <w:p>
      <w:pPr>
        <w:pStyle w:val="30"/>
        <w:spacing w:before="120" w:after="120"/>
        <w:rPr>
          <w:b w:val="0"/>
          <w:bCs/>
          <w:color w:val="auto"/>
        </w:rPr>
      </w:pPr>
      <w:bookmarkStart w:id="22" w:name="_Toc117181331"/>
      <w:r>
        <w:rPr>
          <w:color w:val="auto"/>
        </w:rPr>
        <w:t>钢结构件</w:t>
      </w:r>
      <w:bookmarkEnd w:id="22"/>
    </w:p>
    <w:p>
      <w:pPr>
        <w:pStyle w:val="29"/>
        <w:ind w:firstLine="472"/>
        <w:rPr>
          <w:color w:val="auto"/>
        </w:rPr>
      </w:pPr>
      <w:r>
        <w:rPr>
          <w:rFonts w:cs="宋体"/>
          <w:color w:val="auto"/>
        </w:rPr>
        <w:t>1</w:t>
      </w:r>
      <w:r>
        <w:rPr>
          <w:color w:val="auto"/>
        </w:rPr>
        <w:t>、总述</w:t>
      </w:r>
    </w:p>
    <w:p>
      <w:pPr>
        <w:pStyle w:val="29"/>
        <w:ind w:firstLine="472"/>
        <w:rPr>
          <w:color w:val="auto"/>
        </w:rPr>
      </w:pPr>
      <w:r>
        <w:rPr>
          <w:color w:val="auto"/>
        </w:rPr>
        <w:t>本工程地处海洋气候，气候具有较强的腐蚀性和浸蚀性，在户外和户内材料选择时，应考虑饱含盐分灰尘沉积物和湿度共存的影响。</w:t>
      </w:r>
    </w:p>
    <w:p>
      <w:pPr>
        <w:pStyle w:val="29"/>
        <w:ind w:firstLine="472"/>
        <w:rPr>
          <w:color w:val="auto"/>
        </w:rPr>
      </w:pPr>
      <w:r>
        <w:rPr>
          <w:color w:val="auto"/>
        </w:rPr>
        <w:t>所有构架、结构部件和设备应设计成能忍受现场地震引起的地面运动。承包商应对属合同供应的设备，为其运行和有效的维护提供安全和接近设备所必需的</w:t>
      </w:r>
    </w:p>
    <w:p>
      <w:pPr>
        <w:pStyle w:val="29"/>
        <w:ind w:firstLine="476"/>
        <w:rPr>
          <w:color w:val="auto"/>
        </w:rPr>
      </w:pPr>
      <w:r>
        <w:rPr>
          <w:color w:val="auto"/>
          <w:spacing w:val="-2"/>
        </w:rPr>
        <w:t>全部工作平台、走道和扶梯。</w:t>
      </w:r>
    </w:p>
    <w:p>
      <w:pPr>
        <w:pStyle w:val="29"/>
        <w:ind w:firstLine="472"/>
        <w:rPr>
          <w:color w:val="auto"/>
        </w:rPr>
      </w:pPr>
      <w:r>
        <w:rPr>
          <w:rFonts w:cs="宋体"/>
          <w:color w:val="auto"/>
        </w:rPr>
        <w:t>2</w:t>
      </w:r>
      <w:r>
        <w:rPr>
          <w:color w:val="auto"/>
        </w:rPr>
        <w:t>、设计负荷</w:t>
      </w:r>
    </w:p>
    <w:p>
      <w:pPr>
        <w:pStyle w:val="29"/>
        <w:ind w:firstLine="472"/>
        <w:rPr>
          <w:color w:val="auto"/>
        </w:rPr>
      </w:pPr>
      <w:r>
        <w:rPr>
          <w:color w:val="auto"/>
        </w:rPr>
        <w:t>结构部件及其固定应根据常规的恒加速法进行设计，或者经项目监理认可的其它国际</w:t>
      </w:r>
    </w:p>
    <w:p>
      <w:pPr>
        <w:pStyle w:val="29"/>
        <w:ind w:firstLine="472"/>
        <w:rPr>
          <w:color w:val="auto"/>
        </w:rPr>
      </w:pPr>
      <w:r>
        <w:rPr>
          <w:color w:val="auto"/>
        </w:rPr>
        <w:t>上公认的专用动态计算方法来设计。属合同供应的全部钢筋混凝土构架和钢结构的设计，应使其局部的和总的沉降或其它</w:t>
      </w:r>
    </w:p>
    <w:p>
      <w:pPr>
        <w:pStyle w:val="29"/>
        <w:ind w:firstLine="472"/>
        <w:rPr>
          <w:color w:val="auto"/>
        </w:rPr>
      </w:pPr>
      <w:r>
        <w:rPr>
          <w:color w:val="auto"/>
        </w:rPr>
        <w:t>位移不超过可允许的限度，并应对所有连接处的膨胀采取完全的措施。包括构架上负荷密度在内的设计，应提交给项目监理认可。</w:t>
      </w:r>
    </w:p>
    <w:p>
      <w:pPr>
        <w:pStyle w:val="29"/>
        <w:ind w:firstLine="472"/>
        <w:rPr>
          <w:color w:val="auto"/>
        </w:rPr>
      </w:pPr>
      <w:r>
        <w:rPr>
          <w:color w:val="auto"/>
        </w:rPr>
        <w:t>对旋转式或往复式装置的基础设计，应能确保由机械负荷引起的弹性挠度被限制在机械制造厂规定的范围内。整个基础或其一部分以及所有邻近构架的自振频率不应与振动设备的工作频率相重合。基础的自振频率应至少比振动设备的工作频率高</w:t>
      </w:r>
      <w:r>
        <w:rPr>
          <w:rFonts w:cs="宋体"/>
          <w:color w:val="auto"/>
        </w:rPr>
        <w:t>10</w:t>
      </w:r>
      <w:r>
        <w:rPr>
          <w:color w:val="auto"/>
        </w:rPr>
        <w:t>％或低</w:t>
      </w:r>
      <w:r>
        <w:rPr>
          <w:rFonts w:cs="宋体"/>
          <w:color w:val="auto"/>
        </w:rPr>
        <w:t>10</w:t>
      </w:r>
      <w:r>
        <w:rPr>
          <w:color w:val="auto"/>
        </w:rPr>
        <w:t>％。</w:t>
      </w:r>
    </w:p>
    <w:p>
      <w:pPr>
        <w:pStyle w:val="29"/>
        <w:ind w:firstLine="488"/>
        <w:rPr>
          <w:color w:val="auto"/>
        </w:rPr>
      </w:pPr>
      <w:r>
        <w:rPr>
          <w:color w:val="auto"/>
          <w:spacing w:val="4"/>
        </w:rPr>
        <w:t>钢构件和其它型式构架的基础应被设计成能承受由框架和风力引起的全部荷载和力</w:t>
      </w:r>
      <w:r>
        <w:rPr>
          <w:color w:val="auto"/>
        </w:rPr>
        <w:t>矩。它们还应适应于配带有芯管、钢制锚固件或钢板的埋入式固定螺栓。</w:t>
      </w:r>
    </w:p>
    <w:p>
      <w:pPr>
        <w:pStyle w:val="29"/>
        <w:ind w:firstLine="476"/>
        <w:rPr>
          <w:color w:val="auto"/>
        </w:rPr>
      </w:pPr>
      <w:r>
        <w:rPr>
          <w:color w:val="auto"/>
          <w:spacing w:val="-2"/>
        </w:rPr>
        <w:t>承包商应提供按业主</w:t>
      </w:r>
      <w:r>
        <w:rPr>
          <w:rFonts w:cs="宋体"/>
          <w:color w:val="auto"/>
          <w:spacing w:val="-2"/>
        </w:rPr>
        <w:t>/</w:t>
      </w:r>
      <w:r>
        <w:rPr>
          <w:color w:val="auto"/>
          <w:spacing w:val="-2"/>
        </w:rPr>
        <w:t>项目监理要求的全部土建工程交接资料。</w:t>
      </w:r>
    </w:p>
    <w:p>
      <w:pPr>
        <w:pStyle w:val="29"/>
        <w:ind w:firstLine="472"/>
        <w:rPr>
          <w:color w:val="auto"/>
        </w:rPr>
      </w:pPr>
      <w:r>
        <w:rPr>
          <w:rFonts w:cs="宋体"/>
          <w:color w:val="auto"/>
        </w:rPr>
        <w:t>3</w:t>
      </w:r>
      <w:r>
        <w:rPr>
          <w:color w:val="auto"/>
        </w:rPr>
        <w:t>、钢制平台</w:t>
      </w:r>
    </w:p>
    <w:p>
      <w:pPr>
        <w:pStyle w:val="29"/>
        <w:ind w:firstLine="472"/>
        <w:rPr>
          <w:color w:val="auto"/>
        </w:rPr>
      </w:pPr>
      <w:r>
        <w:rPr>
          <w:color w:val="auto"/>
        </w:rPr>
        <w:t>所有平台和过道板应使用矩形、高频焊接的敞开栅板，或使用麻花形六角形钢条与扁钢作十字焊接的格栅板。所有的平台和过道楼板必须承受</w:t>
      </w:r>
      <w:r>
        <w:rPr>
          <w:rFonts w:cs="宋体"/>
          <w:color w:val="auto"/>
        </w:rPr>
        <w:t>3.5kN/m2</w:t>
      </w:r>
      <w:r>
        <w:rPr>
          <w:color w:val="auto"/>
        </w:rPr>
        <w:t>的负载（除非通行需要</w:t>
      </w:r>
      <w:r>
        <w:rPr>
          <w:color w:val="auto"/>
          <w:spacing w:val="-5"/>
        </w:rPr>
        <w:t>更大荷载），并提供合适尺寸的脚趾板。全部格栅板都应热浸锌，并设置拉手。</w:t>
      </w:r>
    </w:p>
    <w:p>
      <w:pPr>
        <w:pStyle w:val="29"/>
        <w:ind w:firstLine="472"/>
        <w:rPr>
          <w:color w:val="auto"/>
        </w:rPr>
      </w:pPr>
      <w:r>
        <w:rPr>
          <w:color w:val="auto"/>
        </w:rPr>
        <w:t>对所有工作平台、走道和钢梯，都应在其每一侧装设栏杆。</w:t>
      </w:r>
    </w:p>
    <w:p>
      <w:pPr>
        <w:pStyle w:val="29"/>
        <w:ind w:firstLine="472"/>
        <w:rPr>
          <w:color w:val="auto"/>
        </w:rPr>
      </w:pPr>
      <w:r>
        <w:rPr>
          <w:color w:val="auto"/>
        </w:rPr>
        <w:t>栏杆高度应为</w:t>
      </w:r>
      <w:r>
        <w:rPr>
          <w:rFonts w:cs="宋体"/>
          <w:color w:val="auto"/>
          <w:spacing w:val="-3"/>
        </w:rPr>
        <w:t>1.2m</w:t>
      </w:r>
      <w:r>
        <w:rPr>
          <w:color w:val="auto"/>
          <w:spacing w:val="-3"/>
        </w:rPr>
        <w:t>，而其它要求可按照通常的经验。扶手的直径应不小于</w:t>
      </w:r>
      <w:r>
        <w:rPr>
          <w:rFonts w:cs="宋体"/>
          <w:color w:val="auto"/>
        </w:rPr>
        <w:t>40mm</w:t>
      </w:r>
      <w:r>
        <w:rPr>
          <w:color w:val="auto"/>
        </w:rPr>
        <w:t>。采用不低于不锈钢</w:t>
      </w:r>
      <w:r>
        <w:rPr>
          <w:rFonts w:cs="宋体"/>
          <w:color w:val="auto"/>
        </w:rPr>
        <w:t>S304</w:t>
      </w:r>
      <w:r>
        <w:rPr>
          <w:color w:val="auto"/>
        </w:rPr>
        <w:t>材质制作，栏杆管壁应≥</w:t>
      </w:r>
      <w:r>
        <w:rPr>
          <w:rFonts w:cs="宋体"/>
          <w:color w:val="auto"/>
        </w:rPr>
        <w:t>2mm</w:t>
      </w:r>
      <w:r>
        <w:rPr>
          <w:color w:val="auto"/>
        </w:rPr>
        <w:t>。</w:t>
      </w:r>
    </w:p>
    <w:p>
      <w:pPr>
        <w:pStyle w:val="29"/>
        <w:ind w:firstLine="472"/>
        <w:rPr>
          <w:color w:val="auto"/>
        </w:rPr>
      </w:pPr>
      <w:r>
        <w:rPr>
          <w:color w:val="auto"/>
        </w:rPr>
        <w:t>全部接合点应设计成能确保在其相连的构件破坏之前不发生破坏。接合点最好是这样来定位，即其间距应近似等于从基准立柱算起的栏杆总跨距的五分之一。</w:t>
      </w:r>
    </w:p>
    <w:p>
      <w:pPr>
        <w:pStyle w:val="29"/>
        <w:ind w:firstLine="474"/>
        <w:rPr>
          <w:color w:val="auto"/>
        </w:rPr>
      </w:pPr>
      <w:r>
        <w:rPr>
          <w:color w:val="auto"/>
          <w:spacing w:val="-3"/>
        </w:rPr>
        <w:t>除非在制造后已采取抛光处理，否则接合点都应锉平或磨光。斜面接合是不能接受的。</w:t>
      </w:r>
      <w:r>
        <w:rPr>
          <w:color w:val="auto"/>
        </w:rPr>
        <w:t>对接合点使用半径弯管附件。在需要的地方，应装设可拆卸的栏杆。对垂直构件的插管座应被埋进楼板平面以下，以避免造成交通的障碍。</w:t>
      </w:r>
    </w:p>
    <w:p>
      <w:pPr>
        <w:pStyle w:val="29"/>
        <w:ind w:firstLine="476"/>
        <w:rPr>
          <w:color w:val="auto"/>
          <w:spacing w:val="-2"/>
        </w:rPr>
      </w:pPr>
      <w:r>
        <w:rPr>
          <w:color w:val="auto"/>
          <w:spacing w:val="-2"/>
        </w:rPr>
        <w:t>危险的开口区域应采用可拆卸的链条保护起来。</w:t>
      </w:r>
    </w:p>
    <w:p>
      <w:pPr>
        <w:pStyle w:val="29"/>
        <w:ind w:firstLine="472"/>
        <w:rPr>
          <w:color w:val="auto"/>
        </w:rPr>
      </w:pPr>
      <w:r>
        <w:rPr>
          <w:rFonts w:cs="宋体"/>
          <w:color w:val="auto"/>
        </w:rPr>
        <w:t>4</w:t>
      </w:r>
      <w:r>
        <w:rPr>
          <w:color w:val="auto"/>
        </w:rPr>
        <w:t>、钢梯</w:t>
      </w:r>
    </w:p>
    <w:p>
      <w:pPr>
        <w:pStyle w:val="29"/>
        <w:ind w:firstLine="468"/>
        <w:rPr>
          <w:color w:val="auto"/>
        </w:rPr>
      </w:pPr>
      <w:r>
        <w:rPr>
          <w:color w:val="auto"/>
          <w:spacing w:val="-6"/>
        </w:rPr>
        <w:t>无论何处的钢梯，采用不锈钢</w:t>
      </w:r>
      <w:r>
        <w:rPr>
          <w:rFonts w:cs="宋体"/>
          <w:color w:val="auto"/>
        </w:rPr>
        <w:t>S304</w:t>
      </w:r>
      <w:r>
        <w:rPr>
          <w:color w:val="auto"/>
          <w:spacing w:val="-5"/>
        </w:rPr>
        <w:t>材质制作，其与水平线的倾角应尽可能按</w:t>
      </w:r>
      <w:r>
        <w:rPr>
          <w:rFonts w:cs="宋体"/>
          <w:color w:val="auto"/>
        </w:rPr>
        <w:t>45</w:t>
      </w:r>
      <w:r>
        <w:rPr>
          <w:color w:val="auto"/>
        </w:rPr>
        <w:t>°来标准化。钢梯的最小宽度应为</w:t>
      </w:r>
      <w:r>
        <w:rPr>
          <w:rFonts w:cs="宋体"/>
          <w:color w:val="auto"/>
        </w:rPr>
        <w:t>700mm</w:t>
      </w:r>
      <w:r>
        <w:rPr>
          <w:color w:val="auto"/>
        </w:rPr>
        <w:t>，并应以</w:t>
      </w:r>
      <w:r>
        <w:rPr>
          <w:rFonts w:cs="宋体"/>
          <w:color w:val="auto"/>
        </w:rPr>
        <w:t>100mm</w:t>
      </w:r>
      <w:r>
        <w:rPr>
          <w:color w:val="auto"/>
        </w:rPr>
        <w:t>增量来增加。</w:t>
      </w:r>
    </w:p>
    <w:p>
      <w:pPr>
        <w:pStyle w:val="29"/>
        <w:ind w:firstLine="472"/>
        <w:rPr>
          <w:color w:val="auto"/>
        </w:rPr>
      </w:pPr>
      <w:r>
        <w:rPr>
          <w:color w:val="auto"/>
        </w:rPr>
        <w:t>在超过</w:t>
      </w:r>
      <w:r>
        <w:rPr>
          <w:rFonts w:cs="宋体"/>
          <w:color w:val="auto"/>
        </w:rPr>
        <w:t>16</w:t>
      </w:r>
      <w:r>
        <w:rPr>
          <w:color w:val="auto"/>
          <w:spacing w:val="-3"/>
        </w:rPr>
        <w:t>梯级的地方，应设置中间平台，并每梯段应是相等的。在一个钢梯由两个以</w:t>
      </w:r>
      <w:r>
        <w:rPr>
          <w:color w:val="auto"/>
        </w:rPr>
        <w:t>上梯级组成的地方，则在相邻段间应作方向变化，并且其所有方向变化应是同向的，或朝左手向，或朝右手向。应提供合适的、配置有脚趾板的楼梯平台。该脚趾板不应固定在楼板上。</w:t>
      </w:r>
      <w:r>
        <w:rPr>
          <w:color w:val="auto"/>
          <w:spacing w:val="-3"/>
        </w:rPr>
        <w:t>按规定，在钢梯的两侧都应装扶手，无论其侧面是敞开与否。宽度超过</w:t>
      </w:r>
      <w:r>
        <w:rPr>
          <w:rFonts w:cs="宋体"/>
          <w:color w:val="auto"/>
        </w:rPr>
        <w:t>2m</w:t>
      </w:r>
      <w:r>
        <w:rPr>
          <w:color w:val="auto"/>
        </w:rPr>
        <w:t>的楼梯应配置中间栏杆和中间支柱以支撑楼梯踏板。</w:t>
      </w:r>
    </w:p>
    <w:p>
      <w:pPr>
        <w:pStyle w:val="29"/>
        <w:ind w:firstLine="472"/>
        <w:rPr>
          <w:color w:val="auto"/>
        </w:rPr>
      </w:pPr>
      <w:r>
        <w:rPr>
          <w:color w:val="auto"/>
        </w:rPr>
        <w:t>所有的直爬钢梯，高度超过</w:t>
      </w:r>
      <w:r>
        <w:rPr>
          <w:rFonts w:cs="宋体"/>
          <w:color w:val="auto"/>
        </w:rPr>
        <w:t>2.5m</w:t>
      </w:r>
      <w:r>
        <w:rPr>
          <w:color w:val="auto"/>
        </w:rPr>
        <w:t>时，应由设置安全环，并与梯子相同的材料制成。</w:t>
      </w:r>
    </w:p>
    <w:p>
      <w:pPr>
        <w:pStyle w:val="29"/>
        <w:ind w:firstLine="472"/>
        <w:rPr>
          <w:color w:val="auto"/>
        </w:rPr>
      </w:pPr>
      <w:r>
        <w:rPr>
          <w:rFonts w:cs="宋体"/>
          <w:color w:val="auto"/>
        </w:rPr>
        <w:t>5</w:t>
      </w:r>
      <w:r>
        <w:rPr>
          <w:color w:val="auto"/>
        </w:rPr>
        <w:t>、沟槽盖板</w:t>
      </w:r>
    </w:p>
    <w:p>
      <w:pPr>
        <w:pStyle w:val="29"/>
        <w:ind w:firstLine="472"/>
        <w:rPr>
          <w:color w:val="auto"/>
        </w:rPr>
      </w:pPr>
      <w:r>
        <w:rPr>
          <w:color w:val="auto"/>
        </w:rPr>
        <w:t>地槽盖板应为铝合金、聚脂玻璃钢或热浸锌钢制格栅板。一般应承受</w:t>
      </w:r>
      <w:r>
        <w:rPr>
          <w:rFonts w:cs="宋体"/>
          <w:color w:val="auto"/>
        </w:rPr>
        <w:t>3.5kN/m2</w:t>
      </w:r>
      <w:r>
        <w:rPr>
          <w:color w:val="auto"/>
        </w:rPr>
        <w:t>的上压负载，除非通行需要更大载荷。应提供与盖板相同材料制成的具有适当角度的边框。</w:t>
      </w:r>
    </w:p>
    <w:p>
      <w:pPr>
        <w:pStyle w:val="30"/>
        <w:spacing w:before="120" w:after="120"/>
        <w:rPr>
          <w:color w:val="auto"/>
        </w:rPr>
      </w:pPr>
      <w:bookmarkStart w:id="23" w:name="_Toc117181332"/>
      <w:r>
        <w:rPr>
          <w:color w:val="auto"/>
        </w:rPr>
        <w:t>防护及油漆</w:t>
      </w:r>
      <w:bookmarkEnd w:id="23"/>
    </w:p>
    <w:p>
      <w:pPr>
        <w:pStyle w:val="29"/>
        <w:ind w:firstLine="472"/>
        <w:rPr>
          <w:color w:val="auto"/>
        </w:rPr>
      </w:pPr>
      <w:r>
        <w:rPr>
          <w:rFonts w:cs="宋体"/>
          <w:color w:val="auto"/>
        </w:rPr>
        <w:t>1</w:t>
      </w:r>
      <w:r>
        <w:rPr>
          <w:color w:val="auto"/>
        </w:rPr>
        <w:t>、总述</w:t>
      </w:r>
    </w:p>
    <w:p>
      <w:pPr>
        <w:pStyle w:val="29"/>
        <w:ind w:firstLine="474"/>
        <w:rPr>
          <w:color w:val="auto"/>
        </w:rPr>
      </w:pPr>
      <w:r>
        <w:rPr>
          <w:color w:val="auto"/>
          <w:spacing w:val="-3"/>
        </w:rPr>
        <w:t>本技术规范的目的，是规定对容器、设备、管道的表面预处理，涂防护层和油漆系统，</w:t>
      </w:r>
      <w:r>
        <w:rPr>
          <w:color w:val="auto"/>
        </w:rPr>
        <w:t>以及钢结构热浸锌的要求。</w:t>
      </w:r>
    </w:p>
    <w:p>
      <w:pPr>
        <w:pStyle w:val="29"/>
        <w:ind w:firstLine="472"/>
        <w:rPr>
          <w:color w:val="auto"/>
        </w:rPr>
      </w:pPr>
      <w:r>
        <w:rPr>
          <w:color w:val="auto"/>
        </w:rPr>
        <w:t>本技术规范应作为准备油漆工艺、工程图和材料与劳力要求的基础。本技术规范涉及到对工程的热浸锌和油漆的工作的总要求。这个技术规范也概述了对</w:t>
      </w:r>
    </w:p>
    <w:p>
      <w:pPr>
        <w:pStyle w:val="29"/>
        <w:ind w:firstLine="476"/>
        <w:rPr>
          <w:color w:val="auto"/>
        </w:rPr>
      </w:pPr>
      <w:r>
        <w:rPr>
          <w:color w:val="auto"/>
          <w:spacing w:val="-2"/>
        </w:rPr>
        <w:t>工程中任何需要油漆物品的油漆类型、表面预处理、底漆层修整、底漆层和罩面漆层数目，</w:t>
      </w:r>
      <w:r>
        <w:rPr>
          <w:color w:val="auto"/>
        </w:rPr>
        <w:t>以及干膜厚度。</w:t>
      </w:r>
    </w:p>
    <w:p>
      <w:pPr>
        <w:pStyle w:val="29"/>
        <w:ind w:firstLine="472"/>
        <w:rPr>
          <w:color w:val="auto"/>
        </w:rPr>
      </w:pPr>
      <w:r>
        <w:rPr>
          <w:color w:val="auto"/>
        </w:rPr>
        <w:t>承包商应提供全部劳力、材料和设备，包括高质量底油漆和溶剂。所建议的方法应根据最成功的工程经验，并应由业主的认可。</w:t>
      </w:r>
    </w:p>
    <w:p>
      <w:pPr>
        <w:pStyle w:val="29"/>
        <w:ind w:firstLine="472"/>
        <w:rPr>
          <w:color w:val="auto"/>
        </w:rPr>
      </w:pPr>
      <w:r>
        <w:rPr>
          <w:rFonts w:cs="宋体"/>
          <w:color w:val="auto"/>
        </w:rPr>
        <w:t>2</w:t>
      </w:r>
      <w:r>
        <w:rPr>
          <w:color w:val="auto"/>
        </w:rPr>
        <w:t>、材料和工艺</w:t>
      </w:r>
    </w:p>
    <w:p>
      <w:pPr>
        <w:pStyle w:val="29"/>
        <w:ind w:firstLine="472"/>
        <w:rPr>
          <w:color w:val="auto"/>
        </w:rPr>
      </w:pPr>
      <w:r>
        <w:rPr>
          <w:color w:val="auto"/>
        </w:rPr>
        <w:t>所有的材料和设备、采用的方法和工作质量应随时接受业主的检查和认可。当业主要按本标要求的规定做必要的检查时，承包商应协助业主进行试验或检查。除了白色以外，连续的油漆涂层不应采用同一色调。</w:t>
      </w:r>
      <w:r>
        <w:rPr>
          <w:color w:val="auto"/>
          <w:spacing w:val="-3"/>
        </w:rPr>
        <w:t>所有油漆工作都须取样品，并将其保存在现场，以便在油漆层损坏时作为可能的参考。</w:t>
      </w:r>
    </w:p>
    <w:p>
      <w:pPr>
        <w:pStyle w:val="29"/>
        <w:ind w:firstLine="472"/>
        <w:rPr>
          <w:color w:val="auto"/>
        </w:rPr>
      </w:pPr>
      <w:r>
        <w:rPr>
          <w:color w:val="auto"/>
        </w:rPr>
        <w:t>被保存的样品必须至少保持到保证期满之时。所有在附表“油漆系统”上引用油漆膜厚度指的是干膜状态。无论是由采用不适当的工艺，或是由分包商供应的油漆材料引起的影响防腐效果的缺</w:t>
      </w:r>
    </w:p>
    <w:p>
      <w:pPr>
        <w:pStyle w:val="29"/>
        <w:ind w:firstLine="472"/>
        <w:rPr>
          <w:color w:val="auto"/>
        </w:rPr>
      </w:pPr>
      <w:r>
        <w:rPr>
          <w:color w:val="auto"/>
        </w:rPr>
        <w:t>陷，必须由承包商自费进行修正。对高质量的合成树脂涂层，承包商必须对腐蚀防护性能给予</w:t>
      </w:r>
      <w:r>
        <w:rPr>
          <w:rFonts w:cs="宋体"/>
          <w:color w:val="auto"/>
        </w:rPr>
        <w:t>5</w:t>
      </w:r>
      <w:r>
        <w:rPr>
          <w:color w:val="auto"/>
        </w:rPr>
        <w:t>年保证。对用热涂法的</w:t>
      </w:r>
      <w:r>
        <w:rPr>
          <w:color w:val="auto"/>
          <w:spacing w:val="-3"/>
        </w:rPr>
        <w:t>沥青涂层、高质建筑沥青涂层（膜厚</w:t>
      </w:r>
      <w:r>
        <w:rPr>
          <w:rFonts w:cs="宋体"/>
          <w:color w:val="auto"/>
          <w:spacing w:val="-1"/>
        </w:rPr>
        <w:t>300</w:t>
      </w:r>
      <w:r>
        <w:rPr>
          <w:rFonts w:ascii="Arial" w:hAnsi="Arial" w:eastAsia="Arial" w:cs="Arial"/>
          <w:color w:val="auto"/>
          <w:spacing w:val="-1"/>
        </w:rPr>
        <w:t>μ</w:t>
      </w:r>
      <w:r>
        <w:rPr>
          <w:rFonts w:cs="宋体"/>
          <w:color w:val="auto"/>
          <w:spacing w:val="-7"/>
        </w:rPr>
        <w:t>m</w:t>
      </w:r>
      <w:r>
        <w:rPr>
          <w:color w:val="auto"/>
          <w:spacing w:val="-7"/>
        </w:rPr>
        <w:t>），或者用非沥青基材料但有同样防腐蚀性的涂</w:t>
      </w:r>
      <w:r>
        <w:rPr>
          <w:color w:val="auto"/>
        </w:rPr>
        <w:t>层系统，必须给予四年保证期。</w:t>
      </w:r>
    </w:p>
    <w:p>
      <w:pPr>
        <w:pStyle w:val="29"/>
        <w:ind w:firstLine="472"/>
        <w:rPr>
          <w:color w:val="auto"/>
        </w:rPr>
      </w:pPr>
      <w:r>
        <w:rPr>
          <w:color w:val="auto"/>
        </w:rPr>
        <w:t>对于高质建筑沥青涂层（膜厚</w:t>
      </w:r>
      <w:r>
        <w:rPr>
          <w:rFonts w:cs="宋体"/>
          <w:color w:val="auto"/>
        </w:rPr>
        <w:t>300</w:t>
      </w:r>
      <w:r>
        <w:rPr>
          <w:rFonts w:ascii="Arial" w:hAnsi="Arial" w:eastAsia="Arial" w:cs="Arial"/>
          <w:color w:val="auto"/>
        </w:rPr>
        <w:t>μ</w:t>
      </w:r>
      <w:r>
        <w:rPr>
          <w:rFonts w:cs="宋体"/>
          <w:color w:val="auto"/>
        </w:rPr>
        <w:t>m</w:t>
      </w:r>
      <w:r>
        <w:rPr>
          <w:color w:val="auto"/>
        </w:rPr>
        <w:t>）或用非沥青基材料但有同样防腐蚀性的涂层，应有三年保证期。</w:t>
      </w:r>
    </w:p>
    <w:p>
      <w:pPr>
        <w:pStyle w:val="29"/>
        <w:ind w:firstLine="472"/>
        <w:rPr>
          <w:color w:val="auto"/>
        </w:rPr>
      </w:pPr>
      <w:r>
        <w:rPr>
          <w:color w:val="auto"/>
        </w:rPr>
        <w:t>油漆应该在表面温度大于</w:t>
      </w:r>
      <w:r>
        <w:rPr>
          <w:rFonts w:cs="宋体"/>
          <w:color w:val="auto"/>
          <w:spacing w:val="-3"/>
        </w:rPr>
        <w:t>5</w:t>
      </w:r>
      <w:r>
        <w:rPr>
          <w:color w:val="auto"/>
          <w:spacing w:val="-3"/>
        </w:rPr>
        <w:t>℃时进行。表面温度必须至少高于露点</w:t>
      </w:r>
      <w:r>
        <w:rPr>
          <w:rFonts w:cs="宋体"/>
          <w:color w:val="auto"/>
          <w:spacing w:val="-5"/>
        </w:rPr>
        <w:t>3</w:t>
      </w:r>
      <w:r>
        <w:rPr>
          <w:color w:val="auto"/>
          <w:spacing w:val="-5"/>
        </w:rPr>
        <w:t>℃，以确保在该表</w:t>
      </w:r>
      <w:r>
        <w:rPr>
          <w:color w:val="auto"/>
        </w:rPr>
        <w:t>面上不发生凝结现象。必须核对相对湿度，以防止在该表面上凝结。</w:t>
      </w:r>
    </w:p>
    <w:p>
      <w:pPr>
        <w:pStyle w:val="29"/>
        <w:ind w:firstLine="472"/>
        <w:rPr>
          <w:color w:val="auto"/>
        </w:rPr>
      </w:pPr>
      <w:r>
        <w:rPr>
          <w:color w:val="auto"/>
        </w:rPr>
        <w:t>应该合理地注意，避免在临近雨前对室外部件等进行油漆。在炎热天气下，应该采取预防措施，以保证达到所规定的底漆或罩面漆干膜厚度。在干燥之前暴露于过大湿度或雨等情况中的底漆层，应允许烘干，去除被损坏的底漆区域，并对被损表面重新处理和涂底漆。露水可能聚集在遮蔽或不通风的水平表面上，要加强保护措施。为此应多加一层罩漆层。</w:t>
      </w:r>
    </w:p>
    <w:p>
      <w:pPr>
        <w:pStyle w:val="29"/>
        <w:ind w:firstLine="476"/>
        <w:rPr>
          <w:color w:val="auto"/>
          <w:spacing w:val="-2"/>
        </w:rPr>
      </w:pPr>
      <w:r>
        <w:rPr>
          <w:color w:val="auto"/>
          <w:spacing w:val="-2"/>
        </w:rPr>
        <w:t>在“油漆系统”中表示为“正常”的温度，是指在广州市增城区的气候条件下。</w:t>
      </w:r>
    </w:p>
    <w:p>
      <w:pPr>
        <w:pStyle w:val="29"/>
        <w:ind w:firstLine="472"/>
        <w:rPr>
          <w:color w:val="auto"/>
        </w:rPr>
      </w:pPr>
      <w:r>
        <w:rPr>
          <w:rFonts w:cs="宋体"/>
          <w:color w:val="auto"/>
        </w:rPr>
        <w:t>3</w:t>
      </w:r>
      <w:r>
        <w:rPr>
          <w:color w:val="auto"/>
        </w:rPr>
        <w:t>、提交资料</w:t>
      </w:r>
    </w:p>
    <w:p>
      <w:pPr>
        <w:pStyle w:val="29"/>
        <w:ind w:firstLine="472"/>
        <w:rPr>
          <w:color w:val="auto"/>
        </w:rPr>
      </w:pPr>
      <w:r>
        <w:rPr>
          <w:rFonts w:cs="宋体"/>
          <w:color w:val="auto"/>
        </w:rPr>
        <w:t>1</w:t>
      </w:r>
      <w:r>
        <w:rPr>
          <w:color w:val="auto"/>
        </w:rPr>
        <w:t>）承包商应提交以下资料但不限于下列内容</w:t>
      </w:r>
    </w:p>
    <w:p>
      <w:pPr>
        <w:pStyle w:val="29"/>
        <w:ind w:firstLine="472"/>
        <w:rPr>
          <w:color w:val="auto"/>
        </w:rPr>
      </w:pPr>
      <w:r>
        <w:rPr>
          <w:rFonts w:ascii="Symbol" w:hAnsi="Symbol" w:eastAsia="Symbol" w:cs="Symbol"/>
          <w:color w:val="auto"/>
        </w:rPr>
        <w:t></w:t>
      </w:r>
      <w:r>
        <w:rPr>
          <w:color w:val="auto"/>
        </w:rPr>
        <w:t>防护涂层和油漆系统一览表</w:t>
      </w:r>
    </w:p>
    <w:p>
      <w:pPr>
        <w:pStyle w:val="29"/>
        <w:ind w:firstLine="472"/>
        <w:rPr>
          <w:color w:val="auto"/>
        </w:rPr>
      </w:pPr>
      <w:r>
        <w:rPr>
          <w:rFonts w:ascii="Symbol" w:hAnsi="Symbol" w:eastAsia="Symbol" w:cs="Symbol"/>
          <w:color w:val="auto"/>
        </w:rPr>
        <w:t></w:t>
      </w:r>
      <w:r>
        <w:rPr>
          <w:color w:val="auto"/>
        </w:rPr>
        <w:t>终饰的颜色表格</w:t>
      </w:r>
    </w:p>
    <w:p>
      <w:pPr>
        <w:pStyle w:val="29"/>
        <w:ind w:firstLine="472"/>
        <w:rPr>
          <w:color w:val="auto"/>
        </w:rPr>
      </w:pPr>
      <w:r>
        <w:rPr>
          <w:rFonts w:ascii="Symbol" w:hAnsi="Symbol" w:eastAsia="Symbol" w:cs="Symbol"/>
          <w:color w:val="auto"/>
        </w:rPr>
        <w:t></w:t>
      </w:r>
      <w:r>
        <w:rPr>
          <w:color w:val="auto"/>
        </w:rPr>
        <w:t>防护处理涂料和油漆系统的制造厂的产品资料</w:t>
      </w:r>
    </w:p>
    <w:p>
      <w:pPr>
        <w:pStyle w:val="29"/>
        <w:ind w:firstLine="472"/>
        <w:rPr>
          <w:color w:val="auto"/>
        </w:rPr>
      </w:pPr>
      <w:r>
        <w:rPr>
          <w:rFonts w:ascii="Symbol" w:hAnsi="Symbol" w:eastAsia="Symbol" w:cs="Symbol"/>
          <w:color w:val="auto"/>
        </w:rPr>
        <w:t></w:t>
      </w:r>
      <w:r>
        <w:rPr>
          <w:color w:val="auto"/>
        </w:rPr>
        <w:t>制造厂的预处理和操作程序</w:t>
      </w:r>
    </w:p>
    <w:p>
      <w:pPr>
        <w:pStyle w:val="29"/>
        <w:ind w:firstLine="472"/>
        <w:rPr>
          <w:color w:val="auto"/>
        </w:rPr>
      </w:pPr>
      <w:r>
        <w:rPr>
          <w:rFonts w:ascii="Symbol" w:hAnsi="Symbol" w:eastAsia="Symbol" w:cs="Symbol"/>
          <w:color w:val="auto"/>
        </w:rPr>
        <w:t></w:t>
      </w:r>
      <w:r>
        <w:rPr>
          <w:color w:val="auto"/>
        </w:rPr>
        <w:t>操作方法</w:t>
      </w:r>
    </w:p>
    <w:p>
      <w:pPr>
        <w:pStyle w:val="29"/>
        <w:ind w:firstLine="476"/>
        <w:rPr>
          <w:color w:val="auto"/>
        </w:rPr>
      </w:pPr>
      <w:r>
        <w:rPr>
          <w:rFonts w:cs="宋体"/>
          <w:color w:val="auto"/>
          <w:spacing w:val="-2"/>
        </w:rPr>
        <w:t>2</w:t>
      </w:r>
      <w:r>
        <w:rPr>
          <w:color w:val="auto"/>
          <w:spacing w:val="-2"/>
        </w:rPr>
        <w:t>）承包商为完成本工程应准备的包括以下内容的详细表格</w:t>
      </w:r>
    </w:p>
    <w:p>
      <w:pPr>
        <w:pStyle w:val="29"/>
        <w:ind w:firstLine="472"/>
        <w:rPr>
          <w:color w:val="auto"/>
        </w:rPr>
      </w:pPr>
      <w:r>
        <w:rPr>
          <w:rFonts w:ascii="Symbol" w:hAnsi="Symbol" w:eastAsia="Symbol" w:cs="Symbol"/>
          <w:color w:val="auto"/>
        </w:rPr>
        <w:t></w:t>
      </w:r>
      <w:r>
        <w:rPr>
          <w:color w:val="auto"/>
        </w:rPr>
        <w:t>项目</w:t>
      </w:r>
    </w:p>
    <w:p>
      <w:pPr>
        <w:pStyle w:val="29"/>
        <w:ind w:firstLine="472"/>
        <w:rPr>
          <w:color w:val="auto"/>
        </w:rPr>
      </w:pPr>
      <w:r>
        <w:rPr>
          <w:rFonts w:ascii="Symbol" w:hAnsi="Symbol" w:eastAsia="Symbol" w:cs="Symbol"/>
          <w:color w:val="auto"/>
        </w:rPr>
        <w:t></w:t>
      </w:r>
      <w:r>
        <w:rPr>
          <w:color w:val="auto"/>
        </w:rPr>
        <w:t>环境</w:t>
      </w:r>
    </w:p>
    <w:p>
      <w:pPr>
        <w:pStyle w:val="29"/>
        <w:ind w:firstLine="472"/>
        <w:rPr>
          <w:color w:val="auto"/>
        </w:rPr>
      </w:pPr>
      <w:r>
        <w:rPr>
          <w:rFonts w:ascii="Symbol" w:hAnsi="Symbol" w:eastAsia="Symbol" w:cs="Symbol"/>
          <w:color w:val="auto"/>
        </w:rPr>
        <w:t></w:t>
      </w:r>
      <w:r>
        <w:rPr>
          <w:color w:val="auto"/>
        </w:rPr>
        <w:t>表面类型</w:t>
      </w:r>
    </w:p>
    <w:p>
      <w:pPr>
        <w:pStyle w:val="29"/>
        <w:ind w:firstLine="472"/>
        <w:rPr>
          <w:color w:val="auto"/>
        </w:rPr>
      </w:pPr>
      <w:r>
        <w:rPr>
          <w:rFonts w:ascii="Symbol" w:hAnsi="Symbol" w:eastAsia="Symbol" w:cs="Symbol"/>
          <w:color w:val="auto"/>
        </w:rPr>
        <w:t></w:t>
      </w:r>
      <w:r>
        <w:rPr>
          <w:color w:val="auto"/>
        </w:rPr>
        <w:t>表面予处理</w:t>
      </w:r>
    </w:p>
    <w:p>
      <w:pPr>
        <w:pStyle w:val="29"/>
        <w:ind w:firstLine="472"/>
        <w:rPr>
          <w:color w:val="auto"/>
        </w:rPr>
      </w:pPr>
      <w:r>
        <w:rPr>
          <w:rFonts w:ascii="Symbol" w:hAnsi="Symbol" w:eastAsia="Symbol" w:cs="Symbol"/>
          <w:color w:val="auto"/>
        </w:rPr>
        <w:t></w:t>
      </w:r>
      <w:r>
        <w:rPr>
          <w:color w:val="auto"/>
        </w:rPr>
        <w:t>所采用的防护或油漆系统</w:t>
      </w:r>
    </w:p>
    <w:p>
      <w:pPr>
        <w:pStyle w:val="29"/>
        <w:ind w:firstLine="472"/>
        <w:rPr>
          <w:color w:val="auto"/>
        </w:rPr>
      </w:pPr>
      <w:r>
        <w:rPr>
          <w:rFonts w:ascii="Symbol" w:hAnsi="Symbol" w:eastAsia="Symbol" w:cs="Symbol"/>
          <w:color w:val="auto"/>
        </w:rPr>
        <w:t></w:t>
      </w:r>
      <w:r>
        <w:rPr>
          <w:color w:val="auto"/>
        </w:rPr>
        <w:t>涂料制造厂厂名</w:t>
      </w:r>
    </w:p>
    <w:p>
      <w:pPr>
        <w:pStyle w:val="29"/>
        <w:ind w:firstLine="472"/>
        <w:rPr>
          <w:color w:val="auto"/>
        </w:rPr>
      </w:pPr>
      <w:r>
        <w:rPr>
          <w:rFonts w:ascii="Symbol" w:hAnsi="Symbol" w:eastAsia="Symbol" w:cs="Symbol"/>
          <w:color w:val="auto"/>
        </w:rPr>
        <w:t></w:t>
      </w:r>
      <w:r>
        <w:rPr>
          <w:color w:val="auto"/>
        </w:rPr>
        <w:t>可使用的每种涂料的牌号及参考号</w:t>
      </w:r>
    </w:p>
    <w:p>
      <w:pPr>
        <w:pStyle w:val="29"/>
        <w:ind w:firstLine="472"/>
        <w:rPr>
          <w:color w:val="auto"/>
        </w:rPr>
      </w:pPr>
      <w:r>
        <w:rPr>
          <w:rFonts w:ascii="Symbol" w:hAnsi="Symbol" w:eastAsia="Symbol" w:cs="Symbol"/>
          <w:color w:val="auto"/>
        </w:rPr>
        <w:t></w:t>
      </w:r>
      <w:r>
        <w:rPr>
          <w:color w:val="auto"/>
        </w:rPr>
        <w:t>每种涂料的制造厂数据表，包括技术说明，涂层形式和每一涂层的颜色</w:t>
      </w:r>
    </w:p>
    <w:p>
      <w:pPr>
        <w:pStyle w:val="29"/>
        <w:ind w:firstLine="472"/>
        <w:rPr>
          <w:color w:val="auto"/>
        </w:rPr>
      </w:pPr>
      <w:r>
        <w:rPr>
          <w:rFonts w:ascii="Symbol" w:hAnsi="Symbol" w:eastAsia="Symbol" w:cs="Symbol"/>
          <w:color w:val="auto"/>
        </w:rPr>
        <w:t></w:t>
      </w:r>
      <w:r>
        <w:rPr>
          <w:color w:val="auto"/>
        </w:rPr>
        <w:t>终饰的颜色</w:t>
      </w:r>
    </w:p>
    <w:p>
      <w:pPr>
        <w:pStyle w:val="29"/>
        <w:ind w:firstLine="472"/>
        <w:rPr>
          <w:color w:val="auto"/>
        </w:rPr>
      </w:pPr>
      <w:r>
        <w:rPr>
          <w:rFonts w:ascii="Symbol" w:hAnsi="Symbol" w:eastAsia="Symbol" w:cs="Symbol"/>
          <w:color w:val="auto"/>
        </w:rPr>
        <w:t></w:t>
      </w:r>
      <w:r>
        <w:rPr>
          <w:color w:val="auto"/>
        </w:rPr>
        <w:t>建议的操作区域和每种涂料层的详细操作方式，包括使用的设备资料</w:t>
      </w:r>
    </w:p>
    <w:p>
      <w:pPr>
        <w:pStyle w:val="29"/>
        <w:ind w:firstLine="472"/>
        <w:rPr>
          <w:color w:val="auto"/>
        </w:rPr>
      </w:pPr>
      <w:r>
        <w:rPr>
          <w:rFonts w:ascii="Symbol" w:hAnsi="Symbol" w:eastAsia="Symbol" w:cs="Symbol"/>
          <w:color w:val="auto"/>
        </w:rPr>
        <w:t></w:t>
      </w:r>
      <w:r>
        <w:rPr>
          <w:color w:val="auto"/>
        </w:rPr>
        <w:t>每一涂层的湿膜最小厚度及目标厚度</w:t>
      </w:r>
    </w:p>
    <w:p>
      <w:pPr>
        <w:pStyle w:val="29"/>
        <w:ind w:firstLine="472"/>
        <w:rPr>
          <w:color w:val="auto"/>
        </w:rPr>
      </w:pPr>
      <w:r>
        <w:rPr>
          <w:rFonts w:ascii="Symbol" w:hAnsi="Symbol" w:eastAsia="Symbol" w:cs="Symbol"/>
          <w:color w:val="auto"/>
        </w:rPr>
        <w:t></w:t>
      </w:r>
      <w:r>
        <w:rPr>
          <w:color w:val="auto"/>
        </w:rPr>
        <w:t>每一涂层的干膜最小厚度及目标厚度</w:t>
      </w:r>
    </w:p>
    <w:p>
      <w:pPr>
        <w:pStyle w:val="29"/>
        <w:ind w:firstLine="472"/>
        <w:rPr>
          <w:color w:val="auto"/>
        </w:rPr>
      </w:pPr>
      <w:r>
        <w:rPr>
          <w:rFonts w:ascii="Symbol" w:hAnsi="Symbol" w:eastAsia="Symbol" w:cs="Symbol"/>
          <w:color w:val="auto"/>
        </w:rPr>
        <w:t></w:t>
      </w:r>
      <w:r>
        <w:rPr>
          <w:color w:val="auto"/>
        </w:rPr>
        <w:t>每种涂层的油漆的稠密度、单位体积油漆的涂刷面积</w:t>
      </w:r>
      <w:r>
        <w:rPr>
          <w:color w:val="auto"/>
          <w:spacing w:val="-2"/>
        </w:rPr>
        <w:t>本工程的详细一览表面应符合技术说明和图纸的要求。该一览表应提交业主批准。</w:t>
      </w:r>
    </w:p>
    <w:p>
      <w:pPr>
        <w:pStyle w:val="29"/>
        <w:ind w:firstLine="472"/>
        <w:rPr>
          <w:color w:val="auto"/>
        </w:rPr>
      </w:pPr>
      <w:r>
        <w:rPr>
          <w:rFonts w:cs="宋体"/>
          <w:color w:val="auto"/>
        </w:rPr>
        <w:t>4</w:t>
      </w:r>
      <w:r>
        <w:rPr>
          <w:color w:val="auto"/>
        </w:rPr>
        <w:t>、参考标准</w:t>
      </w:r>
    </w:p>
    <w:p>
      <w:pPr>
        <w:pStyle w:val="29"/>
        <w:ind w:firstLine="476"/>
        <w:rPr>
          <w:color w:val="auto"/>
          <w:spacing w:val="-2"/>
        </w:rPr>
      </w:pPr>
      <w:r>
        <w:rPr>
          <w:color w:val="auto"/>
          <w:spacing w:val="-2"/>
        </w:rPr>
        <w:t>除另有说明外，护涂层和油漆应符合下述相应参考标准。</w:t>
      </w:r>
    </w:p>
    <w:p>
      <w:pPr>
        <w:pStyle w:val="29"/>
        <w:ind w:firstLine="478"/>
        <w:rPr>
          <w:color w:val="auto"/>
        </w:rPr>
      </w:pPr>
      <w:r>
        <w:rPr>
          <w:color w:val="auto"/>
          <w:spacing w:val="-1"/>
        </w:rPr>
        <w:t>标准编号</w:t>
      </w:r>
      <w:r>
        <w:rPr>
          <w:rFonts w:cs="宋体"/>
          <w:color w:val="auto"/>
        </w:rPr>
        <w:tab/>
      </w:r>
      <w:r>
        <w:rPr>
          <w:rFonts w:cs="宋体"/>
          <w:color w:val="auto"/>
        </w:rPr>
        <w:tab/>
      </w:r>
      <w:r>
        <w:rPr>
          <w:color w:val="auto"/>
        </w:rPr>
        <w:t>标准名称</w:t>
      </w:r>
    </w:p>
    <w:p>
      <w:pPr>
        <w:pStyle w:val="29"/>
        <w:ind w:firstLine="472"/>
        <w:rPr>
          <w:color w:val="auto"/>
        </w:rPr>
      </w:pPr>
      <w:r>
        <w:rPr>
          <w:rFonts w:cs="宋体"/>
          <w:color w:val="auto"/>
        </w:rPr>
        <w:t>BS729</w:t>
      </w:r>
      <w:r>
        <w:rPr>
          <w:rFonts w:cs="宋体"/>
          <w:color w:val="auto"/>
        </w:rPr>
        <w:tab/>
      </w:r>
      <w:r>
        <w:rPr>
          <w:rFonts w:cs="宋体"/>
          <w:color w:val="auto"/>
        </w:rPr>
        <w:tab/>
      </w:r>
      <w:r>
        <w:rPr>
          <w:color w:val="auto"/>
        </w:rPr>
        <w:t>钢铁件热热浸锌层</w:t>
      </w:r>
    </w:p>
    <w:p>
      <w:pPr>
        <w:pStyle w:val="29"/>
        <w:ind w:firstLine="472"/>
        <w:rPr>
          <w:color w:val="auto"/>
        </w:rPr>
      </w:pPr>
      <w:r>
        <w:rPr>
          <w:rFonts w:cs="宋体"/>
          <w:color w:val="auto"/>
        </w:rPr>
        <w:t>BS1224</w:t>
      </w:r>
      <w:r>
        <w:rPr>
          <w:rFonts w:cs="宋体"/>
          <w:color w:val="auto"/>
        </w:rPr>
        <w:tab/>
      </w:r>
      <w:r>
        <w:rPr>
          <w:rFonts w:cs="宋体"/>
          <w:color w:val="auto"/>
        </w:rPr>
        <w:tab/>
      </w:r>
      <w:r>
        <w:rPr>
          <w:color w:val="auto"/>
        </w:rPr>
        <w:t>镍铬电镀层</w:t>
      </w:r>
    </w:p>
    <w:p>
      <w:pPr>
        <w:pStyle w:val="29"/>
        <w:ind w:firstLine="472"/>
        <w:rPr>
          <w:color w:val="auto"/>
        </w:rPr>
      </w:pPr>
      <w:r>
        <w:rPr>
          <w:rFonts w:cs="宋体"/>
          <w:color w:val="auto"/>
        </w:rPr>
        <w:t>BS1706</w:t>
      </w:r>
      <w:r>
        <w:rPr>
          <w:rFonts w:cs="宋体"/>
          <w:color w:val="auto"/>
        </w:rPr>
        <w:tab/>
      </w:r>
      <w:r>
        <w:rPr>
          <w:rFonts w:cs="宋体"/>
          <w:color w:val="auto"/>
        </w:rPr>
        <w:tab/>
      </w:r>
      <w:r>
        <w:rPr>
          <w:color w:val="auto"/>
        </w:rPr>
        <w:t>钢铁上的镉与锌的电镀层</w:t>
      </w:r>
    </w:p>
    <w:p>
      <w:pPr>
        <w:pStyle w:val="29"/>
        <w:ind w:firstLine="472"/>
        <w:rPr>
          <w:color w:val="auto"/>
        </w:rPr>
      </w:pPr>
      <w:r>
        <w:rPr>
          <w:rFonts w:cs="宋体"/>
          <w:color w:val="auto"/>
        </w:rPr>
        <w:t>BS2451</w:t>
      </w:r>
      <w:r>
        <w:rPr>
          <w:rFonts w:cs="宋体"/>
          <w:color w:val="auto"/>
        </w:rPr>
        <w:tab/>
      </w:r>
      <w:r>
        <w:rPr>
          <w:rFonts w:cs="宋体"/>
          <w:color w:val="auto"/>
        </w:rPr>
        <w:tab/>
      </w:r>
      <w:r>
        <w:rPr>
          <w:color w:val="auto"/>
        </w:rPr>
        <w:t>冷硬铁丸及铁块</w:t>
      </w:r>
    </w:p>
    <w:p>
      <w:pPr>
        <w:pStyle w:val="29"/>
        <w:ind w:firstLine="272"/>
        <w:rPr>
          <w:rFonts w:ascii="宋体" w:hAnsi="宋体" w:eastAsia="宋体" w:cs="宋体"/>
          <w:color w:val="auto"/>
          <w:sz w:val="14"/>
          <w:szCs w:val="14"/>
        </w:rPr>
      </w:pPr>
    </w:p>
    <w:p>
      <w:pPr>
        <w:pStyle w:val="29"/>
        <w:ind w:firstLine="472"/>
        <w:rPr>
          <w:color w:val="auto"/>
        </w:rPr>
      </w:pPr>
      <w:r>
        <w:rPr>
          <w:rFonts w:cs="宋体"/>
          <w:color w:val="auto"/>
        </w:rPr>
        <w:t>BS2569</w:t>
      </w:r>
      <w:r>
        <w:rPr>
          <w:rFonts w:cs="宋体"/>
          <w:color w:val="auto"/>
        </w:rPr>
        <w:tab/>
      </w:r>
      <w:r>
        <w:rPr>
          <w:rFonts w:cs="宋体"/>
          <w:color w:val="auto"/>
        </w:rPr>
        <w:tab/>
      </w:r>
      <w:r>
        <w:rPr>
          <w:color w:val="auto"/>
        </w:rPr>
        <w:t>喷涂金属复层</w:t>
      </w:r>
    </w:p>
    <w:p>
      <w:pPr>
        <w:pStyle w:val="29"/>
        <w:ind w:firstLine="472"/>
        <w:rPr>
          <w:color w:val="auto"/>
        </w:rPr>
      </w:pPr>
      <w:r>
        <w:rPr>
          <w:rFonts w:cs="宋体"/>
          <w:color w:val="auto"/>
        </w:rPr>
        <w:t>BS2989</w:t>
      </w:r>
      <w:r>
        <w:rPr>
          <w:rFonts w:cs="宋体"/>
          <w:color w:val="auto"/>
        </w:rPr>
        <w:tab/>
      </w:r>
      <w:r>
        <w:rPr>
          <w:rFonts w:cs="宋体"/>
          <w:color w:val="auto"/>
        </w:rPr>
        <w:tab/>
      </w:r>
      <w:r>
        <w:rPr>
          <w:color w:val="auto"/>
        </w:rPr>
        <w:t>连续冷浸锌与镀铁锌合金的钢宽带材</w:t>
      </w:r>
    </w:p>
    <w:p>
      <w:pPr>
        <w:pStyle w:val="29"/>
        <w:ind w:firstLine="472"/>
        <w:rPr>
          <w:color w:val="auto"/>
        </w:rPr>
      </w:pPr>
      <w:r>
        <w:rPr>
          <w:rFonts w:cs="宋体"/>
          <w:color w:val="auto"/>
        </w:rPr>
        <w:t>BS3382</w:t>
      </w:r>
      <w:r>
        <w:rPr>
          <w:rFonts w:cs="宋体"/>
          <w:color w:val="auto"/>
        </w:rPr>
        <w:tab/>
      </w:r>
      <w:r>
        <w:rPr>
          <w:rFonts w:cs="宋体"/>
          <w:color w:val="auto"/>
        </w:rPr>
        <w:tab/>
      </w:r>
      <w:r>
        <w:rPr>
          <w:color w:val="auto"/>
        </w:rPr>
        <w:t>螺纹另件上的电镀层</w:t>
      </w:r>
    </w:p>
    <w:p>
      <w:pPr>
        <w:pStyle w:val="29"/>
        <w:ind w:firstLine="472"/>
        <w:rPr>
          <w:color w:val="auto"/>
        </w:rPr>
      </w:pPr>
      <w:r>
        <w:rPr>
          <w:rFonts w:cs="宋体"/>
          <w:color w:val="auto"/>
        </w:rPr>
        <w:t>BS3416</w:t>
      </w:r>
      <w:r>
        <w:rPr>
          <w:rFonts w:cs="宋体"/>
          <w:color w:val="auto"/>
        </w:rPr>
        <w:tab/>
      </w:r>
      <w:r>
        <w:rPr>
          <w:rFonts w:cs="宋体"/>
          <w:color w:val="auto"/>
        </w:rPr>
        <w:tab/>
      </w:r>
      <w:r>
        <w:rPr>
          <w:color w:val="auto"/>
        </w:rPr>
        <w:t>冷用黑沥青涂料溶液</w:t>
      </w:r>
    </w:p>
    <w:p>
      <w:pPr>
        <w:pStyle w:val="29"/>
        <w:ind w:firstLine="472"/>
        <w:rPr>
          <w:color w:val="auto"/>
        </w:rPr>
      </w:pPr>
      <w:r>
        <w:rPr>
          <w:rFonts w:cs="宋体"/>
          <w:color w:val="auto"/>
        </w:rPr>
        <w:t>BS4129</w:t>
      </w:r>
      <w:r>
        <w:rPr>
          <w:rFonts w:cs="宋体"/>
          <w:color w:val="auto"/>
        </w:rPr>
        <w:tab/>
      </w:r>
      <w:r>
        <w:rPr>
          <w:rFonts w:cs="宋体"/>
          <w:color w:val="auto"/>
        </w:rPr>
        <w:tab/>
      </w:r>
      <w:r>
        <w:rPr>
          <w:color w:val="auto"/>
        </w:rPr>
        <w:t>焊接金属涂料及由保护层焊接的电阻焊特性</w:t>
      </w:r>
    </w:p>
    <w:p>
      <w:pPr>
        <w:pStyle w:val="29"/>
        <w:ind w:firstLine="472"/>
        <w:rPr>
          <w:color w:val="auto"/>
        </w:rPr>
      </w:pPr>
      <w:r>
        <w:rPr>
          <w:rFonts w:cs="宋体"/>
          <w:color w:val="auto"/>
        </w:rPr>
        <w:t>BS4147</w:t>
      </w:r>
      <w:r>
        <w:rPr>
          <w:rFonts w:cs="宋体"/>
          <w:color w:val="auto"/>
        </w:rPr>
        <w:tab/>
      </w:r>
      <w:r>
        <w:rPr>
          <w:rFonts w:cs="宋体"/>
          <w:color w:val="auto"/>
        </w:rPr>
        <w:tab/>
      </w:r>
      <w:r>
        <w:rPr>
          <w:color w:val="auto"/>
        </w:rPr>
        <w:t>钢铁防护用热敷沥青基涂料规格</w:t>
      </w:r>
    </w:p>
    <w:p>
      <w:pPr>
        <w:pStyle w:val="29"/>
        <w:ind w:firstLine="472"/>
        <w:rPr>
          <w:color w:val="auto"/>
        </w:rPr>
      </w:pPr>
      <w:r>
        <w:rPr>
          <w:rFonts w:cs="宋体"/>
          <w:color w:val="auto"/>
        </w:rPr>
        <w:t>BS4232</w:t>
      </w:r>
      <w:r>
        <w:rPr>
          <w:rFonts w:cs="宋体"/>
          <w:color w:val="auto"/>
        </w:rPr>
        <w:tab/>
      </w:r>
      <w:r>
        <w:rPr>
          <w:rFonts w:cs="宋体"/>
          <w:color w:val="auto"/>
        </w:rPr>
        <w:tab/>
      </w:r>
      <w:r>
        <w:rPr>
          <w:color w:val="auto"/>
        </w:rPr>
        <w:t>为涂料而进行的钢表面喷砂修整</w:t>
      </w:r>
    </w:p>
    <w:p>
      <w:pPr>
        <w:pStyle w:val="29"/>
        <w:ind w:firstLine="472"/>
        <w:rPr>
          <w:color w:val="auto"/>
        </w:rPr>
      </w:pPr>
      <w:r>
        <w:rPr>
          <w:rFonts w:cs="宋体"/>
          <w:color w:val="auto"/>
        </w:rPr>
        <w:t>BS4921</w:t>
      </w:r>
      <w:r>
        <w:rPr>
          <w:rFonts w:cs="宋体"/>
          <w:color w:val="auto"/>
        </w:rPr>
        <w:tab/>
      </w:r>
      <w:r>
        <w:rPr>
          <w:rFonts w:cs="宋体"/>
          <w:color w:val="auto"/>
        </w:rPr>
        <w:tab/>
      </w:r>
      <w:r>
        <w:rPr>
          <w:color w:val="auto"/>
        </w:rPr>
        <w:t>钢铁件上的镀料层</w:t>
      </w:r>
    </w:p>
    <w:p>
      <w:pPr>
        <w:pStyle w:val="29"/>
        <w:ind w:firstLine="472"/>
        <w:rPr>
          <w:color w:val="auto"/>
        </w:rPr>
      </w:pPr>
      <w:r>
        <w:rPr>
          <w:rFonts w:cs="宋体"/>
          <w:color w:val="auto"/>
        </w:rPr>
        <w:t>BS5493</w:t>
      </w:r>
      <w:r>
        <w:rPr>
          <w:rFonts w:cs="宋体"/>
          <w:color w:val="auto"/>
        </w:rPr>
        <w:tab/>
      </w:r>
      <w:r>
        <w:rPr>
          <w:rFonts w:cs="宋体"/>
          <w:color w:val="auto"/>
        </w:rPr>
        <w:tab/>
      </w:r>
      <w:r>
        <w:rPr>
          <w:color w:val="auto"/>
        </w:rPr>
        <w:t>钢铁结构防腐层的实用规范</w:t>
      </w:r>
    </w:p>
    <w:p>
      <w:pPr>
        <w:pStyle w:val="29"/>
        <w:ind w:firstLine="472"/>
        <w:rPr>
          <w:color w:val="auto"/>
        </w:rPr>
      </w:pPr>
      <w:r>
        <w:rPr>
          <w:rFonts w:cs="宋体"/>
          <w:color w:val="auto"/>
        </w:rPr>
        <w:t>CP231</w:t>
      </w:r>
      <w:r>
        <w:rPr>
          <w:rFonts w:cs="宋体"/>
          <w:color w:val="auto"/>
        </w:rPr>
        <w:tab/>
      </w:r>
      <w:r>
        <w:rPr>
          <w:rFonts w:cs="宋体"/>
          <w:color w:val="auto"/>
        </w:rPr>
        <w:tab/>
      </w:r>
      <w:r>
        <w:rPr>
          <w:color w:val="auto"/>
        </w:rPr>
        <w:t>建筑物的油漆</w:t>
      </w:r>
    </w:p>
    <w:p>
      <w:pPr>
        <w:pStyle w:val="29"/>
        <w:ind w:firstLine="472"/>
        <w:rPr>
          <w:color w:val="auto"/>
          <w:spacing w:val="-2"/>
        </w:rPr>
      </w:pPr>
      <w:r>
        <w:rPr>
          <w:rFonts w:cs="宋体"/>
          <w:color w:val="auto"/>
        </w:rPr>
        <w:t>CP</w:t>
      </w:r>
      <w:r>
        <w:rPr>
          <w:rFonts w:cs="宋体"/>
          <w:color w:val="auto"/>
          <w:spacing w:val="-1"/>
        </w:rPr>
        <w:t>3012</w:t>
      </w:r>
      <w:r>
        <w:rPr>
          <w:rFonts w:cs="宋体"/>
          <w:color w:val="auto"/>
          <w:spacing w:val="-1"/>
        </w:rPr>
        <w:tab/>
      </w:r>
      <w:r>
        <w:rPr>
          <w:rFonts w:cs="宋体"/>
          <w:color w:val="auto"/>
        </w:rPr>
        <w:tab/>
      </w:r>
      <w:r>
        <w:rPr>
          <w:color w:val="auto"/>
          <w:spacing w:val="-2"/>
        </w:rPr>
        <w:t>金属表面的清理及处理</w:t>
      </w:r>
    </w:p>
    <w:p>
      <w:pPr>
        <w:pStyle w:val="29"/>
        <w:ind w:firstLine="472"/>
        <w:rPr>
          <w:color w:val="auto"/>
        </w:rPr>
      </w:pPr>
      <w:r>
        <w:rPr>
          <w:rFonts w:cs="宋体"/>
          <w:color w:val="auto"/>
        </w:rPr>
        <w:t>5</w:t>
      </w:r>
      <w:r>
        <w:rPr>
          <w:color w:val="auto"/>
        </w:rPr>
        <w:t>、防护层和涂料系统</w:t>
      </w:r>
    </w:p>
    <w:p>
      <w:pPr>
        <w:pStyle w:val="29"/>
        <w:ind w:firstLine="500"/>
        <w:rPr>
          <w:color w:val="auto"/>
        </w:rPr>
      </w:pPr>
      <w:r>
        <w:rPr>
          <w:color w:val="auto"/>
          <w:spacing w:val="10"/>
        </w:rPr>
        <w:t>各防护层，涂料系统和工作环境必须按照下述要求，除非已另有规定。干膜厚度</w:t>
      </w:r>
      <w:r>
        <w:rPr>
          <w:rFonts w:cs="宋体"/>
          <w:color w:val="auto"/>
          <w:spacing w:val="-1"/>
        </w:rPr>
        <w:t>(DFT)(</w:t>
      </w:r>
      <w:r>
        <w:rPr>
          <w:color w:val="auto"/>
          <w:spacing w:val="-1"/>
        </w:rPr>
        <w:t>无论是单层或全部</w:t>
      </w:r>
      <w:r>
        <w:rPr>
          <w:rFonts w:cs="宋体"/>
          <w:color w:val="auto"/>
          <w:spacing w:val="-1"/>
        </w:rPr>
        <w:t>)</w:t>
      </w:r>
      <w:r>
        <w:rPr>
          <w:color w:val="auto"/>
          <w:spacing w:val="-1"/>
        </w:rPr>
        <w:t>即采用适当的测定仪测得的最小膜厚度。如果采用氯丁橡胶，那</w:t>
      </w:r>
      <w:r>
        <w:rPr>
          <w:color w:val="auto"/>
        </w:rPr>
        <w:t>么必须采用含云母的氧化铁底漆。</w:t>
      </w:r>
    </w:p>
    <w:p>
      <w:pPr>
        <w:pStyle w:val="29"/>
        <w:ind w:firstLine="472"/>
        <w:rPr>
          <w:color w:val="auto"/>
        </w:rPr>
      </w:pPr>
      <w:r>
        <w:rPr>
          <w:color w:val="auto"/>
        </w:rPr>
        <w:t>方法</w:t>
      </w:r>
      <w:r>
        <w:rPr>
          <w:rFonts w:cs="宋体"/>
          <w:color w:val="auto"/>
        </w:rPr>
        <w:t>(a)</w:t>
      </w:r>
      <w:r>
        <w:rPr>
          <w:color w:val="auto"/>
        </w:rPr>
        <w:t>表面类型黑色金属</w:t>
      </w:r>
    </w:p>
    <w:p>
      <w:pPr>
        <w:pStyle w:val="29"/>
        <w:ind w:firstLine="478"/>
        <w:rPr>
          <w:color w:val="auto"/>
          <w:spacing w:val="-1"/>
        </w:rPr>
      </w:pPr>
      <w:r>
        <w:rPr>
          <w:color w:val="auto"/>
          <w:spacing w:val="-1"/>
        </w:rPr>
        <w:t>工作环境</w:t>
      </w:r>
      <w:r>
        <w:rPr>
          <w:color w:val="auto"/>
          <w:spacing w:val="-1"/>
        </w:rPr>
        <w:tab/>
      </w:r>
      <w:r>
        <w:rPr>
          <w:color w:val="auto"/>
          <w:spacing w:val="-1"/>
        </w:rPr>
        <w:tab/>
      </w:r>
      <w:r>
        <w:rPr>
          <w:color w:val="auto"/>
          <w:spacing w:val="-1"/>
        </w:rPr>
        <w:t>大气式</w:t>
      </w:r>
      <w:r>
        <w:rPr>
          <w:rFonts w:ascii="Symbol" w:hAnsi="Symbol" w:eastAsia="Symbol" w:cs="Symbol"/>
          <w:color w:val="auto"/>
          <w:spacing w:val="-1"/>
        </w:rPr>
        <w:t></w:t>
      </w:r>
      <w:r>
        <w:rPr>
          <w:color w:val="auto"/>
          <w:spacing w:val="-1"/>
        </w:rPr>
        <w:t>外部涂料</w:t>
      </w:r>
    </w:p>
    <w:p>
      <w:pPr>
        <w:pStyle w:val="29"/>
        <w:ind w:firstLine="478"/>
        <w:rPr>
          <w:color w:val="auto"/>
        </w:rPr>
      </w:pPr>
      <w:r>
        <w:rPr>
          <w:color w:val="auto"/>
          <w:spacing w:val="-1"/>
        </w:rPr>
        <w:t>系列参考</w:t>
      </w:r>
      <w:r>
        <w:rPr>
          <w:color w:val="auto"/>
          <w:spacing w:val="-1"/>
        </w:rPr>
        <w:tab/>
      </w:r>
      <w:r>
        <w:rPr>
          <w:color w:val="auto"/>
          <w:spacing w:val="-1"/>
        </w:rPr>
        <w:tab/>
      </w:r>
      <w:r>
        <w:rPr>
          <w:color w:val="auto"/>
          <w:spacing w:val="-1"/>
        </w:rPr>
        <w:t>氯丁橡胶</w:t>
      </w:r>
    </w:p>
    <w:p>
      <w:pPr>
        <w:pStyle w:val="29"/>
        <w:ind w:firstLine="478"/>
        <w:rPr>
          <w:color w:val="auto"/>
          <w:spacing w:val="-1"/>
        </w:rPr>
      </w:pPr>
      <w:r>
        <w:rPr>
          <w:color w:val="auto"/>
          <w:spacing w:val="-1"/>
        </w:rPr>
        <w:t>表面处理</w:t>
      </w:r>
      <w:r>
        <w:rPr>
          <w:color w:val="auto"/>
          <w:spacing w:val="-1"/>
        </w:rPr>
        <w:tab/>
      </w:r>
      <w:r>
        <w:rPr>
          <w:color w:val="auto"/>
          <w:spacing w:val="-1"/>
        </w:rPr>
        <w:tab/>
      </w:r>
      <w:r>
        <w:rPr>
          <w:color w:val="auto"/>
          <w:spacing w:val="-1"/>
        </w:rPr>
        <w:t>喷砂清理，达到BS4232二级标准</w:t>
      </w:r>
    </w:p>
    <w:p>
      <w:pPr>
        <w:pStyle w:val="29"/>
        <w:ind w:firstLine="478"/>
        <w:rPr>
          <w:color w:val="auto"/>
          <w:spacing w:val="-1"/>
        </w:rPr>
      </w:pPr>
      <w:r>
        <w:rPr>
          <w:color w:val="auto"/>
          <w:spacing w:val="-1"/>
        </w:rPr>
        <w:t>方法介绍</w:t>
      </w:r>
      <w:r>
        <w:rPr>
          <w:color w:val="auto"/>
          <w:spacing w:val="-1"/>
        </w:rPr>
        <w:tab/>
      </w:r>
      <w:r>
        <w:rPr>
          <w:color w:val="auto"/>
          <w:spacing w:val="-1"/>
        </w:rPr>
        <w:tab/>
      </w:r>
      <w:r>
        <w:rPr>
          <w:color w:val="auto"/>
          <w:spacing w:val="-1"/>
        </w:rPr>
        <w:t>溶介自然硅酸锌75μm，DFT</w:t>
      </w:r>
    </w:p>
    <w:p>
      <w:pPr>
        <w:pStyle w:val="29"/>
        <w:ind w:firstLine="478"/>
        <w:rPr>
          <w:color w:val="auto"/>
          <w:spacing w:val="-1"/>
        </w:rPr>
      </w:pPr>
      <w:r>
        <w:rPr>
          <w:color w:val="auto"/>
          <w:spacing w:val="-1"/>
        </w:rPr>
        <w:tab/>
      </w:r>
      <w:r>
        <w:rPr>
          <w:color w:val="auto"/>
          <w:spacing w:val="-1"/>
        </w:rPr>
        <w:tab/>
      </w:r>
      <w:r>
        <w:rPr>
          <w:color w:val="auto"/>
          <w:spacing w:val="-1"/>
        </w:rPr>
        <w:tab/>
      </w:r>
      <w:r>
        <w:rPr>
          <w:color w:val="auto"/>
          <w:spacing w:val="-1"/>
        </w:rPr>
        <w:t>高级氯丁橡胶80μm</w:t>
      </w:r>
    </w:p>
    <w:p>
      <w:pPr>
        <w:pStyle w:val="29"/>
        <w:ind w:firstLine="478"/>
        <w:rPr>
          <w:color w:val="auto"/>
          <w:spacing w:val="-1"/>
        </w:rPr>
      </w:pPr>
      <w:r>
        <w:rPr>
          <w:color w:val="auto"/>
          <w:spacing w:val="-1"/>
        </w:rPr>
        <w:tab/>
      </w:r>
      <w:r>
        <w:rPr>
          <w:color w:val="auto"/>
          <w:spacing w:val="-1"/>
        </w:rPr>
        <w:tab/>
      </w:r>
      <w:r>
        <w:rPr>
          <w:color w:val="auto"/>
          <w:spacing w:val="-1"/>
        </w:rPr>
        <w:tab/>
      </w:r>
      <w:r>
        <w:rPr>
          <w:color w:val="auto"/>
          <w:spacing w:val="-1"/>
        </w:rPr>
        <w:t>DFT氯丁橡胶瓷漆35μm，DFT</w:t>
      </w:r>
    </w:p>
    <w:p>
      <w:pPr>
        <w:pStyle w:val="11"/>
        <w:tabs>
          <w:tab w:val="left" w:pos="2640"/>
        </w:tabs>
        <w:spacing w:line="408" w:lineRule="auto"/>
        <w:ind w:left="705" w:right="4429"/>
        <w:rPr>
          <w:color w:val="auto"/>
          <w:spacing w:val="-1"/>
          <w:sz w:val="24"/>
          <w:szCs w:val="24"/>
          <w:lang w:eastAsia="zh-CN"/>
        </w:rPr>
      </w:pPr>
      <w:r>
        <w:rPr>
          <w:color w:val="auto"/>
          <w:spacing w:val="-2"/>
          <w:sz w:val="24"/>
          <w:szCs w:val="24"/>
          <w:lang w:eastAsia="zh-CN"/>
        </w:rPr>
        <w:t>方法</w:t>
      </w:r>
      <w:r>
        <w:rPr>
          <w:rFonts w:cs="宋体"/>
          <w:color w:val="auto"/>
          <w:spacing w:val="-2"/>
          <w:sz w:val="24"/>
          <w:szCs w:val="24"/>
          <w:lang w:eastAsia="zh-CN"/>
        </w:rPr>
        <w:t>(b)</w:t>
      </w:r>
      <w:r>
        <w:rPr>
          <w:color w:val="auto"/>
          <w:spacing w:val="-2"/>
          <w:sz w:val="24"/>
          <w:szCs w:val="24"/>
          <w:lang w:eastAsia="zh-CN"/>
        </w:rPr>
        <w:t>表面类型</w:t>
      </w:r>
      <w:r>
        <w:rPr>
          <w:color w:val="auto"/>
          <w:spacing w:val="-2"/>
          <w:sz w:val="24"/>
          <w:szCs w:val="24"/>
          <w:lang w:eastAsia="zh-CN"/>
        </w:rPr>
        <w:tab/>
      </w:r>
      <w:r>
        <w:rPr>
          <w:color w:val="auto"/>
          <w:spacing w:val="-1"/>
          <w:sz w:val="24"/>
          <w:szCs w:val="24"/>
          <w:lang w:eastAsia="zh-CN"/>
        </w:rPr>
        <w:t>黑色金属</w:t>
      </w:r>
    </w:p>
    <w:p>
      <w:pPr>
        <w:pStyle w:val="11"/>
        <w:tabs>
          <w:tab w:val="left" w:pos="2161"/>
        </w:tabs>
        <w:spacing w:line="360" w:lineRule="auto"/>
        <w:ind w:right="4429" w:firstLine="476" w:firstLineChars="200"/>
        <w:rPr>
          <w:color w:val="auto"/>
          <w:sz w:val="24"/>
          <w:szCs w:val="24"/>
          <w:lang w:eastAsia="zh-CN"/>
        </w:rPr>
      </w:pPr>
      <w:r>
        <w:rPr>
          <w:color w:val="auto"/>
          <w:spacing w:val="-1"/>
          <w:sz w:val="24"/>
          <w:szCs w:val="24"/>
          <w:lang w:eastAsia="zh-CN"/>
        </w:rPr>
        <w:t>工作环境</w:t>
      </w:r>
      <w:r>
        <w:rPr>
          <w:color w:val="auto"/>
          <w:spacing w:val="-1"/>
          <w:lang w:eastAsia="zh-CN"/>
        </w:rPr>
        <w:tab/>
      </w:r>
      <w:r>
        <w:rPr>
          <w:color w:val="auto"/>
          <w:spacing w:val="-1"/>
          <w:sz w:val="24"/>
          <w:szCs w:val="24"/>
          <w:lang w:eastAsia="zh-CN"/>
        </w:rPr>
        <w:t>大气式</w:t>
      </w:r>
      <w:r>
        <w:rPr>
          <w:rFonts w:ascii="Symbol" w:hAnsi="Symbol" w:eastAsia="Symbol" w:cs="Symbol"/>
          <w:color w:val="auto"/>
          <w:spacing w:val="-1"/>
          <w:sz w:val="24"/>
          <w:szCs w:val="24"/>
          <w:lang w:eastAsia="zh-CN"/>
        </w:rPr>
        <w:t></w:t>
      </w:r>
      <w:r>
        <w:rPr>
          <w:color w:val="auto"/>
          <w:spacing w:val="-1"/>
          <w:sz w:val="24"/>
          <w:szCs w:val="24"/>
          <w:lang w:eastAsia="zh-CN"/>
        </w:rPr>
        <w:t>内部</w:t>
      </w:r>
    </w:p>
    <w:p>
      <w:pPr>
        <w:pStyle w:val="11"/>
        <w:tabs>
          <w:tab w:val="left" w:pos="2161"/>
        </w:tabs>
        <w:spacing w:line="360" w:lineRule="auto"/>
        <w:ind w:right="115"/>
        <w:rPr>
          <w:color w:val="auto"/>
          <w:sz w:val="24"/>
          <w:szCs w:val="24"/>
          <w:lang w:eastAsia="zh-CN"/>
        </w:rPr>
      </w:pPr>
      <w:r>
        <w:rPr>
          <w:color w:val="auto"/>
          <w:spacing w:val="-1"/>
          <w:sz w:val="24"/>
          <w:szCs w:val="24"/>
          <w:lang w:eastAsia="zh-CN"/>
        </w:rPr>
        <w:t>涂料系列参考</w:t>
      </w:r>
      <w:r>
        <w:rPr>
          <w:color w:val="auto"/>
          <w:spacing w:val="-1"/>
          <w:lang w:eastAsia="zh-CN"/>
        </w:rPr>
        <w:tab/>
      </w:r>
      <w:r>
        <w:rPr>
          <w:color w:val="auto"/>
          <w:spacing w:val="-1"/>
          <w:sz w:val="24"/>
          <w:szCs w:val="24"/>
          <w:lang w:eastAsia="zh-CN"/>
        </w:rPr>
        <w:t>干燥油漆</w:t>
      </w:r>
    </w:p>
    <w:p>
      <w:pPr>
        <w:pStyle w:val="29"/>
        <w:ind w:firstLine="478"/>
        <w:rPr>
          <w:color w:val="auto"/>
          <w:spacing w:val="-1"/>
        </w:rPr>
      </w:pPr>
      <w:r>
        <w:rPr>
          <w:color w:val="auto"/>
          <w:spacing w:val="-1"/>
        </w:rPr>
        <w:t>表面处理</w:t>
      </w:r>
      <w:r>
        <w:rPr>
          <w:color w:val="auto"/>
          <w:spacing w:val="-1"/>
        </w:rPr>
        <w:tab/>
      </w:r>
      <w:r>
        <w:rPr>
          <w:color w:val="auto"/>
          <w:spacing w:val="-1"/>
        </w:rPr>
        <w:tab/>
      </w:r>
      <w:r>
        <w:rPr>
          <w:color w:val="auto"/>
          <w:spacing w:val="-1"/>
        </w:rPr>
        <w:t>喷砂清理达到BS4232二级标准</w:t>
      </w:r>
    </w:p>
    <w:p>
      <w:pPr>
        <w:pStyle w:val="29"/>
        <w:ind w:firstLine="478"/>
        <w:rPr>
          <w:color w:val="auto"/>
          <w:spacing w:val="-1"/>
        </w:rPr>
      </w:pPr>
      <w:r>
        <w:rPr>
          <w:color w:val="auto"/>
          <w:spacing w:val="-1"/>
        </w:rPr>
        <w:t>方法介绍</w:t>
      </w:r>
      <w:r>
        <w:rPr>
          <w:color w:val="auto"/>
          <w:spacing w:val="-1"/>
        </w:rPr>
        <w:tab/>
      </w:r>
      <w:r>
        <w:rPr>
          <w:color w:val="auto"/>
          <w:spacing w:val="-1"/>
        </w:rPr>
        <w:tab/>
      </w:r>
      <w:r>
        <w:rPr>
          <w:color w:val="auto"/>
          <w:spacing w:val="-1"/>
        </w:rPr>
        <w:t>防锈漆</w:t>
      </w:r>
      <w:r>
        <w:rPr>
          <w:rFonts w:ascii="Symbol" w:hAnsi="Symbol" w:eastAsia="Symbol" w:cs="Symbol"/>
          <w:color w:val="auto"/>
          <w:spacing w:val="-1"/>
          <w:szCs w:val="24"/>
        </w:rPr>
        <w:t></w:t>
      </w:r>
      <w:r>
        <w:rPr>
          <w:color w:val="auto"/>
          <w:spacing w:val="-1"/>
        </w:rPr>
        <w:t>干燥油漆70μm，DFT</w:t>
      </w:r>
    </w:p>
    <w:p>
      <w:pPr>
        <w:pStyle w:val="29"/>
        <w:ind w:firstLine="478"/>
        <w:rPr>
          <w:color w:val="auto"/>
          <w:spacing w:val="-1"/>
        </w:rPr>
      </w:pPr>
      <w:r>
        <w:rPr>
          <w:color w:val="auto"/>
          <w:spacing w:val="-1"/>
        </w:rPr>
        <w:tab/>
      </w:r>
      <w:r>
        <w:rPr>
          <w:color w:val="auto"/>
          <w:spacing w:val="-1"/>
        </w:rPr>
        <w:tab/>
      </w:r>
      <w:r>
        <w:rPr>
          <w:color w:val="auto"/>
          <w:spacing w:val="-1"/>
        </w:rPr>
        <w:tab/>
      </w:r>
      <w:r>
        <w:rPr>
          <w:color w:val="auto"/>
          <w:spacing w:val="-1"/>
        </w:rPr>
        <w:t>含云母的氧化铁底漆60/80μmDFT</w:t>
      </w:r>
    </w:p>
    <w:p>
      <w:pPr>
        <w:pStyle w:val="29"/>
        <w:ind w:firstLine="478"/>
        <w:rPr>
          <w:color w:val="auto"/>
          <w:spacing w:val="-1"/>
        </w:rPr>
      </w:pPr>
      <w:r>
        <w:rPr>
          <w:color w:val="auto"/>
          <w:spacing w:val="-1"/>
        </w:rPr>
        <w:tab/>
      </w:r>
      <w:r>
        <w:rPr>
          <w:color w:val="auto"/>
          <w:spacing w:val="-1"/>
        </w:rPr>
        <w:tab/>
      </w:r>
      <w:r>
        <w:rPr>
          <w:color w:val="auto"/>
          <w:spacing w:val="-1"/>
        </w:rPr>
        <w:tab/>
      </w:r>
      <w:r>
        <w:rPr>
          <w:color w:val="auto"/>
          <w:spacing w:val="-1"/>
        </w:rPr>
        <w:t>含云母的氧化铁终饰60/80μmDFT</w:t>
      </w:r>
    </w:p>
    <w:p>
      <w:pPr>
        <w:pStyle w:val="29"/>
        <w:ind w:firstLine="472"/>
        <w:rPr>
          <w:color w:val="auto"/>
          <w:szCs w:val="24"/>
        </w:rPr>
      </w:pPr>
      <w:r>
        <w:rPr>
          <w:color w:val="auto"/>
          <w:szCs w:val="24"/>
        </w:rPr>
        <w:t>方法</w:t>
      </w:r>
      <w:r>
        <w:rPr>
          <w:rFonts w:cs="宋体"/>
          <w:color w:val="auto"/>
          <w:szCs w:val="24"/>
        </w:rPr>
        <w:t>(c)</w:t>
      </w:r>
      <w:r>
        <w:rPr>
          <w:color w:val="auto"/>
          <w:szCs w:val="24"/>
        </w:rPr>
        <w:t>表面类型</w:t>
      </w:r>
      <w:r>
        <w:rPr>
          <w:rFonts w:hint="eastAsia"/>
          <w:color w:val="auto"/>
          <w:szCs w:val="24"/>
        </w:rPr>
        <w:t xml:space="preserve"> </w:t>
      </w:r>
      <w:r>
        <w:rPr>
          <w:color w:val="auto"/>
          <w:szCs w:val="24"/>
        </w:rPr>
        <w:t>黑色金属</w:t>
      </w:r>
      <w:r>
        <w:rPr>
          <w:rFonts w:ascii="Symbol" w:hAnsi="Symbol" w:eastAsia="Symbol" w:cs="Symbol"/>
          <w:color w:val="auto"/>
          <w:szCs w:val="24"/>
        </w:rPr>
        <w:t></w:t>
      </w:r>
      <w:r>
        <w:rPr>
          <w:color w:val="auto"/>
          <w:szCs w:val="24"/>
        </w:rPr>
        <w:t>锌保护</w:t>
      </w:r>
    </w:p>
    <w:p>
      <w:pPr>
        <w:pStyle w:val="29"/>
        <w:ind w:firstLine="478"/>
        <w:rPr>
          <w:color w:val="auto"/>
          <w:spacing w:val="-1"/>
        </w:rPr>
      </w:pPr>
      <w:r>
        <w:rPr>
          <w:color w:val="auto"/>
          <w:spacing w:val="-1"/>
        </w:rPr>
        <w:t>工作环境</w:t>
      </w:r>
      <w:r>
        <w:rPr>
          <w:color w:val="auto"/>
          <w:spacing w:val="-1"/>
        </w:rPr>
        <w:tab/>
      </w:r>
      <w:r>
        <w:rPr>
          <w:color w:val="auto"/>
          <w:spacing w:val="-1"/>
        </w:rPr>
        <w:tab/>
      </w:r>
      <w:r>
        <w:rPr>
          <w:color w:val="auto"/>
          <w:spacing w:val="-1"/>
        </w:rPr>
        <w:t>大气式</w:t>
      </w:r>
      <w:r>
        <w:rPr>
          <w:rFonts w:ascii="Symbol" w:hAnsi="Symbol" w:eastAsia="Symbol" w:cs="Symbol"/>
          <w:color w:val="auto"/>
          <w:spacing w:val="-1"/>
          <w:szCs w:val="24"/>
        </w:rPr>
        <w:t></w:t>
      </w:r>
      <w:r>
        <w:rPr>
          <w:color w:val="auto"/>
          <w:spacing w:val="-1"/>
        </w:rPr>
        <w:t>内部和外部</w:t>
      </w:r>
    </w:p>
    <w:p>
      <w:pPr>
        <w:pStyle w:val="29"/>
        <w:ind w:firstLine="478"/>
        <w:rPr>
          <w:color w:val="auto"/>
          <w:spacing w:val="-1"/>
        </w:rPr>
      </w:pPr>
      <w:r>
        <w:rPr>
          <w:color w:val="auto"/>
          <w:spacing w:val="-1"/>
        </w:rPr>
        <w:t>涂料系列参考</w:t>
      </w:r>
      <w:r>
        <w:rPr>
          <w:color w:val="auto"/>
          <w:spacing w:val="-1"/>
        </w:rPr>
        <w:tab/>
      </w:r>
      <w:r>
        <w:rPr>
          <w:color w:val="auto"/>
          <w:spacing w:val="-1"/>
        </w:rPr>
        <w:t>氯丁橡胶</w:t>
      </w:r>
    </w:p>
    <w:p>
      <w:pPr>
        <w:pStyle w:val="29"/>
        <w:ind w:firstLine="478"/>
        <w:rPr>
          <w:color w:val="auto"/>
          <w:spacing w:val="-1"/>
        </w:rPr>
      </w:pPr>
      <w:r>
        <w:rPr>
          <w:color w:val="auto"/>
          <w:spacing w:val="-1"/>
        </w:rPr>
        <w:t>表面处理</w:t>
      </w:r>
      <w:r>
        <w:rPr>
          <w:color w:val="auto"/>
          <w:spacing w:val="-1"/>
        </w:rPr>
        <w:tab/>
      </w:r>
      <w:r>
        <w:rPr>
          <w:color w:val="auto"/>
          <w:spacing w:val="-1"/>
        </w:rPr>
        <w:tab/>
      </w:r>
      <w:r>
        <w:rPr>
          <w:color w:val="auto"/>
          <w:spacing w:val="-1"/>
        </w:rPr>
        <w:t>电镀层或喷涂,锌必须除掉,以除去氧化物</w:t>
      </w:r>
    </w:p>
    <w:p>
      <w:pPr>
        <w:pStyle w:val="29"/>
        <w:ind w:firstLine="478"/>
        <w:rPr>
          <w:color w:val="auto"/>
          <w:spacing w:val="-1"/>
        </w:rPr>
      </w:pPr>
      <w:r>
        <w:rPr>
          <w:color w:val="auto"/>
          <w:spacing w:val="-1"/>
        </w:rPr>
        <w:t>方法介绍</w:t>
      </w:r>
      <w:r>
        <w:rPr>
          <w:color w:val="auto"/>
          <w:spacing w:val="-1"/>
        </w:rPr>
        <w:tab/>
      </w:r>
      <w:r>
        <w:rPr>
          <w:color w:val="auto"/>
          <w:spacing w:val="-1"/>
        </w:rPr>
        <w:tab/>
      </w:r>
      <w:r>
        <w:rPr>
          <w:color w:val="auto"/>
          <w:spacing w:val="-1"/>
        </w:rPr>
        <w:t>二层含磷酸和防锈剂的防腐涂层DFT为10μm</w:t>
      </w:r>
    </w:p>
    <w:p>
      <w:pPr>
        <w:pStyle w:val="29"/>
        <w:ind w:firstLine="478"/>
        <w:rPr>
          <w:color w:val="auto"/>
          <w:spacing w:val="-1"/>
        </w:rPr>
      </w:pPr>
      <w:r>
        <w:rPr>
          <w:color w:val="auto"/>
          <w:spacing w:val="-1"/>
        </w:rPr>
        <w:t>方法(d)表面类型铝</w:t>
      </w:r>
    </w:p>
    <w:p>
      <w:pPr>
        <w:pStyle w:val="29"/>
        <w:ind w:firstLine="478"/>
        <w:rPr>
          <w:color w:val="auto"/>
          <w:spacing w:val="-1"/>
        </w:rPr>
      </w:pPr>
      <w:r>
        <w:rPr>
          <w:color w:val="auto"/>
          <w:spacing w:val="-1"/>
        </w:rPr>
        <w:t>工作环境</w:t>
      </w:r>
      <w:r>
        <w:rPr>
          <w:color w:val="auto"/>
          <w:spacing w:val="-1"/>
        </w:rPr>
        <w:tab/>
      </w:r>
      <w:r>
        <w:rPr>
          <w:color w:val="auto"/>
          <w:spacing w:val="-1"/>
        </w:rPr>
        <w:tab/>
      </w:r>
      <w:r>
        <w:rPr>
          <w:color w:val="auto"/>
          <w:spacing w:val="-1"/>
        </w:rPr>
        <w:t>大气式</w:t>
      </w:r>
      <w:r>
        <w:rPr>
          <w:rFonts w:ascii="Symbol" w:hAnsi="Symbol" w:eastAsia="Symbol" w:cs="Symbol"/>
          <w:color w:val="auto"/>
          <w:spacing w:val="-1"/>
          <w:szCs w:val="24"/>
        </w:rPr>
        <w:t></w:t>
      </w:r>
      <w:r>
        <w:rPr>
          <w:color w:val="auto"/>
          <w:spacing w:val="-1"/>
        </w:rPr>
        <w:t>内部和外部</w:t>
      </w:r>
    </w:p>
    <w:p>
      <w:pPr>
        <w:pStyle w:val="29"/>
        <w:ind w:firstLine="478"/>
        <w:rPr>
          <w:color w:val="auto"/>
          <w:spacing w:val="-1"/>
        </w:rPr>
      </w:pPr>
      <w:r>
        <w:rPr>
          <w:color w:val="auto"/>
          <w:spacing w:val="-1"/>
        </w:rPr>
        <w:t>涂料系列参考</w:t>
      </w:r>
      <w:r>
        <w:rPr>
          <w:color w:val="auto"/>
          <w:spacing w:val="-1"/>
        </w:rPr>
        <w:tab/>
      </w:r>
      <w:r>
        <w:rPr>
          <w:color w:val="auto"/>
          <w:spacing w:val="-1"/>
        </w:rPr>
        <w:t>氯丁橡胶</w:t>
      </w:r>
    </w:p>
    <w:p>
      <w:pPr>
        <w:pStyle w:val="29"/>
        <w:ind w:firstLine="478"/>
        <w:rPr>
          <w:color w:val="auto"/>
          <w:spacing w:val="-1"/>
        </w:rPr>
      </w:pPr>
      <w:r>
        <w:rPr>
          <w:color w:val="auto"/>
          <w:spacing w:val="-1"/>
        </w:rPr>
        <w:t>表面处理</w:t>
      </w:r>
      <w:r>
        <w:rPr>
          <w:color w:val="auto"/>
          <w:spacing w:val="-1"/>
        </w:rPr>
        <w:tab/>
      </w:r>
      <w:r>
        <w:rPr>
          <w:color w:val="auto"/>
          <w:spacing w:val="-1"/>
        </w:rPr>
        <w:tab/>
      </w:r>
      <w:r>
        <w:rPr>
          <w:color w:val="auto"/>
          <w:spacing w:val="-1"/>
        </w:rPr>
        <w:t>清洗去除氧，并轻轻磨擦表面做出一个斜面</w:t>
      </w:r>
    </w:p>
    <w:p>
      <w:pPr>
        <w:pStyle w:val="29"/>
        <w:ind w:firstLine="478"/>
        <w:rPr>
          <w:color w:val="auto"/>
          <w:spacing w:val="-1"/>
        </w:rPr>
      </w:pPr>
      <w:r>
        <w:rPr>
          <w:color w:val="auto"/>
          <w:spacing w:val="-1"/>
        </w:rPr>
        <w:t>方法介绍</w:t>
      </w:r>
      <w:r>
        <w:rPr>
          <w:color w:val="auto"/>
          <w:spacing w:val="-1"/>
        </w:rPr>
        <w:tab/>
      </w:r>
      <w:r>
        <w:rPr>
          <w:color w:val="auto"/>
          <w:spacing w:val="-1"/>
        </w:rPr>
        <w:tab/>
      </w:r>
      <w:r>
        <w:rPr>
          <w:color w:val="auto"/>
          <w:spacing w:val="-1"/>
        </w:rPr>
        <w:t>二层含磷酸和防锈剂的防腐涂层DFT为10μm</w:t>
      </w:r>
    </w:p>
    <w:p>
      <w:pPr>
        <w:pStyle w:val="29"/>
        <w:ind w:firstLine="478"/>
        <w:rPr>
          <w:color w:val="auto"/>
          <w:spacing w:val="-1"/>
        </w:rPr>
      </w:pPr>
      <w:r>
        <w:rPr>
          <w:color w:val="auto"/>
          <w:spacing w:val="-1"/>
        </w:rPr>
        <w:tab/>
      </w:r>
      <w:r>
        <w:rPr>
          <w:color w:val="auto"/>
          <w:spacing w:val="-1"/>
        </w:rPr>
        <w:tab/>
      </w:r>
      <w:r>
        <w:rPr>
          <w:color w:val="auto"/>
          <w:spacing w:val="-1"/>
        </w:rPr>
        <w:tab/>
      </w:r>
      <w:r>
        <w:rPr>
          <w:color w:val="auto"/>
          <w:spacing w:val="-1"/>
        </w:rPr>
        <w:t>高级氯丁橡胶100μm</w:t>
      </w:r>
    </w:p>
    <w:p>
      <w:pPr>
        <w:pStyle w:val="29"/>
        <w:ind w:firstLine="478"/>
        <w:rPr>
          <w:color w:val="auto"/>
          <w:spacing w:val="-1"/>
        </w:rPr>
      </w:pPr>
      <w:r>
        <w:rPr>
          <w:color w:val="auto"/>
          <w:spacing w:val="-1"/>
        </w:rPr>
        <w:tab/>
      </w:r>
      <w:r>
        <w:rPr>
          <w:color w:val="auto"/>
          <w:spacing w:val="-1"/>
        </w:rPr>
        <w:tab/>
      </w:r>
      <w:r>
        <w:rPr>
          <w:color w:val="auto"/>
          <w:spacing w:val="-1"/>
        </w:rPr>
        <w:tab/>
      </w:r>
      <w:r>
        <w:rPr>
          <w:color w:val="auto"/>
          <w:spacing w:val="-1"/>
        </w:rPr>
        <w:t>氯橡胶瓷漆35μmDFT</w:t>
      </w:r>
    </w:p>
    <w:p>
      <w:pPr>
        <w:pStyle w:val="29"/>
        <w:ind w:firstLine="478"/>
        <w:rPr>
          <w:color w:val="auto"/>
          <w:spacing w:val="-1"/>
        </w:rPr>
      </w:pPr>
      <w:r>
        <w:rPr>
          <w:color w:val="auto"/>
          <w:spacing w:val="-1"/>
        </w:rPr>
        <w:t>方法(e)表面类型黑色金属</w:t>
      </w:r>
    </w:p>
    <w:p>
      <w:pPr>
        <w:pStyle w:val="29"/>
        <w:ind w:firstLine="478"/>
        <w:rPr>
          <w:color w:val="auto"/>
          <w:spacing w:val="-1"/>
        </w:rPr>
      </w:pPr>
      <w:r>
        <w:rPr>
          <w:color w:val="auto"/>
          <w:spacing w:val="-1"/>
        </w:rPr>
        <w:t>工作环境</w:t>
      </w:r>
      <w:r>
        <w:rPr>
          <w:color w:val="auto"/>
          <w:spacing w:val="-1"/>
        </w:rPr>
        <w:tab/>
      </w:r>
      <w:r>
        <w:rPr>
          <w:color w:val="auto"/>
          <w:spacing w:val="-1"/>
        </w:rPr>
        <w:tab/>
      </w:r>
      <w:r>
        <w:rPr>
          <w:color w:val="auto"/>
          <w:spacing w:val="-1"/>
        </w:rPr>
        <w:t>浸水式</w:t>
      </w:r>
    </w:p>
    <w:p>
      <w:pPr>
        <w:pStyle w:val="29"/>
        <w:ind w:firstLine="478"/>
        <w:rPr>
          <w:color w:val="auto"/>
          <w:spacing w:val="-1"/>
        </w:rPr>
      </w:pPr>
      <w:r>
        <w:rPr>
          <w:color w:val="auto"/>
          <w:spacing w:val="-1"/>
        </w:rPr>
        <w:t>涂料系列参考</w:t>
      </w:r>
      <w:r>
        <w:rPr>
          <w:color w:val="auto"/>
          <w:spacing w:val="-1"/>
        </w:rPr>
        <w:tab/>
      </w:r>
      <w:r>
        <w:rPr>
          <w:color w:val="auto"/>
          <w:spacing w:val="-1"/>
        </w:rPr>
        <w:t>环氧树脂</w:t>
      </w:r>
      <w:r>
        <w:rPr>
          <w:rFonts w:ascii="Symbol" w:hAnsi="Symbol" w:eastAsia="Symbol" w:cs="Symbol"/>
          <w:color w:val="auto"/>
          <w:spacing w:val="-1"/>
          <w:szCs w:val="24"/>
        </w:rPr>
        <w:t></w:t>
      </w:r>
      <w:r>
        <w:rPr>
          <w:color w:val="auto"/>
          <w:spacing w:val="-1"/>
        </w:rPr>
        <w:t>方法A</w:t>
      </w:r>
    </w:p>
    <w:p>
      <w:pPr>
        <w:pStyle w:val="29"/>
        <w:ind w:firstLine="478"/>
        <w:rPr>
          <w:color w:val="auto"/>
          <w:spacing w:val="-1"/>
        </w:rPr>
      </w:pPr>
      <w:r>
        <w:rPr>
          <w:color w:val="auto"/>
          <w:spacing w:val="-1"/>
        </w:rPr>
        <w:t>表面处理</w:t>
      </w:r>
      <w:r>
        <w:rPr>
          <w:color w:val="auto"/>
          <w:spacing w:val="-1"/>
        </w:rPr>
        <w:tab/>
      </w:r>
      <w:r>
        <w:rPr>
          <w:color w:val="auto"/>
          <w:spacing w:val="-1"/>
        </w:rPr>
        <w:tab/>
      </w:r>
      <w:r>
        <w:rPr>
          <w:color w:val="auto"/>
          <w:spacing w:val="-1"/>
        </w:rPr>
        <w:t>喷砂处理达BS4232一级标准</w:t>
      </w:r>
    </w:p>
    <w:p>
      <w:pPr>
        <w:pStyle w:val="29"/>
        <w:ind w:firstLine="478"/>
        <w:rPr>
          <w:color w:val="auto"/>
          <w:spacing w:val="-1"/>
        </w:rPr>
      </w:pPr>
      <w:r>
        <w:rPr>
          <w:color w:val="auto"/>
          <w:spacing w:val="-1"/>
        </w:rPr>
        <w:t>方法介绍</w:t>
      </w:r>
      <w:r>
        <w:rPr>
          <w:color w:val="auto"/>
          <w:spacing w:val="-1"/>
        </w:rPr>
        <w:tab/>
      </w:r>
      <w:r>
        <w:rPr>
          <w:color w:val="auto"/>
          <w:spacing w:val="-1"/>
        </w:rPr>
        <w:tab/>
      </w:r>
      <w:r>
        <w:rPr>
          <w:color w:val="auto"/>
          <w:spacing w:val="-1"/>
        </w:rPr>
        <w:t>商品化防锈漆(如果环氧层无法马上跟上)</w:t>
      </w:r>
    </w:p>
    <w:p>
      <w:pPr>
        <w:pStyle w:val="29"/>
        <w:ind w:firstLine="478"/>
        <w:rPr>
          <w:color w:val="auto"/>
          <w:spacing w:val="-1"/>
        </w:rPr>
      </w:pPr>
      <w:r>
        <w:rPr>
          <w:color w:val="auto"/>
          <w:spacing w:val="-1"/>
        </w:rPr>
        <w:tab/>
      </w:r>
      <w:r>
        <w:rPr>
          <w:color w:val="auto"/>
          <w:spacing w:val="-1"/>
        </w:rPr>
        <w:tab/>
      </w:r>
      <w:r>
        <w:rPr>
          <w:color w:val="auto"/>
          <w:spacing w:val="-1"/>
        </w:rPr>
        <w:tab/>
      </w:r>
      <w:r>
        <w:rPr>
          <w:color w:val="auto"/>
          <w:spacing w:val="-1"/>
        </w:rPr>
        <w:t>催化剂处理后立即涂环氧树脂三层</w:t>
      </w:r>
    </w:p>
    <w:p>
      <w:pPr>
        <w:pStyle w:val="29"/>
        <w:ind w:firstLine="478"/>
        <w:rPr>
          <w:color w:val="auto"/>
          <w:spacing w:val="-1"/>
        </w:rPr>
      </w:pPr>
      <w:r>
        <w:rPr>
          <w:color w:val="auto"/>
          <w:spacing w:val="-1"/>
        </w:rPr>
        <w:tab/>
      </w:r>
      <w:r>
        <w:rPr>
          <w:color w:val="auto"/>
          <w:spacing w:val="-1"/>
        </w:rPr>
        <w:tab/>
      </w:r>
      <w:r>
        <w:rPr>
          <w:color w:val="auto"/>
          <w:spacing w:val="-1"/>
        </w:rPr>
        <w:tab/>
      </w:r>
      <w:r>
        <w:rPr>
          <w:color w:val="auto"/>
          <w:spacing w:val="-1"/>
        </w:rPr>
        <w:t>总干膜厚度(DFT)240μm</w:t>
      </w:r>
    </w:p>
    <w:p>
      <w:pPr>
        <w:pStyle w:val="29"/>
        <w:ind w:firstLine="478"/>
        <w:rPr>
          <w:color w:val="auto"/>
          <w:spacing w:val="-1"/>
        </w:rPr>
      </w:pPr>
      <w:r>
        <w:rPr>
          <w:color w:val="auto"/>
          <w:spacing w:val="-1"/>
        </w:rPr>
        <w:t>方法(f)表面类型钢管内表面，直径200mm与以上</w:t>
      </w:r>
    </w:p>
    <w:p>
      <w:pPr>
        <w:pStyle w:val="29"/>
        <w:ind w:firstLine="478"/>
        <w:rPr>
          <w:color w:val="auto"/>
          <w:spacing w:val="-1"/>
        </w:rPr>
      </w:pPr>
      <w:r>
        <w:rPr>
          <w:color w:val="auto"/>
          <w:spacing w:val="-1"/>
        </w:rPr>
        <w:t>工作环境</w:t>
      </w:r>
      <w:r>
        <w:rPr>
          <w:color w:val="auto"/>
          <w:spacing w:val="-1"/>
        </w:rPr>
        <w:tab/>
      </w:r>
      <w:r>
        <w:rPr>
          <w:color w:val="auto"/>
          <w:spacing w:val="-1"/>
        </w:rPr>
        <w:tab/>
      </w:r>
      <w:r>
        <w:rPr>
          <w:color w:val="auto"/>
          <w:spacing w:val="-1"/>
        </w:rPr>
        <w:t>钢管内表面，抗污水的磨蚀</w:t>
      </w:r>
    </w:p>
    <w:p>
      <w:pPr>
        <w:pStyle w:val="29"/>
        <w:ind w:firstLine="478"/>
        <w:rPr>
          <w:color w:val="auto"/>
          <w:spacing w:val="-1"/>
        </w:rPr>
      </w:pPr>
      <w:r>
        <w:rPr>
          <w:color w:val="auto"/>
          <w:spacing w:val="-1"/>
        </w:rPr>
        <w:t>涂料系列参考</w:t>
      </w:r>
      <w:r>
        <w:rPr>
          <w:color w:val="auto"/>
          <w:spacing w:val="-1"/>
        </w:rPr>
        <w:tab/>
      </w:r>
      <w:r>
        <w:rPr>
          <w:color w:val="auto"/>
          <w:spacing w:val="-1"/>
        </w:rPr>
        <w:t>环氧树脂</w:t>
      </w:r>
      <w:r>
        <w:rPr>
          <w:rFonts w:ascii="Symbol" w:hAnsi="Symbol" w:eastAsia="Symbol" w:cs="Symbol"/>
          <w:color w:val="auto"/>
          <w:spacing w:val="-1"/>
          <w:szCs w:val="24"/>
        </w:rPr>
        <w:t></w:t>
      </w:r>
      <w:r>
        <w:rPr>
          <w:color w:val="auto"/>
          <w:spacing w:val="-1"/>
        </w:rPr>
        <w:t>方法B</w:t>
      </w:r>
    </w:p>
    <w:p>
      <w:pPr>
        <w:pStyle w:val="29"/>
        <w:ind w:firstLine="478"/>
        <w:rPr>
          <w:color w:val="auto"/>
          <w:spacing w:val="-1"/>
        </w:rPr>
      </w:pPr>
      <w:r>
        <w:rPr>
          <w:color w:val="auto"/>
          <w:spacing w:val="-1"/>
        </w:rPr>
        <w:t>表面处理</w:t>
      </w:r>
      <w:r>
        <w:rPr>
          <w:color w:val="auto"/>
          <w:spacing w:val="-1"/>
        </w:rPr>
        <w:tab/>
      </w:r>
      <w:r>
        <w:rPr>
          <w:color w:val="auto"/>
          <w:spacing w:val="-1"/>
        </w:rPr>
        <w:tab/>
      </w:r>
      <w:r>
        <w:rPr>
          <w:color w:val="auto"/>
          <w:spacing w:val="-1"/>
        </w:rPr>
        <w:t>喷砂清理，达到BS4232，一级标准</w:t>
      </w:r>
    </w:p>
    <w:p>
      <w:pPr>
        <w:pStyle w:val="29"/>
        <w:ind w:firstLine="478"/>
        <w:rPr>
          <w:color w:val="auto"/>
          <w:spacing w:val="-1"/>
        </w:rPr>
      </w:pPr>
      <w:r>
        <w:rPr>
          <w:color w:val="auto"/>
          <w:spacing w:val="-1"/>
        </w:rPr>
        <w:t>方法介绍</w:t>
      </w:r>
      <w:r>
        <w:rPr>
          <w:color w:val="auto"/>
          <w:spacing w:val="-1"/>
        </w:rPr>
        <w:tab/>
      </w:r>
      <w:r>
        <w:rPr>
          <w:color w:val="auto"/>
          <w:spacing w:val="-1"/>
        </w:rPr>
        <w:tab/>
      </w:r>
      <w:r>
        <w:rPr>
          <w:color w:val="auto"/>
          <w:spacing w:val="-1"/>
        </w:rPr>
        <w:t>一层环氧树脂底漆，一层煤焦油</w:t>
      </w:r>
    </w:p>
    <w:p>
      <w:pPr>
        <w:pStyle w:val="29"/>
        <w:ind w:firstLine="478"/>
        <w:rPr>
          <w:color w:val="auto"/>
          <w:spacing w:val="-1"/>
        </w:rPr>
      </w:pPr>
      <w:r>
        <w:rPr>
          <w:color w:val="auto"/>
          <w:spacing w:val="-1"/>
        </w:rPr>
        <w:t>棕色环氧树脂，一层黑色环氧树脂总干膜厚(DFT)为325μm</w:t>
      </w:r>
    </w:p>
    <w:p>
      <w:pPr>
        <w:pStyle w:val="29"/>
        <w:ind w:firstLine="472"/>
        <w:rPr>
          <w:color w:val="auto"/>
          <w:szCs w:val="24"/>
        </w:rPr>
      </w:pPr>
      <w:r>
        <w:rPr>
          <w:color w:val="auto"/>
          <w:szCs w:val="24"/>
        </w:rPr>
        <w:t>方法</w:t>
      </w:r>
      <w:r>
        <w:rPr>
          <w:rFonts w:cs="宋体"/>
          <w:color w:val="auto"/>
          <w:szCs w:val="24"/>
        </w:rPr>
        <w:t>(g)</w:t>
      </w:r>
      <w:r>
        <w:rPr>
          <w:color w:val="auto"/>
          <w:szCs w:val="24"/>
        </w:rPr>
        <w:t>表面类型电气设备金属外壳</w:t>
      </w:r>
    </w:p>
    <w:p>
      <w:pPr>
        <w:pStyle w:val="29"/>
        <w:ind w:firstLine="478"/>
        <w:rPr>
          <w:color w:val="auto"/>
          <w:spacing w:val="-1"/>
        </w:rPr>
      </w:pPr>
      <w:r>
        <w:rPr>
          <w:color w:val="auto"/>
          <w:spacing w:val="-1"/>
        </w:rPr>
        <w:t>工作环境</w:t>
      </w:r>
      <w:r>
        <w:rPr>
          <w:color w:val="auto"/>
          <w:spacing w:val="-1"/>
        </w:rPr>
        <w:tab/>
      </w:r>
      <w:r>
        <w:rPr>
          <w:color w:val="auto"/>
          <w:spacing w:val="-1"/>
        </w:rPr>
        <w:tab/>
      </w:r>
      <w:r>
        <w:rPr>
          <w:color w:val="auto"/>
          <w:spacing w:val="-1"/>
        </w:rPr>
        <w:t>大气式</w:t>
      </w:r>
      <w:r>
        <w:rPr>
          <w:rFonts w:ascii="Symbol" w:hAnsi="Symbol" w:eastAsia="Symbol" w:cs="Symbol"/>
          <w:color w:val="auto"/>
          <w:spacing w:val="-1"/>
          <w:szCs w:val="24"/>
        </w:rPr>
        <w:t></w:t>
      </w:r>
      <w:r>
        <w:rPr>
          <w:color w:val="auto"/>
          <w:spacing w:val="-1"/>
        </w:rPr>
        <w:t>户内户外</w:t>
      </w:r>
    </w:p>
    <w:p>
      <w:pPr>
        <w:pStyle w:val="29"/>
        <w:ind w:firstLine="478"/>
        <w:rPr>
          <w:color w:val="auto"/>
          <w:spacing w:val="-1"/>
        </w:rPr>
      </w:pPr>
      <w:r>
        <w:rPr>
          <w:color w:val="auto"/>
          <w:spacing w:val="-1"/>
        </w:rPr>
        <w:t>涂料系列参考</w:t>
      </w:r>
      <w:r>
        <w:rPr>
          <w:color w:val="auto"/>
          <w:spacing w:val="-1"/>
        </w:rPr>
        <w:tab/>
      </w:r>
      <w:r>
        <w:rPr>
          <w:color w:val="auto"/>
          <w:spacing w:val="-1"/>
        </w:rPr>
        <w:t>厂商提供烘干器或大气干燥</w:t>
      </w:r>
    </w:p>
    <w:p>
      <w:pPr>
        <w:pStyle w:val="29"/>
        <w:ind w:firstLine="478"/>
        <w:rPr>
          <w:color w:val="auto"/>
          <w:spacing w:val="-1"/>
        </w:rPr>
      </w:pPr>
      <w:r>
        <w:rPr>
          <w:color w:val="auto"/>
          <w:spacing w:val="-1"/>
        </w:rPr>
        <w:t>表面处理</w:t>
      </w:r>
      <w:r>
        <w:rPr>
          <w:color w:val="auto"/>
          <w:spacing w:val="-1"/>
        </w:rPr>
        <w:tab/>
      </w:r>
      <w:r>
        <w:rPr>
          <w:color w:val="auto"/>
          <w:spacing w:val="-1"/>
        </w:rPr>
        <w:tab/>
      </w:r>
      <w:r>
        <w:rPr>
          <w:color w:val="auto"/>
          <w:spacing w:val="-1"/>
        </w:rPr>
        <w:t>根据待涂的材料来定</w:t>
      </w:r>
    </w:p>
    <w:p>
      <w:pPr>
        <w:pStyle w:val="29"/>
        <w:ind w:firstLine="478"/>
        <w:rPr>
          <w:color w:val="auto"/>
          <w:spacing w:val="-1"/>
        </w:rPr>
      </w:pPr>
      <w:r>
        <w:rPr>
          <w:color w:val="auto"/>
          <w:spacing w:val="-1"/>
        </w:rPr>
        <w:tab/>
      </w:r>
      <w:r>
        <w:rPr>
          <w:color w:val="auto"/>
          <w:spacing w:val="-1"/>
        </w:rPr>
        <w:tab/>
      </w:r>
      <w:r>
        <w:rPr>
          <w:color w:val="auto"/>
          <w:spacing w:val="-1"/>
        </w:rPr>
        <w:tab/>
      </w:r>
      <w:r>
        <w:rPr>
          <w:color w:val="auto"/>
          <w:spacing w:val="-1"/>
        </w:rPr>
        <w:t>钢:喷砂清理，达到BS4232二级标准</w:t>
      </w:r>
    </w:p>
    <w:p>
      <w:pPr>
        <w:pStyle w:val="29"/>
        <w:ind w:firstLine="478"/>
        <w:rPr>
          <w:color w:val="auto"/>
          <w:spacing w:val="-1"/>
        </w:rPr>
      </w:pPr>
      <w:r>
        <w:rPr>
          <w:color w:val="auto"/>
          <w:spacing w:val="-1"/>
        </w:rPr>
        <w:tab/>
      </w:r>
      <w:r>
        <w:rPr>
          <w:color w:val="auto"/>
          <w:spacing w:val="-1"/>
        </w:rPr>
        <w:tab/>
      </w:r>
      <w:r>
        <w:rPr>
          <w:color w:val="auto"/>
          <w:spacing w:val="-1"/>
        </w:rPr>
        <w:tab/>
      </w:r>
      <w:r>
        <w:rPr>
          <w:color w:val="auto"/>
          <w:spacing w:val="-1"/>
        </w:rPr>
        <w:t>或磷酸清理，用磷酸盐浸洗或钝化</w:t>
      </w:r>
    </w:p>
    <w:p>
      <w:pPr>
        <w:pStyle w:val="29"/>
        <w:ind w:firstLine="478"/>
        <w:rPr>
          <w:color w:val="auto"/>
          <w:spacing w:val="-1"/>
        </w:rPr>
      </w:pPr>
      <w:r>
        <w:rPr>
          <w:color w:val="auto"/>
          <w:spacing w:val="-1"/>
        </w:rPr>
        <w:tab/>
      </w:r>
      <w:r>
        <w:rPr>
          <w:color w:val="auto"/>
          <w:spacing w:val="-1"/>
        </w:rPr>
        <w:tab/>
      </w:r>
      <w:r>
        <w:rPr>
          <w:color w:val="auto"/>
          <w:spacing w:val="-1"/>
        </w:rPr>
        <w:tab/>
      </w:r>
      <w:r>
        <w:rPr>
          <w:color w:val="auto"/>
          <w:spacing w:val="-1"/>
        </w:rPr>
        <w:t>浸洗的方法(对环氧粉)</w:t>
      </w:r>
    </w:p>
    <w:p>
      <w:pPr>
        <w:pStyle w:val="29"/>
        <w:ind w:firstLine="478"/>
        <w:rPr>
          <w:color w:val="auto"/>
          <w:spacing w:val="-1"/>
        </w:rPr>
      </w:pPr>
      <w:r>
        <w:rPr>
          <w:color w:val="auto"/>
          <w:spacing w:val="-1"/>
        </w:rPr>
        <w:tab/>
      </w:r>
      <w:r>
        <w:rPr>
          <w:color w:val="auto"/>
          <w:spacing w:val="-1"/>
        </w:rPr>
        <w:tab/>
      </w:r>
      <w:r>
        <w:rPr>
          <w:color w:val="auto"/>
          <w:spacing w:val="-1"/>
        </w:rPr>
        <w:tab/>
      </w:r>
      <w:r>
        <w:rPr>
          <w:color w:val="auto"/>
          <w:spacing w:val="-1"/>
        </w:rPr>
        <w:t>热浸锌:防腐底漆</w:t>
      </w:r>
    </w:p>
    <w:p>
      <w:pPr>
        <w:pStyle w:val="29"/>
        <w:ind w:firstLine="478"/>
        <w:rPr>
          <w:color w:val="auto"/>
          <w:spacing w:val="-1"/>
        </w:rPr>
      </w:pPr>
      <w:r>
        <w:rPr>
          <w:color w:val="auto"/>
          <w:spacing w:val="-1"/>
        </w:rPr>
        <w:t>方法介绍</w:t>
      </w:r>
      <w:r>
        <w:rPr>
          <w:color w:val="auto"/>
          <w:spacing w:val="-1"/>
        </w:rPr>
        <w:tab/>
      </w:r>
      <w:r>
        <w:rPr>
          <w:color w:val="auto"/>
          <w:spacing w:val="-1"/>
        </w:rPr>
        <w:tab/>
      </w:r>
      <w:r>
        <w:rPr>
          <w:color w:val="auto"/>
          <w:spacing w:val="-1"/>
        </w:rPr>
        <w:t>多层或单层(环氧粉)涂料系统。瓷漆的总DFT为200μm(多层涂料烘干机或空气干燥)</w:t>
      </w:r>
    </w:p>
    <w:p>
      <w:pPr>
        <w:pStyle w:val="29"/>
        <w:ind w:firstLine="478"/>
        <w:rPr>
          <w:color w:val="auto"/>
          <w:spacing w:val="-1"/>
        </w:rPr>
      </w:pPr>
      <w:r>
        <w:rPr>
          <w:color w:val="auto"/>
          <w:spacing w:val="-1"/>
        </w:rPr>
        <w:tab/>
      </w:r>
      <w:r>
        <w:rPr>
          <w:color w:val="auto"/>
          <w:spacing w:val="-1"/>
        </w:rPr>
        <w:tab/>
      </w:r>
      <w:r>
        <w:rPr>
          <w:color w:val="auto"/>
          <w:spacing w:val="-1"/>
        </w:rPr>
        <w:tab/>
      </w:r>
      <w:r>
        <w:rPr>
          <w:color w:val="auto"/>
          <w:spacing w:val="-1"/>
        </w:rPr>
        <w:t>环氧粉(仅用于室内)总DFT为80μm</w:t>
      </w:r>
    </w:p>
    <w:p>
      <w:pPr>
        <w:pStyle w:val="29"/>
        <w:ind w:firstLine="478"/>
        <w:rPr>
          <w:color w:val="auto"/>
          <w:spacing w:val="-2"/>
          <w:szCs w:val="24"/>
        </w:rPr>
      </w:pPr>
      <w:r>
        <w:rPr>
          <w:color w:val="auto"/>
          <w:spacing w:val="-1"/>
        </w:rPr>
        <w:t>特殊要求</w:t>
      </w:r>
      <w:r>
        <w:rPr>
          <w:color w:val="auto"/>
          <w:spacing w:val="-1"/>
        </w:rPr>
        <w:tab/>
      </w:r>
      <w:r>
        <w:rPr>
          <w:color w:val="auto"/>
          <w:spacing w:val="-1"/>
        </w:rPr>
        <w:tab/>
      </w:r>
      <w:r>
        <w:rPr>
          <w:color w:val="auto"/>
          <w:spacing w:val="-1"/>
        </w:rPr>
        <w:t>需涂终饰的底板的内表面时，要求掺和抗</w:t>
      </w:r>
      <w:r>
        <w:rPr>
          <w:color w:val="auto"/>
          <w:spacing w:val="-2"/>
          <w:szCs w:val="24"/>
        </w:rPr>
        <w:t>冷凝剂</w:t>
      </w:r>
    </w:p>
    <w:p>
      <w:pPr>
        <w:pStyle w:val="29"/>
        <w:ind w:firstLine="472"/>
        <w:rPr>
          <w:color w:val="auto"/>
          <w:szCs w:val="24"/>
        </w:rPr>
      </w:pPr>
      <w:r>
        <w:rPr>
          <w:rFonts w:cs="宋体"/>
          <w:color w:val="auto"/>
          <w:szCs w:val="24"/>
        </w:rPr>
        <w:t>6</w:t>
      </w:r>
      <w:r>
        <w:rPr>
          <w:color w:val="auto"/>
          <w:szCs w:val="24"/>
        </w:rPr>
        <w:t>、表面处理和应用</w:t>
      </w:r>
    </w:p>
    <w:p>
      <w:pPr>
        <w:pStyle w:val="11"/>
        <w:spacing w:before="46" w:line="408" w:lineRule="auto"/>
        <w:ind w:right="103" w:firstLine="479"/>
        <w:jc w:val="both"/>
        <w:rPr>
          <w:color w:val="auto"/>
          <w:sz w:val="24"/>
          <w:szCs w:val="24"/>
          <w:lang w:eastAsia="zh-CN"/>
        </w:rPr>
      </w:pPr>
      <w:r>
        <w:rPr>
          <w:rFonts w:cs="宋体"/>
          <w:color w:val="auto"/>
          <w:sz w:val="24"/>
          <w:szCs w:val="24"/>
          <w:lang w:eastAsia="zh-CN"/>
        </w:rPr>
        <w:t>1</w:t>
      </w:r>
      <w:r>
        <w:rPr>
          <w:color w:val="auto"/>
          <w:sz w:val="24"/>
          <w:szCs w:val="24"/>
          <w:lang w:eastAsia="zh-CN"/>
        </w:rPr>
        <w:t>）表面喷砂处理达到规定的</w:t>
      </w:r>
      <w:r>
        <w:rPr>
          <w:rFonts w:cs="宋体"/>
          <w:color w:val="auto"/>
          <w:sz w:val="24"/>
          <w:szCs w:val="24"/>
          <w:lang w:eastAsia="zh-CN"/>
        </w:rPr>
        <w:t>BS4232</w:t>
      </w:r>
      <w:r>
        <w:rPr>
          <w:color w:val="auto"/>
          <w:sz w:val="24"/>
          <w:szCs w:val="24"/>
          <w:lang w:eastAsia="zh-CN"/>
        </w:rPr>
        <w:t>一级或二级标准，采用的砂粒必须是激冷铁砂，达到</w:t>
      </w:r>
      <w:r>
        <w:rPr>
          <w:rFonts w:cs="宋体"/>
          <w:color w:val="auto"/>
          <w:sz w:val="24"/>
          <w:szCs w:val="24"/>
          <w:lang w:eastAsia="zh-CN"/>
        </w:rPr>
        <w:t>BS2451</w:t>
      </w:r>
      <w:r>
        <w:rPr>
          <w:color w:val="auto"/>
          <w:sz w:val="24"/>
          <w:szCs w:val="24"/>
          <w:lang w:eastAsia="zh-CN"/>
        </w:rPr>
        <w:t>标准</w:t>
      </w:r>
      <w:r>
        <w:rPr>
          <w:rFonts w:cs="宋体"/>
          <w:color w:val="auto"/>
          <w:sz w:val="24"/>
          <w:szCs w:val="24"/>
          <w:lang w:eastAsia="zh-CN"/>
        </w:rPr>
        <w:t>(</w:t>
      </w:r>
      <w:r>
        <w:rPr>
          <w:color w:val="auto"/>
          <w:sz w:val="24"/>
          <w:szCs w:val="24"/>
          <w:lang w:eastAsia="zh-CN"/>
        </w:rPr>
        <w:t>或者相似硬度的钢砂</w:t>
      </w:r>
      <w:r>
        <w:rPr>
          <w:rFonts w:cs="宋体"/>
          <w:color w:val="auto"/>
          <w:sz w:val="24"/>
          <w:szCs w:val="24"/>
          <w:lang w:eastAsia="zh-CN"/>
        </w:rPr>
        <w:t>)</w:t>
      </w:r>
      <w:r>
        <w:rPr>
          <w:color w:val="auto"/>
          <w:sz w:val="24"/>
          <w:szCs w:val="24"/>
          <w:lang w:eastAsia="zh-CN"/>
        </w:rPr>
        <w:t>，最好是精细的颗粒，能通过</w:t>
      </w:r>
      <w:r>
        <w:rPr>
          <w:rFonts w:cs="宋体"/>
          <w:color w:val="auto"/>
          <w:sz w:val="24"/>
          <w:szCs w:val="24"/>
          <w:lang w:eastAsia="zh-CN"/>
        </w:rPr>
        <w:t>30</w:t>
      </w:r>
      <w:r>
        <w:rPr>
          <w:color w:val="auto"/>
          <w:sz w:val="24"/>
          <w:szCs w:val="24"/>
          <w:lang w:eastAsia="zh-CN"/>
        </w:rPr>
        <w:t>号筛孔</w:t>
      </w:r>
      <w:r>
        <w:rPr>
          <w:rFonts w:cs="宋体"/>
          <w:color w:val="auto"/>
          <w:sz w:val="24"/>
          <w:szCs w:val="24"/>
          <w:lang w:eastAsia="zh-CN"/>
        </w:rPr>
        <w:t>(0.5mm)</w:t>
      </w:r>
      <w:r>
        <w:rPr>
          <w:color w:val="auto"/>
          <w:sz w:val="24"/>
          <w:szCs w:val="24"/>
          <w:lang w:eastAsia="zh-CN"/>
        </w:rPr>
        <w:t>，大于</w:t>
      </w:r>
      <w:r>
        <w:rPr>
          <w:rFonts w:cs="宋体"/>
          <w:color w:val="auto"/>
          <w:sz w:val="24"/>
          <w:szCs w:val="24"/>
          <w:lang w:eastAsia="zh-CN"/>
        </w:rPr>
        <w:t>36</w:t>
      </w:r>
      <w:r>
        <w:rPr>
          <w:color w:val="auto"/>
          <w:sz w:val="24"/>
          <w:szCs w:val="24"/>
          <w:lang w:eastAsia="zh-CN"/>
        </w:rPr>
        <w:t>筛孔</w:t>
      </w:r>
      <w:r>
        <w:rPr>
          <w:rFonts w:cs="宋体"/>
          <w:color w:val="auto"/>
          <w:sz w:val="24"/>
          <w:szCs w:val="24"/>
          <w:lang w:eastAsia="zh-CN"/>
        </w:rPr>
        <w:t>(0.42mm)</w:t>
      </w:r>
      <w:r>
        <w:rPr>
          <w:color w:val="auto"/>
          <w:sz w:val="24"/>
          <w:szCs w:val="24"/>
          <w:lang w:eastAsia="zh-CN"/>
        </w:rPr>
        <w:t>上，砂粒不得含有有害物质，任何回用的砂粒在重新用前必须清理干净。</w:t>
      </w:r>
    </w:p>
    <w:p>
      <w:pPr>
        <w:pStyle w:val="29"/>
        <w:ind w:firstLine="472"/>
        <w:rPr>
          <w:color w:val="auto"/>
          <w:szCs w:val="24"/>
        </w:rPr>
      </w:pPr>
      <w:r>
        <w:rPr>
          <w:rFonts w:cs="宋体"/>
          <w:color w:val="auto"/>
          <w:szCs w:val="24"/>
        </w:rPr>
        <w:t>2</w:t>
      </w:r>
      <w:r>
        <w:rPr>
          <w:color w:val="auto"/>
          <w:szCs w:val="24"/>
        </w:rPr>
        <w:t>）喷砂后的表面粗糙度必须根据下述要求：</w:t>
      </w:r>
    </w:p>
    <w:p>
      <w:pPr>
        <w:pStyle w:val="29"/>
        <w:ind w:firstLine="478"/>
        <w:rPr>
          <w:color w:val="auto"/>
          <w:spacing w:val="-1"/>
        </w:rPr>
      </w:pPr>
      <w:r>
        <w:rPr>
          <w:color w:val="auto"/>
          <w:spacing w:val="-1"/>
        </w:rPr>
        <w:t>一级</w:t>
      </w:r>
      <w:r>
        <w:rPr>
          <w:color w:val="auto"/>
          <w:spacing w:val="-1"/>
        </w:rPr>
        <w:tab/>
      </w:r>
      <w:r>
        <w:rPr>
          <w:color w:val="auto"/>
          <w:spacing w:val="-1"/>
        </w:rPr>
        <w:t>25－50μm，指标值为25～40μm</w:t>
      </w:r>
    </w:p>
    <w:p>
      <w:pPr>
        <w:pStyle w:val="29"/>
        <w:ind w:firstLine="478"/>
        <w:rPr>
          <w:color w:val="auto"/>
          <w:spacing w:val="-1"/>
        </w:rPr>
      </w:pPr>
      <w:r>
        <w:rPr>
          <w:color w:val="auto"/>
          <w:spacing w:val="-1"/>
        </w:rPr>
        <w:t>二级</w:t>
      </w:r>
      <w:r>
        <w:rPr>
          <w:color w:val="auto"/>
          <w:spacing w:val="-1"/>
        </w:rPr>
        <w:tab/>
      </w:r>
      <w:r>
        <w:rPr>
          <w:color w:val="auto"/>
          <w:spacing w:val="-1"/>
        </w:rPr>
        <w:t>25－100μm</w:t>
      </w:r>
    </w:p>
    <w:p>
      <w:pPr>
        <w:pStyle w:val="29"/>
        <w:ind w:firstLine="478"/>
        <w:rPr>
          <w:color w:val="auto"/>
          <w:spacing w:val="-1"/>
        </w:rPr>
      </w:pPr>
      <w:r>
        <w:rPr>
          <w:color w:val="auto"/>
          <w:spacing w:val="-1"/>
        </w:rPr>
        <w:t>表面粗糙度即断面上任何一个从峰顶到邻近槽最底部的尺寸。</w:t>
      </w:r>
    </w:p>
    <w:p>
      <w:pPr>
        <w:pStyle w:val="29"/>
        <w:ind w:firstLine="478"/>
        <w:rPr>
          <w:color w:val="auto"/>
          <w:spacing w:val="-1"/>
        </w:rPr>
      </w:pPr>
      <w:r>
        <w:rPr>
          <w:color w:val="auto"/>
          <w:spacing w:val="-1"/>
        </w:rPr>
        <w:t>3）喷砂清理要大气温度高于5℃，相对湿度低于85%时进行。</w:t>
      </w:r>
    </w:p>
    <w:p>
      <w:pPr>
        <w:pStyle w:val="29"/>
        <w:ind w:firstLine="474"/>
        <w:rPr>
          <w:color w:val="auto"/>
          <w:szCs w:val="24"/>
        </w:rPr>
      </w:pPr>
      <w:r>
        <w:rPr>
          <w:rFonts w:cs="宋体"/>
          <w:color w:val="auto"/>
          <w:spacing w:val="-3"/>
          <w:szCs w:val="24"/>
        </w:rPr>
        <w:t>4</w:t>
      </w:r>
      <w:r>
        <w:rPr>
          <w:color w:val="auto"/>
          <w:spacing w:val="-3"/>
          <w:szCs w:val="24"/>
        </w:rPr>
        <w:t>）喷砂清理后，最好采用真空清理法来去除面上的灰尘和砂粒。在喷砂后四个小时内</w:t>
      </w:r>
      <w:r>
        <w:rPr>
          <w:color w:val="auto"/>
          <w:szCs w:val="24"/>
        </w:rPr>
        <w:t>就要喷刷或涂一层保护性的底漆。</w:t>
      </w:r>
    </w:p>
    <w:p>
      <w:pPr>
        <w:pStyle w:val="29"/>
        <w:ind w:firstLine="474"/>
        <w:rPr>
          <w:color w:val="auto"/>
          <w:spacing w:val="-1"/>
        </w:rPr>
      </w:pPr>
      <w:r>
        <w:rPr>
          <w:rFonts w:cs="宋体"/>
          <w:color w:val="auto"/>
          <w:spacing w:val="-3"/>
          <w:szCs w:val="24"/>
        </w:rPr>
        <w:t>5</w:t>
      </w:r>
      <w:r>
        <w:rPr>
          <w:color w:val="auto"/>
          <w:spacing w:val="-3"/>
          <w:szCs w:val="24"/>
        </w:rPr>
        <w:t>）承包商必须提供并操纵既用来保护经过喷砂清理后的表面</w:t>
      </w:r>
      <w:r>
        <w:rPr>
          <w:rFonts w:cs="宋体"/>
          <w:color w:val="auto"/>
          <w:spacing w:val="-3"/>
          <w:szCs w:val="24"/>
        </w:rPr>
        <w:t>(</w:t>
      </w:r>
      <w:r>
        <w:rPr>
          <w:color w:val="auto"/>
          <w:spacing w:val="-3"/>
          <w:szCs w:val="24"/>
        </w:rPr>
        <w:t>直到可以涂漆为止</w:t>
      </w:r>
      <w:r>
        <w:rPr>
          <w:rFonts w:cs="宋体"/>
          <w:color w:val="auto"/>
          <w:spacing w:val="-3"/>
          <w:szCs w:val="24"/>
        </w:rPr>
        <w:t>)</w:t>
      </w:r>
      <w:r>
        <w:rPr>
          <w:color w:val="auto"/>
          <w:spacing w:val="-3"/>
          <w:szCs w:val="24"/>
        </w:rPr>
        <w:t>并用</w:t>
      </w:r>
      <w:r>
        <w:rPr>
          <w:color w:val="auto"/>
          <w:szCs w:val="24"/>
        </w:rPr>
        <w:t>以提供必要的养护条件和脱湿设备。</w:t>
      </w:r>
    </w:p>
    <w:p>
      <w:pPr>
        <w:pStyle w:val="29"/>
        <w:ind w:firstLine="478"/>
        <w:rPr>
          <w:color w:val="auto"/>
          <w:spacing w:val="-1"/>
        </w:rPr>
      </w:pPr>
      <w:r>
        <w:rPr>
          <w:color w:val="auto"/>
          <w:spacing w:val="-1"/>
        </w:rPr>
        <w:t>7、检验和试验</w:t>
      </w:r>
    </w:p>
    <w:p>
      <w:pPr>
        <w:pStyle w:val="29"/>
        <w:ind w:firstLine="478"/>
        <w:rPr>
          <w:color w:val="auto"/>
          <w:spacing w:val="-1"/>
        </w:rPr>
      </w:pPr>
      <w:r>
        <w:rPr>
          <w:color w:val="auto"/>
          <w:spacing w:val="-1"/>
        </w:rPr>
        <w:t>必须遵循下述特殊要求：</w:t>
      </w:r>
    </w:p>
    <w:p>
      <w:pPr>
        <w:pStyle w:val="29"/>
        <w:ind w:firstLine="478"/>
        <w:rPr>
          <w:color w:val="auto"/>
          <w:spacing w:val="-1"/>
        </w:rPr>
      </w:pPr>
      <w:r>
        <w:rPr>
          <w:color w:val="auto"/>
          <w:spacing w:val="-1"/>
        </w:rPr>
        <w:t>1）检查湿膜厚度</w:t>
      </w:r>
    </w:p>
    <w:p>
      <w:pPr>
        <w:pStyle w:val="29"/>
        <w:ind w:firstLine="478"/>
        <w:rPr>
          <w:color w:val="auto"/>
          <w:spacing w:val="-1"/>
        </w:rPr>
      </w:pPr>
      <w:r>
        <w:rPr>
          <w:color w:val="auto"/>
          <w:spacing w:val="-1"/>
        </w:rPr>
        <w:t>必须配备经同意的湿膜厚度仪来检查涂料的等级。</w:t>
      </w:r>
    </w:p>
    <w:p>
      <w:pPr>
        <w:pStyle w:val="29"/>
        <w:ind w:firstLine="478"/>
        <w:rPr>
          <w:color w:val="auto"/>
          <w:spacing w:val="-1"/>
        </w:rPr>
      </w:pPr>
      <w:r>
        <w:rPr>
          <w:color w:val="auto"/>
          <w:spacing w:val="-1"/>
        </w:rPr>
        <w:t>2）检查干膜厚度</w:t>
      </w:r>
    </w:p>
    <w:p>
      <w:pPr>
        <w:pStyle w:val="29"/>
        <w:ind w:firstLine="478"/>
        <w:rPr>
          <w:color w:val="auto"/>
          <w:spacing w:val="-1"/>
        </w:rPr>
      </w:pPr>
      <w:r>
        <w:rPr>
          <w:color w:val="auto"/>
          <w:spacing w:val="-1"/>
        </w:rPr>
        <w:t>涂于钢和其它镍基锰合金表面之上的涂层的干膜厚度，以各层涂料累积的总干膜厚度作系统的测定值。</w:t>
      </w:r>
    </w:p>
    <w:p>
      <w:pPr>
        <w:pStyle w:val="29"/>
        <w:ind w:firstLine="478"/>
        <w:rPr>
          <w:color w:val="auto"/>
          <w:spacing w:val="-1"/>
        </w:rPr>
      </w:pPr>
      <w:r>
        <w:rPr>
          <w:color w:val="auto"/>
          <w:spacing w:val="-1"/>
        </w:rPr>
        <w:t>8、热浸锌</w:t>
      </w:r>
    </w:p>
    <w:p>
      <w:pPr>
        <w:pStyle w:val="29"/>
        <w:ind w:firstLine="478"/>
        <w:rPr>
          <w:color w:val="auto"/>
          <w:spacing w:val="-1"/>
        </w:rPr>
      </w:pPr>
      <w:r>
        <w:rPr>
          <w:color w:val="auto"/>
          <w:spacing w:val="-1"/>
        </w:rPr>
        <w:t>热浸锌工作在其所有方面应符合BS729、BS3083、CP2008，并且应该用热浸锌工艺来实施，除非另有规定。</w:t>
      </w:r>
    </w:p>
    <w:p>
      <w:pPr>
        <w:pStyle w:val="29"/>
        <w:ind w:firstLine="478"/>
        <w:rPr>
          <w:color w:val="auto"/>
          <w:spacing w:val="-1"/>
        </w:rPr>
      </w:pPr>
      <w:r>
        <w:rPr>
          <w:color w:val="auto"/>
          <w:spacing w:val="-1"/>
        </w:rPr>
        <w:t>必须使热浸锌的钢部件和组件的设计适合于工艺要求。它们应符合于BS4479。应该提供通气孔和排水孔，以避免在浸锌时产生由于内部压力过高而可能导致爆炸和气锁的现象；并且确保在工作取出时，锌液不残留在工作的死角处。在焊接组件被热浸锌之前，必须仔细地清理焊缝。焊缝和其周围的金属应该分别予以清理，最好采用喷砂清理，因为依靠一般的初步酸洗是不能去除焊渣。所有钢表面的缺陷，包括裂缝、表面剥离、皱皮和折迭应按照BS4360予以去除。在构件被热浸锌之前，在有可能的地方，应先完成机组部件和组件的所有钻孔、切削、焊接、压形和最终的冷作加工工序。被热浸锌的钢工件表面，应该无油漆、无油、无油垢和类似的污染物。</w:t>
      </w:r>
    </w:p>
    <w:p>
      <w:pPr>
        <w:pStyle w:val="29"/>
        <w:ind w:firstLine="478"/>
        <w:rPr>
          <w:color w:val="auto"/>
          <w:spacing w:val="-1"/>
        </w:rPr>
      </w:pPr>
      <w:r>
        <w:rPr>
          <w:color w:val="auto"/>
          <w:spacing w:val="-1"/>
        </w:rPr>
        <w:t>最小平均镀层的重量，应按BS729表1所规定。钢结构首先应按BS4232用细砂作喷砂处理并达到二级质量（Sa21/2）或在酸槽中酸洗。钢件截面厚度等于和大于5mm时，其最小平均镀层重量应为900g/m2。</w:t>
      </w:r>
    </w:p>
    <w:p>
      <w:pPr>
        <w:pStyle w:val="29"/>
        <w:ind w:firstLine="478"/>
        <w:rPr>
          <w:color w:val="auto"/>
          <w:spacing w:val="-1"/>
        </w:rPr>
      </w:pPr>
      <w:r>
        <w:rPr>
          <w:color w:val="auto"/>
          <w:spacing w:val="-1"/>
        </w:rPr>
        <w:t>从热浸锌槽取出时，所形成的锌膜应是光滑、连续、无明显的表面缺陷，例如可见的斑点、结疤、气泡和渣或灰尘夹杂物。</w:t>
      </w:r>
    </w:p>
    <w:p>
      <w:pPr>
        <w:pStyle w:val="29"/>
        <w:ind w:firstLine="478"/>
        <w:rPr>
          <w:color w:val="auto"/>
          <w:spacing w:val="-1"/>
        </w:rPr>
      </w:pPr>
      <w:r>
        <w:rPr>
          <w:color w:val="auto"/>
          <w:spacing w:val="-1"/>
        </w:rPr>
        <w:t>用高强度摩擦夹紧螺栓联接的电热浸锌接触面在其组装前应该粗糙化，以便达到所需要的滑动系数（由BS3294，第一部分和BS4604，第一部分规定）。应注意确保粗糙化仅局限在需要粗糙面的范围内。</w:t>
      </w:r>
    </w:p>
    <w:p>
      <w:pPr>
        <w:pStyle w:val="29"/>
        <w:ind w:firstLine="478"/>
        <w:rPr>
          <w:color w:val="auto"/>
          <w:spacing w:val="-1"/>
        </w:rPr>
      </w:pPr>
      <w:r>
        <w:rPr>
          <w:color w:val="auto"/>
          <w:spacing w:val="-1"/>
        </w:rPr>
        <w:t>螺栓、螺帽和垫圈，包括一般等级的高强度摩擦夹紧螺栓（参照BS3139和BS4395，第一部分）应该被热浸锌，其后浸锌离心分离（BS729）。在热浸锌后，螺帽应采用螺丝攻扩大0.4mm；并且对螺纹上油，以便可用手指把螺帽拧在螺栓上，一直拧到该螺帽的整个高度为止。在螺栓已被穿插过钢构件之后，必须使该热浸锌高强度摩擦夹紧螺栓伸出钢构件外的螺纹上的润滑剂不能流到钢构件的被粗糙化的结合面上去。</w:t>
      </w:r>
    </w:p>
    <w:p>
      <w:pPr>
        <w:pStyle w:val="29"/>
        <w:ind w:firstLine="478"/>
        <w:rPr>
          <w:color w:val="auto"/>
          <w:spacing w:val="-1"/>
        </w:rPr>
      </w:pPr>
      <w:r>
        <w:rPr>
          <w:color w:val="auto"/>
          <w:spacing w:val="-1"/>
        </w:rPr>
        <w:t>为了卸载和安装，必须使用有保护层的吊索。贮存在工厂或现场的热浸锌构件应该这样堆放，以使其所有表面都得到合理的通风，避免产生水渍（白色锈班）。</w:t>
      </w:r>
    </w:p>
    <w:p>
      <w:pPr>
        <w:pStyle w:val="29"/>
        <w:ind w:firstLine="478"/>
        <w:rPr>
          <w:color w:val="auto"/>
          <w:spacing w:val="-1"/>
        </w:rPr>
      </w:pPr>
      <w:r>
        <w:rPr>
          <w:color w:val="auto"/>
          <w:spacing w:val="-1"/>
        </w:rPr>
        <w:t>任一形式受损的小面积镀层应用下列措施修复：</w:t>
      </w:r>
    </w:p>
    <w:p>
      <w:pPr>
        <w:pStyle w:val="29"/>
        <w:ind w:firstLine="478"/>
        <w:rPr>
          <w:color w:val="auto"/>
          <w:spacing w:val="-1"/>
        </w:rPr>
      </w:pPr>
      <w:r>
        <w:rPr>
          <w:color w:val="auto"/>
          <w:spacing w:val="-1"/>
        </w:rPr>
        <w:t>——任何焊渣都要清除，并用金属丝刷彻底清洁其表面。</w:t>
      </w:r>
    </w:p>
    <w:p>
      <w:pPr>
        <w:pStyle w:val="29"/>
        <w:ind w:firstLine="478"/>
        <w:rPr>
          <w:color w:val="auto"/>
          <w:spacing w:val="-1"/>
        </w:rPr>
      </w:pPr>
      <w:r>
        <w:rPr>
          <w:color w:val="auto"/>
          <w:spacing w:val="-1"/>
        </w:rPr>
        <w:t>——采用两层富锌涂料，或采用低熔点锌合金修补棒或粉沫敷在受损区上，再加热到300℃。</w:t>
      </w:r>
    </w:p>
    <w:p>
      <w:pPr>
        <w:pStyle w:val="29"/>
        <w:ind w:firstLine="478"/>
        <w:rPr>
          <w:color w:val="auto"/>
          <w:spacing w:val="-1"/>
        </w:rPr>
      </w:pPr>
      <w:r>
        <w:rPr>
          <w:color w:val="auto"/>
          <w:spacing w:val="-1"/>
        </w:rPr>
        <w:t>在固定后，螺栓头、垫圈和螺帽应以两层富锌涂料。电镀表面的铜、铜合金或铝表面之间的连接，应使用经项目监理认可的合适的带子包起来进行保护。</w:t>
      </w:r>
    </w:p>
    <w:p>
      <w:pPr>
        <w:pStyle w:val="29"/>
        <w:ind w:firstLine="478"/>
        <w:rPr>
          <w:color w:val="auto"/>
          <w:spacing w:val="-1"/>
        </w:rPr>
      </w:pPr>
      <w:r>
        <w:rPr>
          <w:color w:val="auto"/>
          <w:spacing w:val="-1"/>
        </w:rPr>
        <w:t>9、金属喷镀对构件表面喷镀铝、锌、锡、铜、铅或其它合适金属，也能达到防腐蚀目的。喷镀金属成分，表面预处理和喷镀方法，厚度、粘附强度和随后处理，都应符合BS2596。对于燃烧气体火焰、等离子弧、爆炸和其它类似工艺所采用的金属和金属复合物的喷镀、不熔镀层的要求，对被喷镀部件的预处理、喷镀技术、密封、抛光和检查的要求，都要按照BS4761相应规定。</w:t>
      </w:r>
    </w:p>
    <w:p>
      <w:pPr>
        <w:pStyle w:val="29"/>
        <w:ind w:firstLine="478"/>
        <w:rPr>
          <w:color w:val="auto"/>
          <w:spacing w:val="-1"/>
        </w:rPr>
      </w:pPr>
      <w:r>
        <w:rPr>
          <w:color w:val="auto"/>
          <w:spacing w:val="-1"/>
        </w:rPr>
        <w:t>10、耐风蚀钢</w:t>
      </w:r>
    </w:p>
    <w:p>
      <w:pPr>
        <w:pStyle w:val="29"/>
        <w:ind w:firstLine="478"/>
        <w:rPr>
          <w:color w:val="auto"/>
          <w:spacing w:val="-1"/>
        </w:rPr>
      </w:pPr>
      <w:r>
        <w:rPr>
          <w:color w:val="auto"/>
          <w:spacing w:val="-1"/>
        </w:rPr>
        <w:t>使用耐腐蚀、耐风蚀钢的钢构件，必须遵守ASTM－A242，ASTMA588，DIN17100和其它相效标准的要求。</w:t>
      </w:r>
    </w:p>
    <w:p>
      <w:pPr>
        <w:pStyle w:val="30"/>
        <w:spacing w:before="120" w:after="120"/>
        <w:rPr>
          <w:b w:val="0"/>
          <w:bCs/>
          <w:color w:val="auto"/>
        </w:rPr>
      </w:pPr>
      <w:bookmarkStart w:id="24" w:name="_Toc117181333"/>
      <w:r>
        <w:rPr>
          <w:color w:val="auto"/>
        </w:rPr>
        <w:t>压力表计</w:t>
      </w:r>
      <w:bookmarkEnd w:id="24"/>
    </w:p>
    <w:p>
      <w:pPr>
        <w:pStyle w:val="29"/>
        <w:ind w:firstLine="478"/>
        <w:rPr>
          <w:color w:val="auto"/>
          <w:spacing w:val="-1"/>
        </w:rPr>
      </w:pPr>
      <w:r>
        <w:rPr>
          <w:color w:val="auto"/>
          <w:spacing w:val="-1"/>
        </w:rPr>
        <w:t>装在每台设备中压力表直径不小于150mm。铝合金不能用在表的结构中，刻度盘和表盖应为紫铜，内部元件应为不锈钢、紫铜和其他抗腐蚀材料(不包括铝合金)。</w:t>
      </w:r>
    </w:p>
    <w:p>
      <w:pPr>
        <w:pStyle w:val="29"/>
        <w:ind w:firstLine="478"/>
        <w:rPr>
          <w:color w:val="auto"/>
          <w:spacing w:val="-1"/>
        </w:rPr>
      </w:pPr>
      <w:r>
        <w:rPr>
          <w:color w:val="auto"/>
          <w:spacing w:val="-1"/>
        </w:rPr>
        <w:t>压力表可以直接安装在主要系统管道上或一个接一个地安装控制台或柜中，每个压力表后应紧接着一个旋塞，在压力表管道连接主系统端头应有一个隔离阀。装在控制盘中的压力表，隔离阀应连接一个试验压力表，装有旋塞的压力表，应能用经批准的标签和文字识别。</w:t>
      </w:r>
    </w:p>
    <w:p>
      <w:pPr>
        <w:pStyle w:val="29"/>
        <w:ind w:firstLine="478"/>
        <w:rPr>
          <w:color w:val="auto"/>
          <w:spacing w:val="-1"/>
        </w:rPr>
      </w:pPr>
      <w:r>
        <w:rPr>
          <w:color w:val="auto"/>
          <w:spacing w:val="-1"/>
        </w:rPr>
        <w:t>用于污水和污泥的压力表，应有一个压力变送系统。变送系统应为充气密封型。内含铜或不锈钢毛细管和隔膜变送仪。</w:t>
      </w:r>
    </w:p>
    <w:p>
      <w:pPr>
        <w:pStyle w:val="29"/>
        <w:ind w:firstLine="478"/>
        <w:rPr>
          <w:color w:val="auto"/>
          <w:spacing w:val="-1"/>
        </w:rPr>
      </w:pPr>
      <w:r>
        <w:rPr>
          <w:color w:val="auto"/>
          <w:spacing w:val="-1"/>
        </w:rPr>
        <w:t>隔膜应装在一个可清扫的壳中。变送仪的外壳应直接与25mm或更大口径的直通式隔离旋塞连接，隔离旋塞再直接接到压力管口上。</w:t>
      </w:r>
    </w:p>
    <w:p>
      <w:pPr>
        <w:pStyle w:val="29"/>
        <w:ind w:firstLine="478"/>
        <w:rPr>
          <w:color w:val="auto"/>
          <w:spacing w:val="-1"/>
        </w:rPr>
      </w:pPr>
      <w:r>
        <w:rPr>
          <w:color w:val="auto"/>
          <w:spacing w:val="-1"/>
        </w:rPr>
        <w:t>压力表以bar为压力单位，以0.1bar为最小刻度。用于负压时使用真空表，精度均为全量程的±1.5%或±2.5％。</w:t>
      </w:r>
    </w:p>
    <w:p>
      <w:pPr>
        <w:pStyle w:val="30"/>
        <w:spacing w:before="120" w:after="120"/>
        <w:rPr>
          <w:b w:val="0"/>
          <w:bCs/>
          <w:color w:val="auto"/>
        </w:rPr>
      </w:pPr>
      <w:bookmarkStart w:id="25" w:name="_Toc117181334"/>
      <w:r>
        <w:rPr>
          <w:color w:val="auto"/>
        </w:rPr>
        <w:t>螺母、螺钉、垫圈和螺栓</w:t>
      </w:r>
      <w:bookmarkEnd w:id="25"/>
    </w:p>
    <w:p>
      <w:pPr>
        <w:pStyle w:val="29"/>
        <w:ind w:firstLine="478"/>
        <w:rPr>
          <w:color w:val="auto"/>
          <w:spacing w:val="-1"/>
        </w:rPr>
      </w:pPr>
      <w:r>
        <w:rPr>
          <w:color w:val="auto"/>
          <w:spacing w:val="-1"/>
        </w:rPr>
        <w:t>粗制螺栓，螺钉和螺母应符合ISO225、ISO272、ISO885、ISO888和ISO4759/1。粗制六角螺栓，螺钉和螺母应符合ISO272，ISO4759/18.8级。垫圈应符合ISO/R887，并使用在所有螺母，六角螺栓和螺钉之下。</w:t>
      </w:r>
    </w:p>
    <w:p>
      <w:pPr>
        <w:pStyle w:val="29"/>
        <w:ind w:firstLine="478"/>
        <w:rPr>
          <w:color w:val="auto"/>
          <w:spacing w:val="-1"/>
        </w:rPr>
      </w:pPr>
      <w:r>
        <w:rPr>
          <w:color w:val="auto"/>
          <w:spacing w:val="-1"/>
        </w:rPr>
        <w:t>所有在水下或处在潮湿环境的螺栓，螺钉，螺母，垫圈应采用S316不锈钢。具有锌保护层的M10以及较大的坚固件应热浸锌处理。螺母的螺纹的制造应符合ISO1459，ISO1460和ISO1461。</w:t>
      </w:r>
    </w:p>
    <w:p>
      <w:pPr>
        <w:pStyle w:val="30"/>
        <w:spacing w:before="120" w:after="120"/>
        <w:rPr>
          <w:b w:val="0"/>
          <w:bCs/>
          <w:color w:val="auto"/>
        </w:rPr>
      </w:pPr>
      <w:bookmarkStart w:id="26" w:name="_Toc117181335"/>
      <w:r>
        <w:rPr>
          <w:color w:val="auto"/>
        </w:rPr>
        <w:t>基础螺栓</w:t>
      </w:r>
      <w:bookmarkEnd w:id="26"/>
    </w:p>
    <w:p>
      <w:pPr>
        <w:pStyle w:val="29"/>
        <w:ind w:firstLine="478"/>
        <w:rPr>
          <w:color w:val="auto"/>
          <w:spacing w:val="-1"/>
        </w:rPr>
      </w:pPr>
      <w:r>
        <w:rPr>
          <w:color w:val="auto"/>
          <w:spacing w:val="-1"/>
        </w:rPr>
        <w:t>用在混凝土，砖石中的基础螺栓，螺母和垫圈应为不锈钢304或以上。可根据需要采用钩形膨胀螺栓，或化学螺栓。承包商应递交他所建议使用的螺栓类型的详细资料，包括制造商的产品规格，给项目监理批准。</w:t>
      </w:r>
    </w:p>
    <w:p>
      <w:pPr>
        <w:pStyle w:val="29"/>
        <w:ind w:firstLine="478"/>
        <w:rPr>
          <w:color w:val="auto"/>
          <w:spacing w:val="-1"/>
        </w:rPr>
      </w:pPr>
      <w:r>
        <w:rPr>
          <w:color w:val="auto"/>
          <w:spacing w:val="-1"/>
        </w:rPr>
        <w:t>当螺栓用来紧固铝合金件时，应用非金属隔套和垫圈将铝合金隔离。带有棘形或齿形预埋螺栓的二次混凝土材料应为专用的非收缩型环氧树脂砂浆或为专用的非收缩型砂浆或为麻丝填料。基础螺栓和预埋螺栓应在二次灌浆材料达到足够的强度时才能投入使用。</w:t>
      </w:r>
    </w:p>
    <w:p>
      <w:pPr>
        <w:pStyle w:val="30"/>
        <w:spacing w:before="120" w:after="120"/>
        <w:rPr>
          <w:b w:val="0"/>
          <w:bCs/>
          <w:color w:val="auto"/>
        </w:rPr>
      </w:pPr>
      <w:bookmarkStart w:id="27" w:name="_Toc117181336"/>
      <w:r>
        <w:rPr>
          <w:color w:val="auto"/>
        </w:rPr>
        <w:t>质检的准备</w:t>
      </w:r>
      <w:bookmarkEnd w:id="27"/>
    </w:p>
    <w:p>
      <w:pPr>
        <w:pStyle w:val="29"/>
        <w:ind w:firstLine="478"/>
        <w:rPr>
          <w:color w:val="auto"/>
          <w:spacing w:val="-1"/>
        </w:rPr>
      </w:pPr>
      <w:r>
        <w:rPr>
          <w:color w:val="auto"/>
          <w:spacing w:val="-1"/>
        </w:rPr>
        <w:t>每一设备都要在安装之前，检查它们是否损坏有无缺陷，完整程度准确性等。</w:t>
      </w:r>
    </w:p>
    <w:p>
      <w:pPr>
        <w:pStyle w:val="29"/>
        <w:ind w:firstLine="478"/>
        <w:rPr>
          <w:color w:val="auto"/>
          <w:spacing w:val="-1"/>
        </w:rPr>
      </w:pPr>
      <w:r>
        <w:rPr>
          <w:color w:val="auto"/>
          <w:spacing w:val="-1"/>
        </w:rPr>
        <w:t>如若发现某设备和材质有遭跌损的现象时，应立即通知项目监理，损坏设备的修理，不可在项目监理认可以前，就进行修补。</w:t>
      </w:r>
    </w:p>
    <w:p>
      <w:pPr>
        <w:pStyle w:val="30"/>
        <w:spacing w:before="120" w:after="120"/>
        <w:rPr>
          <w:color w:val="auto"/>
        </w:rPr>
      </w:pPr>
      <w:bookmarkStart w:id="28" w:name="_Toc117181337"/>
      <w:r>
        <w:rPr>
          <w:rFonts w:hint="eastAsia"/>
          <w:color w:val="auto"/>
        </w:rPr>
        <w:t>电动机效能</w:t>
      </w:r>
      <w:bookmarkEnd w:id="28"/>
    </w:p>
    <w:p>
      <w:pPr>
        <w:pStyle w:val="29"/>
        <w:ind w:firstLine="472"/>
        <w:rPr>
          <w:color w:val="auto"/>
        </w:rPr>
      </w:pPr>
      <w:r>
        <w:rPr>
          <w:rFonts w:hint="eastAsia"/>
          <w:color w:val="auto"/>
        </w:rPr>
        <w:t>电动机的能效水平应高于能效限定值或能效等级3级的要求。推荐品牌：西门子、松下、ABB、施耐德。</w:t>
      </w:r>
    </w:p>
    <w:p>
      <w:pPr>
        <w:pStyle w:val="30"/>
        <w:spacing w:before="120" w:after="120"/>
        <w:rPr>
          <w:b w:val="0"/>
          <w:bCs/>
          <w:color w:val="auto"/>
        </w:rPr>
      </w:pPr>
      <w:bookmarkStart w:id="29" w:name="_Toc117181338"/>
      <w:r>
        <w:rPr>
          <w:color w:val="auto"/>
        </w:rPr>
        <w:t>电动机</w:t>
      </w:r>
      <w:r>
        <w:rPr>
          <w:rFonts w:hint="eastAsia"/>
          <w:color w:val="auto"/>
        </w:rPr>
        <w:t>IP防护等级</w:t>
      </w:r>
      <w:bookmarkEnd w:id="29"/>
    </w:p>
    <w:p>
      <w:pPr>
        <w:pStyle w:val="29"/>
        <w:ind w:firstLine="478"/>
        <w:rPr>
          <w:color w:val="auto"/>
          <w:spacing w:val="-1"/>
        </w:rPr>
      </w:pPr>
      <w:r>
        <w:rPr>
          <w:color w:val="auto"/>
          <w:spacing w:val="-1"/>
        </w:rPr>
        <w:t>防护等级除注明外，室外为IP65、水下为IP68、室内为IP54。</w:t>
      </w:r>
    </w:p>
    <w:p>
      <w:pPr>
        <w:pStyle w:val="30"/>
        <w:spacing w:before="120" w:after="120"/>
        <w:rPr>
          <w:b w:val="0"/>
          <w:bCs/>
          <w:color w:val="auto"/>
        </w:rPr>
      </w:pPr>
      <w:bookmarkStart w:id="30" w:name="_Toc117181339"/>
      <w:r>
        <w:rPr>
          <w:color w:val="auto"/>
        </w:rPr>
        <w:t>安全措施</w:t>
      </w:r>
      <w:bookmarkEnd w:id="30"/>
    </w:p>
    <w:p>
      <w:pPr>
        <w:pStyle w:val="29"/>
        <w:ind w:firstLine="478"/>
        <w:rPr>
          <w:color w:val="auto"/>
          <w:spacing w:val="-1"/>
        </w:rPr>
      </w:pPr>
      <w:r>
        <w:rPr>
          <w:color w:val="auto"/>
          <w:spacing w:val="-1"/>
        </w:rPr>
        <w:t>设备除电气系统中设备过电流和信号报警保护外，一般应设机械式自动复位式过扭矩或安全销保护。</w:t>
      </w:r>
    </w:p>
    <w:p>
      <w:pPr>
        <w:pStyle w:val="29"/>
        <w:ind w:firstLine="478"/>
        <w:rPr>
          <w:color w:val="auto"/>
          <w:spacing w:val="-1"/>
        </w:rPr>
      </w:pPr>
      <w:r>
        <w:rPr>
          <w:color w:val="auto"/>
          <w:spacing w:val="-1"/>
        </w:rPr>
        <w:t>设备的所有含有危险因素的部分应加上安全罩。在正常工况条件下，温度高于60℃或小于5℃的所有零件应装有防护栏或隔温保温措施。</w:t>
      </w:r>
    </w:p>
    <w:p>
      <w:pPr>
        <w:pStyle w:val="29"/>
        <w:ind w:firstLine="478"/>
        <w:rPr>
          <w:color w:val="auto"/>
          <w:spacing w:val="-1"/>
        </w:rPr>
      </w:pPr>
      <w:r>
        <w:rPr>
          <w:color w:val="auto"/>
          <w:spacing w:val="-1"/>
        </w:rPr>
        <w:t>所有电气传导件包括由此而形成的电器装置都应绝缘或用防护栏防护或置于安全之处以防危险。</w:t>
      </w:r>
    </w:p>
    <w:p>
      <w:pPr>
        <w:pStyle w:val="29"/>
        <w:ind w:firstLine="478"/>
        <w:rPr>
          <w:color w:val="auto"/>
          <w:spacing w:val="-1"/>
        </w:rPr>
      </w:pPr>
      <w:r>
        <w:rPr>
          <w:color w:val="auto"/>
          <w:spacing w:val="-1"/>
        </w:rPr>
        <w:t>安全罩应用钢丝网或用钢板网制成，如必要的话，用全钢板制成。安全罩应设计成对轴承、润滑脂加注点、温度计、和其它检测点便利操作的型式，允许操作工在没有危险或不需要拆掉安全罩的任何部分情况下，进行日常的维护工作。在便利到达检测点的地方应设置装有锁定装置的检修门。防护罩应采用螺栓固定，不会被无意地拆除或移动。</w:t>
      </w:r>
    </w:p>
    <w:p>
      <w:pPr>
        <w:pStyle w:val="29"/>
        <w:ind w:firstLine="478"/>
        <w:rPr>
          <w:color w:val="auto"/>
          <w:spacing w:val="-1"/>
        </w:rPr>
      </w:pPr>
      <w:r>
        <w:rPr>
          <w:color w:val="auto"/>
          <w:spacing w:val="-1"/>
        </w:rPr>
        <w:t>用于防护罩结构的所有低碳钢包括螺栓，螺母，垫圈，挡圈应热浸锌，除非有其他规定。安全罩的图纸在加工前应送交业主批准。</w:t>
      </w:r>
    </w:p>
    <w:p>
      <w:pPr>
        <w:pStyle w:val="29"/>
        <w:ind w:firstLine="478"/>
        <w:rPr>
          <w:color w:val="auto"/>
          <w:spacing w:val="-1"/>
        </w:rPr>
      </w:pPr>
      <w:r>
        <w:rPr>
          <w:color w:val="auto"/>
          <w:spacing w:val="-1"/>
        </w:rPr>
        <w:t>安全设计应符合GB5083《生产设备安全卫生设计总则》中的有关规定。</w:t>
      </w:r>
    </w:p>
    <w:p>
      <w:pPr>
        <w:pStyle w:val="29"/>
        <w:ind w:firstLine="478"/>
        <w:rPr>
          <w:color w:val="auto"/>
          <w:spacing w:val="-1"/>
        </w:rPr>
      </w:pPr>
      <w:r>
        <w:rPr>
          <w:color w:val="auto"/>
          <w:spacing w:val="-1"/>
        </w:rPr>
        <w:t>带电设备接地电阻不应大于4Ω</w:t>
      </w:r>
      <w:r>
        <w:rPr>
          <w:rFonts w:hint="eastAsia"/>
          <w:color w:val="auto"/>
          <w:spacing w:val="-1"/>
        </w:rPr>
        <w:t>。</w:t>
      </w:r>
    </w:p>
    <w:p>
      <w:pPr>
        <w:pStyle w:val="30"/>
        <w:spacing w:before="120" w:after="120"/>
        <w:rPr>
          <w:b w:val="0"/>
          <w:bCs/>
          <w:color w:val="auto"/>
        </w:rPr>
      </w:pPr>
      <w:bookmarkStart w:id="31" w:name="_Toc117181340"/>
      <w:r>
        <w:rPr>
          <w:color w:val="auto"/>
        </w:rPr>
        <w:t>泵类设备</w:t>
      </w:r>
      <w:bookmarkEnd w:id="31"/>
    </w:p>
    <w:p>
      <w:pPr>
        <w:pStyle w:val="29"/>
        <w:ind w:firstLine="478"/>
        <w:rPr>
          <w:color w:val="auto"/>
          <w:spacing w:val="-1"/>
        </w:rPr>
      </w:pPr>
      <w:r>
        <w:rPr>
          <w:color w:val="auto"/>
          <w:spacing w:val="-1"/>
        </w:rPr>
        <w:t>1、总则</w:t>
      </w:r>
    </w:p>
    <w:p>
      <w:pPr>
        <w:pStyle w:val="29"/>
        <w:ind w:firstLine="478"/>
        <w:rPr>
          <w:color w:val="auto"/>
          <w:spacing w:val="-1"/>
        </w:rPr>
      </w:pPr>
      <w:r>
        <w:rPr>
          <w:color w:val="auto"/>
          <w:spacing w:val="-1"/>
        </w:rPr>
        <w:t>通用水泵的选用应根据泵的使用介质、流量范围、扬程、工况点效率、NPSHr、固形物通过能力等现场条件，须与本工程工艺设计的要求相符。</w:t>
      </w:r>
    </w:p>
    <w:p>
      <w:pPr>
        <w:pStyle w:val="29"/>
        <w:ind w:firstLine="478"/>
        <w:rPr>
          <w:color w:val="auto"/>
          <w:spacing w:val="-1"/>
        </w:rPr>
      </w:pPr>
      <w:r>
        <w:rPr>
          <w:color w:val="auto"/>
          <w:spacing w:val="-1"/>
        </w:rPr>
        <w:t>所有泵的强度应按最高扬程或泵零流量扬程（二者中较高者）的1.5倍设计。所有泵均应具有防干运行、防过载等保护，应能长期无限制地运转，流量和压头的曲</w:t>
      </w:r>
    </w:p>
    <w:p>
      <w:pPr>
        <w:pStyle w:val="29"/>
        <w:ind w:firstLine="478"/>
        <w:rPr>
          <w:color w:val="auto"/>
        </w:rPr>
      </w:pPr>
      <w:r>
        <w:rPr>
          <w:color w:val="auto"/>
          <w:spacing w:val="-1"/>
        </w:rPr>
        <w:t>线特性应平稳地随流量的减少而压头递增。泵轴与联轴器尺寸应使得轴的最大许用转矩比联轴器传递来的最大转矩要高。</w:t>
      </w:r>
      <w:r>
        <w:rPr>
          <w:color w:val="auto"/>
        </w:rPr>
        <w:t>具有填料函的泵应采用不锈钢轴套，并设置冷却和轴封装置。泵的轴封或机械密封应能采用可快速更换的形式。泵壳与叶轮原则上都应安装可更换的耐磨环。</w:t>
      </w:r>
    </w:p>
    <w:p>
      <w:pPr>
        <w:pStyle w:val="29"/>
        <w:ind w:firstLine="478"/>
        <w:rPr>
          <w:color w:val="auto"/>
          <w:spacing w:val="-1"/>
        </w:rPr>
      </w:pPr>
      <w:r>
        <w:rPr>
          <w:color w:val="auto"/>
          <w:spacing w:val="-1"/>
        </w:rPr>
        <w:t>除非另有规定，泵的进口流速应为1~3m/s，配置电机功率均应有10%超负荷余量。所有轴承应有足够大的尺寸，轴承的基本额定寿命（L10）应不低于100000h。</w:t>
      </w:r>
    </w:p>
    <w:p>
      <w:pPr>
        <w:pStyle w:val="29"/>
        <w:ind w:firstLine="478"/>
        <w:rPr>
          <w:color w:val="auto"/>
          <w:spacing w:val="-1"/>
        </w:rPr>
      </w:pPr>
      <w:r>
        <w:rPr>
          <w:color w:val="auto"/>
          <w:spacing w:val="-1"/>
        </w:rPr>
        <w:t>泵的附件应根据工艺设计的要求作相应的配套，如耦合导轨、井筒、防涡流锥、电缆或潜水电缆、基座、潜水电机、电机、联轴节、辅助管路和接头、接轴、连接件、基础螺栓等。</w:t>
      </w:r>
    </w:p>
    <w:p>
      <w:pPr>
        <w:pStyle w:val="29"/>
        <w:ind w:firstLine="478"/>
        <w:rPr>
          <w:color w:val="auto"/>
          <w:spacing w:val="-1"/>
        </w:rPr>
      </w:pPr>
      <w:r>
        <w:rPr>
          <w:color w:val="auto"/>
          <w:spacing w:val="-1"/>
        </w:rPr>
        <w:t>用于排水工程泵的主要类别如下（但不限于此）</w:t>
      </w:r>
    </w:p>
    <w:p>
      <w:pPr>
        <w:spacing w:before="11"/>
        <w:rPr>
          <w:rFonts w:ascii="宋体" w:hAnsi="宋体" w:eastAsia="宋体" w:cs="宋体"/>
          <w:color w:val="auto"/>
          <w:sz w:val="9"/>
          <w:szCs w:val="9"/>
          <w:lang w:eastAsia="zh-CN"/>
        </w:rPr>
      </w:pPr>
    </w:p>
    <w:tbl>
      <w:tblPr>
        <w:tblStyle w:val="25"/>
        <w:tblW w:w="8546"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857"/>
        <w:gridCol w:w="5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5" w:hRule="exact"/>
        </w:trPr>
        <w:tc>
          <w:tcPr>
            <w:tcW w:w="2857" w:type="dxa"/>
          </w:tcPr>
          <w:p>
            <w:pPr>
              <w:pStyle w:val="27"/>
              <w:spacing w:before="122"/>
              <w:ind w:left="20"/>
              <w:jc w:val="center"/>
              <w:rPr>
                <w:rFonts w:ascii="宋体" w:hAnsi="宋体" w:eastAsia="宋体" w:cs="宋体"/>
                <w:color w:val="auto"/>
                <w:sz w:val="21"/>
                <w:szCs w:val="21"/>
              </w:rPr>
            </w:pPr>
            <w:r>
              <w:rPr>
                <w:rFonts w:ascii="宋体" w:hAnsi="宋体" w:eastAsia="宋体" w:cs="宋体"/>
                <w:b/>
                <w:bCs/>
                <w:color w:val="auto"/>
                <w:sz w:val="21"/>
                <w:szCs w:val="21"/>
              </w:rPr>
              <w:t>类型</w:t>
            </w:r>
          </w:p>
        </w:tc>
        <w:tc>
          <w:tcPr>
            <w:tcW w:w="5689" w:type="dxa"/>
          </w:tcPr>
          <w:p>
            <w:pPr>
              <w:pStyle w:val="27"/>
              <w:spacing w:before="122"/>
              <w:ind w:right="5"/>
              <w:jc w:val="center"/>
              <w:rPr>
                <w:rFonts w:ascii="宋体" w:hAnsi="宋体" w:eastAsia="宋体" w:cs="宋体"/>
                <w:color w:val="auto"/>
                <w:sz w:val="21"/>
                <w:szCs w:val="21"/>
              </w:rPr>
            </w:pPr>
            <w:r>
              <w:rPr>
                <w:rFonts w:ascii="宋体" w:hAnsi="宋体" w:eastAsia="宋体" w:cs="宋体"/>
                <w:b/>
                <w:bCs/>
                <w:color w:val="auto"/>
                <w:sz w:val="21"/>
                <w:szCs w:val="21"/>
              </w:rPr>
              <w:t>适用范围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7" w:type="dxa"/>
          </w:tcPr>
          <w:p>
            <w:pPr>
              <w:pStyle w:val="27"/>
              <w:spacing w:before="122"/>
              <w:ind w:left="23"/>
              <w:jc w:val="center"/>
              <w:rPr>
                <w:rFonts w:ascii="宋体" w:hAnsi="宋体" w:eastAsia="宋体" w:cs="宋体"/>
                <w:color w:val="auto"/>
                <w:sz w:val="21"/>
                <w:szCs w:val="21"/>
              </w:rPr>
            </w:pPr>
            <w:r>
              <w:rPr>
                <w:rFonts w:ascii="宋体" w:hAnsi="宋体" w:eastAsia="宋体" w:cs="宋体"/>
                <w:color w:val="auto"/>
                <w:sz w:val="21"/>
                <w:szCs w:val="21"/>
              </w:rPr>
              <w:t>单级单吸清水离心泵</w:t>
            </w:r>
          </w:p>
        </w:tc>
        <w:tc>
          <w:tcPr>
            <w:tcW w:w="5689" w:type="dxa"/>
          </w:tcPr>
          <w:p>
            <w:pPr>
              <w:pStyle w:val="27"/>
              <w:spacing w:before="122"/>
              <w:ind w:right="5"/>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清水或理化性质类似于水的其他液体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exact"/>
        </w:trPr>
        <w:tc>
          <w:tcPr>
            <w:tcW w:w="2857" w:type="dxa"/>
          </w:tcPr>
          <w:p>
            <w:pPr>
              <w:pStyle w:val="27"/>
              <w:spacing w:before="122"/>
              <w:ind w:left="23"/>
              <w:jc w:val="center"/>
              <w:rPr>
                <w:rFonts w:ascii="宋体" w:hAnsi="宋体" w:eastAsia="宋体" w:cs="宋体"/>
                <w:color w:val="auto"/>
                <w:sz w:val="21"/>
                <w:szCs w:val="21"/>
              </w:rPr>
            </w:pPr>
            <w:r>
              <w:rPr>
                <w:rFonts w:ascii="宋体" w:hAnsi="宋体" w:eastAsia="宋体" w:cs="宋体"/>
                <w:color w:val="auto"/>
                <w:sz w:val="21"/>
                <w:szCs w:val="21"/>
              </w:rPr>
              <w:t>离心污水泵</w:t>
            </w:r>
          </w:p>
        </w:tc>
        <w:tc>
          <w:tcPr>
            <w:tcW w:w="5689" w:type="dxa"/>
          </w:tcPr>
          <w:p>
            <w:pPr>
              <w:pStyle w:val="27"/>
              <w:spacing w:before="122"/>
              <w:ind w:right="3"/>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污水、粪便或含纤维杂物的液体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7" w:type="dxa"/>
          </w:tcPr>
          <w:p>
            <w:pPr>
              <w:pStyle w:val="27"/>
              <w:spacing w:before="122"/>
              <w:ind w:left="25"/>
              <w:jc w:val="center"/>
              <w:rPr>
                <w:rFonts w:ascii="宋体" w:hAnsi="宋体" w:eastAsia="宋体" w:cs="宋体"/>
                <w:color w:val="auto"/>
                <w:sz w:val="21"/>
                <w:szCs w:val="21"/>
              </w:rPr>
            </w:pPr>
            <w:r>
              <w:rPr>
                <w:rFonts w:ascii="宋体" w:hAnsi="宋体" w:eastAsia="宋体" w:cs="宋体"/>
                <w:color w:val="auto"/>
                <w:sz w:val="21"/>
                <w:szCs w:val="21"/>
              </w:rPr>
              <w:t>管道式离心泵</w:t>
            </w:r>
          </w:p>
        </w:tc>
        <w:tc>
          <w:tcPr>
            <w:tcW w:w="5689" w:type="dxa"/>
          </w:tcPr>
          <w:p>
            <w:pPr>
              <w:pStyle w:val="27"/>
              <w:spacing w:before="122"/>
              <w:ind w:right="5"/>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清水或弱腐蚀性的液体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7" w:type="dxa"/>
          </w:tcPr>
          <w:p>
            <w:pPr>
              <w:pStyle w:val="27"/>
              <w:spacing w:before="122"/>
              <w:ind w:left="25"/>
              <w:jc w:val="center"/>
              <w:rPr>
                <w:rFonts w:ascii="宋体" w:hAnsi="宋体" w:eastAsia="宋体" w:cs="宋体"/>
                <w:color w:val="auto"/>
                <w:sz w:val="21"/>
                <w:szCs w:val="21"/>
              </w:rPr>
            </w:pPr>
            <w:r>
              <w:rPr>
                <w:rFonts w:ascii="宋体" w:hAnsi="宋体" w:eastAsia="宋体" w:cs="宋体"/>
                <w:color w:val="auto"/>
                <w:sz w:val="21"/>
                <w:szCs w:val="21"/>
              </w:rPr>
              <w:t>液下式离心泵</w:t>
            </w:r>
          </w:p>
        </w:tc>
        <w:tc>
          <w:tcPr>
            <w:tcW w:w="5689" w:type="dxa"/>
          </w:tcPr>
          <w:p>
            <w:pPr>
              <w:pStyle w:val="27"/>
              <w:spacing w:before="122"/>
              <w:ind w:right="5"/>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清水或理化性质类似于水的其他液体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7" w:type="dxa"/>
          </w:tcPr>
          <w:p>
            <w:pPr>
              <w:pStyle w:val="27"/>
              <w:spacing w:before="122"/>
              <w:ind w:left="25"/>
              <w:jc w:val="center"/>
              <w:rPr>
                <w:rFonts w:ascii="宋体" w:hAnsi="宋体" w:eastAsia="宋体" w:cs="宋体"/>
                <w:color w:val="auto"/>
                <w:sz w:val="21"/>
                <w:szCs w:val="21"/>
              </w:rPr>
            </w:pPr>
            <w:r>
              <w:rPr>
                <w:rFonts w:ascii="宋体" w:hAnsi="宋体" w:eastAsia="宋体" w:cs="宋体"/>
                <w:color w:val="auto"/>
                <w:sz w:val="21"/>
                <w:szCs w:val="21"/>
              </w:rPr>
              <w:t>自吸式离心泵</w:t>
            </w:r>
          </w:p>
        </w:tc>
        <w:tc>
          <w:tcPr>
            <w:tcW w:w="5689" w:type="dxa"/>
          </w:tcPr>
          <w:p>
            <w:pPr>
              <w:pStyle w:val="27"/>
              <w:spacing w:before="122"/>
              <w:ind w:right="5"/>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清水或弱腐蚀性的液体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exact"/>
        </w:trPr>
        <w:tc>
          <w:tcPr>
            <w:tcW w:w="2857" w:type="dxa"/>
          </w:tcPr>
          <w:p>
            <w:pPr>
              <w:pStyle w:val="27"/>
              <w:spacing w:before="122"/>
              <w:ind w:left="25"/>
              <w:jc w:val="center"/>
              <w:rPr>
                <w:rFonts w:ascii="宋体" w:hAnsi="宋体" w:eastAsia="宋体" w:cs="宋体"/>
                <w:color w:val="auto"/>
                <w:sz w:val="21"/>
                <w:szCs w:val="21"/>
              </w:rPr>
            </w:pPr>
            <w:r>
              <w:rPr>
                <w:rFonts w:ascii="宋体" w:hAnsi="宋体" w:eastAsia="宋体" w:cs="宋体"/>
                <w:color w:val="auto"/>
                <w:sz w:val="21"/>
                <w:szCs w:val="21"/>
              </w:rPr>
              <w:t>计量泵</w:t>
            </w:r>
          </w:p>
        </w:tc>
        <w:tc>
          <w:tcPr>
            <w:tcW w:w="5689" w:type="dxa"/>
          </w:tcPr>
          <w:p>
            <w:pPr>
              <w:pStyle w:val="27"/>
              <w:spacing w:before="122"/>
              <w:ind w:right="5"/>
              <w:jc w:val="center"/>
              <w:rPr>
                <w:rFonts w:ascii="宋体" w:hAnsi="宋体" w:eastAsia="宋体" w:cs="宋体"/>
                <w:color w:val="auto"/>
                <w:sz w:val="21"/>
                <w:szCs w:val="21"/>
              </w:rPr>
            </w:pPr>
            <w:r>
              <w:rPr>
                <w:rFonts w:ascii="宋体" w:hAnsi="宋体" w:eastAsia="宋体" w:cs="宋体"/>
                <w:color w:val="auto"/>
                <w:sz w:val="21"/>
                <w:szCs w:val="21"/>
              </w:rPr>
              <w:t>药液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7" w:type="dxa"/>
          </w:tcPr>
          <w:p>
            <w:pPr>
              <w:pStyle w:val="27"/>
              <w:spacing w:before="122"/>
              <w:ind w:left="25"/>
              <w:jc w:val="center"/>
              <w:rPr>
                <w:rFonts w:ascii="宋体" w:hAnsi="宋体" w:eastAsia="宋体" w:cs="宋体"/>
                <w:color w:val="auto"/>
                <w:sz w:val="21"/>
                <w:szCs w:val="21"/>
              </w:rPr>
            </w:pPr>
            <w:r>
              <w:rPr>
                <w:rFonts w:ascii="宋体" w:hAnsi="宋体" w:eastAsia="宋体" w:cs="宋体"/>
                <w:color w:val="auto"/>
                <w:sz w:val="21"/>
                <w:szCs w:val="21"/>
              </w:rPr>
              <w:t>隔膜泵</w:t>
            </w:r>
          </w:p>
        </w:tc>
        <w:tc>
          <w:tcPr>
            <w:tcW w:w="5689" w:type="dxa"/>
          </w:tcPr>
          <w:p>
            <w:pPr>
              <w:pStyle w:val="27"/>
              <w:spacing w:before="122"/>
              <w:ind w:right="3"/>
              <w:jc w:val="center"/>
              <w:rPr>
                <w:rFonts w:ascii="宋体" w:hAnsi="宋体" w:eastAsia="宋体" w:cs="宋体"/>
                <w:color w:val="auto"/>
                <w:sz w:val="21"/>
                <w:szCs w:val="21"/>
              </w:rPr>
            </w:pPr>
            <w:r>
              <w:rPr>
                <w:rFonts w:ascii="宋体" w:hAnsi="宋体" w:eastAsia="宋体" w:cs="宋体"/>
                <w:color w:val="auto"/>
                <w:sz w:val="21"/>
                <w:szCs w:val="21"/>
              </w:rPr>
              <w:t>清水、污水、药液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7" w:type="dxa"/>
          </w:tcPr>
          <w:p>
            <w:pPr>
              <w:pStyle w:val="27"/>
              <w:spacing w:before="122"/>
              <w:ind w:left="25"/>
              <w:jc w:val="center"/>
              <w:rPr>
                <w:rFonts w:ascii="宋体" w:hAnsi="宋体" w:eastAsia="宋体" w:cs="宋体"/>
                <w:color w:val="auto"/>
                <w:sz w:val="21"/>
                <w:szCs w:val="21"/>
              </w:rPr>
            </w:pPr>
            <w:r>
              <w:rPr>
                <w:rFonts w:ascii="宋体" w:hAnsi="宋体" w:eastAsia="宋体" w:cs="宋体"/>
                <w:color w:val="auto"/>
                <w:sz w:val="21"/>
                <w:szCs w:val="21"/>
              </w:rPr>
              <w:t>立式蜗壳混流泵</w:t>
            </w:r>
          </w:p>
        </w:tc>
        <w:tc>
          <w:tcPr>
            <w:tcW w:w="5689" w:type="dxa"/>
          </w:tcPr>
          <w:p>
            <w:pPr>
              <w:pStyle w:val="27"/>
              <w:spacing w:before="122"/>
              <w:ind w:right="2"/>
              <w:jc w:val="center"/>
              <w:rPr>
                <w:rFonts w:ascii="宋体" w:hAnsi="宋体" w:eastAsia="宋体" w:cs="宋体"/>
                <w:color w:val="auto"/>
                <w:sz w:val="21"/>
                <w:szCs w:val="21"/>
              </w:rPr>
            </w:pPr>
            <w:r>
              <w:rPr>
                <w:rFonts w:ascii="宋体" w:hAnsi="宋体" w:eastAsia="宋体" w:cs="宋体"/>
                <w:color w:val="auto"/>
                <w:sz w:val="21"/>
                <w:szCs w:val="21"/>
              </w:rPr>
              <w:t>雨水、污水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7" w:type="dxa"/>
          </w:tcPr>
          <w:p>
            <w:pPr>
              <w:pStyle w:val="27"/>
              <w:spacing w:before="122"/>
              <w:ind w:left="23"/>
              <w:jc w:val="center"/>
              <w:rPr>
                <w:rFonts w:ascii="宋体" w:hAnsi="宋体" w:eastAsia="宋体" w:cs="宋体"/>
                <w:color w:val="auto"/>
                <w:sz w:val="21"/>
                <w:szCs w:val="21"/>
              </w:rPr>
            </w:pPr>
            <w:r>
              <w:rPr>
                <w:rFonts w:ascii="宋体" w:hAnsi="宋体" w:eastAsia="宋体" w:cs="宋体"/>
                <w:color w:val="auto"/>
                <w:sz w:val="21"/>
                <w:szCs w:val="21"/>
              </w:rPr>
              <w:t>立式导叶式混流泵</w:t>
            </w:r>
          </w:p>
        </w:tc>
        <w:tc>
          <w:tcPr>
            <w:tcW w:w="5689" w:type="dxa"/>
          </w:tcPr>
          <w:p>
            <w:pPr>
              <w:pStyle w:val="27"/>
              <w:spacing w:before="122"/>
              <w:ind w:right="2"/>
              <w:jc w:val="center"/>
              <w:rPr>
                <w:rFonts w:ascii="宋体" w:hAnsi="宋体" w:eastAsia="宋体" w:cs="宋体"/>
                <w:color w:val="auto"/>
                <w:sz w:val="21"/>
                <w:szCs w:val="21"/>
              </w:rPr>
            </w:pPr>
            <w:r>
              <w:rPr>
                <w:rFonts w:ascii="宋体" w:hAnsi="宋体" w:eastAsia="宋体" w:cs="宋体"/>
                <w:color w:val="auto"/>
                <w:sz w:val="21"/>
                <w:szCs w:val="21"/>
              </w:rPr>
              <w:t>雨水、污水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exact"/>
        </w:trPr>
        <w:tc>
          <w:tcPr>
            <w:tcW w:w="2857" w:type="dxa"/>
          </w:tcPr>
          <w:p>
            <w:pPr>
              <w:pStyle w:val="27"/>
              <w:spacing w:before="122"/>
              <w:ind w:left="23"/>
              <w:jc w:val="center"/>
              <w:rPr>
                <w:rFonts w:ascii="宋体" w:hAnsi="宋体" w:eastAsia="宋体" w:cs="宋体"/>
                <w:color w:val="auto"/>
                <w:sz w:val="21"/>
                <w:szCs w:val="21"/>
              </w:rPr>
            </w:pPr>
            <w:r>
              <w:rPr>
                <w:rFonts w:ascii="宋体" w:hAnsi="宋体" w:eastAsia="宋体" w:cs="宋体"/>
                <w:color w:val="auto"/>
                <w:sz w:val="21"/>
                <w:szCs w:val="21"/>
              </w:rPr>
              <w:t>立式轴流泵</w:t>
            </w:r>
          </w:p>
        </w:tc>
        <w:tc>
          <w:tcPr>
            <w:tcW w:w="5689" w:type="dxa"/>
          </w:tcPr>
          <w:p>
            <w:pPr>
              <w:pStyle w:val="27"/>
              <w:spacing w:before="122"/>
              <w:ind w:right="2"/>
              <w:jc w:val="center"/>
              <w:rPr>
                <w:rFonts w:ascii="宋体" w:hAnsi="宋体" w:eastAsia="宋体" w:cs="宋体"/>
                <w:color w:val="auto"/>
                <w:sz w:val="21"/>
                <w:szCs w:val="21"/>
              </w:rPr>
            </w:pPr>
            <w:r>
              <w:rPr>
                <w:rFonts w:ascii="宋体" w:hAnsi="宋体" w:eastAsia="宋体" w:cs="宋体"/>
                <w:color w:val="auto"/>
                <w:sz w:val="21"/>
                <w:szCs w:val="21"/>
              </w:rPr>
              <w:t>雨水、污水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7" w:type="dxa"/>
          </w:tcPr>
          <w:p>
            <w:pPr>
              <w:pStyle w:val="27"/>
              <w:spacing w:before="122"/>
              <w:ind w:left="25"/>
              <w:jc w:val="center"/>
              <w:rPr>
                <w:rFonts w:ascii="宋体" w:hAnsi="宋体" w:eastAsia="宋体" w:cs="宋体"/>
                <w:color w:val="auto"/>
                <w:sz w:val="21"/>
                <w:szCs w:val="21"/>
              </w:rPr>
            </w:pPr>
            <w:r>
              <w:rPr>
                <w:rFonts w:ascii="宋体" w:hAnsi="宋体" w:eastAsia="宋体" w:cs="宋体"/>
                <w:color w:val="auto"/>
                <w:sz w:val="21"/>
                <w:szCs w:val="21"/>
              </w:rPr>
              <w:t>潜水卧式轴流泵</w:t>
            </w:r>
          </w:p>
        </w:tc>
        <w:tc>
          <w:tcPr>
            <w:tcW w:w="5689" w:type="dxa"/>
          </w:tcPr>
          <w:p>
            <w:pPr>
              <w:pStyle w:val="27"/>
              <w:spacing w:before="122"/>
              <w:ind w:right="2"/>
              <w:jc w:val="center"/>
              <w:rPr>
                <w:rFonts w:ascii="宋体" w:hAnsi="宋体" w:eastAsia="宋体" w:cs="宋体"/>
                <w:color w:val="auto"/>
                <w:sz w:val="21"/>
                <w:szCs w:val="21"/>
              </w:rPr>
            </w:pPr>
            <w:r>
              <w:rPr>
                <w:rFonts w:ascii="宋体" w:hAnsi="宋体" w:eastAsia="宋体" w:cs="宋体"/>
                <w:color w:val="auto"/>
                <w:sz w:val="21"/>
                <w:szCs w:val="21"/>
              </w:rPr>
              <w:t>回流污水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7" w:type="dxa"/>
          </w:tcPr>
          <w:p>
            <w:pPr>
              <w:pStyle w:val="27"/>
              <w:spacing w:before="122"/>
              <w:ind w:left="23"/>
              <w:jc w:val="center"/>
              <w:rPr>
                <w:rFonts w:ascii="宋体" w:hAnsi="宋体" w:eastAsia="宋体" w:cs="宋体"/>
                <w:color w:val="auto"/>
                <w:sz w:val="21"/>
                <w:szCs w:val="21"/>
              </w:rPr>
            </w:pPr>
            <w:r>
              <w:rPr>
                <w:rFonts w:ascii="宋体" w:hAnsi="宋体" w:eastAsia="宋体" w:cs="宋体"/>
                <w:color w:val="auto"/>
                <w:sz w:val="21"/>
                <w:szCs w:val="21"/>
              </w:rPr>
              <w:t>潜水轴流泵</w:t>
            </w:r>
          </w:p>
        </w:tc>
        <w:tc>
          <w:tcPr>
            <w:tcW w:w="5689" w:type="dxa"/>
          </w:tcPr>
          <w:p>
            <w:pPr>
              <w:pStyle w:val="27"/>
              <w:spacing w:before="122"/>
              <w:ind w:right="2"/>
              <w:jc w:val="center"/>
              <w:rPr>
                <w:rFonts w:ascii="宋体" w:hAnsi="宋体" w:eastAsia="宋体" w:cs="宋体"/>
                <w:color w:val="auto"/>
                <w:sz w:val="21"/>
                <w:szCs w:val="21"/>
              </w:rPr>
            </w:pPr>
            <w:r>
              <w:rPr>
                <w:rFonts w:ascii="宋体" w:hAnsi="宋体" w:eastAsia="宋体" w:cs="宋体"/>
                <w:color w:val="auto"/>
                <w:sz w:val="21"/>
                <w:szCs w:val="21"/>
              </w:rPr>
              <w:t>雨水、污水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7" w:type="dxa"/>
          </w:tcPr>
          <w:p>
            <w:pPr>
              <w:pStyle w:val="27"/>
              <w:spacing w:before="122"/>
              <w:ind w:left="23"/>
              <w:jc w:val="center"/>
              <w:rPr>
                <w:rFonts w:ascii="宋体" w:hAnsi="宋体" w:eastAsia="宋体" w:cs="宋体"/>
                <w:color w:val="auto"/>
                <w:sz w:val="21"/>
                <w:szCs w:val="21"/>
              </w:rPr>
            </w:pPr>
            <w:r>
              <w:rPr>
                <w:rFonts w:ascii="宋体" w:hAnsi="宋体" w:eastAsia="宋体" w:cs="宋体"/>
                <w:color w:val="auto"/>
                <w:sz w:val="21"/>
                <w:szCs w:val="21"/>
              </w:rPr>
              <w:t>潜水污水泵</w:t>
            </w:r>
          </w:p>
        </w:tc>
        <w:tc>
          <w:tcPr>
            <w:tcW w:w="5689" w:type="dxa"/>
          </w:tcPr>
          <w:p>
            <w:pPr>
              <w:pStyle w:val="27"/>
              <w:spacing w:before="122"/>
              <w:ind w:right="5"/>
              <w:jc w:val="center"/>
              <w:rPr>
                <w:rFonts w:ascii="宋体" w:hAnsi="宋体" w:eastAsia="宋体" w:cs="宋体"/>
                <w:color w:val="auto"/>
                <w:sz w:val="21"/>
                <w:szCs w:val="21"/>
              </w:rPr>
            </w:pPr>
            <w:r>
              <w:rPr>
                <w:rFonts w:ascii="宋体" w:hAnsi="宋体" w:eastAsia="宋体" w:cs="宋体"/>
                <w:color w:val="auto"/>
                <w:sz w:val="21"/>
                <w:szCs w:val="21"/>
              </w:rPr>
              <w:t>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exact"/>
        </w:trPr>
        <w:tc>
          <w:tcPr>
            <w:tcW w:w="2857" w:type="dxa"/>
          </w:tcPr>
          <w:p>
            <w:pPr>
              <w:pStyle w:val="27"/>
              <w:spacing w:before="122"/>
              <w:ind w:left="25"/>
              <w:jc w:val="center"/>
              <w:rPr>
                <w:rFonts w:ascii="宋体" w:hAnsi="宋体" w:eastAsia="宋体" w:cs="宋体"/>
                <w:color w:val="auto"/>
                <w:sz w:val="21"/>
                <w:szCs w:val="21"/>
              </w:rPr>
            </w:pPr>
            <w:r>
              <w:rPr>
                <w:rFonts w:ascii="宋体" w:hAnsi="宋体" w:eastAsia="宋体" w:cs="宋体"/>
                <w:color w:val="auto"/>
                <w:sz w:val="21"/>
                <w:szCs w:val="21"/>
              </w:rPr>
              <w:t>螺杆泵</w:t>
            </w:r>
          </w:p>
        </w:tc>
        <w:tc>
          <w:tcPr>
            <w:tcW w:w="5689" w:type="dxa"/>
          </w:tcPr>
          <w:p>
            <w:pPr>
              <w:pStyle w:val="27"/>
              <w:spacing w:before="122"/>
              <w:ind w:right="5"/>
              <w:jc w:val="center"/>
              <w:rPr>
                <w:rFonts w:ascii="宋体" w:hAnsi="宋体" w:eastAsia="宋体" w:cs="宋体"/>
                <w:color w:val="auto"/>
                <w:sz w:val="21"/>
                <w:szCs w:val="21"/>
              </w:rPr>
            </w:pPr>
            <w:r>
              <w:rPr>
                <w:rFonts w:ascii="宋体" w:hAnsi="宋体" w:eastAsia="宋体" w:cs="宋体"/>
                <w:color w:val="auto"/>
                <w:sz w:val="21"/>
                <w:szCs w:val="21"/>
              </w:rPr>
              <w:t>污泥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7" w:hRule="exact"/>
        </w:trPr>
        <w:tc>
          <w:tcPr>
            <w:tcW w:w="2857" w:type="dxa"/>
          </w:tcPr>
          <w:p>
            <w:pPr>
              <w:pStyle w:val="27"/>
              <w:spacing w:before="122"/>
              <w:ind w:left="25"/>
              <w:jc w:val="center"/>
              <w:rPr>
                <w:rFonts w:ascii="宋体" w:hAnsi="宋体" w:eastAsia="宋体" w:cs="宋体"/>
                <w:color w:val="auto"/>
                <w:sz w:val="21"/>
                <w:szCs w:val="21"/>
              </w:rPr>
            </w:pPr>
            <w:r>
              <w:rPr>
                <w:rFonts w:ascii="宋体" w:hAnsi="宋体" w:eastAsia="宋体" w:cs="宋体"/>
                <w:color w:val="auto"/>
                <w:sz w:val="21"/>
                <w:szCs w:val="21"/>
              </w:rPr>
              <w:t>旋涡泵</w:t>
            </w:r>
          </w:p>
        </w:tc>
        <w:tc>
          <w:tcPr>
            <w:tcW w:w="5689" w:type="dxa"/>
          </w:tcPr>
          <w:p>
            <w:pPr>
              <w:pStyle w:val="27"/>
              <w:spacing w:before="122"/>
              <w:ind w:right="2"/>
              <w:jc w:val="center"/>
              <w:rPr>
                <w:rFonts w:ascii="宋体" w:hAnsi="宋体" w:eastAsia="宋体" w:cs="宋体"/>
                <w:color w:val="auto"/>
                <w:sz w:val="21"/>
                <w:szCs w:val="21"/>
              </w:rPr>
            </w:pPr>
            <w:r>
              <w:rPr>
                <w:rFonts w:ascii="宋体" w:hAnsi="宋体" w:eastAsia="宋体" w:cs="宋体"/>
                <w:color w:val="auto"/>
                <w:sz w:val="21"/>
                <w:szCs w:val="21"/>
              </w:rPr>
              <w:t>含砂污水</w:t>
            </w:r>
          </w:p>
        </w:tc>
      </w:tr>
    </w:tbl>
    <w:p>
      <w:pPr>
        <w:spacing w:before="11"/>
        <w:rPr>
          <w:rFonts w:ascii="宋体" w:hAnsi="宋体" w:eastAsia="宋体" w:cs="宋体"/>
          <w:color w:val="auto"/>
          <w:sz w:val="25"/>
          <w:szCs w:val="25"/>
        </w:rPr>
      </w:pPr>
    </w:p>
    <w:p>
      <w:pPr>
        <w:pStyle w:val="29"/>
        <w:ind w:firstLine="197" w:firstLineChars="83"/>
        <w:rPr>
          <w:color w:val="auto"/>
          <w:spacing w:val="-1"/>
        </w:rPr>
      </w:pPr>
      <w:r>
        <w:rPr>
          <w:color w:val="auto"/>
          <w:spacing w:val="-1"/>
        </w:rPr>
        <w:t>2、执行标准</w:t>
      </w:r>
    </w:p>
    <w:p>
      <w:pPr>
        <w:pStyle w:val="29"/>
        <w:spacing w:before="120" w:beforeLines="50"/>
        <w:ind w:firstLine="197" w:firstLineChars="83"/>
        <w:rPr>
          <w:color w:val="auto"/>
          <w:spacing w:val="-1"/>
        </w:rPr>
      </w:pPr>
      <w:r>
        <w:rPr>
          <w:rFonts w:hint="eastAsia"/>
          <w:color w:val="auto"/>
          <w:spacing w:val="-1"/>
        </w:rPr>
        <w:t>（1）</w:t>
      </w:r>
      <w:r>
        <w:rPr>
          <w:color w:val="auto"/>
          <w:spacing w:val="-1"/>
        </w:rPr>
        <w:t>泵类产品的基础标准</w:t>
      </w:r>
    </w:p>
    <w:tbl>
      <w:tblPr>
        <w:tblStyle w:val="25"/>
        <w:tblW w:w="8545"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854"/>
        <w:gridCol w:w="5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5" w:hRule="exact"/>
        </w:trPr>
        <w:tc>
          <w:tcPr>
            <w:tcW w:w="2854" w:type="dxa"/>
          </w:tcPr>
          <w:p>
            <w:pPr>
              <w:pStyle w:val="27"/>
              <w:spacing w:before="103"/>
              <w:ind w:left="18"/>
              <w:jc w:val="center"/>
              <w:rPr>
                <w:rFonts w:ascii="宋体" w:hAnsi="宋体" w:eastAsia="宋体" w:cs="宋体"/>
                <w:color w:val="auto"/>
                <w:sz w:val="21"/>
                <w:szCs w:val="21"/>
              </w:rPr>
            </w:pPr>
            <w:r>
              <w:rPr>
                <w:rFonts w:ascii="宋体" w:hAnsi="宋体" w:eastAsia="宋体" w:cs="宋体"/>
                <w:b/>
                <w:bCs/>
                <w:color w:val="auto"/>
                <w:sz w:val="21"/>
                <w:szCs w:val="21"/>
              </w:rPr>
              <w:t>标准号</w:t>
            </w:r>
          </w:p>
        </w:tc>
        <w:tc>
          <w:tcPr>
            <w:tcW w:w="5691" w:type="dxa"/>
          </w:tcPr>
          <w:p>
            <w:pPr>
              <w:pStyle w:val="27"/>
              <w:spacing w:before="103"/>
              <w:ind w:right="4"/>
              <w:jc w:val="center"/>
              <w:rPr>
                <w:rFonts w:ascii="宋体" w:hAnsi="宋体" w:eastAsia="宋体" w:cs="宋体"/>
                <w:color w:val="auto"/>
                <w:sz w:val="21"/>
                <w:szCs w:val="21"/>
              </w:rPr>
            </w:pPr>
            <w:r>
              <w:rPr>
                <w:rFonts w:ascii="宋体" w:hAnsi="宋体" w:eastAsia="宋体" w:cs="宋体"/>
                <w:b/>
                <w:bCs/>
                <w:color w:val="auto"/>
                <w:sz w:val="21"/>
                <w:szCs w:val="21"/>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03"/>
              <w:ind w:left="23"/>
              <w:jc w:val="center"/>
              <w:rPr>
                <w:rFonts w:ascii="宋体" w:hAnsi="宋体" w:eastAsia="宋体" w:cs="宋体"/>
                <w:color w:val="auto"/>
                <w:sz w:val="21"/>
                <w:szCs w:val="21"/>
              </w:rPr>
            </w:pPr>
            <w:r>
              <w:rPr>
                <w:rFonts w:ascii="宋体"/>
                <w:color w:val="auto"/>
                <w:sz w:val="21"/>
              </w:rPr>
              <w:t>GB/T13468-1992</w:t>
            </w:r>
          </w:p>
        </w:tc>
        <w:tc>
          <w:tcPr>
            <w:tcW w:w="5691" w:type="dxa"/>
          </w:tcPr>
          <w:p>
            <w:pPr>
              <w:pStyle w:val="27"/>
              <w:spacing w:before="103"/>
              <w:ind w:right="3"/>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泵类系统电能平衡的测试与计算方法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exact"/>
        </w:trPr>
        <w:tc>
          <w:tcPr>
            <w:tcW w:w="2854" w:type="dxa"/>
          </w:tcPr>
          <w:p>
            <w:pPr>
              <w:pStyle w:val="27"/>
              <w:spacing w:before="103"/>
              <w:ind w:left="23"/>
              <w:jc w:val="center"/>
              <w:rPr>
                <w:rFonts w:ascii="宋体" w:hAnsi="宋体" w:eastAsia="宋体" w:cs="宋体"/>
                <w:color w:val="auto"/>
                <w:sz w:val="21"/>
                <w:szCs w:val="21"/>
              </w:rPr>
            </w:pPr>
            <w:r>
              <w:rPr>
                <w:rFonts w:ascii="宋体"/>
                <w:color w:val="auto"/>
                <w:sz w:val="21"/>
              </w:rPr>
              <w:t>GB/T13469-1992</w:t>
            </w:r>
          </w:p>
        </w:tc>
        <w:tc>
          <w:tcPr>
            <w:tcW w:w="5691" w:type="dxa"/>
          </w:tcPr>
          <w:p>
            <w:pPr>
              <w:pStyle w:val="27"/>
              <w:spacing w:before="103"/>
              <w:ind w:right="5"/>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离心泵、混流泵、轴流泵系统经济运行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03"/>
              <w:ind w:left="23"/>
              <w:jc w:val="center"/>
              <w:rPr>
                <w:rFonts w:ascii="宋体" w:hAnsi="宋体" w:eastAsia="宋体" w:cs="宋体"/>
                <w:color w:val="auto"/>
                <w:sz w:val="21"/>
                <w:szCs w:val="21"/>
              </w:rPr>
            </w:pPr>
            <w:r>
              <w:rPr>
                <w:rFonts w:ascii="宋体"/>
                <w:color w:val="auto"/>
                <w:sz w:val="21"/>
              </w:rPr>
              <w:t>JB/T4297-1992</w:t>
            </w:r>
          </w:p>
        </w:tc>
        <w:tc>
          <w:tcPr>
            <w:tcW w:w="5691" w:type="dxa"/>
          </w:tcPr>
          <w:p>
            <w:pPr>
              <w:pStyle w:val="27"/>
              <w:spacing w:before="103"/>
              <w:ind w:right="5"/>
              <w:jc w:val="center"/>
              <w:rPr>
                <w:rFonts w:ascii="宋体" w:hAnsi="宋体" w:eastAsia="宋体" w:cs="宋体"/>
                <w:color w:val="auto"/>
                <w:sz w:val="21"/>
                <w:szCs w:val="21"/>
              </w:rPr>
            </w:pPr>
            <w:r>
              <w:rPr>
                <w:rFonts w:ascii="宋体" w:hAnsi="宋体" w:eastAsia="宋体" w:cs="宋体"/>
                <w:color w:val="auto"/>
                <w:sz w:val="21"/>
                <w:szCs w:val="21"/>
              </w:rPr>
              <w:t>泵产品涂漆技术条件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03"/>
              <w:ind w:left="20"/>
              <w:jc w:val="center"/>
              <w:rPr>
                <w:rFonts w:ascii="宋体" w:hAnsi="宋体" w:eastAsia="宋体" w:cs="宋体"/>
                <w:color w:val="auto"/>
                <w:sz w:val="21"/>
                <w:szCs w:val="21"/>
              </w:rPr>
            </w:pPr>
            <w:r>
              <w:rPr>
                <w:rFonts w:ascii="宋体"/>
                <w:color w:val="auto"/>
                <w:sz w:val="21"/>
              </w:rPr>
              <w:t>JB/T6880.1-1993</w:t>
            </w:r>
          </w:p>
        </w:tc>
        <w:tc>
          <w:tcPr>
            <w:tcW w:w="5691" w:type="dxa"/>
          </w:tcPr>
          <w:p>
            <w:pPr>
              <w:pStyle w:val="27"/>
              <w:spacing w:before="103"/>
              <w:ind w:right="2"/>
              <w:jc w:val="center"/>
              <w:rPr>
                <w:rFonts w:ascii="宋体" w:hAnsi="宋体" w:eastAsia="宋体" w:cs="宋体"/>
                <w:color w:val="auto"/>
                <w:sz w:val="21"/>
                <w:szCs w:val="21"/>
              </w:rPr>
            </w:pPr>
            <w:r>
              <w:rPr>
                <w:rFonts w:ascii="宋体" w:hAnsi="宋体" w:eastAsia="宋体" w:cs="宋体"/>
                <w:color w:val="auto"/>
                <w:sz w:val="21"/>
                <w:szCs w:val="21"/>
              </w:rPr>
              <w:t>泵用灰铸铁件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03"/>
              <w:ind w:left="20"/>
              <w:jc w:val="center"/>
              <w:rPr>
                <w:rFonts w:ascii="宋体" w:hAnsi="宋体" w:eastAsia="宋体" w:cs="宋体"/>
                <w:color w:val="auto"/>
                <w:sz w:val="21"/>
                <w:szCs w:val="21"/>
              </w:rPr>
            </w:pPr>
            <w:r>
              <w:rPr>
                <w:rFonts w:ascii="宋体"/>
                <w:color w:val="auto"/>
                <w:sz w:val="21"/>
              </w:rPr>
              <w:t>JB/T6880.2-1993</w:t>
            </w:r>
          </w:p>
        </w:tc>
        <w:tc>
          <w:tcPr>
            <w:tcW w:w="5691" w:type="dxa"/>
          </w:tcPr>
          <w:p>
            <w:pPr>
              <w:pStyle w:val="27"/>
              <w:spacing w:before="103"/>
              <w:ind w:right="5"/>
              <w:jc w:val="center"/>
              <w:rPr>
                <w:rFonts w:ascii="宋体" w:hAnsi="宋体" w:eastAsia="宋体" w:cs="宋体"/>
                <w:color w:val="auto"/>
                <w:sz w:val="21"/>
                <w:szCs w:val="21"/>
              </w:rPr>
            </w:pPr>
            <w:r>
              <w:rPr>
                <w:rFonts w:ascii="宋体" w:hAnsi="宋体" w:eastAsia="宋体" w:cs="宋体"/>
                <w:color w:val="auto"/>
                <w:sz w:val="21"/>
                <w:szCs w:val="21"/>
              </w:rPr>
              <w:t>泵用铸钢件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exact"/>
        </w:trPr>
        <w:tc>
          <w:tcPr>
            <w:tcW w:w="2854" w:type="dxa"/>
          </w:tcPr>
          <w:p>
            <w:pPr>
              <w:pStyle w:val="27"/>
              <w:spacing w:before="103"/>
              <w:ind w:left="20"/>
              <w:jc w:val="center"/>
              <w:rPr>
                <w:rFonts w:ascii="宋体" w:hAnsi="宋体" w:eastAsia="宋体" w:cs="宋体"/>
                <w:color w:val="auto"/>
                <w:sz w:val="21"/>
                <w:szCs w:val="21"/>
              </w:rPr>
            </w:pPr>
            <w:r>
              <w:rPr>
                <w:rFonts w:ascii="宋体"/>
                <w:color w:val="auto"/>
                <w:sz w:val="21"/>
              </w:rPr>
              <w:t>JB/T6880.3-1993</w:t>
            </w:r>
          </w:p>
        </w:tc>
        <w:tc>
          <w:tcPr>
            <w:tcW w:w="5691" w:type="dxa"/>
          </w:tcPr>
          <w:p>
            <w:pPr>
              <w:pStyle w:val="27"/>
              <w:spacing w:before="103"/>
              <w:ind w:right="5"/>
              <w:jc w:val="center"/>
              <w:rPr>
                <w:rFonts w:ascii="宋体" w:hAnsi="宋体" w:eastAsia="宋体" w:cs="宋体"/>
                <w:color w:val="auto"/>
                <w:sz w:val="21"/>
                <w:szCs w:val="21"/>
              </w:rPr>
            </w:pPr>
            <w:r>
              <w:rPr>
                <w:rFonts w:ascii="宋体" w:hAnsi="宋体" w:eastAsia="宋体" w:cs="宋体"/>
                <w:color w:val="auto"/>
                <w:sz w:val="21"/>
                <w:szCs w:val="21"/>
              </w:rPr>
              <w:t>泵用耐磨白口铸铁件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03"/>
              <w:ind w:left="23"/>
              <w:jc w:val="center"/>
              <w:rPr>
                <w:rFonts w:ascii="宋体" w:hAnsi="宋体" w:eastAsia="宋体" w:cs="宋体"/>
                <w:color w:val="auto"/>
                <w:sz w:val="21"/>
                <w:szCs w:val="21"/>
              </w:rPr>
            </w:pPr>
            <w:r>
              <w:rPr>
                <w:rFonts w:ascii="宋体"/>
                <w:color w:val="auto"/>
                <w:sz w:val="21"/>
              </w:rPr>
              <w:t>JB/T6881-1993</w:t>
            </w:r>
          </w:p>
        </w:tc>
        <w:tc>
          <w:tcPr>
            <w:tcW w:w="5691" w:type="dxa"/>
          </w:tcPr>
          <w:p>
            <w:pPr>
              <w:pStyle w:val="27"/>
              <w:spacing w:before="103"/>
              <w:ind w:right="8"/>
              <w:jc w:val="center"/>
              <w:rPr>
                <w:rFonts w:ascii="宋体" w:hAnsi="宋体" w:eastAsia="宋体" w:cs="宋体"/>
                <w:color w:val="auto"/>
                <w:sz w:val="21"/>
                <w:szCs w:val="21"/>
              </w:rPr>
            </w:pPr>
            <w:r>
              <w:rPr>
                <w:rFonts w:ascii="宋体" w:hAnsi="宋体" w:eastAsia="宋体" w:cs="宋体"/>
                <w:color w:val="auto"/>
                <w:sz w:val="21"/>
                <w:szCs w:val="21"/>
              </w:rPr>
              <w:t>泵可靠性测定试验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03"/>
              <w:ind w:left="23"/>
              <w:jc w:val="center"/>
              <w:rPr>
                <w:rFonts w:ascii="宋体" w:hAnsi="宋体" w:eastAsia="宋体" w:cs="宋体"/>
                <w:color w:val="auto"/>
                <w:sz w:val="21"/>
                <w:szCs w:val="21"/>
              </w:rPr>
            </w:pPr>
            <w:r>
              <w:rPr>
                <w:rFonts w:ascii="宋体"/>
                <w:color w:val="auto"/>
                <w:sz w:val="21"/>
              </w:rPr>
              <w:t>JB/T6882-1993</w:t>
            </w:r>
          </w:p>
        </w:tc>
        <w:tc>
          <w:tcPr>
            <w:tcW w:w="5691" w:type="dxa"/>
          </w:tcPr>
          <w:p>
            <w:pPr>
              <w:pStyle w:val="27"/>
              <w:spacing w:before="103"/>
              <w:ind w:right="5"/>
              <w:jc w:val="center"/>
              <w:rPr>
                <w:rFonts w:ascii="宋体" w:hAnsi="宋体" w:eastAsia="宋体" w:cs="宋体"/>
                <w:color w:val="auto"/>
                <w:sz w:val="21"/>
                <w:szCs w:val="21"/>
              </w:rPr>
            </w:pPr>
            <w:r>
              <w:rPr>
                <w:rFonts w:ascii="宋体" w:hAnsi="宋体" w:eastAsia="宋体" w:cs="宋体"/>
                <w:color w:val="auto"/>
                <w:sz w:val="21"/>
                <w:szCs w:val="21"/>
              </w:rPr>
              <w:t>泵可靠性验证试验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03"/>
              <w:ind w:left="23"/>
              <w:jc w:val="center"/>
              <w:rPr>
                <w:rFonts w:ascii="宋体" w:hAnsi="宋体" w:eastAsia="宋体" w:cs="宋体"/>
                <w:color w:val="auto"/>
                <w:sz w:val="21"/>
                <w:szCs w:val="21"/>
              </w:rPr>
            </w:pPr>
            <w:r>
              <w:rPr>
                <w:rFonts w:ascii="宋体"/>
                <w:color w:val="auto"/>
                <w:sz w:val="21"/>
              </w:rPr>
              <w:t>JB/T6912-1993</w:t>
            </w:r>
          </w:p>
        </w:tc>
        <w:tc>
          <w:tcPr>
            <w:tcW w:w="5691" w:type="dxa"/>
          </w:tcPr>
          <w:p>
            <w:pPr>
              <w:pStyle w:val="27"/>
              <w:spacing w:before="103"/>
              <w:ind w:right="5"/>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泵产品零件无损检测磁粉探伤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exact"/>
        </w:trPr>
        <w:tc>
          <w:tcPr>
            <w:tcW w:w="2854" w:type="dxa"/>
          </w:tcPr>
          <w:p>
            <w:pPr>
              <w:pStyle w:val="27"/>
              <w:spacing w:before="103"/>
              <w:ind w:left="23"/>
              <w:jc w:val="center"/>
              <w:rPr>
                <w:rFonts w:ascii="宋体" w:hAnsi="宋体" w:eastAsia="宋体" w:cs="宋体"/>
                <w:color w:val="auto"/>
                <w:sz w:val="21"/>
                <w:szCs w:val="21"/>
              </w:rPr>
            </w:pPr>
            <w:r>
              <w:rPr>
                <w:rFonts w:ascii="宋体"/>
                <w:color w:val="auto"/>
                <w:sz w:val="21"/>
              </w:rPr>
              <w:t>JB/T6913-1993</w:t>
            </w:r>
          </w:p>
        </w:tc>
        <w:tc>
          <w:tcPr>
            <w:tcW w:w="5691" w:type="dxa"/>
          </w:tcPr>
          <w:p>
            <w:pPr>
              <w:pStyle w:val="27"/>
              <w:spacing w:before="103"/>
              <w:ind w:right="2"/>
              <w:jc w:val="center"/>
              <w:rPr>
                <w:rFonts w:ascii="宋体" w:hAnsi="宋体" w:eastAsia="宋体" w:cs="宋体"/>
                <w:color w:val="auto"/>
                <w:sz w:val="21"/>
                <w:szCs w:val="21"/>
              </w:rPr>
            </w:pPr>
            <w:r>
              <w:rPr>
                <w:rFonts w:ascii="宋体" w:hAnsi="宋体" w:eastAsia="宋体" w:cs="宋体"/>
                <w:color w:val="auto"/>
                <w:sz w:val="21"/>
                <w:szCs w:val="21"/>
              </w:rPr>
              <w:t>泵产品清洁度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03"/>
              <w:ind w:left="23"/>
              <w:jc w:val="center"/>
              <w:rPr>
                <w:rFonts w:ascii="宋体" w:hAnsi="宋体" w:eastAsia="宋体" w:cs="宋体"/>
                <w:color w:val="auto"/>
                <w:sz w:val="21"/>
                <w:szCs w:val="21"/>
              </w:rPr>
            </w:pPr>
            <w:r>
              <w:rPr>
                <w:rFonts w:ascii="宋体"/>
                <w:color w:val="auto"/>
                <w:sz w:val="21"/>
              </w:rPr>
              <w:t>JB/T8097-1999</w:t>
            </w:r>
          </w:p>
        </w:tc>
        <w:tc>
          <w:tcPr>
            <w:tcW w:w="5691" w:type="dxa"/>
          </w:tcPr>
          <w:p>
            <w:pPr>
              <w:pStyle w:val="27"/>
              <w:spacing w:before="103"/>
              <w:ind w:right="3"/>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泵的振动测量与评价方法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03"/>
              <w:ind w:left="23"/>
              <w:jc w:val="center"/>
              <w:rPr>
                <w:rFonts w:ascii="宋体" w:hAnsi="宋体" w:eastAsia="宋体" w:cs="宋体"/>
                <w:color w:val="auto"/>
                <w:sz w:val="21"/>
                <w:szCs w:val="21"/>
              </w:rPr>
            </w:pPr>
            <w:r>
              <w:rPr>
                <w:rFonts w:ascii="宋体"/>
                <w:color w:val="auto"/>
                <w:sz w:val="21"/>
              </w:rPr>
              <w:t>JB/T8098-1999</w:t>
            </w:r>
          </w:p>
        </w:tc>
        <w:tc>
          <w:tcPr>
            <w:tcW w:w="5691" w:type="dxa"/>
          </w:tcPr>
          <w:p>
            <w:pPr>
              <w:pStyle w:val="27"/>
              <w:spacing w:before="103"/>
              <w:ind w:right="3"/>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泵的噪声测量与评价方法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03"/>
              <w:ind w:left="20"/>
              <w:jc w:val="center"/>
              <w:rPr>
                <w:rFonts w:ascii="宋体" w:hAnsi="宋体" w:eastAsia="宋体" w:cs="宋体"/>
                <w:color w:val="auto"/>
                <w:sz w:val="21"/>
                <w:szCs w:val="21"/>
              </w:rPr>
            </w:pPr>
            <w:r>
              <w:rPr>
                <w:rFonts w:ascii="宋体"/>
                <w:color w:val="auto"/>
                <w:sz w:val="21"/>
              </w:rPr>
              <w:t>JB/T8543.1-1997</w:t>
            </w:r>
          </w:p>
        </w:tc>
        <w:tc>
          <w:tcPr>
            <w:tcW w:w="5691" w:type="dxa"/>
          </w:tcPr>
          <w:p>
            <w:pPr>
              <w:pStyle w:val="27"/>
              <w:spacing w:before="103"/>
              <w:ind w:right="5"/>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泵产品零件无损检测射线探测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exact"/>
        </w:trPr>
        <w:tc>
          <w:tcPr>
            <w:tcW w:w="2854" w:type="dxa"/>
          </w:tcPr>
          <w:p>
            <w:pPr>
              <w:pStyle w:val="27"/>
              <w:spacing w:before="103"/>
              <w:ind w:left="20"/>
              <w:jc w:val="center"/>
              <w:rPr>
                <w:rFonts w:ascii="宋体" w:hAnsi="宋体" w:eastAsia="宋体" w:cs="宋体"/>
                <w:color w:val="auto"/>
                <w:sz w:val="21"/>
                <w:szCs w:val="21"/>
              </w:rPr>
            </w:pPr>
            <w:r>
              <w:rPr>
                <w:rFonts w:ascii="宋体"/>
                <w:color w:val="auto"/>
                <w:sz w:val="21"/>
              </w:rPr>
              <w:t>JB/T8543.2-1997</w:t>
            </w:r>
          </w:p>
        </w:tc>
        <w:tc>
          <w:tcPr>
            <w:tcW w:w="5691" w:type="dxa"/>
          </w:tcPr>
          <w:p>
            <w:pPr>
              <w:pStyle w:val="27"/>
              <w:spacing w:before="103"/>
              <w:ind w:right="5"/>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泵产品零件无损检测渗透检测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03"/>
              <w:ind w:left="23"/>
              <w:jc w:val="center"/>
              <w:rPr>
                <w:rFonts w:ascii="宋体" w:hAnsi="宋体" w:eastAsia="宋体" w:cs="宋体"/>
                <w:color w:val="auto"/>
                <w:sz w:val="21"/>
                <w:szCs w:val="21"/>
              </w:rPr>
            </w:pPr>
            <w:r>
              <w:rPr>
                <w:rFonts w:ascii="宋体"/>
                <w:color w:val="auto"/>
                <w:sz w:val="21"/>
              </w:rPr>
              <w:t>JB/T8689-1998</w:t>
            </w:r>
          </w:p>
        </w:tc>
        <w:tc>
          <w:tcPr>
            <w:tcW w:w="5691" w:type="dxa"/>
          </w:tcPr>
          <w:p>
            <w:pPr>
              <w:pStyle w:val="27"/>
              <w:spacing w:before="103"/>
              <w:ind w:right="5"/>
              <w:jc w:val="center"/>
              <w:rPr>
                <w:rFonts w:ascii="宋体" w:hAnsi="宋体" w:eastAsia="宋体" w:cs="宋体"/>
                <w:color w:val="auto"/>
                <w:sz w:val="21"/>
                <w:szCs w:val="21"/>
              </w:rPr>
            </w:pPr>
            <w:r>
              <w:rPr>
                <w:rFonts w:ascii="宋体" w:hAnsi="宋体" w:eastAsia="宋体" w:cs="宋体"/>
                <w:color w:val="auto"/>
                <w:sz w:val="21"/>
                <w:szCs w:val="21"/>
              </w:rPr>
              <w:t>泵类产品抽样检查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5" w:hRule="exact"/>
        </w:trPr>
        <w:tc>
          <w:tcPr>
            <w:tcW w:w="2854" w:type="dxa"/>
          </w:tcPr>
          <w:p>
            <w:pPr>
              <w:pStyle w:val="27"/>
              <w:spacing w:before="103"/>
              <w:ind w:left="23"/>
              <w:jc w:val="center"/>
              <w:rPr>
                <w:rFonts w:ascii="宋体" w:hAnsi="宋体" w:eastAsia="宋体" w:cs="宋体"/>
                <w:color w:val="auto"/>
                <w:sz w:val="21"/>
                <w:szCs w:val="21"/>
              </w:rPr>
            </w:pPr>
            <w:r>
              <w:rPr>
                <w:rFonts w:ascii="宋体"/>
                <w:color w:val="auto"/>
                <w:sz w:val="21"/>
              </w:rPr>
              <w:t>JB/T9090-1999</w:t>
            </w:r>
          </w:p>
        </w:tc>
        <w:tc>
          <w:tcPr>
            <w:tcW w:w="5691" w:type="dxa"/>
          </w:tcPr>
          <w:p>
            <w:pPr>
              <w:pStyle w:val="27"/>
              <w:spacing w:before="103"/>
              <w:ind w:right="5"/>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容积泵零件液压和渗透试验</w:t>
            </w:r>
          </w:p>
        </w:tc>
      </w:tr>
    </w:tbl>
    <w:p>
      <w:pPr>
        <w:pStyle w:val="29"/>
        <w:spacing w:before="120" w:beforeLines="50"/>
        <w:ind w:firstLine="197" w:firstLineChars="83"/>
        <w:rPr>
          <w:color w:val="auto"/>
          <w:spacing w:val="-1"/>
        </w:rPr>
      </w:pPr>
      <w:r>
        <w:rPr>
          <w:color w:val="auto"/>
          <w:spacing w:val="-1"/>
        </w:rPr>
        <w:t>（2）泵类产品的制造标准</w:t>
      </w:r>
    </w:p>
    <w:tbl>
      <w:tblPr>
        <w:tblStyle w:val="25"/>
        <w:tblW w:w="8545"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854"/>
        <w:gridCol w:w="5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5" w:hRule="exact"/>
        </w:trPr>
        <w:tc>
          <w:tcPr>
            <w:tcW w:w="2854" w:type="dxa"/>
          </w:tcPr>
          <w:p>
            <w:pPr>
              <w:pStyle w:val="27"/>
              <w:spacing w:before="122"/>
              <w:ind w:left="18"/>
              <w:jc w:val="center"/>
              <w:rPr>
                <w:rFonts w:ascii="宋体" w:hAnsi="宋体" w:eastAsia="宋体" w:cs="宋体"/>
                <w:color w:val="auto"/>
                <w:sz w:val="21"/>
                <w:szCs w:val="21"/>
              </w:rPr>
            </w:pPr>
            <w:r>
              <w:rPr>
                <w:rFonts w:ascii="宋体" w:hAnsi="宋体" w:eastAsia="宋体" w:cs="宋体"/>
                <w:b/>
                <w:bCs/>
                <w:color w:val="auto"/>
                <w:sz w:val="21"/>
                <w:szCs w:val="21"/>
              </w:rPr>
              <w:t>标准号</w:t>
            </w:r>
          </w:p>
        </w:tc>
        <w:tc>
          <w:tcPr>
            <w:tcW w:w="5691" w:type="dxa"/>
          </w:tcPr>
          <w:p>
            <w:pPr>
              <w:pStyle w:val="27"/>
              <w:spacing w:before="122"/>
              <w:ind w:right="4"/>
              <w:jc w:val="center"/>
              <w:rPr>
                <w:rFonts w:ascii="宋体" w:hAnsi="宋体" w:eastAsia="宋体" w:cs="宋体"/>
                <w:color w:val="auto"/>
                <w:sz w:val="21"/>
                <w:szCs w:val="21"/>
              </w:rPr>
            </w:pPr>
            <w:r>
              <w:rPr>
                <w:rFonts w:ascii="宋体" w:hAnsi="宋体" w:eastAsia="宋体" w:cs="宋体"/>
                <w:b/>
                <w:bCs/>
                <w:color w:val="auto"/>
                <w:sz w:val="21"/>
                <w:szCs w:val="21"/>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JB/T5294-1991</w:t>
            </w:r>
          </w:p>
        </w:tc>
        <w:tc>
          <w:tcPr>
            <w:tcW w:w="5691" w:type="dxa"/>
          </w:tcPr>
          <w:p>
            <w:pPr>
              <w:pStyle w:val="27"/>
              <w:spacing w:before="122"/>
              <w:ind w:right="3"/>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单级单吸清水离心泵型式与基本参数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JB/T2727-1993</w:t>
            </w:r>
          </w:p>
        </w:tc>
        <w:tc>
          <w:tcPr>
            <w:tcW w:w="5691" w:type="dxa"/>
          </w:tcPr>
          <w:p>
            <w:pPr>
              <w:pStyle w:val="27"/>
              <w:spacing w:before="122"/>
              <w:ind w:right="3"/>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立式多级筒型离心泵型式与基本参数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JB/T6534-1992</w:t>
            </w:r>
          </w:p>
        </w:tc>
        <w:tc>
          <w:tcPr>
            <w:tcW w:w="5691" w:type="dxa"/>
          </w:tcPr>
          <w:p>
            <w:pPr>
              <w:pStyle w:val="27"/>
              <w:spacing w:before="122"/>
              <w:ind w:right="5"/>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离心污水泵型式与基本参数、技术条件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JB/T6878.-1993</w:t>
            </w:r>
          </w:p>
        </w:tc>
        <w:tc>
          <w:tcPr>
            <w:tcW w:w="5691" w:type="dxa"/>
          </w:tcPr>
          <w:p>
            <w:pPr>
              <w:pStyle w:val="27"/>
              <w:spacing w:before="122"/>
              <w:ind w:right="3"/>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管道式离心泵型式与参数、技术条件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JB/T6864-1993</w:t>
            </w:r>
          </w:p>
        </w:tc>
        <w:tc>
          <w:tcPr>
            <w:tcW w:w="5691" w:type="dxa"/>
          </w:tcPr>
          <w:p>
            <w:pPr>
              <w:pStyle w:val="27"/>
              <w:spacing w:before="122"/>
              <w:ind w:right="5"/>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液下式离心泵型式与基本参数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JB/T7256-1999</w:t>
            </w:r>
          </w:p>
        </w:tc>
        <w:tc>
          <w:tcPr>
            <w:tcW w:w="5691" w:type="dxa"/>
          </w:tcPr>
          <w:p>
            <w:pPr>
              <w:pStyle w:val="27"/>
              <w:spacing w:before="122"/>
              <w:ind w:right="5"/>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自吸式离心泵型式与基本参数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JB/T8857-2000</w:t>
            </w:r>
          </w:p>
        </w:tc>
        <w:tc>
          <w:tcPr>
            <w:tcW w:w="5691" w:type="dxa"/>
          </w:tcPr>
          <w:p>
            <w:pPr>
              <w:pStyle w:val="27"/>
              <w:spacing w:before="122"/>
              <w:ind w:right="5"/>
              <w:jc w:val="center"/>
              <w:rPr>
                <w:rFonts w:ascii="宋体" w:hAnsi="宋体" w:eastAsia="宋体" w:cs="宋体"/>
                <w:color w:val="auto"/>
                <w:sz w:val="21"/>
                <w:szCs w:val="21"/>
              </w:rPr>
            </w:pPr>
            <w:r>
              <w:rPr>
                <w:rFonts w:ascii="宋体" w:hAnsi="宋体" w:eastAsia="宋体" w:cs="宋体"/>
                <w:color w:val="auto"/>
                <w:sz w:val="21"/>
                <w:szCs w:val="21"/>
              </w:rPr>
              <w:t>离心潜污泵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CJ/T3038-1995</w:t>
            </w:r>
          </w:p>
        </w:tc>
        <w:tc>
          <w:tcPr>
            <w:tcW w:w="5691" w:type="dxa"/>
          </w:tcPr>
          <w:p>
            <w:pPr>
              <w:pStyle w:val="27"/>
              <w:spacing w:before="122"/>
              <w:ind w:right="5"/>
              <w:jc w:val="center"/>
              <w:rPr>
                <w:rFonts w:ascii="宋体" w:hAnsi="宋体" w:eastAsia="宋体" w:cs="宋体"/>
                <w:color w:val="auto"/>
                <w:sz w:val="21"/>
                <w:szCs w:val="21"/>
              </w:rPr>
            </w:pPr>
            <w:r>
              <w:rPr>
                <w:rFonts w:ascii="宋体" w:hAnsi="宋体" w:eastAsia="宋体" w:cs="宋体"/>
                <w:color w:val="auto"/>
                <w:sz w:val="21"/>
                <w:szCs w:val="21"/>
              </w:rPr>
              <w:t>潜水排污泵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GB/T7782-1996</w:t>
            </w:r>
          </w:p>
        </w:tc>
        <w:tc>
          <w:tcPr>
            <w:tcW w:w="5691" w:type="dxa"/>
          </w:tcPr>
          <w:p>
            <w:pPr>
              <w:pStyle w:val="27"/>
              <w:spacing w:before="122"/>
              <w:ind w:right="4"/>
              <w:jc w:val="center"/>
              <w:rPr>
                <w:rFonts w:ascii="宋体" w:hAnsi="宋体" w:eastAsia="宋体" w:cs="宋体"/>
                <w:color w:val="auto"/>
                <w:sz w:val="21"/>
                <w:szCs w:val="21"/>
              </w:rPr>
            </w:pPr>
            <w:r>
              <w:rPr>
                <w:rFonts w:ascii="宋体" w:hAnsi="宋体" w:eastAsia="宋体" w:cs="宋体"/>
                <w:color w:val="auto"/>
                <w:sz w:val="21"/>
                <w:szCs w:val="21"/>
              </w:rPr>
              <w:t>计量泵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JB/T5412-1991</w:t>
            </w:r>
          </w:p>
        </w:tc>
        <w:tc>
          <w:tcPr>
            <w:tcW w:w="5691" w:type="dxa"/>
          </w:tcPr>
          <w:p>
            <w:pPr>
              <w:pStyle w:val="27"/>
              <w:spacing w:before="122"/>
              <w:ind w:right="4"/>
              <w:jc w:val="center"/>
              <w:rPr>
                <w:rFonts w:ascii="宋体" w:hAnsi="宋体" w:eastAsia="宋体" w:cs="宋体"/>
                <w:color w:val="auto"/>
                <w:sz w:val="21"/>
                <w:szCs w:val="21"/>
              </w:rPr>
            </w:pPr>
            <w:r>
              <w:rPr>
                <w:rFonts w:ascii="宋体" w:hAnsi="宋体" w:eastAsia="宋体" w:cs="宋体"/>
                <w:color w:val="auto"/>
                <w:sz w:val="21"/>
                <w:szCs w:val="21"/>
              </w:rPr>
              <w:t>隔膜泵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GB/T13008-1991</w:t>
            </w:r>
          </w:p>
        </w:tc>
        <w:tc>
          <w:tcPr>
            <w:tcW w:w="5691" w:type="dxa"/>
          </w:tcPr>
          <w:p>
            <w:pPr>
              <w:pStyle w:val="27"/>
              <w:spacing w:before="122"/>
              <w:ind w:right="3"/>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混流泵、轴流泵技术条件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JB/T7743-1995</w:t>
            </w:r>
          </w:p>
        </w:tc>
        <w:tc>
          <w:tcPr>
            <w:tcW w:w="5691" w:type="dxa"/>
          </w:tcPr>
          <w:p>
            <w:pPr>
              <w:pStyle w:val="27"/>
              <w:spacing w:before="122"/>
              <w:ind w:right="4"/>
              <w:jc w:val="center"/>
              <w:rPr>
                <w:rFonts w:ascii="宋体" w:hAnsi="宋体" w:eastAsia="宋体" w:cs="宋体"/>
                <w:color w:val="auto"/>
                <w:sz w:val="21"/>
                <w:szCs w:val="21"/>
              </w:rPr>
            </w:pPr>
            <w:r>
              <w:rPr>
                <w:rFonts w:ascii="宋体" w:hAnsi="宋体" w:eastAsia="宋体" w:cs="宋体"/>
                <w:color w:val="auto"/>
                <w:sz w:val="21"/>
                <w:szCs w:val="21"/>
              </w:rPr>
              <w:t>旋涡泵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JB/T10179-2000</w:t>
            </w:r>
          </w:p>
        </w:tc>
        <w:tc>
          <w:tcPr>
            <w:tcW w:w="5691" w:type="dxa"/>
          </w:tcPr>
          <w:p>
            <w:pPr>
              <w:pStyle w:val="27"/>
              <w:spacing w:before="122"/>
              <w:ind w:right="3"/>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混流式、轴流式潜污泵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CJ/T3060-1996</w:t>
            </w:r>
          </w:p>
        </w:tc>
        <w:tc>
          <w:tcPr>
            <w:tcW w:w="5691" w:type="dxa"/>
          </w:tcPr>
          <w:p>
            <w:pPr>
              <w:pStyle w:val="27"/>
              <w:spacing w:before="122"/>
              <w:ind w:right="5"/>
              <w:jc w:val="center"/>
              <w:rPr>
                <w:rFonts w:ascii="宋体" w:hAnsi="宋体" w:eastAsia="宋体" w:cs="宋体"/>
                <w:color w:val="auto"/>
                <w:sz w:val="21"/>
                <w:szCs w:val="21"/>
              </w:rPr>
            </w:pPr>
            <w:r>
              <w:rPr>
                <w:rFonts w:ascii="宋体" w:hAnsi="宋体" w:eastAsia="宋体" w:cs="宋体"/>
                <w:color w:val="auto"/>
                <w:sz w:val="21"/>
                <w:szCs w:val="21"/>
              </w:rPr>
              <w:t>潜水轴流泵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7"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JB/T8644-1997</w:t>
            </w:r>
          </w:p>
        </w:tc>
        <w:tc>
          <w:tcPr>
            <w:tcW w:w="5691" w:type="dxa"/>
          </w:tcPr>
          <w:p>
            <w:pPr>
              <w:pStyle w:val="27"/>
              <w:spacing w:before="122"/>
              <w:ind w:right="5"/>
              <w:jc w:val="center"/>
              <w:rPr>
                <w:rFonts w:ascii="宋体" w:hAnsi="宋体" w:eastAsia="宋体" w:cs="宋体"/>
                <w:color w:val="auto"/>
                <w:sz w:val="21"/>
                <w:szCs w:val="21"/>
              </w:rPr>
            </w:pPr>
            <w:r>
              <w:rPr>
                <w:rFonts w:ascii="宋体" w:hAnsi="宋体" w:eastAsia="宋体" w:cs="宋体"/>
                <w:color w:val="auto"/>
                <w:sz w:val="21"/>
                <w:szCs w:val="21"/>
              </w:rPr>
              <w:t>单螺杆泵</w:t>
            </w:r>
          </w:p>
        </w:tc>
      </w:tr>
    </w:tbl>
    <w:p>
      <w:pPr>
        <w:pStyle w:val="29"/>
        <w:spacing w:before="120" w:beforeLines="50"/>
        <w:ind w:firstLine="197" w:firstLineChars="83"/>
        <w:rPr>
          <w:color w:val="auto"/>
          <w:spacing w:val="-1"/>
        </w:rPr>
      </w:pPr>
      <w:r>
        <w:rPr>
          <w:color w:val="auto"/>
          <w:spacing w:val="-1"/>
        </w:rPr>
        <w:t>（3）泵类产品的试验和检验标准</w:t>
      </w:r>
    </w:p>
    <w:tbl>
      <w:tblPr>
        <w:tblStyle w:val="25"/>
        <w:tblW w:w="854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854"/>
        <w:gridCol w:w="5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5" w:hRule="exact"/>
        </w:trPr>
        <w:tc>
          <w:tcPr>
            <w:tcW w:w="2854" w:type="dxa"/>
          </w:tcPr>
          <w:p>
            <w:pPr>
              <w:pStyle w:val="27"/>
              <w:spacing w:before="122"/>
              <w:ind w:left="18"/>
              <w:jc w:val="center"/>
              <w:rPr>
                <w:rFonts w:ascii="宋体" w:hAnsi="宋体" w:eastAsia="宋体" w:cs="宋体"/>
                <w:color w:val="auto"/>
                <w:sz w:val="21"/>
                <w:szCs w:val="21"/>
              </w:rPr>
            </w:pPr>
            <w:r>
              <w:rPr>
                <w:rFonts w:ascii="宋体" w:hAnsi="宋体" w:eastAsia="宋体" w:cs="宋体"/>
                <w:b/>
                <w:bCs/>
                <w:color w:val="auto"/>
                <w:sz w:val="21"/>
                <w:szCs w:val="21"/>
              </w:rPr>
              <w:t>标准号</w:t>
            </w:r>
          </w:p>
        </w:tc>
        <w:tc>
          <w:tcPr>
            <w:tcW w:w="5691" w:type="dxa"/>
          </w:tcPr>
          <w:p>
            <w:pPr>
              <w:pStyle w:val="27"/>
              <w:spacing w:before="122"/>
              <w:ind w:right="4"/>
              <w:jc w:val="center"/>
              <w:rPr>
                <w:rFonts w:ascii="宋体" w:hAnsi="宋体" w:eastAsia="宋体" w:cs="宋体"/>
                <w:color w:val="auto"/>
                <w:sz w:val="21"/>
                <w:szCs w:val="21"/>
              </w:rPr>
            </w:pPr>
            <w:r>
              <w:rPr>
                <w:rFonts w:ascii="宋体" w:hAnsi="宋体" w:eastAsia="宋体" w:cs="宋体"/>
                <w:b/>
                <w:bCs/>
                <w:color w:val="auto"/>
                <w:sz w:val="21"/>
                <w:szCs w:val="21"/>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GB/T5656-1994</w:t>
            </w:r>
          </w:p>
        </w:tc>
        <w:tc>
          <w:tcPr>
            <w:tcW w:w="5691" w:type="dxa"/>
          </w:tcPr>
          <w:p>
            <w:pPr>
              <w:pStyle w:val="27"/>
              <w:spacing w:before="122"/>
              <w:ind w:right="5"/>
              <w:jc w:val="center"/>
              <w:rPr>
                <w:rFonts w:ascii="宋体" w:hAnsi="宋体" w:eastAsia="宋体" w:cs="宋体"/>
                <w:color w:val="auto"/>
                <w:sz w:val="21"/>
                <w:szCs w:val="21"/>
              </w:rPr>
            </w:pPr>
            <w:r>
              <w:rPr>
                <w:rFonts w:ascii="宋体" w:hAnsi="宋体" w:eastAsia="宋体" w:cs="宋体"/>
                <w:color w:val="auto"/>
                <w:sz w:val="21"/>
                <w:szCs w:val="21"/>
              </w:rPr>
              <w:t>离心泵技术条件Ⅱ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GB/T5657-1994</w:t>
            </w:r>
          </w:p>
        </w:tc>
        <w:tc>
          <w:tcPr>
            <w:tcW w:w="5691" w:type="dxa"/>
          </w:tcPr>
          <w:p>
            <w:pPr>
              <w:pStyle w:val="27"/>
              <w:spacing w:before="122"/>
              <w:ind w:right="5"/>
              <w:jc w:val="center"/>
              <w:rPr>
                <w:rFonts w:ascii="宋体" w:hAnsi="宋体" w:eastAsia="宋体" w:cs="宋体"/>
                <w:color w:val="auto"/>
                <w:sz w:val="21"/>
                <w:szCs w:val="21"/>
              </w:rPr>
            </w:pPr>
            <w:r>
              <w:rPr>
                <w:rFonts w:ascii="宋体" w:hAnsi="宋体" w:eastAsia="宋体" w:cs="宋体"/>
                <w:color w:val="auto"/>
                <w:sz w:val="21"/>
                <w:szCs w:val="21"/>
              </w:rPr>
              <w:t>离心泵技术条件Ⅲ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5"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GB/T7021-1986</w:t>
            </w:r>
          </w:p>
        </w:tc>
        <w:tc>
          <w:tcPr>
            <w:tcW w:w="5691" w:type="dxa"/>
          </w:tcPr>
          <w:p>
            <w:pPr>
              <w:pStyle w:val="27"/>
              <w:spacing w:before="122"/>
              <w:ind w:right="2"/>
              <w:jc w:val="center"/>
              <w:rPr>
                <w:rFonts w:ascii="宋体" w:hAnsi="宋体" w:eastAsia="宋体" w:cs="宋体"/>
                <w:color w:val="auto"/>
                <w:sz w:val="21"/>
                <w:szCs w:val="21"/>
              </w:rPr>
            </w:pPr>
            <w:r>
              <w:rPr>
                <w:rFonts w:ascii="宋体" w:hAnsi="宋体" w:eastAsia="宋体" w:cs="宋体"/>
                <w:color w:val="auto"/>
                <w:sz w:val="21"/>
                <w:szCs w:val="21"/>
              </w:rPr>
              <w:t>离心泵名词术语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5" w:hRule="exact"/>
        </w:trPr>
        <w:tc>
          <w:tcPr>
            <w:tcW w:w="2854" w:type="dxa"/>
          </w:tcPr>
          <w:p>
            <w:pPr>
              <w:pStyle w:val="27"/>
              <w:spacing w:before="122"/>
              <w:ind w:left="18"/>
              <w:jc w:val="center"/>
              <w:rPr>
                <w:rFonts w:ascii="宋体" w:hAnsi="宋体" w:eastAsia="宋体" w:cs="宋体"/>
                <w:color w:val="auto"/>
                <w:sz w:val="21"/>
                <w:szCs w:val="21"/>
              </w:rPr>
            </w:pPr>
            <w:r>
              <w:rPr>
                <w:rFonts w:ascii="宋体" w:hAnsi="宋体" w:eastAsia="宋体" w:cs="宋体"/>
                <w:b/>
                <w:bCs/>
                <w:color w:val="auto"/>
                <w:sz w:val="21"/>
                <w:szCs w:val="21"/>
              </w:rPr>
              <w:t>标准号</w:t>
            </w:r>
          </w:p>
        </w:tc>
        <w:tc>
          <w:tcPr>
            <w:tcW w:w="5691" w:type="dxa"/>
          </w:tcPr>
          <w:p>
            <w:pPr>
              <w:pStyle w:val="27"/>
              <w:spacing w:before="122"/>
              <w:ind w:right="4"/>
              <w:jc w:val="center"/>
              <w:rPr>
                <w:rFonts w:ascii="宋体" w:hAnsi="宋体" w:eastAsia="宋体" w:cs="宋体"/>
                <w:color w:val="auto"/>
                <w:sz w:val="21"/>
                <w:szCs w:val="21"/>
              </w:rPr>
            </w:pPr>
            <w:r>
              <w:rPr>
                <w:rFonts w:ascii="宋体" w:hAnsi="宋体" w:eastAsia="宋体" w:cs="宋体"/>
                <w:b/>
                <w:bCs/>
                <w:color w:val="auto"/>
                <w:sz w:val="21"/>
                <w:szCs w:val="21"/>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GB/T13006-1991</w:t>
            </w:r>
          </w:p>
        </w:tc>
        <w:tc>
          <w:tcPr>
            <w:tcW w:w="5691" w:type="dxa"/>
          </w:tcPr>
          <w:p>
            <w:pPr>
              <w:pStyle w:val="27"/>
              <w:spacing w:before="122"/>
              <w:ind w:right="3"/>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离心泵、混流泵、轴流泵汽蚀余量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GB/T13007-1991</w:t>
            </w:r>
          </w:p>
        </w:tc>
        <w:tc>
          <w:tcPr>
            <w:tcW w:w="5691" w:type="dxa"/>
          </w:tcPr>
          <w:p>
            <w:pPr>
              <w:pStyle w:val="27"/>
              <w:spacing w:before="122"/>
              <w:ind w:right="5"/>
              <w:jc w:val="center"/>
              <w:rPr>
                <w:rFonts w:ascii="宋体" w:hAnsi="宋体" w:eastAsia="宋体" w:cs="宋体"/>
                <w:color w:val="auto"/>
                <w:sz w:val="21"/>
                <w:szCs w:val="21"/>
              </w:rPr>
            </w:pPr>
            <w:r>
              <w:rPr>
                <w:rFonts w:ascii="宋体" w:hAnsi="宋体" w:eastAsia="宋体" w:cs="宋体"/>
                <w:color w:val="auto"/>
                <w:sz w:val="21"/>
                <w:szCs w:val="21"/>
              </w:rPr>
              <w:t>离心泵效率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GB/T18491-1991</w:t>
            </w:r>
          </w:p>
        </w:tc>
        <w:tc>
          <w:tcPr>
            <w:tcW w:w="5691" w:type="dxa"/>
          </w:tcPr>
          <w:p>
            <w:pPr>
              <w:pStyle w:val="27"/>
              <w:spacing w:before="122"/>
              <w:ind w:right="5"/>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离心泵、混流泵、轴流泵水力性能试验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GB/T16907-1991</w:t>
            </w:r>
          </w:p>
        </w:tc>
        <w:tc>
          <w:tcPr>
            <w:tcW w:w="5691" w:type="dxa"/>
          </w:tcPr>
          <w:p>
            <w:pPr>
              <w:pStyle w:val="27"/>
              <w:spacing w:before="122"/>
              <w:ind w:right="5"/>
              <w:jc w:val="center"/>
              <w:rPr>
                <w:rFonts w:ascii="宋体" w:hAnsi="宋体" w:eastAsia="宋体" w:cs="宋体"/>
                <w:color w:val="auto"/>
                <w:sz w:val="21"/>
                <w:szCs w:val="21"/>
              </w:rPr>
            </w:pPr>
            <w:r>
              <w:rPr>
                <w:rFonts w:ascii="宋体" w:hAnsi="宋体" w:eastAsia="宋体" w:cs="宋体"/>
                <w:color w:val="auto"/>
                <w:sz w:val="21"/>
                <w:szCs w:val="21"/>
              </w:rPr>
              <w:t>离心泵技术条件Ⅰ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GB/T3214-1991</w:t>
            </w:r>
          </w:p>
        </w:tc>
        <w:tc>
          <w:tcPr>
            <w:tcW w:w="5691" w:type="dxa"/>
          </w:tcPr>
          <w:p>
            <w:pPr>
              <w:pStyle w:val="27"/>
              <w:spacing w:before="122"/>
              <w:ind w:right="5"/>
              <w:jc w:val="center"/>
              <w:rPr>
                <w:rFonts w:ascii="宋体" w:hAnsi="宋体" w:eastAsia="宋体" w:cs="宋体"/>
                <w:color w:val="auto"/>
                <w:sz w:val="21"/>
                <w:szCs w:val="21"/>
              </w:rPr>
            </w:pPr>
            <w:r>
              <w:rPr>
                <w:rFonts w:ascii="宋体" w:hAnsi="宋体" w:eastAsia="宋体" w:cs="宋体"/>
                <w:color w:val="auto"/>
                <w:sz w:val="21"/>
                <w:szCs w:val="21"/>
              </w:rPr>
              <w:t>水泵流量测定方法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5" w:hRule="exact"/>
        </w:trPr>
        <w:tc>
          <w:tcPr>
            <w:tcW w:w="2854" w:type="dxa"/>
          </w:tcPr>
          <w:p>
            <w:pPr>
              <w:pStyle w:val="27"/>
              <w:spacing w:before="122"/>
              <w:ind w:left="23"/>
              <w:jc w:val="center"/>
              <w:rPr>
                <w:rFonts w:ascii="宋体" w:hAnsi="宋体" w:eastAsia="宋体" w:cs="宋体"/>
                <w:color w:val="auto"/>
                <w:sz w:val="21"/>
                <w:szCs w:val="21"/>
              </w:rPr>
            </w:pPr>
            <w:r>
              <w:rPr>
                <w:rFonts w:ascii="宋体"/>
                <w:color w:val="auto"/>
                <w:sz w:val="21"/>
              </w:rPr>
              <w:t>GB/T3216-1989</w:t>
            </w:r>
          </w:p>
        </w:tc>
        <w:tc>
          <w:tcPr>
            <w:tcW w:w="5691" w:type="dxa"/>
          </w:tcPr>
          <w:p>
            <w:pPr>
              <w:pStyle w:val="27"/>
              <w:spacing w:before="122"/>
              <w:ind w:right="3"/>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离心泵、混流泵、轴流泵、旋涡泵试验方法</w:t>
            </w:r>
          </w:p>
        </w:tc>
      </w:tr>
    </w:tbl>
    <w:p>
      <w:pPr>
        <w:pStyle w:val="29"/>
        <w:spacing w:before="120" w:beforeLines="50"/>
        <w:ind w:firstLine="197" w:firstLineChars="83"/>
        <w:rPr>
          <w:color w:val="auto"/>
          <w:spacing w:val="-1"/>
        </w:rPr>
      </w:pPr>
      <w:r>
        <w:rPr>
          <w:color w:val="auto"/>
          <w:spacing w:val="-1"/>
        </w:rPr>
        <w:t>3、通用泵类零部件材料泵的选材应按工程环境、使用场合（耐磨、耐蚀、耐汽蚀）、和工作介质等工艺条件合理选择。</w:t>
      </w:r>
    </w:p>
    <w:tbl>
      <w:tblPr>
        <w:tblStyle w:val="25"/>
        <w:tblW w:w="8545"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22"/>
        <w:gridCol w:w="6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5" w:hRule="exact"/>
        </w:trPr>
        <w:tc>
          <w:tcPr>
            <w:tcW w:w="2222" w:type="dxa"/>
          </w:tcPr>
          <w:p>
            <w:pPr>
              <w:pStyle w:val="27"/>
              <w:spacing w:before="122"/>
              <w:ind w:left="23"/>
              <w:jc w:val="center"/>
              <w:rPr>
                <w:rFonts w:ascii="宋体"/>
                <w:b/>
                <w:color w:val="auto"/>
                <w:sz w:val="21"/>
              </w:rPr>
            </w:pPr>
            <w:r>
              <w:rPr>
                <w:rFonts w:ascii="宋体"/>
                <w:b/>
                <w:color w:val="auto"/>
                <w:sz w:val="21"/>
              </w:rPr>
              <w:t>零部件名称</w:t>
            </w:r>
          </w:p>
        </w:tc>
        <w:tc>
          <w:tcPr>
            <w:tcW w:w="6323" w:type="dxa"/>
          </w:tcPr>
          <w:p>
            <w:pPr>
              <w:pStyle w:val="27"/>
              <w:spacing w:before="122"/>
              <w:ind w:left="23"/>
              <w:jc w:val="center"/>
              <w:rPr>
                <w:rFonts w:ascii="宋体"/>
                <w:b/>
                <w:color w:val="auto"/>
                <w:sz w:val="21"/>
              </w:rPr>
            </w:pPr>
            <w:r>
              <w:rPr>
                <w:rFonts w:ascii="宋体"/>
                <w:b/>
                <w:color w:val="auto"/>
                <w:sz w:val="21"/>
              </w:rPr>
              <w:t>材料类型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222" w:type="dxa"/>
          </w:tcPr>
          <w:p>
            <w:pPr>
              <w:pStyle w:val="27"/>
              <w:spacing w:before="122"/>
              <w:ind w:left="23"/>
              <w:jc w:val="center"/>
              <w:rPr>
                <w:rFonts w:ascii="宋体"/>
                <w:color w:val="auto"/>
                <w:sz w:val="21"/>
              </w:rPr>
            </w:pPr>
            <w:r>
              <w:rPr>
                <w:rFonts w:ascii="宋体"/>
                <w:color w:val="auto"/>
                <w:sz w:val="21"/>
              </w:rPr>
              <w:t>泵壳</w:t>
            </w:r>
          </w:p>
        </w:tc>
        <w:tc>
          <w:tcPr>
            <w:tcW w:w="6323" w:type="dxa"/>
          </w:tcPr>
          <w:p>
            <w:pPr>
              <w:pStyle w:val="27"/>
              <w:spacing w:before="122"/>
              <w:ind w:left="23"/>
              <w:jc w:val="center"/>
              <w:rPr>
                <w:rFonts w:ascii="宋体"/>
                <w:color w:val="auto"/>
                <w:sz w:val="21"/>
              </w:rPr>
            </w:pPr>
            <w:r>
              <w:rPr>
                <w:rFonts w:ascii="宋体"/>
                <w:color w:val="auto"/>
                <w:sz w:val="21"/>
              </w:rPr>
              <w:t>铸铁、铸钢、不锈钢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exact"/>
        </w:trPr>
        <w:tc>
          <w:tcPr>
            <w:tcW w:w="2222" w:type="dxa"/>
          </w:tcPr>
          <w:p>
            <w:pPr>
              <w:pStyle w:val="27"/>
              <w:spacing w:before="122"/>
              <w:ind w:left="23"/>
              <w:jc w:val="center"/>
              <w:rPr>
                <w:rFonts w:ascii="宋体"/>
                <w:color w:val="auto"/>
                <w:sz w:val="21"/>
              </w:rPr>
            </w:pPr>
            <w:r>
              <w:rPr>
                <w:rFonts w:ascii="宋体"/>
                <w:color w:val="auto"/>
                <w:sz w:val="21"/>
              </w:rPr>
              <w:t>叶轮</w:t>
            </w:r>
          </w:p>
        </w:tc>
        <w:tc>
          <w:tcPr>
            <w:tcW w:w="6323" w:type="dxa"/>
          </w:tcPr>
          <w:p>
            <w:pPr>
              <w:pStyle w:val="27"/>
              <w:spacing w:before="122"/>
              <w:ind w:left="23"/>
              <w:jc w:val="center"/>
              <w:rPr>
                <w:rFonts w:ascii="宋体"/>
                <w:color w:val="auto"/>
                <w:sz w:val="21"/>
                <w:lang w:eastAsia="zh-CN"/>
              </w:rPr>
            </w:pPr>
            <w:r>
              <w:rPr>
                <w:rFonts w:ascii="宋体"/>
                <w:color w:val="auto"/>
                <w:sz w:val="21"/>
                <w:lang w:eastAsia="zh-CN"/>
              </w:rPr>
              <w:t>铸铁、铸钢、铜合金、Monel合金、不锈钢、铸造不锈钢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222" w:type="dxa"/>
          </w:tcPr>
          <w:p>
            <w:pPr>
              <w:pStyle w:val="27"/>
              <w:spacing w:before="122"/>
              <w:ind w:left="23"/>
              <w:jc w:val="center"/>
              <w:rPr>
                <w:rFonts w:ascii="宋体"/>
                <w:color w:val="auto"/>
                <w:sz w:val="21"/>
              </w:rPr>
            </w:pPr>
            <w:r>
              <w:rPr>
                <w:rFonts w:ascii="宋体"/>
                <w:color w:val="auto"/>
                <w:sz w:val="21"/>
              </w:rPr>
              <w:t>泵体密封环</w:t>
            </w:r>
          </w:p>
        </w:tc>
        <w:tc>
          <w:tcPr>
            <w:tcW w:w="6323" w:type="dxa"/>
          </w:tcPr>
          <w:p>
            <w:pPr>
              <w:pStyle w:val="27"/>
              <w:spacing w:before="122"/>
              <w:ind w:left="23"/>
              <w:jc w:val="center"/>
              <w:rPr>
                <w:rFonts w:ascii="宋体"/>
                <w:color w:val="auto"/>
                <w:sz w:val="21"/>
              </w:rPr>
            </w:pPr>
            <w:r>
              <w:rPr>
                <w:rFonts w:ascii="宋体"/>
                <w:color w:val="auto"/>
                <w:sz w:val="21"/>
              </w:rPr>
              <w:t>铸铁、不锈钢、Ni-Resist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222" w:type="dxa"/>
          </w:tcPr>
          <w:p>
            <w:pPr>
              <w:pStyle w:val="27"/>
              <w:spacing w:before="122"/>
              <w:ind w:left="23"/>
              <w:jc w:val="center"/>
              <w:rPr>
                <w:rFonts w:ascii="宋体"/>
                <w:color w:val="auto"/>
                <w:sz w:val="21"/>
              </w:rPr>
            </w:pPr>
            <w:r>
              <w:rPr>
                <w:rFonts w:ascii="宋体"/>
                <w:color w:val="auto"/>
                <w:sz w:val="21"/>
              </w:rPr>
              <w:t>叶轮密封环</w:t>
            </w:r>
          </w:p>
        </w:tc>
        <w:tc>
          <w:tcPr>
            <w:tcW w:w="6323" w:type="dxa"/>
          </w:tcPr>
          <w:p>
            <w:pPr>
              <w:pStyle w:val="27"/>
              <w:spacing w:before="122"/>
              <w:ind w:left="23"/>
              <w:jc w:val="center"/>
              <w:rPr>
                <w:rFonts w:ascii="宋体"/>
                <w:color w:val="auto"/>
                <w:sz w:val="21"/>
              </w:rPr>
            </w:pPr>
            <w:r>
              <w:rPr>
                <w:rFonts w:ascii="宋体"/>
                <w:color w:val="auto"/>
                <w:sz w:val="21"/>
              </w:rPr>
              <w:t>铸铁、不锈钢、Ni-Resist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222" w:type="dxa"/>
          </w:tcPr>
          <w:p>
            <w:pPr>
              <w:pStyle w:val="27"/>
              <w:spacing w:before="122"/>
              <w:ind w:left="23"/>
              <w:jc w:val="center"/>
              <w:rPr>
                <w:rFonts w:ascii="宋体"/>
                <w:color w:val="auto"/>
                <w:sz w:val="21"/>
              </w:rPr>
            </w:pPr>
            <w:r>
              <w:rPr>
                <w:rFonts w:ascii="宋体"/>
                <w:color w:val="auto"/>
                <w:sz w:val="21"/>
              </w:rPr>
              <w:t>轴</w:t>
            </w:r>
          </w:p>
        </w:tc>
        <w:tc>
          <w:tcPr>
            <w:tcW w:w="6323" w:type="dxa"/>
          </w:tcPr>
          <w:p>
            <w:pPr>
              <w:pStyle w:val="27"/>
              <w:spacing w:before="122"/>
              <w:ind w:left="23"/>
              <w:jc w:val="center"/>
              <w:rPr>
                <w:rFonts w:ascii="宋体"/>
                <w:color w:val="auto"/>
                <w:sz w:val="21"/>
                <w:lang w:eastAsia="zh-CN"/>
              </w:rPr>
            </w:pPr>
            <w:r>
              <w:rPr>
                <w:rFonts w:ascii="宋体"/>
                <w:color w:val="auto"/>
                <w:sz w:val="21"/>
                <w:lang w:eastAsia="zh-CN"/>
              </w:rPr>
              <w:t>碳钢、合金钢、不锈钢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exact"/>
        </w:trPr>
        <w:tc>
          <w:tcPr>
            <w:tcW w:w="2222" w:type="dxa"/>
          </w:tcPr>
          <w:p>
            <w:pPr>
              <w:pStyle w:val="27"/>
              <w:spacing w:before="122"/>
              <w:ind w:left="23"/>
              <w:jc w:val="center"/>
              <w:rPr>
                <w:rFonts w:ascii="宋体"/>
                <w:color w:val="auto"/>
                <w:sz w:val="21"/>
              </w:rPr>
            </w:pPr>
            <w:r>
              <w:rPr>
                <w:rFonts w:ascii="宋体"/>
                <w:color w:val="auto"/>
                <w:sz w:val="21"/>
              </w:rPr>
              <w:t>轴套</w:t>
            </w:r>
          </w:p>
        </w:tc>
        <w:tc>
          <w:tcPr>
            <w:tcW w:w="6323" w:type="dxa"/>
          </w:tcPr>
          <w:p>
            <w:pPr>
              <w:pStyle w:val="27"/>
              <w:spacing w:before="122"/>
              <w:ind w:left="23"/>
              <w:jc w:val="center"/>
              <w:rPr>
                <w:rFonts w:ascii="宋体"/>
                <w:color w:val="auto"/>
                <w:sz w:val="21"/>
              </w:rPr>
            </w:pPr>
            <w:r>
              <w:rPr>
                <w:rFonts w:ascii="宋体"/>
                <w:color w:val="auto"/>
                <w:sz w:val="21"/>
              </w:rPr>
              <w:t>不锈钢、铜合金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222" w:type="dxa"/>
          </w:tcPr>
          <w:p>
            <w:pPr>
              <w:pStyle w:val="27"/>
              <w:spacing w:before="122"/>
              <w:ind w:left="23"/>
              <w:jc w:val="center"/>
              <w:rPr>
                <w:rFonts w:ascii="宋体"/>
                <w:color w:val="auto"/>
                <w:sz w:val="21"/>
              </w:rPr>
            </w:pPr>
            <w:r>
              <w:rPr>
                <w:rFonts w:ascii="宋体"/>
                <w:color w:val="auto"/>
                <w:sz w:val="21"/>
              </w:rPr>
              <w:t>机械密封</w:t>
            </w:r>
          </w:p>
        </w:tc>
        <w:tc>
          <w:tcPr>
            <w:tcW w:w="6323" w:type="dxa"/>
          </w:tcPr>
          <w:p>
            <w:pPr>
              <w:pStyle w:val="27"/>
              <w:spacing w:before="122"/>
              <w:ind w:left="23"/>
              <w:jc w:val="center"/>
              <w:rPr>
                <w:rFonts w:ascii="宋体"/>
                <w:color w:val="auto"/>
                <w:sz w:val="21"/>
                <w:lang w:eastAsia="zh-CN"/>
              </w:rPr>
            </w:pPr>
            <w:r>
              <w:rPr>
                <w:rFonts w:ascii="宋体"/>
                <w:color w:val="auto"/>
                <w:sz w:val="21"/>
                <w:lang w:eastAsia="zh-CN"/>
              </w:rPr>
              <w:t>铬钢、石墨、陶瓷、碳化硅、碳化钨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8" w:hRule="exact"/>
        </w:trPr>
        <w:tc>
          <w:tcPr>
            <w:tcW w:w="2222" w:type="dxa"/>
          </w:tcPr>
          <w:p>
            <w:pPr>
              <w:pStyle w:val="27"/>
              <w:spacing w:before="122"/>
              <w:ind w:left="23"/>
              <w:jc w:val="center"/>
              <w:rPr>
                <w:rFonts w:ascii="宋体"/>
                <w:color w:val="auto"/>
                <w:sz w:val="21"/>
              </w:rPr>
            </w:pPr>
            <w:r>
              <w:rPr>
                <w:rFonts w:ascii="宋体"/>
                <w:color w:val="auto"/>
                <w:sz w:val="21"/>
              </w:rPr>
              <w:t>螺栓等紧固件</w:t>
            </w:r>
          </w:p>
        </w:tc>
        <w:tc>
          <w:tcPr>
            <w:tcW w:w="6323" w:type="dxa"/>
          </w:tcPr>
          <w:p>
            <w:pPr>
              <w:pStyle w:val="27"/>
              <w:spacing w:before="122"/>
              <w:ind w:left="23"/>
              <w:jc w:val="center"/>
              <w:rPr>
                <w:rFonts w:ascii="宋体"/>
                <w:color w:val="auto"/>
                <w:sz w:val="21"/>
                <w:lang w:eastAsia="zh-CN"/>
              </w:rPr>
            </w:pPr>
            <w:r>
              <w:rPr>
                <w:rFonts w:ascii="宋体"/>
                <w:color w:val="auto"/>
                <w:sz w:val="21"/>
                <w:lang w:eastAsia="zh-CN"/>
              </w:rPr>
              <w:t>碳钢、合金钢、不锈钢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5" w:hRule="exact"/>
        </w:trPr>
        <w:tc>
          <w:tcPr>
            <w:tcW w:w="2222" w:type="dxa"/>
          </w:tcPr>
          <w:p>
            <w:pPr>
              <w:pStyle w:val="27"/>
              <w:spacing w:before="122"/>
              <w:ind w:left="23"/>
              <w:jc w:val="center"/>
              <w:rPr>
                <w:rFonts w:ascii="宋体"/>
                <w:color w:val="auto"/>
                <w:sz w:val="21"/>
              </w:rPr>
            </w:pPr>
            <w:r>
              <w:rPr>
                <w:rFonts w:ascii="宋体"/>
                <w:color w:val="auto"/>
                <w:sz w:val="21"/>
              </w:rPr>
              <w:t>基座</w:t>
            </w:r>
          </w:p>
        </w:tc>
        <w:tc>
          <w:tcPr>
            <w:tcW w:w="6323" w:type="dxa"/>
          </w:tcPr>
          <w:p>
            <w:pPr>
              <w:pStyle w:val="27"/>
              <w:spacing w:before="122"/>
              <w:ind w:left="23"/>
              <w:jc w:val="center"/>
              <w:rPr>
                <w:rFonts w:ascii="宋体"/>
                <w:color w:val="auto"/>
                <w:sz w:val="21"/>
              </w:rPr>
            </w:pPr>
            <w:r>
              <w:rPr>
                <w:rFonts w:ascii="宋体"/>
                <w:color w:val="auto"/>
                <w:sz w:val="21"/>
              </w:rPr>
              <w:t>铸铁、碳钢</w:t>
            </w:r>
          </w:p>
        </w:tc>
      </w:tr>
    </w:tbl>
    <w:p>
      <w:pPr>
        <w:pStyle w:val="29"/>
        <w:ind w:firstLine="472"/>
        <w:rPr>
          <w:color w:val="auto"/>
        </w:rPr>
      </w:pPr>
    </w:p>
    <w:p>
      <w:pPr>
        <w:pStyle w:val="30"/>
        <w:spacing w:before="120" w:after="120"/>
        <w:rPr>
          <w:b w:val="0"/>
          <w:bCs/>
          <w:color w:val="auto"/>
        </w:rPr>
      </w:pPr>
      <w:bookmarkStart w:id="32" w:name="_Toc117181341"/>
      <w:r>
        <w:rPr>
          <w:color w:val="auto"/>
        </w:rPr>
        <w:t>阀类</w:t>
      </w:r>
      <w:bookmarkEnd w:id="32"/>
    </w:p>
    <w:p>
      <w:pPr>
        <w:pStyle w:val="29"/>
        <w:ind w:firstLine="478"/>
        <w:rPr>
          <w:color w:val="auto"/>
          <w:spacing w:val="-1"/>
        </w:rPr>
      </w:pPr>
      <w:r>
        <w:rPr>
          <w:color w:val="auto"/>
          <w:spacing w:val="-1"/>
        </w:rPr>
        <w:t>提供的所有阀门应是同类型中质量最好的，并应由认可的制造商提供。并应能适应其输送的液体及空气以及最大的工作压力和温度。</w:t>
      </w:r>
    </w:p>
    <w:p>
      <w:pPr>
        <w:pStyle w:val="29"/>
        <w:ind w:firstLine="478"/>
        <w:rPr>
          <w:color w:val="auto"/>
          <w:spacing w:val="-1"/>
        </w:rPr>
      </w:pPr>
      <w:r>
        <w:rPr>
          <w:color w:val="auto"/>
          <w:spacing w:val="-1"/>
        </w:rPr>
        <w:t>1.闸阀闸阀应为铸铁阀体的双法兰阀门，并用锰黄铜作密封面，填料函、轴、螺母和轴衬均应采用有色金属制成。除非另有规定。闸阀应按中国标准GB12233-2008或相当的国际标准制造。阀门应具有带外螺纹的升杆式轴，按顺时针方向转动为关闭。除小口径之外，采用暗杆式闸阀，必须经业主批准。</w:t>
      </w:r>
    </w:p>
    <w:p>
      <w:pPr>
        <w:pStyle w:val="29"/>
        <w:ind w:firstLine="478"/>
        <w:rPr>
          <w:color w:val="auto"/>
          <w:spacing w:val="-1"/>
        </w:rPr>
      </w:pPr>
      <w:r>
        <w:rPr>
          <w:color w:val="auto"/>
          <w:spacing w:val="-1"/>
        </w:rPr>
        <w:t>对于轴不接长的，用钥匙头操作的阀门，必须附带提供接杆式钥匙头，除非另有规定。</w:t>
      </w:r>
    </w:p>
    <w:p>
      <w:pPr>
        <w:pStyle w:val="29"/>
        <w:ind w:firstLine="478"/>
        <w:rPr>
          <w:color w:val="auto"/>
          <w:spacing w:val="-1"/>
        </w:rPr>
      </w:pPr>
      <w:r>
        <w:rPr>
          <w:color w:val="auto"/>
          <w:spacing w:val="-1"/>
        </w:rPr>
        <w:t>所有闸阀在最大的压差下，从关闭到开启的手轮操作力不得大于13公斤（“推－拉力”总共为26公斤），如果需要的话，可提供齿轮箱减速。</w:t>
      </w:r>
    </w:p>
    <w:p>
      <w:pPr>
        <w:pStyle w:val="29"/>
        <w:ind w:firstLine="478"/>
        <w:rPr>
          <w:color w:val="auto"/>
          <w:spacing w:val="-1"/>
        </w:rPr>
      </w:pPr>
      <w:r>
        <w:rPr>
          <w:color w:val="auto"/>
          <w:spacing w:val="-1"/>
        </w:rPr>
        <w:t>2、止回阀</w:t>
      </w:r>
    </w:p>
    <w:p>
      <w:pPr>
        <w:pStyle w:val="29"/>
        <w:ind w:firstLine="478"/>
        <w:rPr>
          <w:color w:val="auto"/>
          <w:spacing w:val="-1"/>
        </w:rPr>
      </w:pPr>
      <w:r>
        <w:rPr>
          <w:color w:val="auto"/>
          <w:spacing w:val="-1"/>
        </w:rPr>
        <w:t>止回阀应按中国标准GB/T12236-2008或相当的国际标准制造，法兰和阀体由铸铁整体制成，并配有不锈钢的铰销或轴，基座面应由锡青铜制成，除非另有规定。</w:t>
      </w:r>
    </w:p>
    <w:p>
      <w:pPr>
        <w:pStyle w:val="29"/>
        <w:ind w:firstLine="478"/>
        <w:rPr>
          <w:color w:val="auto"/>
          <w:spacing w:val="-1"/>
        </w:rPr>
      </w:pPr>
      <w:r>
        <w:rPr>
          <w:color w:val="auto"/>
          <w:spacing w:val="-1"/>
        </w:rPr>
        <w:t>3、隔膜阀</w:t>
      </w:r>
    </w:p>
    <w:p>
      <w:pPr>
        <w:pStyle w:val="29"/>
        <w:ind w:firstLine="478"/>
        <w:rPr>
          <w:color w:val="auto"/>
          <w:spacing w:val="-1"/>
        </w:rPr>
      </w:pPr>
      <w:r>
        <w:rPr>
          <w:color w:val="auto"/>
          <w:spacing w:val="-1"/>
        </w:rPr>
        <w:t>隔膜阀应是双法兰式的，并具有水平内底和铸铁阀体。轴、螺母、轴衬及装在轴上的球形止推面应是有色金属的。用于显示阀门开关的位置指示器应配置在醒目的地方。隔膜应选用适合该液体的材料制造。</w:t>
      </w:r>
    </w:p>
    <w:p>
      <w:pPr>
        <w:pStyle w:val="29"/>
        <w:ind w:firstLine="478"/>
        <w:rPr>
          <w:color w:val="auto"/>
          <w:spacing w:val="-1"/>
        </w:rPr>
      </w:pPr>
      <w:r>
        <w:rPr>
          <w:color w:val="auto"/>
          <w:spacing w:val="-1"/>
        </w:rPr>
        <w:t>4、蝶阀</w:t>
      </w:r>
    </w:p>
    <w:p>
      <w:pPr>
        <w:pStyle w:val="29"/>
        <w:ind w:firstLine="478"/>
        <w:rPr>
          <w:color w:val="auto"/>
          <w:spacing w:val="-1"/>
        </w:rPr>
      </w:pPr>
      <w:r>
        <w:rPr>
          <w:color w:val="auto"/>
          <w:spacing w:val="-1"/>
        </w:rPr>
        <w:t>蝶阀应按中国标准GB12238-2008或相当的国际标准制造，为铸铁阀体的双法兰或对夹式蝶阀，阀板有一可更换的密封座，轴承应采用批准的型式。阀板为刚性结构，成流线型，以使流体阻力为最小。</w:t>
      </w:r>
    </w:p>
    <w:p>
      <w:pPr>
        <w:pStyle w:val="29"/>
        <w:ind w:firstLine="478"/>
        <w:rPr>
          <w:color w:val="auto"/>
          <w:spacing w:val="-1"/>
        </w:rPr>
      </w:pPr>
      <w:r>
        <w:rPr>
          <w:color w:val="auto"/>
          <w:spacing w:val="-1"/>
        </w:rPr>
        <w:t>5、球阀</w:t>
      </w:r>
    </w:p>
    <w:p>
      <w:pPr>
        <w:pStyle w:val="29"/>
        <w:ind w:firstLine="478"/>
        <w:rPr>
          <w:color w:val="auto"/>
          <w:spacing w:val="-1"/>
        </w:rPr>
      </w:pPr>
      <w:r>
        <w:rPr>
          <w:color w:val="auto"/>
          <w:spacing w:val="-1"/>
        </w:rPr>
        <w:t>球阀应按中国标准GB12237-2007或相当的国际标准制造，直径大于50mm的阀门应为法兰联接，阀门应提供操作板手，当阀门关闭时，板手应与管线呈直角。</w:t>
      </w:r>
    </w:p>
    <w:p>
      <w:pPr>
        <w:pStyle w:val="29"/>
        <w:ind w:firstLine="478"/>
        <w:rPr>
          <w:color w:val="auto"/>
          <w:spacing w:val="-1"/>
        </w:rPr>
      </w:pPr>
      <w:r>
        <w:rPr>
          <w:color w:val="auto"/>
          <w:spacing w:val="-1"/>
        </w:rPr>
        <w:t>6、阀门（闸门）电动执行机构</w:t>
      </w:r>
    </w:p>
    <w:p>
      <w:pPr>
        <w:pStyle w:val="29"/>
        <w:ind w:firstLine="478"/>
        <w:rPr>
          <w:color w:val="auto"/>
          <w:spacing w:val="-1"/>
        </w:rPr>
      </w:pPr>
      <w:r>
        <w:rPr>
          <w:color w:val="auto"/>
          <w:spacing w:val="-1"/>
        </w:rPr>
        <w:t>电动执行机构由电机和减速装置、手操机构、输出轴、开关机构和机械位置指示机构等基本部件组成。电动执行机构产地为欧美、原装进口，并且不低于德国auma、英国rotork等国际著名品牌产品。承包商应保证各组件的机械特性与所选闸（阀）门相匹配。</w:t>
      </w:r>
    </w:p>
    <w:p>
      <w:pPr>
        <w:pStyle w:val="29"/>
        <w:ind w:firstLine="478"/>
        <w:rPr>
          <w:color w:val="auto"/>
          <w:spacing w:val="-1"/>
        </w:rPr>
      </w:pPr>
      <w:r>
        <w:rPr>
          <w:color w:val="auto"/>
          <w:spacing w:val="-1"/>
        </w:rPr>
        <w:t>承包商应提供具有满足下列但不限于下列特性的电动执行机构：</w:t>
      </w:r>
    </w:p>
    <w:p>
      <w:pPr>
        <w:pStyle w:val="29"/>
        <w:ind w:firstLine="478"/>
        <w:rPr>
          <w:color w:val="auto"/>
          <w:spacing w:val="-1"/>
        </w:rPr>
      </w:pPr>
      <w:r>
        <w:rPr>
          <w:color w:val="auto"/>
          <w:spacing w:val="-1"/>
        </w:rPr>
        <w:t>应设有手动/自动操作手柄（用于切换空心轴上离合器的位置）和就地操作旋转手轮。手动操作要求作用在手轮上的最大手操作力不能超过13KN（推、拉总值26KN）。</w:t>
      </w:r>
    </w:p>
    <w:p>
      <w:pPr>
        <w:pStyle w:val="29"/>
        <w:ind w:firstLine="472"/>
        <w:rPr>
          <w:color w:val="auto"/>
        </w:rPr>
      </w:pPr>
      <w:r>
        <w:rPr>
          <w:color w:val="auto"/>
        </w:rPr>
        <w:t>采用三相鼠笼型感应电机，实现</w:t>
      </w:r>
      <w:r>
        <w:rPr>
          <w:rFonts w:cs="宋体"/>
          <w:color w:val="auto"/>
        </w:rPr>
        <w:t>F</w:t>
      </w:r>
      <w:r>
        <w:rPr>
          <w:color w:val="auto"/>
        </w:rPr>
        <w:t>级绝缘，时间系数取</w:t>
      </w:r>
      <w:r>
        <w:rPr>
          <w:rFonts w:cs="宋体"/>
          <w:color w:val="auto"/>
        </w:rPr>
        <w:t>15</w:t>
      </w:r>
      <w:r>
        <w:rPr>
          <w:color w:val="auto"/>
        </w:rPr>
        <w:t>分钟或者两倍于阀门周期时</w:t>
      </w:r>
      <w:r>
        <w:rPr>
          <w:color w:val="auto"/>
          <w:spacing w:val="-3"/>
        </w:rPr>
        <w:t>间值中较大的值，平均荷载应至少为闸（阀）门最大扭矩的</w:t>
      </w:r>
      <w:r>
        <w:rPr>
          <w:rFonts w:cs="宋体"/>
          <w:color w:val="auto"/>
          <w:spacing w:val="-3"/>
        </w:rPr>
        <w:t>33%</w:t>
      </w:r>
      <w:r>
        <w:rPr>
          <w:color w:val="auto"/>
          <w:spacing w:val="-3"/>
        </w:rPr>
        <w:t>。过载保护装置为埋没在电</w:t>
      </w:r>
      <w:r>
        <w:rPr>
          <w:color w:val="auto"/>
        </w:rPr>
        <w:t>机线圈绕组中的热继电器。在重要的地方应设置防凝结加热器。</w:t>
      </w:r>
    </w:p>
    <w:p>
      <w:pPr>
        <w:pStyle w:val="29"/>
        <w:ind w:firstLine="478"/>
        <w:rPr>
          <w:color w:val="auto"/>
          <w:spacing w:val="-1"/>
        </w:rPr>
      </w:pPr>
      <w:r>
        <w:rPr>
          <w:color w:val="auto"/>
          <w:spacing w:val="-1"/>
        </w:rPr>
        <w:t>驱动装置应确保阀门或闸门能在指定的不同压力状态下关闭。用于启闭阀门或闸门的电机的输出力应达到一定的安全值。用于阀门或闸门开启和关闭的运行速度约为300mm/min。驱动装置应能满足指定现场的环境条件。</w:t>
      </w:r>
    </w:p>
    <w:p>
      <w:pPr>
        <w:pStyle w:val="29"/>
        <w:ind w:firstLine="478"/>
        <w:rPr>
          <w:color w:val="auto"/>
          <w:spacing w:val="-1"/>
        </w:rPr>
      </w:pPr>
      <w:r>
        <w:rPr>
          <w:color w:val="auto"/>
          <w:spacing w:val="-1"/>
        </w:rPr>
        <w:t>电缆的内层绝缘材料是用于热带地区的PVC塑料，要求满足至少5A的电流及三相交流电机电源的要求，每段电缆应在其端接头，三相电源接头处通过一个单独的密封端子盒隔开。</w:t>
      </w:r>
    </w:p>
    <w:p>
      <w:pPr>
        <w:pStyle w:val="29"/>
        <w:ind w:firstLine="478"/>
        <w:rPr>
          <w:color w:val="auto"/>
          <w:spacing w:val="-1"/>
        </w:rPr>
      </w:pPr>
      <w:r>
        <w:rPr>
          <w:color w:val="auto"/>
          <w:spacing w:val="-1"/>
        </w:rPr>
        <w:t>应带有就地/断开/遥控选择开关：扳到就地位置时，应能就地操作开关；扳到遥控装置时，可实现控制室操作；扳到断开位置时，应能锁住组合操作开关，防止未经许可的任何操作。</w:t>
      </w:r>
    </w:p>
    <w:p>
      <w:pPr>
        <w:pStyle w:val="29"/>
        <w:ind w:firstLine="478"/>
        <w:rPr>
          <w:color w:val="auto"/>
          <w:spacing w:val="-1"/>
        </w:rPr>
      </w:pPr>
      <w:r>
        <w:rPr>
          <w:color w:val="auto"/>
          <w:spacing w:val="-1"/>
        </w:rPr>
        <w:t>电动执行机构所带的开关机构中应设两套辅助限位开关，可瞬间动作，可传输远距离的位置和联锁信号。另设转矩/限位开关，通过控制箱中的主控板实现转矩过载和行程限位保护功能，并能满足机械闩锁的要求防止运转过程中开关触点抖动而跳闸。</w:t>
      </w:r>
    </w:p>
    <w:p>
      <w:pPr>
        <w:pStyle w:val="29"/>
        <w:ind w:firstLine="478"/>
        <w:rPr>
          <w:color w:val="auto"/>
          <w:spacing w:val="-1"/>
        </w:rPr>
      </w:pPr>
      <w:r>
        <w:rPr>
          <w:color w:val="auto"/>
          <w:spacing w:val="-1"/>
        </w:rPr>
        <w:t>该机构中应具有机械位置指示，为旋转指针和刻度盘等构成，用于指示闸（阀）门位置运行情况，并配有光电指示。</w:t>
      </w:r>
    </w:p>
    <w:p>
      <w:pPr>
        <w:pStyle w:val="29"/>
        <w:ind w:firstLine="478"/>
        <w:rPr>
          <w:color w:val="auto"/>
          <w:spacing w:val="-1"/>
        </w:rPr>
      </w:pPr>
      <w:r>
        <w:rPr>
          <w:color w:val="auto"/>
          <w:spacing w:val="-1"/>
        </w:rPr>
        <w:t>该电动执行装置为一个机电一体化的装置，通过常规继电器输入和输出（调节阀需配置4～20mA输入和输出将阀（闸）门的各种状态和故障信号送至厂区PLC。</w:t>
      </w:r>
    </w:p>
    <w:p>
      <w:pPr>
        <w:pStyle w:val="29"/>
        <w:ind w:firstLine="478"/>
        <w:rPr>
          <w:color w:val="auto"/>
          <w:spacing w:val="-1"/>
        </w:rPr>
      </w:pPr>
      <w:r>
        <w:rPr>
          <w:color w:val="auto"/>
          <w:spacing w:val="-1"/>
        </w:rPr>
        <w:t>承包商提供的电动执行机构应具有以下但不限于以下的保护功能：</w:t>
      </w:r>
    </w:p>
    <w:p>
      <w:pPr>
        <w:pStyle w:val="29"/>
        <w:ind w:firstLine="478"/>
        <w:rPr>
          <w:color w:val="auto"/>
          <w:spacing w:val="-1"/>
        </w:rPr>
      </w:pPr>
      <w:r>
        <w:rPr>
          <w:color w:val="auto"/>
          <w:spacing w:val="-1"/>
        </w:rPr>
        <w:t>—自动相位校正</w:t>
      </w:r>
    </w:p>
    <w:p>
      <w:pPr>
        <w:pStyle w:val="29"/>
        <w:ind w:firstLine="478"/>
        <w:rPr>
          <w:color w:val="auto"/>
          <w:spacing w:val="-1"/>
        </w:rPr>
      </w:pPr>
      <w:r>
        <w:rPr>
          <w:color w:val="auto"/>
          <w:spacing w:val="-1"/>
        </w:rPr>
        <w:t>—防锤击保护（力矩限位开关锤击现象）</w:t>
      </w:r>
    </w:p>
    <w:p>
      <w:pPr>
        <w:pStyle w:val="29"/>
        <w:ind w:firstLine="478"/>
        <w:rPr>
          <w:color w:val="auto"/>
          <w:spacing w:val="-1"/>
        </w:rPr>
      </w:pPr>
      <w:r>
        <w:rPr>
          <w:color w:val="auto"/>
          <w:spacing w:val="-1"/>
        </w:rPr>
        <w:t>—缺相保护</w:t>
      </w:r>
    </w:p>
    <w:p>
      <w:pPr>
        <w:pStyle w:val="29"/>
        <w:ind w:firstLine="478"/>
        <w:rPr>
          <w:color w:val="auto"/>
          <w:spacing w:val="-1"/>
        </w:rPr>
      </w:pPr>
      <w:r>
        <w:rPr>
          <w:color w:val="auto"/>
          <w:spacing w:val="-1"/>
        </w:rPr>
        <w:t>—阀门卡死时的电机保护（当接受控制信号时，终端限位开关不能在8-19s内重新调整，就会自动断开接触器）</w:t>
      </w:r>
    </w:p>
    <w:p>
      <w:pPr>
        <w:pStyle w:val="29"/>
        <w:ind w:firstLine="478"/>
        <w:rPr>
          <w:color w:val="auto"/>
          <w:spacing w:val="-1"/>
        </w:rPr>
      </w:pPr>
      <w:r>
        <w:rPr>
          <w:color w:val="auto"/>
          <w:spacing w:val="-1"/>
        </w:rPr>
        <w:t>—瞬间换向保护（通过定时继电器延迟约250ms）</w:t>
      </w:r>
    </w:p>
    <w:p>
      <w:pPr>
        <w:pStyle w:val="29"/>
        <w:ind w:firstLine="478"/>
        <w:rPr>
          <w:color w:val="auto"/>
          <w:spacing w:val="-1"/>
        </w:rPr>
      </w:pPr>
      <w:r>
        <w:rPr>
          <w:color w:val="auto"/>
          <w:spacing w:val="-1"/>
        </w:rPr>
        <w:t>—光电隔离器（在遥控输入接口与逻辑电路间设置）</w:t>
      </w:r>
    </w:p>
    <w:p>
      <w:pPr>
        <w:pStyle w:val="29"/>
        <w:ind w:firstLine="478"/>
        <w:rPr>
          <w:color w:val="auto"/>
          <w:spacing w:val="-1"/>
        </w:rPr>
      </w:pPr>
      <w:r>
        <w:rPr>
          <w:color w:val="auto"/>
          <w:spacing w:val="-1"/>
        </w:rPr>
        <w:t>—电动机的热继电器保护（达到最高允许绕组温度，通过热继电器使控制电路切断）电动执行机构应按ZBJ16002-87或相当的国际标准标准制造，防护等级IP55。</w:t>
      </w:r>
    </w:p>
    <w:p>
      <w:pPr>
        <w:pStyle w:val="29"/>
        <w:ind w:firstLine="478"/>
        <w:rPr>
          <w:color w:val="auto"/>
          <w:spacing w:val="-1"/>
        </w:rPr>
      </w:pPr>
      <w:r>
        <w:rPr>
          <w:color w:val="auto"/>
          <w:spacing w:val="-1"/>
        </w:rPr>
        <w:t>7、阀门气动启闭装置</w:t>
      </w:r>
    </w:p>
    <w:p>
      <w:pPr>
        <w:pStyle w:val="29"/>
        <w:ind w:firstLine="478"/>
        <w:rPr>
          <w:color w:val="auto"/>
          <w:spacing w:val="-1"/>
        </w:rPr>
      </w:pPr>
      <w:r>
        <w:rPr>
          <w:color w:val="auto"/>
          <w:spacing w:val="-1"/>
        </w:rPr>
        <w:t>阀门气动启闭装置产地为欧美、原装进口，并且不低于德国Festo等国际著名品牌产品。</w:t>
      </w:r>
    </w:p>
    <w:p>
      <w:pPr>
        <w:pStyle w:val="29"/>
        <w:ind w:firstLine="478"/>
        <w:rPr>
          <w:color w:val="auto"/>
          <w:spacing w:val="-1"/>
        </w:rPr>
      </w:pPr>
      <w:r>
        <w:rPr>
          <w:color w:val="auto"/>
          <w:spacing w:val="-1"/>
        </w:rPr>
        <w:t>在每个行程的终端应在气缸活塞上保持一定压力，除非采用其他方式防止活塞滑移。</w:t>
      </w:r>
    </w:p>
    <w:p>
      <w:pPr>
        <w:pStyle w:val="29"/>
        <w:ind w:firstLine="478"/>
        <w:rPr>
          <w:color w:val="auto"/>
          <w:spacing w:val="-1"/>
        </w:rPr>
      </w:pPr>
      <w:r>
        <w:rPr>
          <w:color w:val="auto"/>
          <w:spacing w:val="-1"/>
        </w:rPr>
        <w:t>缸体应采用冷拨黄铜或离心铸造青铜，气缸头盖和尾盖应采用耐腐蚀的钢铁材料，气缸活塞应采用镀铬钢、经硬质氧化铝膜处理的铝或镀镉铸铁。气缸活塞杆表面镀上厚度约为0.012mm硬铬的不锈钢制成。活塞杆衬套应采用青铜，气缸应该有刮垢器，应配备不可调的磨损补偿式活塞杆密封装置，活塞杆密封、活塞杆刮垢器及活塞环应采用氯丁橡胶、丁腈橡胶或同样适用于气压场合和材料。</w:t>
      </w:r>
    </w:p>
    <w:p>
      <w:pPr>
        <w:pStyle w:val="29"/>
        <w:ind w:firstLine="478"/>
        <w:rPr>
          <w:color w:val="auto"/>
          <w:spacing w:val="-1"/>
        </w:rPr>
      </w:pPr>
      <w:r>
        <w:rPr>
          <w:color w:val="auto"/>
          <w:spacing w:val="-1"/>
        </w:rPr>
        <w:t>气缸结构应按工作压力进行设计，安全系数至少取5，采用铸铁时，安全系数至少取10。</w:t>
      </w:r>
    </w:p>
    <w:p>
      <w:pPr>
        <w:pStyle w:val="29"/>
        <w:ind w:firstLine="478"/>
        <w:rPr>
          <w:color w:val="auto"/>
          <w:spacing w:val="-1"/>
        </w:rPr>
      </w:pPr>
      <w:r>
        <w:rPr>
          <w:color w:val="auto"/>
          <w:spacing w:val="-1"/>
        </w:rPr>
        <w:t>8、手动启闭机及辅件</w:t>
      </w:r>
    </w:p>
    <w:p>
      <w:pPr>
        <w:pStyle w:val="29"/>
        <w:ind w:firstLine="478"/>
        <w:rPr>
          <w:color w:val="auto"/>
          <w:spacing w:val="-1"/>
        </w:rPr>
      </w:pPr>
      <w:r>
        <w:rPr>
          <w:color w:val="auto"/>
          <w:spacing w:val="-1"/>
        </w:rPr>
        <w:t>手动启闭机应采用铸铁制造，并配有刻度指示器，支座高度从底部到手轮处不应小于850毫米，并钻孔固定在基础上，如果需要采用伞齿轮传动，应提供全密闭的油脂润滑的伞齿轮箱。</w:t>
      </w:r>
    </w:p>
    <w:p>
      <w:pPr>
        <w:pStyle w:val="29"/>
        <w:ind w:firstLine="478"/>
        <w:rPr>
          <w:color w:val="auto"/>
          <w:spacing w:val="-1"/>
        </w:rPr>
      </w:pPr>
      <w:r>
        <w:rPr>
          <w:color w:val="auto"/>
          <w:spacing w:val="-1"/>
        </w:rPr>
        <w:t>a）手轮</w:t>
      </w:r>
    </w:p>
    <w:p>
      <w:pPr>
        <w:pStyle w:val="29"/>
        <w:ind w:firstLine="478"/>
        <w:rPr>
          <w:color w:val="auto"/>
          <w:spacing w:val="-1"/>
        </w:rPr>
      </w:pPr>
      <w:r>
        <w:rPr>
          <w:color w:val="auto"/>
          <w:spacing w:val="-1"/>
        </w:rPr>
        <w:t>所有手轮均须用优质光洁的铸铁制成，配有圆形的轮圈，并有开启方向的指示标志。所有阀门应按手轮或板手逆时针向旋转来开启。</w:t>
      </w:r>
    </w:p>
    <w:p>
      <w:pPr>
        <w:pStyle w:val="29"/>
        <w:ind w:firstLine="478"/>
        <w:rPr>
          <w:color w:val="auto"/>
          <w:spacing w:val="-1"/>
        </w:rPr>
      </w:pPr>
      <w:r>
        <w:rPr>
          <w:color w:val="auto"/>
          <w:spacing w:val="-1"/>
        </w:rPr>
        <w:t>b）连接轴</w:t>
      </w:r>
    </w:p>
    <w:p>
      <w:pPr>
        <w:pStyle w:val="29"/>
        <w:ind w:firstLine="478"/>
        <w:rPr>
          <w:color w:val="auto"/>
          <w:spacing w:val="-1"/>
        </w:rPr>
      </w:pPr>
      <w:r>
        <w:rPr>
          <w:color w:val="auto"/>
          <w:spacing w:val="-1"/>
        </w:rPr>
        <w:t>连接轴应由低碳钢经热浸锌制成，除非另有规定。</w:t>
      </w:r>
    </w:p>
    <w:p>
      <w:pPr>
        <w:pStyle w:val="29"/>
        <w:ind w:firstLine="478"/>
        <w:rPr>
          <w:color w:val="auto"/>
          <w:spacing w:val="-1"/>
        </w:rPr>
      </w:pPr>
      <w:r>
        <w:rPr>
          <w:color w:val="auto"/>
          <w:spacing w:val="-1"/>
        </w:rPr>
        <w:t>连接轴的接长应采用刚性联轴节。</w:t>
      </w:r>
    </w:p>
    <w:p>
      <w:pPr>
        <w:pStyle w:val="29"/>
        <w:ind w:firstLine="478"/>
        <w:rPr>
          <w:color w:val="auto"/>
          <w:spacing w:val="-1"/>
        </w:rPr>
      </w:pPr>
      <w:r>
        <w:rPr>
          <w:color w:val="auto"/>
          <w:spacing w:val="-1"/>
        </w:rPr>
        <w:t>c）轴导支架</w:t>
      </w:r>
    </w:p>
    <w:p>
      <w:pPr>
        <w:pStyle w:val="29"/>
        <w:ind w:firstLine="478"/>
        <w:rPr>
          <w:color w:val="auto"/>
          <w:spacing w:val="-1"/>
        </w:rPr>
      </w:pPr>
      <w:r>
        <w:rPr>
          <w:color w:val="auto"/>
          <w:spacing w:val="-1"/>
        </w:rPr>
        <w:t>轴导支架应由铸铁制成，在结构上应便于轴的装拆，并应固定在井壁上。支架之间的最大间距不应大于3000毫米，除非另有规定。</w:t>
      </w:r>
    </w:p>
    <w:p>
      <w:pPr>
        <w:pStyle w:val="29"/>
        <w:ind w:firstLine="478"/>
        <w:rPr>
          <w:color w:val="auto"/>
          <w:spacing w:val="-1"/>
        </w:rPr>
      </w:pPr>
      <w:r>
        <w:rPr>
          <w:color w:val="auto"/>
          <w:spacing w:val="-1"/>
        </w:rPr>
        <w:t>d）钥匙头</w:t>
      </w:r>
    </w:p>
    <w:p>
      <w:pPr>
        <w:pStyle w:val="29"/>
        <w:ind w:firstLine="478"/>
        <w:rPr>
          <w:color w:val="auto"/>
          <w:spacing w:val="-1"/>
        </w:rPr>
      </w:pPr>
      <w:r>
        <w:rPr>
          <w:color w:val="auto"/>
          <w:spacing w:val="-1"/>
        </w:rPr>
        <w:t>用接杆操作的阀门，应配置操作阀门用的接杆，在杆上应带铸铁或钢制钥匙头。</w:t>
      </w:r>
    </w:p>
    <w:p>
      <w:pPr>
        <w:pStyle w:val="29"/>
        <w:ind w:firstLine="478"/>
        <w:rPr>
          <w:color w:val="auto"/>
          <w:spacing w:val="-1"/>
        </w:rPr>
      </w:pPr>
      <w:r>
        <w:rPr>
          <w:color w:val="auto"/>
          <w:spacing w:val="-1"/>
        </w:rPr>
        <w:t>9、试验和检验</w:t>
      </w:r>
    </w:p>
    <w:p>
      <w:pPr>
        <w:pStyle w:val="29"/>
        <w:ind w:firstLine="478"/>
        <w:rPr>
          <w:color w:val="auto"/>
          <w:spacing w:val="-1"/>
        </w:rPr>
      </w:pPr>
      <w:r>
        <w:rPr>
          <w:color w:val="auto"/>
          <w:spacing w:val="-1"/>
        </w:rPr>
        <w:t>阀门的试验和检验应按照ZBJ16006-90或相当的国际标准，阀体水压试验的试验压力为规定的最大工作压力的1.5倍。当阀座试验压力等于最大工作压力时，渗漏率不得超过相应标准的极限值。除非另有规定。</w:t>
      </w:r>
    </w:p>
    <w:p>
      <w:pPr>
        <w:pStyle w:val="28"/>
        <w:spacing w:before="120" w:after="120"/>
        <w:rPr>
          <w:b/>
          <w:color w:val="auto"/>
        </w:rPr>
      </w:pPr>
      <w:bookmarkStart w:id="33" w:name="_Toc117181342"/>
      <w:r>
        <w:rPr>
          <w:b/>
          <w:color w:val="auto"/>
        </w:rPr>
        <w:t>电气设备通用性要求</w:t>
      </w:r>
      <w:bookmarkEnd w:id="33"/>
    </w:p>
    <w:p>
      <w:pPr>
        <w:pStyle w:val="30"/>
        <w:spacing w:before="120" w:after="120"/>
        <w:rPr>
          <w:b w:val="0"/>
          <w:bCs/>
          <w:color w:val="auto"/>
        </w:rPr>
      </w:pPr>
      <w:bookmarkStart w:id="34" w:name="_Toc117181343"/>
      <w:r>
        <w:rPr>
          <w:color w:val="auto"/>
        </w:rPr>
        <w:t>电气设备技术规范</w:t>
      </w:r>
      <w:bookmarkEnd w:id="34"/>
    </w:p>
    <w:p>
      <w:pPr>
        <w:pStyle w:val="31"/>
        <w:rPr>
          <w:color w:val="auto"/>
        </w:rPr>
      </w:pPr>
      <w:r>
        <w:rPr>
          <w:color w:val="auto"/>
        </w:rPr>
        <w:t>电气设备基本要求</w:t>
      </w:r>
    </w:p>
    <w:p>
      <w:pPr>
        <w:pStyle w:val="29"/>
        <w:ind w:firstLine="472"/>
        <w:rPr>
          <w:color w:val="auto"/>
        </w:rPr>
      </w:pPr>
      <w:r>
        <w:rPr>
          <w:color w:val="auto"/>
        </w:rPr>
        <w:t>电气设备的供货、安装、调试、运行及验收应符合电气一般技术规范以及各设备专用技术规范的要求。所供电气设备以及所提供的电气设备的安装服务应能确保所有设备、元件形成一个完整的供配电系统。</w:t>
      </w:r>
    </w:p>
    <w:p>
      <w:pPr>
        <w:pStyle w:val="29"/>
        <w:ind w:firstLine="472"/>
        <w:rPr>
          <w:color w:val="auto"/>
        </w:rPr>
      </w:pPr>
      <w:r>
        <w:rPr>
          <w:color w:val="auto"/>
        </w:rPr>
        <w:t>所有电气设备的设计和制作应由通过ISO9000质量管理体系认证的专业电气设备制造厂生产。</w:t>
      </w:r>
    </w:p>
    <w:p>
      <w:pPr>
        <w:pStyle w:val="29"/>
        <w:ind w:firstLine="472"/>
        <w:rPr>
          <w:color w:val="auto"/>
        </w:rPr>
      </w:pPr>
      <w:r>
        <w:rPr>
          <w:color w:val="auto"/>
        </w:rPr>
        <w:t>所有国家CCC认证产品目录内的电气设备必须具有CCC认证标志，并提供认证证书。所供电气设备的额定电压应与所在回路的标称电压相一致。所供电气设备的额定电流不应小于所在回路的计算电流。</w:t>
      </w:r>
    </w:p>
    <w:p>
      <w:pPr>
        <w:pStyle w:val="29"/>
        <w:ind w:firstLine="472"/>
        <w:rPr>
          <w:color w:val="auto"/>
        </w:rPr>
      </w:pPr>
      <w:r>
        <w:rPr>
          <w:color w:val="auto"/>
        </w:rPr>
        <w:t>所供电气设备的额定频率应与所在回路的频率相适应。所供电气设备应适应所在场所的环境条件。</w:t>
      </w:r>
    </w:p>
    <w:p>
      <w:pPr>
        <w:pStyle w:val="29"/>
        <w:ind w:firstLine="472"/>
        <w:rPr>
          <w:color w:val="auto"/>
        </w:rPr>
      </w:pPr>
      <w:r>
        <w:rPr>
          <w:color w:val="auto"/>
        </w:rPr>
        <w:t>所供电气设备应满足短路条件下的动稳定与热稳定要求。用于断开短路电流的电器，应满足短路条件下的通断能力。</w:t>
      </w:r>
    </w:p>
    <w:p>
      <w:pPr>
        <w:pStyle w:val="29"/>
        <w:ind w:firstLine="472"/>
        <w:rPr>
          <w:color w:val="auto"/>
        </w:rPr>
      </w:pPr>
      <w:r>
        <w:rPr>
          <w:color w:val="auto"/>
        </w:rPr>
        <w:t>所供隔离电器应能将所在回路与带电部分有效隔离，当隔离电器误操作会造成严重事故时，应有防止误操作的措施。</w:t>
      </w:r>
    </w:p>
    <w:p>
      <w:pPr>
        <w:spacing w:before="10"/>
        <w:rPr>
          <w:rFonts w:ascii="宋体" w:hAnsi="宋体" w:eastAsia="宋体" w:cs="宋体"/>
          <w:color w:val="auto"/>
          <w:sz w:val="14"/>
          <w:szCs w:val="14"/>
          <w:lang w:eastAsia="zh-CN"/>
        </w:rPr>
      </w:pPr>
    </w:p>
    <w:p>
      <w:pPr>
        <w:pStyle w:val="31"/>
        <w:rPr>
          <w:b w:val="0"/>
          <w:bCs/>
          <w:color w:val="auto"/>
        </w:rPr>
      </w:pPr>
      <w:r>
        <w:rPr>
          <w:color w:val="auto"/>
        </w:rPr>
        <w:t>参照标准</w:t>
      </w:r>
    </w:p>
    <w:p>
      <w:pPr>
        <w:pStyle w:val="29"/>
        <w:ind w:firstLine="472"/>
        <w:rPr>
          <w:rFonts w:ascii="Calibri" w:hAnsi="Calibri" w:eastAsia="Calibri" w:cs="Calibri"/>
          <w:color w:val="auto"/>
        </w:rPr>
      </w:pPr>
      <w:r>
        <w:rPr>
          <w:color w:val="auto"/>
        </w:rPr>
        <w:t>本节的有关标准包括但不限于以下的IEC标准和相应的GB标准</w:t>
      </w:r>
      <w:r>
        <w:rPr>
          <w:rFonts w:hint="eastAsia"/>
          <w:color w:val="auto"/>
        </w:rPr>
        <w:t>。</w:t>
      </w:r>
    </w:p>
    <w:tbl>
      <w:tblPr>
        <w:tblStyle w:val="25"/>
        <w:tblW w:w="8176" w:type="dxa"/>
        <w:tblInd w:w="535" w:type="dxa"/>
        <w:tblLayout w:type="fixed"/>
        <w:tblCellMar>
          <w:top w:w="0" w:type="dxa"/>
          <w:left w:w="0" w:type="dxa"/>
          <w:bottom w:w="0" w:type="dxa"/>
          <w:right w:w="0" w:type="dxa"/>
        </w:tblCellMar>
      </w:tblPr>
      <w:tblGrid>
        <w:gridCol w:w="1596"/>
        <w:gridCol w:w="6580"/>
      </w:tblGrid>
      <w:tr>
        <w:tblPrEx>
          <w:tblLayout w:type="fixed"/>
          <w:tblCellMar>
            <w:top w:w="0" w:type="dxa"/>
            <w:left w:w="0" w:type="dxa"/>
            <w:bottom w:w="0" w:type="dxa"/>
            <w:right w:w="0" w:type="dxa"/>
          </w:tblCellMar>
        </w:tblPrEx>
        <w:trPr>
          <w:trHeight w:val="540"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IEC60056</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高压交流断路器</w:t>
            </w:r>
          </w:p>
        </w:tc>
      </w:tr>
      <w:tr>
        <w:tblPrEx>
          <w:tblLayout w:type="fixed"/>
          <w:tblCellMar>
            <w:top w:w="0" w:type="dxa"/>
            <w:left w:w="0" w:type="dxa"/>
            <w:bottom w:w="0" w:type="dxa"/>
            <w:right w:w="0" w:type="dxa"/>
          </w:tblCellMar>
        </w:tblPrEx>
        <w:trPr>
          <w:trHeight w:val="54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IEC60071</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绝缘配合</w:t>
            </w:r>
          </w:p>
        </w:tc>
      </w:tr>
      <w:tr>
        <w:tblPrEx>
          <w:tblLayout w:type="fixed"/>
          <w:tblCellMar>
            <w:top w:w="0" w:type="dxa"/>
            <w:left w:w="0" w:type="dxa"/>
            <w:bottom w:w="0" w:type="dxa"/>
            <w:right w:w="0" w:type="dxa"/>
          </w:tblCellMar>
        </w:tblPrEx>
        <w:trPr>
          <w:trHeight w:val="54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IEC60185</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电流互感器</w:t>
            </w:r>
          </w:p>
        </w:tc>
      </w:tr>
      <w:tr>
        <w:tblPrEx>
          <w:tblLayout w:type="fixed"/>
          <w:tblCellMar>
            <w:top w:w="0" w:type="dxa"/>
            <w:left w:w="0" w:type="dxa"/>
            <w:bottom w:w="0" w:type="dxa"/>
            <w:right w:w="0" w:type="dxa"/>
          </w:tblCellMar>
        </w:tblPrEx>
        <w:trPr>
          <w:trHeight w:val="543"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IEC60186</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电压互感器</w:t>
            </w:r>
          </w:p>
        </w:tc>
      </w:tr>
      <w:tr>
        <w:tblPrEx>
          <w:tblLayout w:type="fixed"/>
          <w:tblCellMar>
            <w:top w:w="0" w:type="dxa"/>
            <w:left w:w="0" w:type="dxa"/>
            <w:bottom w:w="0" w:type="dxa"/>
            <w:right w:w="0" w:type="dxa"/>
          </w:tblCellMar>
        </w:tblPrEx>
        <w:trPr>
          <w:trHeight w:val="54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IEC60831</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低压电容器</w:t>
            </w:r>
          </w:p>
        </w:tc>
      </w:tr>
      <w:tr>
        <w:tblPrEx>
          <w:tblLayout w:type="fixed"/>
          <w:tblCellMar>
            <w:top w:w="0" w:type="dxa"/>
            <w:left w:w="0" w:type="dxa"/>
            <w:bottom w:w="0" w:type="dxa"/>
            <w:right w:w="0" w:type="dxa"/>
          </w:tblCellMar>
        </w:tblPrEx>
        <w:trPr>
          <w:trHeight w:val="540"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IEC60871-1</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高压电容器</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IEC60423</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金属穿线管和固定件</w:t>
            </w:r>
          </w:p>
        </w:tc>
      </w:tr>
      <w:tr>
        <w:tblPrEx>
          <w:tblLayout w:type="fixed"/>
          <w:tblCellMar>
            <w:top w:w="0" w:type="dxa"/>
            <w:left w:w="0" w:type="dxa"/>
            <w:bottom w:w="0" w:type="dxa"/>
            <w:right w:w="0" w:type="dxa"/>
          </w:tblCellMar>
        </w:tblPrEx>
        <w:trPr>
          <w:trHeight w:val="483"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IEC60446</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根据颜色和数字鉴别导线</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IEC60431</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铜母排</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IEC60298</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额定电压1KV以上至72.5KV交流金属封闭开关设备和控制设备</w:t>
            </w:r>
          </w:p>
        </w:tc>
      </w:tr>
      <w:tr>
        <w:tblPrEx>
          <w:tblLayout w:type="fixed"/>
          <w:tblCellMar>
            <w:top w:w="0" w:type="dxa"/>
            <w:left w:w="0" w:type="dxa"/>
            <w:bottom w:w="0" w:type="dxa"/>
            <w:right w:w="0" w:type="dxa"/>
          </w:tblCellMar>
        </w:tblPrEx>
        <w:trPr>
          <w:trHeight w:val="485"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IEC60439</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低压开关设备和控制设备组件</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IEC60034</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旋转电机</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IEC60529</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外壳防护等级</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IEC60726</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干式电力变压器</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IEC60694</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高压开关设备和控制设备通用条款</w:t>
            </w:r>
          </w:p>
        </w:tc>
      </w:tr>
      <w:tr>
        <w:tblPrEx>
          <w:tblLayout w:type="fixed"/>
          <w:tblCellMar>
            <w:top w:w="0" w:type="dxa"/>
            <w:left w:w="0" w:type="dxa"/>
            <w:bottom w:w="0" w:type="dxa"/>
            <w:right w:w="0" w:type="dxa"/>
          </w:tblCellMar>
        </w:tblPrEx>
        <w:trPr>
          <w:trHeight w:val="483"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IEC60051</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直接动作指示模拟电气测量仪器及附件</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IEC60099-2</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避雷器</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IEC60113</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电工技术图表</w:t>
            </w:r>
          </w:p>
        </w:tc>
      </w:tr>
      <w:tr>
        <w:tblPrEx>
          <w:tblLayout w:type="fixed"/>
          <w:tblCellMar>
            <w:top w:w="0" w:type="dxa"/>
            <w:left w:w="0" w:type="dxa"/>
            <w:bottom w:w="0" w:type="dxa"/>
            <w:right w:w="0" w:type="dxa"/>
          </w:tblCellMar>
        </w:tblPrEx>
        <w:trPr>
          <w:trHeight w:val="485"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IEC60158</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低压接触器</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IEC60129</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交流断路器和接地开关</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IEC60255</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继电器</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IEC60265</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高压开关---额定电压为52KV及以下的高压开关</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IEC60269</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低压熔断器</w:t>
            </w:r>
          </w:p>
        </w:tc>
      </w:tr>
      <w:tr>
        <w:tblPrEx>
          <w:tblLayout w:type="fixed"/>
          <w:tblCellMar>
            <w:top w:w="0" w:type="dxa"/>
            <w:left w:w="0" w:type="dxa"/>
            <w:bottom w:w="0" w:type="dxa"/>
            <w:right w:w="0" w:type="dxa"/>
          </w:tblCellMar>
        </w:tblPrEx>
        <w:trPr>
          <w:trHeight w:val="483"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IEC60282</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高压熔断器</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IEC60420</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高压交流开关熔断器</w:t>
            </w:r>
          </w:p>
        </w:tc>
      </w:tr>
      <w:tr>
        <w:tblPrEx>
          <w:tblLayout w:type="fixed"/>
          <w:tblCellMar>
            <w:top w:w="0" w:type="dxa"/>
            <w:left w:w="0" w:type="dxa"/>
            <w:bottom w:w="0" w:type="dxa"/>
            <w:right w:w="0" w:type="dxa"/>
          </w:tblCellMar>
        </w:tblPrEx>
        <w:trPr>
          <w:trHeight w:val="485"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IEC60439</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交流电量转换成模拟信号或数字信号用的电气测量换能器</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ISO1690</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电气设备噪声传播的测定</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IEC6052</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高压试验技术</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GB311.1～6</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高压输变电设备的绝缘配合，高电压试验技术</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GB311.7</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高压输变电设备的绝缘配合使用导规</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GB1207</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电压互感器</w:t>
            </w:r>
          </w:p>
        </w:tc>
      </w:tr>
      <w:tr>
        <w:tblPrEx>
          <w:tblLayout w:type="fixed"/>
          <w:tblCellMar>
            <w:top w:w="0" w:type="dxa"/>
            <w:left w:w="0" w:type="dxa"/>
            <w:bottom w:w="0" w:type="dxa"/>
            <w:right w:w="0" w:type="dxa"/>
          </w:tblCellMar>
        </w:tblPrEx>
        <w:trPr>
          <w:trHeight w:val="485"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GB1208</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电流互感器</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GB1984</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交流高压断路器</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GB1985</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交流高压隔离开关和接地开关</w:t>
            </w:r>
          </w:p>
        </w:tc>
      </w:tr>
      <w:tr>
        <w:tblPrEx>
          <w:tblLayout w:type="fixed"/>
          <w:tblCellMar>
            <w:top w:w="0" w:type="dxa"/>
            <w:left w:w="0" w:type="dxa"/>
            <w:bottom w:w="0" w:type="dxa"/>
            <w:right w:w="0" w:type="dxa"/>
          </w:tblCellMar>
        </w:tblPrEx>
        <w:trPr>
          <w:trHeight w:val="483"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GB3906</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3～35KV交流金属封闭开关设备</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GB7261</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继电器及继电保护装置基本试验方法</w:t>
            </w:r>
          </w:p>
        </w:tc>
      </w:tr>
      <w:tr>
        <w:tblPrEx>
          <w:tblLayout w:type="fixed"/>
          <w:tblCellMar>
            <w:top w:w="0" w:type="dxa"/>
            <w:left w:w="0" w:type="dxa"/>
            <w:bottom w:w="0" w:type="dxa"/>
            <w:right w:w="0" w:type="dxa"/>
          </w:tblCellMar>
        </w:tblPrEx>
        <w:trPr>
          <w:trHeight w:val="485"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GB7327</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交流系统用碳化硅阀式避雷器</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GB10231</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保护继电器的结构型式与基本技术导则</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GB11022</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高压开关设备通用技术条件</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GB11032</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交流无间隙金属氧化锌避雷器</w:t>
            </w:r>
          </w:p>
        </w:tc>
      </w:tr>
      <w:tr>
        <w:tblPrEx>
          <w:tblLayout w:type="fixed"/>
          <w:tblCellMar>
            <w:top w:w="0" w:type="dxa"/>
            <w:left w:w="0" w:type="dxa"/>
            <w:bottom w:w="0" w:type="dxa"/>
            <w:right w:w="0" w:type="dxa"/>
          </w:tblCellMar>
        </w:tblPrEx>
        <w:trPr>
          <w:trHeight w:val="485"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GB50062</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电力装置的继电保护和自动装置设计规范</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GB/T50065</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交流电气装置的接地设计规范</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GB50060</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3-110KV高压配电装置设计规范</w:t>
            </w:r>
          </w:p>
        </w:tc>
      </w:tr>
      <w:tr>
        <w:tblPrEx>
          <w:tblLayout w:type="fixed"/>
          <w:tblCellMar>
            <w:top w:w="0" w:type="dxa"/>
            <w:left w:w="0" w:type="dxa"/>
            <w:bottom w:w="0" w:type="dxa"/>
            <w:right w:w="0" w:type="dxa"/>
          </w:tblCellMar>
        </w:tblPrEx>
        <w:trPr>
          <w:trHeight w:val="485"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GB50034</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建筑照明设计标准</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GB50303</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建筑电气工程施工质量验收规范</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GB50254</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电气装置安装工程低压电器施工及验收规范</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GB50150</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电气装置安装工程电气设备交接试验标准</w:t>
            </w:r>
          </w:p>
        </w:tc>
      </w:tr>
      <w:tr>
        <w:tblPrEx>
          <w:tblLayout w:type="fixed"/>
          <w:tblCellMar>
            <w:top w:w="0" w:type="dxa"/>
            <w:left w:w="0" w:type="dxa"/>
            <w:bottom w:w="0" w:type="dxa"/>
            <w:right w:w="0" w:type="dxa"/>
          </w:tblCellMar>
        </w:tblPrEx>
        <w:trPr>
          <w:trHeight w:val="483"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GB50168</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电气装置安装工程电缆线路施工及验收规范</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GB50169</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电气装置安装工程接地装置施工及验收规范</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GB50170</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电气装置安装工程旋转电机施工及验收规范</w:t>
            </w:r>
          </w:p>
        </w:tc>
      </w:tr>
      <w:tr>
        <w:tblPrEx>
          <w:tblLayout w:type="fixed"/>
          <w:tblCellMar>
            <w:top w:w="0" w:type="dxa"/>
            <w:left w:w="0" w:type="dxa"/>
            <w:bottom w:w="0" w:type="dxa"/>
            <w:right w:w="0" w:type="dxa"/>
          </w:tblCellMar>
        </w:tblPrEx>
        <w:trPr>
          <w:trHeight w:val="48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GB50171</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电气装置安装工程盘，柜及二次回路结线施工及验收规范</w:t>
            </w:r>
          </w:p>
        </w:tc>
      </w:tr>
      <w:tr>
        <w:tblPrEx>
          <w:tblLayout w:type="fixed"/>
          <w:tblCellMar>
            <w:top w:w="0" w:type="dxa"/>
            <w:left w:w="0" w:type="dxa"/>
            <w:bottom w:w="0" w:type="dxa"/>
            <w:right w:w="0" w:type="dxa"/>
          </w:tblCellMar>
        </w:tblPrEx>
        <w:trPr>
          <w:trHeight w:val="478"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GB50147</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电气装置安装工程高压电器施工及验收规范</w:t>
            </w:r>
          </w:p>
        </w:tc>
      </w:tr>
      <w:tr>
        <w:tblPrEx>
          <w:tblLayout w:type="fixed"/>
          <w:tblCellMar>
            <w:top w:w="0" w:type="dxa"/>
            <w:left w:w="0" w:type="dxa"/>
            <w:bottom w:w="0" w:type="dxa"/>
            <w:right w:w="0" w:type="dxa"/>
          </w:tblCellMar>
        </w:tblPrEx>
        <w:trPr>
          <w:trHeight w:val="552"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GB50148</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电气装置安装工程电力变压器，互感器施工及验收规范</w:t>
            </w:r>
          </w:p>
        </w:tc>
      </w:tr>
      <w:tr>
        <w:tblPrEx>
          <w:tblLayout w:type="fixed"/>
          <w:tblCellMar>
            <w:top w:w="0" w:type="dxa"/>
            <w:left w:w="0" w:type="dxa"/>
            <w:bottom w:w="0" w:type="dxa"/>
            <w:right w:w="0" w:type="dxa"/>
          </w:tblCellMar>
        </w:tblPrEx>
        <w:trPr>
          <w:trHeight w:val="478"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GB50149</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电气装置安装工程母线装置施工及验收规范</w:t>
            </w:r>
          </w:p>
        </w:tc>
      </w:tr>
      <w:tr>
        <w:tblPrEx>
          <w:tblLayout w:type="fixed"/>
          <w:tblCellMar>
            <w:top w:w="0" w:type="dxa"/>
            <w:left w:w="0" w:type="dxa"/>
            <w:bottom w:w="0" w:type="dxa"/>
            <w:right w:w="0" w:type="dxa"/>
          </w:tblCellMar>
        </w:tblPrEx>
        <w:trPr>
          <w:trHeight w:val="591"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GB50131</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自动化仪表工程施工质量验收规范</w:t>
            </w:r>
          </w:p>
        </w:tc>
      </w:tr>
      <w:tr>
        <w:tblPrEx>
          <w:tblLayout w:type="fixed"/>
          <w:tblCellMar>
            <w:top w:w="0" w:type="dxa"/>
            <w:left w:w="0" w:type="dxa"/>
            <w:bottom w:w="0" w:type="dxa"/>
            <w:right w:w="0" w:type="dxa"/>
          </w:tblCellMar>
        </w:tblPrEx>
        <w:trPr>
          <w:trHeight w:val="593"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GB50093</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自动化仪表工程施工及验收规范</w:t>
            </w:r>
          </w:p>
        </w:tc>
      </w:tr>
      <w:tr>
        <w:tblPrEx>
          <w:tblLayout w:type="fixed"/>
          <w:tblCellMar>
            <w:top w:w="0" w:type="dxa"/>
            <w:left w:w="0" w:type="dxa"/>
            <w:bottom w:w="0" w:type="dxa"/>
            <w:right w:w="0" w:type="dxa"/>
          </w:tblCellMar>
        </w:tblPrEx>
        <w:trPr>
          <w:trHeight w:val="590" w:hRule="exact"/>
        </w:trPr>
        <w:tc>
          <w:tcPr>
            <w:tcW w:w="1596" w:type="dxa"/>
            <w:tcBorders>
              <w:top w:val="single" w:color="000000" w:sz="4" w:space="0"/>
              <w:left w:val="single" w:color="000000" w:sz="4" w:space="0"/>
              <w:bottom w:val="single" w:color="000000" w:sz="4" w:space="0"/>
              <w:right w:val="single" w:color="000000" w:sz="4" w:space="0"/>
            </w:tcBorders>
            <w:vAlign w:val="center"/>
          </w:tcPr>
          <w:p>
            <w:pPr>
              <w:pStyle w:val="29"/>
              <w:spacing w:before="120" w:after="120"/>
              <w:ind w:firstLine="472"/>
              <w:rPr>
                <w:color w:val="auto"/>
              </w:rPr>
            </w:pPr>
            <w:r>
              <w:rPr>
                <w:color w:val="auto"/>
              </w:rPr>
              <w:t>GB50052</w:t>
            </w:r>
          </w:p>
        </w:tc>
        <w:tc>
          <w:tcPr>
            <w:tcW w:w="6580" w:type="dxa"/>
            <w:tcBorders>
              <w:top w:val="single" w:color="000000" w:sz="4" w:space="0"/>
              <w:left w:val="single" w:color="000000" w:sz="4" w:space="0"/>
              <w:bottom w:val="single" w:color="000000" w:sz="4" w:space="0"/>
              <w:right w:val="single" w:color="000000" w:sz="4" w:space="0"/>
            </w:tcBorders>
            <w:vAlign w:val="center"/>
          </w:tcPr>
          <w:p>
            <w:pPr>
              <w:pStyle w:val="29"/>
              <w:spacing w:before="120" w:after="120"/>
              <w:ind w:firstLine="472"/>
              <w:rPr>
                <w:color w:val="auto"/>
              </w:rPr>
            </w:pPr>
            <w:r>
              <w:rPr>
                <w:color w:val="auto"/>
              </w:rPr>
              <w:t>供配电系统设计规范</w:t>
            </w:r>
          </w:p>
        </w:tc>
      </w:tr>
      <w:tr>
        <w:tblPrEx>
          <w:tblLayout w:type="fixed"/>
          <w:tblCellMar>
            <w:top w:w="0" w:type="dxa"/>
            <w:left w:w="0" w:type="dxa"/>
            <w:bottom w:w="0" w:type="dxa"/>
            <w:right w:w="0" w:type="dxa"/>
          </w:tblCellMar>
        </w:tblPrEx>
        <w:trPr>
          <w:trHeight w:val="590"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GB50053</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20kV及以下变电所设计规范</w:t>
            </w:r>
          </w:p>
        </w:tc>
      </w:tr>
      <w:tr>
        <w:tblPrEx>
          <w:tblLayout w:type="fixed"/>
          <w:tblCellMar>
            <w:top w:w="0" w:type="dxa"/>
            <w:left w:w="0" w:type="dxa"/>
            <w:bottom w:w="0" w:type="dxa"/>
            <w:right w:w="0" w:type="dxa"/>
          </w:tblCellMar>
        </w:tblPrEx>
        <w:trPr>
          <w:trHeight w:val="590"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GB50054</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低压配电设计规范</w:t>
            </w:r>
          </w:p>
        </w:tc>
      </w:tr>
      <w:tr>
        <w:tblPrEx>
          <w:tblLayout w:type="fixed"/>
          <w:tblCellMar>
            <w:top w:w="0" w:type="dxa"/>
            <w:left w:w="0" w:type="dxa"/>
            <w:bottom w:w="0" w:type="dxa"/>
            <w:right w:w="0" w:type="dxa"/>
          </w:tblCellMar>
        </w:tblPrEx>
        <w:trPr>
          <w:trHeight w:val="590"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GB50055</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通用用电设备配电设计规范</w:t>
            </w:r>
          </w:p>
        </w:tc>
      </w:tr>
      <w:tr>
        <w:tblPrEx>
          <w:tblLayout w:type="fixed"/>
          <w:tblCellMar>
            <w:top w:w="0" w:type="dxa"/>
            <w:left w:w="0" w:type="dxa"/>
            <w:bottom w:w="0" w:type="dxa"/>
            <w:right w:w="0" w:type="dxa"/>
          </w:tblCellMar>
        </w:tblPrEx>
        <w:trPr>
          <w:trHeight w:val="590"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GB50057</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建筑物防雷设计规范</w:t>
            </w:r>
          </w:p>
        </w:tc>
      </w:tr>
      <w:tr>
        <w:tblPrEx>
          <w:tblLayout w:type="fixed"/>
          <w:tblCellMar>
            <w:top w:w="0" w:type="dxa"/>
            <w:left w:w="0" w:type="dxa"/>
            <w:bottom w:w="0" w:type="dxa"/>
            <w:right w:w="0" w:type="dxa"/>
          </w:tblCellMar>
        </w:tblPrEx>
        <w:trPr>
          <w:trHeight w:val="590"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GB50217</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电力工程电缆设计规范</w:t>
            </w:r>
          </w:p>
        </w:tc>
      </w:tr>
      <w:tr>
        <w:tblPrEx>
          <w:tblLayout w:type="fixed"/>
          <w:tblCellMar>
            <w:top w:w="0" w:type="dxa"/>
            <w:left w:w="0" w:type="dxa"/>
            <w:bottom w:w="0" w:type="dxa"/>
            <w:right w:w="0" w:type="dxa"/>
          </w:tblCellMar>
        </w:tblPrEx>
        <w:trPr>
          <w:trHeight w:val="590"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GB50034</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建筑照明设计标准</w:t>
            </w:r>
          </w:p>
        </w:tc>
      </w:tr>
      <w:tr>
        <w:tblPrEx>
          <w:tblLayout w:type="fixed"/>
          <w:tblCellMar>
            <w:top w:w="0" w:type="dxa"/>
            <w:left w:w="0" w:type="dxa"/>
            <w:bottom w:w="0" w:type="dxa"/>
            <w:right w:w="0" w:type="dxa"/>
          </w:tblCellMar>
        </w:tblPrEx>
        <w:trPr>
          <w:trHeight w:val="590"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rFonts w:hint="eastAsia"/>
                <w:color w:val="auto"/>
              </w:rPr>
              <w:t>GB51349</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民用建筑电气设计</w:t>
            </w:r>
            <w:r>
              <w:rPr>
                <w:rFonts w:hint="eastAsia"/>
                <w:color w:val="auto"/>
              </w:rPr>
              <w:t>标准</w:t>
            </w:r>
          </w:p>
        </w:tc>
      </w:tr>
      <w:tr>
        <w:tblPrEx>
          <w:tblLayout w:type="fixed"/>
          <w:tblCellMar>
            <w:top w:w="0" w:type="dxa"/>
            <w:left w:w="0" w:type="dxa"/>
            <w:bottom w:w="0" w:type="dxa"/>
            <w:right w:w="0" w:type="dxa"/>
          </w:tblCellMar>
        </w:tblPrEx>
        <w:trPr>
          <w:trHeight w:val="590"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CJJ</w:t>
            </w:r>
            <w:r>
              <w:rPr>
                <w:rFonts w:hint="eastAsia"/>
                <w:color w:val="auto"/>
              </w:rPr>
              <w:t>/T</w:t>
            </w:r>
            <w:r>
              <w:rPr>
                <w:color w:val="auto"/>
              </w:rPr>
              <w:t>120</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城镇排水系统电气与自动化工程技术规程</w:t>
            </w:r>
          </w:p>
        </w:tc>
      </w:tr>
      <w:tr>
        <w:tblPrEx>
          <w:tblLayout w:type="fixed"/>
          <w:tblCellMar>
            <w:top w:w="0" w:type="dxa"/>
            <w:left w:w="0" w:type="dxa"/>
            <w:bottom w:w="0" w:type="dxa"/>
            <w:right w:w="0" w:type="dxa"/>
          </w:tblCellMar>
        </w:tblPrEx>
        <w:trPr>
          <w:trHeight w:val="590"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GB50116</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火灾自动报警系统设计规范</w:t>
            </w:r>
          </w:p>
        </w:tc>
      </w:tr>
      <w:tr>
        <w:tblPrEx>
          <w:tblLayout w:type="fixed"/>
          <w:tblCellMar>
            <w:top w:w="0" w:type="dxa"/>
            <w:left w:w="0" w:type="dxa"/>
            <w:bottom w:w="0" w:type="dxa"/>
            <w:right w:w="0" w:type="dxa"/>
          </w:tblCellMar>
        </w:tblPrEx>
        <w:trPr>
          <w:trHeight w:val="590"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GB50016</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建筑设计防火规范</w:t>
            </w:r>
          </w:p>
        </w:tc>
      </w:tr>
      <w:tr>
        <w:tblPrEx>
          <w:tblLayout w:type="fixed"/>
          <w:tblCellMar>
            <w:top w:w="0" w:type="dxa"/>
            <w:left w:w="0" w:type="dxa"/>
            <w:bottom w:w="0" w:type="dxa"/>
            <w:right w:w="0" w:type="dxa"/>
          </w:tblCellMar>
        </w:tblPrEx>
        <w:trPr>
          <w:trHeight w:val="590"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rFonts w:hint="eastAsia"/>
                <w:color w:val="auto"/>
              </w:rPr>
              <w:t>GB503112</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rFonts w:hint="eastAsia"/>
                <w:color w:val="auto"/>
              </w:rPr>
              <w:t>综合布线系统工程设计规范</w:t>
            </w:r>
          </w:p>
        </w:tc>
      </w:tr>
      <w:tr>
        <w:tblPrEx>
          <w:tblLayout w:type="fixed"/>
          <w:tblCellMar>
            <w:top w:w="0" w:type="dxa"/>
            <w:left w:w="0" w:type="dxa"/>
            <w:bottom w:w="0" w:type="dxa"/>
            <w:right w:w="0" w:type="dxa"/>
          </w:tblCellMar>
        </w:tblPrEx>
        <w:trPr>
          <w:trHeight w:val="590"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rFonts w:hint="eastAsia"/>
                <w:color w:val="auto"/>
              </w:rPr>
              <w:t>GB51309</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rFonts w:hint="eastAsia"/>
                <w:color w:val="auto"/>
              </w:rPr>
              <w:t>消防应急照明和疏散指示系统技术标准</w:t>
            </w:r>
          </w:p>
        </w:tc>
      </w:tr>
      <w:tr>
        <w:tblPrEx>
          <w:tblLayout w:type="fixed"/>
          <w:tblCellMar>
            <w:top w:w="0" w:type="dxa"/>
            <w:left w:w="0" w:type="dxa"/>
            <w:bottom w:w="0" w:type="dxa"/>
            <w:right w:w="0" w:type="dxa"/>
          </w:tblCellMar>
        </w:tblPrEx>
        <w:trPr>
          <w:trHeight w:val="590" w:hRule="exact"/>
        </w:trPr>
        <w:tc>
          <w:tcPr>
            <w:tcW w:w="1596"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装箱资料</w:t>
            </w:r>
          </w:p>
        </w:tc>
        <w:tc>
          <w:tcPr>
            <w:tcW w:w="6580" w:type="dxa"/>
            <w:tcBorders>
              <w:top w:val="single" w:color="000000" w:sz="4" w:space="0"/>
              <w:left w:val="single" w:color="000000" w:sz="4" w:space="0"/>
              <w:bottom w:val="single" w:color="000000" w:sz="4" w:space="0"/>
              <w:right w:val="single" w:color="000000" w:sz="4" w:space="0"/>
            </w:tcBorders>
          </w:tcPr>
          <w:p>
            <w:pPr>
              <w:pStyle w:val="29"/>
              <w:spacing w:before="120" w:after="120"/>
              <w:ind w:firstLine="472"/>
              <w:rPr>
                <w:color w:val="auto"/>
              </w:rPr>
            </w:pPr>
            <w:r>
              <w:rPr>
                <w:color w:val="auto"/>
              </w:rPr>
              <w:t>各种电气设备的使用说明及安装说明</w:t>
            </w:r>
          </w:p>
        </w:tc>
      </w:tr>
    </w:tbl>
    <w:p>
      <w:pPr>
        <w:rPr>
          <w:rFonts w:ascii="宋体" w:hAnsi="宋体" w:eastAsia="宋体" w:cs="宋体"/>
          <w:color w:val="auto"/>
          <w:sz w:val="21"/>
          <w:szCs w:val="21"/>
          <w:lang w:eastAsia="zh-CN"/>
        </w:rPr>
      </w:pPr>
    </w:p>
    <w:p>
      <w:pPr>
        <w:pStyle w:val="29"/>
        <w:ind w:firstLine="472"/>
        <w:rPr>
          <w:color w:val="auto"/>
        </w:rPr>
      </w:pPr>
      <w:r>
        <w:rPr>
          <w:rFonts w:hint="eastAsia"/>
          <w:color w:val="auto"/>
        </w:rPr>
        <w:t>上述所有的规范、标准应是现行的有效版本。承包商应完全熟悉上述标准，并应按照这些标准进行设备的设计、供货、安装和施工。当各标准之间存在差异时，应以较高标准作为参照标准。承包商如使用替代标准，就应提交所用的标准并对其进行说明。只有当所用的标准等效于或优于技术标书的要求时，该标准才可能被接受。</w:t>
      </w:r>
    </w:p>
    <w:p>
      <w:pPr>
        <w:pStyle w:val="29"/>
        <w:ind w:firstLine="472"/>
        <w:rPr>
          <w:color w:val="auto"/>
        </w:rPr>
      </w:pPr>
      <w:r>
        <w:rPr>
          <w:rFonts w:hint="eastAsia"/>
          <w:color w:val="auto"/>
        </w:rPr>
        <w:t>中标后，承包商应提供两套上述所有标准以及两套所选产品的企业标准供业主和设计使用</w:t>
      </w:r>
      <w:r>
        <w:rPr>
          <w:color w:val="auto"/>
        </w:rPr>
        <w:t>。</w:t>
      </w:r>
    </w:p>
    <w:p>
      <w:pPr>
        <w:pStyle w:val="31"/>
        <w:rPr>
          <w:color w:val="auto"/>
        </w:rPr>
      </w:pPr>
      <w:r>
        <w:rPr>
          <w:color w:val="auto"/>
        </w:rPr>
        <w:t>主要符号及单位</w:t>
      </w:r>
    </w:p>
    <w:p>
      <w:pPr>
        <w:pStyle w:val="29"/>
        <w:ind w:firstLine="472"/>
        <w:rPr>
          <w:color w:val="auto"/>
        </w:rPr>
      </w:pPr>
      <w:r>
        <w:rPr>
          <w:rFonts w:hint="eastAsia"/>
          <w:color w:val="auto"/>
        </w:rPr>
        <w:t>A</w:t>
      </w:r>
      <w:r>
        <w:rPr>
          <w:rFonts w:hint="eastAsia"/>
          <w:color w:val="auto"/>
        </w:rPr>
        <w:tab/>
      </w:r>
      <w:r>
        <w:rPr>
          <w:rFonts w:hint="eastAsia"/>
          <w:color w:val="auto"/>
        </w:rPr>
        <w:t>-----------------</w:t>
      </w:r>
      <w:r>
        <w:rPr>
          <w:rFonts w:hint="eastAsia"/>
          <w:color w:val="auto"/>
        </w:rPr>
        <w:tab/>
      </w:r>
      <w:r>
        <w:rPr>
          <w:rFonts w:hint="eastAsia"/>
          <w:color w:val="auto"/>
        </w:rPr>
        <w:t>安培</w:t>
      </w:r>
    </w:p>
    <w:p>
      <w:pPr>
        <w:pStyle w:val="29"/>
        <w:ind w:firstLine="472"/>
        <w:rPr>
          <w:color w:val="auto"/>
        </w:rPr>
      </w:pPr>
      <w:r>
        <w:rPr>
          <w:rFonts w:hint="eastAsia"/>
          <w:color w:val="auto"/>
        </w:rPr>
        <w:t>mA-----------------</w:t>
      </w:r>
      <w:r>
        <w:rPr>
          <w:rFonts w:hint="eastAsia"/>
          <w:color w:val="auto"/>
        </w:rPr>
        <w:tab/>
      </w:r>
      <w:r>
        <w:rPr>
          <w:rFonts w:hint="eastAsia"/>
          <w:color w:val="auto"/>
        </w:rPr>
        <w:t>毫安</w:t>
      </w:r>
    </w:p>
    <w:p>
      <w:pPr>
        <w:pStyle w:val="29"/>
        <w:ind w:firstLine="472"/>
        <w:rPr>
          <w:color w:val="auto"/>
        </w:rPr>
      </w:pPr>
      <w:r>
        <w:rPr>
          <w:rFonts w:hint="eastAsia"/>
          <w:color w:val="auto"/>
        </w:rPr>
        <w:t>V</w:t>
      </w:r>
      <w:r>
        <w:rPr>
          <w:rFonts w:hint="eastAsia"/>
          <w:color w:val="auto"/>
        </w:rPr>
        <w:tab/>
      </w:r>
      <w:r>
        <w:rPr>
          <w:rFonts w:hint="eastAsia"/>
          <w:color w:val="auto"/>
        </w:rPr>
        <w:t>-----------------</w:t>
      </w:r>
      <w:r>
        <w:rPr>
          <w:rFonts w:hint="eastAsia"/>
          <w:color w:val="auto"/>
        </w:rPr>
        <w:tab/>
      </w:r>
      <w:r>
        <w:rPr>
          <w:rFonts w:hint="eastAsia"/>
          <w:color w:val="auto"/>
        </w:rPr>
        <w:t>伏特</w:t>
      </w:r>
    </w:p>
    <w:p>
      <w:pPr>
        <w:pStyle w:val="29"/>
        <w:ind w:firstLine="472"/>
        <w:rPr>
          <w:color w:val="auto"/>
        </w:rPr>
      </w:pPr>
      <w:r>
        <w:rPr>
          <w:rFonts w:hint="eastAsia"/>
          <w:color w:val="auto"/>
        </w:rPr>
        <w:t>KV-----------------千伏</w:t>
      </w:r>
    </w:p>
    <w:p>
      <w:pPr>
        <w:pStyle w:val="29"/>
        <w:ind w:firstLine="472"/>
        <w:rPr>
          <w:color w:val="auto"/>
        </w:rPr>
      </w:pPr>
      <w:r>
        <w:rPr>
          <w:rFonts w:hint="eastAsia"/>
          <w:color w:val="auto"/>
        </w:rPr>
        <w:t>KW-----------------千瓦</w:t>
      </w:r>
    </w:p>
    <w:p>
      <w:pPr>
        <w:pStyle w:val="29"/>
        <w:ind w:firstLine="472"/>
        <w:rPr>
          <w:color w:val="auto"/>
        </w:rPr>
      </w:pPr>
      <w:r>
        <w:rPr>
          <w:rFonts w:hint="eastAsia"/>
          <w:color w:val="auto"/>
        </w:rPr>
        <w:t>KVA-----------------千伏安</w:t>
      </w:r>
    </w:p>
    <w:p>
      <w:pPr>
        <w:pStyle w:val="29"/>
        <w:ind w:firstLine="472"/>
        <w:rPr>
          <w:color w:val="auto"/>
        </w:rPr>
      </w:pPr>
      <w:r>
        <w:rPr>
          <w:rFonts w:hint="eastAsia"/>
          <w:color w:val="auto"/>
        </w:rPr>
        <w:t>Kvar-----------------千乏</w:t>
      </w:r>
    </w:p>
    <w:p>
      <w:pPr>
        <w:pStyle w:val="29"/>
        <w:ind w:firstLine="472"/>
        <w:rPr>
          <w:color w:val="auto"/>
        </w:rPr>
      </w:pPr>
      <w:r>
        <w:rPr>
          <w:rFonts w:hint="eastAsia"/>
          <w:color w:val="auto"/>
        </w:rPr>
        <w:t>MVA-----------------兆伏安</w:t>
      </w:r>
    </w:p>
    <w:p>
      <w:pPr>
        <w:pStyle w:val="29"/>
        <w:ind w:firstLine="472"/>
        <w:rPr>
          <w:color w:val="auto"/>
        </w:rPr>
      </w:pPr>
      <w:r>
        <w:rPr>
          <w:rFonts w:hint="eastAsia"/>
          <w:color w:val="auto"/>
        </w:rPr>
        <w:t>KWh-----------------千瓦小时</w:t>
      </w:r>
    </w:p>
    <w:p>
      <w:pPr>
        <w:pStyle w:val="29"/>
        <w:ind w:firstLine="472"/>
        <w:rPr>
          <w:color w:val="auto"/>
        </w:rPr>
      </w:pPr>
      <w:r>
        <w:rPr>
          <w:rFonts w:hint="eastAsia"/>
          <w:color w:val="auto"/>
        </w:rPr>
        <w:t>HZ-----------------</w:t>
      </w:r>
      <w:r>
        <w:rPr>
          <w:rFonts w:hint="eastAsia"/>
          <w:color w:val="auto"/>
        </w:rPr>
        <w:tab/>
      </w:r>
      <w:r>
        <w:rPr>
          <w:rFonts w:hint="eastAsia"/>
          <w:color w:val="auto"/>
        </w:rPr>
        <w:t>赫兹</w:t>
      </w:r>
    </w:p>
    <w:p>
      <w:pPr>
        <w:pStyle w:val="29"/>
        <w:ind w:firstLine="472"/>
        <w:rPr>
          <w:color w:val="auto"/>
        </w:rPr>
      </w:pPr>
      <w:r>
        <w:rPr>
          <w:rFonts w:hint="eastAsia"/>
          <w:color w:val="auto"/>
        </w:rPr>
        <w:t>Ω-----------------</w:t>
      </w:r>
      <w:r>
        <w:rPr>
          <w:rFonts w:hint="eastAsia"/>
          <w:color w:val="auto"/>
        </w:rPr>
        <w:tab/>
      </w:r>
      <w:r>
        <w:rPr>
          <w:rFonts w:hint="eastAsia"/>
          <w:color w:val="auto"/>
        </w:rPr>
        <w:t>欧姆</w:t>
      </w:r>
    </w:p>
    <w:p>
      <w:pPr>
        <w:pStyle w:val="29"/>
        <w:ind w:firstLine="472"/>
        <w:rPr>
          <w:color w:val="auto"/>
        </w:rPr>
      </w:pPr>
      <w:r>
        <w:rPr>
          <w:rFonts w:hint="eastAsia"/>
          <w:color w:val="auto"/>
        </w:rPr>
        <w:t>s</w:t>
      </w:r>
      <w:r>
        <w:rPr>
          <w:rFonts w:hint="eastAsia"/>
          <w:color w:val="auto"/>
        </w:rPr>
        <w:tab/>
      </w:r>
      <w:r>
        <w:rPr>
          <w:rFonts w:hint="eastAsia"/>
          <w:color w:val="auto"/>
        </w:rPr>
        <w:t>------------------</w:t>
      </w:r>
      <w:r>
        <w:rPr>
          <w:rFonts w:hint="eastAsia"/>
          <w:color w:val="auto"/>
        </w:rPr>
        <w:tab/>
      </w:r>
      <w:r>
        <w:rPr>
          <w:rFonts w:hint="eastAsia"/>
          <w:color w:val="auto"/>
        </w:rPr>
        <w:t>秒</w:t>
      </w:r>
    </w:p>
    <w:p>
      <w:pPr>
        <w:pStyle w:val="29"/>
        <w:ind w:firstLine="472"/>
        <w:rPr>
          <w:color w:val="auto"/>
        </w:rPr>
      </w:pPr>
      <w:r>
        <w:rPr>
          <w:rFonts w:hint="eastAsia"/>
          <w:color w:val="auto"/>
        </w:rPr>
        <w:t>ms------------------</w:t>
      </w:r>
      <w:r>
        <w:rPr>
          <w:rFonts w:hint="eastAsia"/>
          <w:color w:val="auto"/>
        </w:rPr>
        <w:tab/>
      </w:r>
      <w:r>
        <w:rPr>
          <w:rFonts w:hint="eastAsia"/>
          <w:color w:val="auto"/>
        </w:rPr>
        <w:t>毫秒</w:t>
      </w:r>
    </w:p>
    <w:p>
      <w:pPr>
        <w:pStyle w:val="29"/>
        <w:ind w:firstLine="472"/>
        <w:rPr>
          <w:color w:val="auto"/>
        </w:rPr>
      </w:pPr>
      <w:r>
        <w:rPr>
          <w:rFonts w:hint="eastAsia"/>
          <w:color w:val="auto"/>
        </w:rPr>
        <w:t>AC------------------交流</w:t>
      </w:r>
    </w:p>
    <w:p>
      <w:pPr>
        <w:pStyle w:val="29"/>
        <w:ind w:firstLine="472"/>
        <w:rPr>
          <w:color w:val="auto"/>
        </w:rPr>
      </w:pPr>
      <w:r>
        <w:rPr>
          <w:rFonts w:hint="eastAsia"/>
          <w:color w:val="auto"/>
        </w:rPr>
        <w:t>DC------------------直流</w:t>
      </w:r>
    </w:p>
    <w:p>
      <w:pPr>
        <w:pStyle w:val="29"/>
        <w:ind w:firstLine="472"/>
        <w:rPr>
          <w:color w:val="auto"/>
        </w:rPr>
      </w:pPr>
      <w:r>
        <w:rPr>
          <w:rFonts w:hint="eastAsia"/>
          <w:color w:val="auto"/>
        </w:rPr>
        <w:t>HV------------------高压</w:t>
      </w:r>
    </w:p>
    <w:p>
      <w:pPr>
        <w:pStyle w:val="29"/>
        <w:ind w:firstLine="472"/>
        <w:rPr>
          <w:color w:val="auto"/>
        </w:rPr>
      </w:pPr>
      <w:r>
        <w:rPr>
          <w:rFonts w:hint="eastAsia"/>
          <w:color w:val="auto"/>
        </w:rPr>
        <w:t>LV------------------低压</w:t>
      </w:r>
    </w:p>
    <w:p>
      <w:pPr>
        <w:pStyle w:val="29"/>
        <w:ind w:firstLine="472"/>
        <w:rPr>
          <w:color w:val="auto"/>
        </w:rPr>
      </w:pPr>
      <w:r>
        <w:rPr>
          <w:rFonts w:hint="eastAsia"/>
          <w:color w:val="auto"/>
        </w:rPr>
        <w:t>COSф---------------功率因数</w:t>
      </w:r>
    </w:p>
    <w:p>
      <w:pPr>
        <w:pStyle w:val="29"/>
        <w:ind w:firstLine="472"/>
        <w:rPr>
          <w:color w:val="auto"/>
        </w:rPr>
      </w:pPr>
      <w:r>
        <w:rPr>
          <w:rFonts w:hint="eastAsia"/>
          <w:color w:val="auto"/>
        </w:rPr>
        <w:t>f</w:t>
      </w:r>
      <w:r>
        <w:rPr>
          <w:rFonts w:hint="eastAsia"/>
          <w:color w:val="auto"/>
        </w:rPr>
        <w:tab/>
      </w:r>
      <w:r>
        <w:rPr>
          <w:rFonts w:hint="eastAsia"/>
          <w:color w:val="auto"/>
        </w:rPr>
        <w:t>------------------</w:t>
      </w:r>
      <w:r>
        <w:rPr>
          <w:rFonts w:hint="eastAsia"/>
          <w:color w:val="auto"/>
        </w:rPr>
        <w:tab/>
      </w:r>
      <w:r>
        <w:rPr>
          <w:rFonts w:hint="eastAsia"/>
          <w:color w:val="auto"/>
        </w:rPr>
        <w:t>频</w:t>
      </w:r>
      <w:r>
        <w:rPr>
          <w:color w:val="auto"/>
        </w:rPr>
        <w:t>率</w:t>
      </w:r>
    </w:p>
    <w:p>
      <w:pPr>
        <w:pStyle w:val="31"/>
        <w:rPr>
          <w:color w:val="auto"/>
        </w:rPr>
      </w:pPr>
      <w:r>
        <w:rPr>
          <w:color w:val="auto"/>
        </w:rPr>
        <w:t>相序排列</w:t>
      </w:r>
    </w:p>
    <w:p>
      <w:pPr>
        <w:pStyle w:val="29"/>
        <w:ind w:firstLine="472"/>
        <w:rPr>
          <w:color w:val="auto"/>
        </w:rPr>
      </w:pPr>
      <w:r>
        <w:rPr>
          <w:color w:val="auto"/>
        </w:rPr>
        <w:t>所有配电装置各回路的相序排列应一致，硬导体应涂刷相色油漆或相色标志。色刷应按照IEC有关标准，分别为黄、绿、红，中性线为淡蓝色，PE线和PEN线为黄绿相间</w:t>
      </w:r>
      <w:r>
        <w:rPr>
          <w:rFonts w:hint="eastAsia"/>
          <w:color w:val="auto"/>
        </w:rPr>
        <w:t>。</w:t>
      </w:r>
    </w:p>
    <w:p>
      <w:pPr>
        <w:pStyle w:val="31"/>
        <w:rPr>
          <w:color w:val="auto"/>
        </w:rPr>
      </w:pPr>
      <w:r>
        <w:rPr>
          <w:color w:val="auto"/>
        </w:rPr>
        <w:t>设备的一致性</w:t>
      </w:r>
    </w:p>
    <w:p>
      <w:pPr>
        <w:pStyle w:val="29"/>
        <w:ind w:firstLine="472"/>
        <w:rPr>
          <w:color w:val="auto"/>
        </w:rPr>
      </w:pPr>
      <w:r>
        <w:rPr>
          <w:color w:val="auto"/>
        </w:rPr>
        <w:t>在整个工程设计、施工期间，除非另有规定，每项电气设备、装置、仪表及附件的型号和制造应保持一致性。</w:t>
      </w:r>
    </w:p>
    <w:p>
      <w:pPr>
        <w:pStyle w:val="31"/>
        <w:rPr>
          <w:color w:val="auto"/>
        </w:rPr>
      </w:pPr>
      <w:r>
        <w:rPr>
          <w:color w:val="auto"/>
        </w:rPr>
        <w:t>标签、标识及通告</w:t>
      </w:r>
    </w:p>
    <w:p>
      <w:pPr>
        <w:pStyle w:val="29"/>
        <w:ind w:firstLine="472"/>
        <w:rPr>
          <w:color w:val="auto"/>
        </w:rPr>
      </w:pPr>
      <w:r>
        <w:rPr>
          <w:rFonts w:hint="eastAsia"/>
          <w:color w:val="auto"/>
        </w:rPr>
        <w:t>承包商提供的设备，所有的铭牌、使用指示、警告指示必须用中文表示。每个设备均应有制造厂家的铭牌，并装在显著的地方，铭牌上至少应包括制造厂名称、型号、容量、制造年份及其他可完全识别此项设备的资料。</w:t>
      </w:r>
    </w:p>
    <w:p>
      <w:pPr>
        <w:pStyle w:val="31"/>
        <w:rPr>
          <w:b w:val="0"/>
          <w:bCs/>
          <w:color w:val="auto"/>
        </w:rPr>
      </w:pPr>
      <w:r>
        <w:rPr>
          <w:color w:val="auto"/>
        </w:rPr>
        <w:t>设计寿命</w:t>
      </w:r>
    </w:p>
    <w:p>
      <w:pPr>
        <w:pStyle w:val="29"/>
        <w:ind w:firstLine="472"/>
        <w:rPr>
          <w:color w:val="auto"/>
          <w:spacing w:val="-3"/>
        </w:rPr>
      </w:pPr>
      <w:r>
        <w:rPr>
          <w:rFonts w:hint="eastAsia"/>
          <w:color w:val="auto"/>
        </w:rPr>
        <w:t>所有设备和材料应采用长寿命设计，适合24小时长时间连续运行。所有电气设备的设计使用年限应不小于15年</w:t>
      </w:r>
      <w:r>
        <w:rPr>
          <w:color w:val="auto"/>
          <w:spacing w:val="-3"/>
        </w:rPr>
        <w:t>。</w:t>
      </w:r>
    </w:p>
    <w:p>
      <w:pPr>
        <w:pStyle w:val="31"/>
        <w:rPr>
          <w:color w:val="auto"/>
        </w:rPr>
      </w:pPr>
      <w:bookmarkStart w:id="35" w:name="_Toc530304324"/>
      <w:r>
        <w:rPr>
          <w:rFonts w:hint="eastAsia"/>
          <w:color w:val="auto"/>
        </w:rPr>
        <w:t>技术资料交付和要求</w:t>
      </w:r>
      <w:bookmarkEnd w:id="35"/>
    </w:p>
    <w:p>
      <w:pPr>
        <w:pStyle w:val="29"/>
        <w:ind w:firstLine="472"/>
        <w:rPr>
          <w:color w:val="auto"/>
        </w:rPr>
      </w:pPr>
      <w:r>
        <w:rPr>
          <w:rFonts w:hint="eastAsia"/>
          <w:color w:val="auto"/>
        </w:rPr>
        <w:t>供货方所提供的技术文件包括电子版图纸和纸质版本项目专用图纸，其中电子版图纸应采用可编辑的CAD版和Office版图纸，纸质版图纸应加盖供货方公章或出图章。必要时，供货方应参加建设单位或设计单位组织的设备技术交流会。</w:t>
      </w:r>
    </w:p>
    <w:p>
      <w:pPr>
        <w:pStyle w:val="29"/>
        <w:ind w:firstLine="472"/>
        <w:rPr>
          <w:color w:val="auto"/>
        </w:rPr>
      </w:pPr>
      <w:r>
        <w:rPr>
          <w:rFonts w:hint="eastAsia"/>
          <w:color w:val="auto"/>
        </w:rPr>
        <w:t>1.第一批图纸交付内容和时间</w:t>
      </w:r>
    </w:p>
    <w:p>
      <w:pPr>
        <w:pStyle w:val="29"/>
        <w:ind w:firstLine="472"/>
        <w:rPr>
          <w:color w:val="auto"/>
        </w:rPr>
      </w:pPr>
      <w:r>
        <w:rPr>
          <w:rFonts w:hint="eastAsia"/>
          <w:color w:val="auto"/>
        </w:rPr>
        <w:t>设备厂家提供给设计院的图纸资料应满足业主需要和设计进度要求，在接到中标通知书三日内提供设计所用的图纸资料电子版一套，包括但不限于：</w:t>
      </w:r>
    </w:p>
    <w:p>
      <w:pPr>
        <w:pStyle w:val="29"/>
        <w:ind w:firstLine="472"/>
        <w:rPr>
          <w:color w:val="auto"/>
        </w:rPr>
      </w:pPr>
      <w:r>
        <w:rPr>
          <w:rFonts w:hint="eastAsia"/>
          <w:color w:val="auto"/>
        </w:rPr>
        <w:t>（1）开关柜、动力柜、箱的土建基础条件、外形尺寸（含剖面图）、排列布置图。</w:t>
      </w:r>
    </w:p>
    <w:p>
      <w:pPr>
        <w:pStyle w:val="29"/>
        <w:ind w:firstLine="472"/>
        <w:rPr>
          <w:color w:val="auto"/>
        </w:rPr>
      </w:pPr>
      <w:r>
        <w:rPr>
          <w:rFonts w:hint="eastAsia"/>
          <w:color w:val="auto"/>
        </w:rPr>
        <w:t>（2）土建基础条件包含柜体荷载、接地点位置、重量等。</w:t>
      </w:r>
    </w:p>
    <w:p>
      <w:pPr>
        <w:pStyle w:val="29"/>
        <w:ind w:firstLine="472"/>
        <w:rPr>
          <w:color w:val="auto"/>
        </w:rPr>
      </w:pPr>
      <w:r>
        <w:rPr>
          <w:rFonts w:hint="eastAsia"/>
          <w:color w:val="auto"/>
        </w:rPr>
        <w:t>2.第二批图纸交付内容和时间</w:t>
      </w:r>
    </w:p>
    <w:p>
      <w:pPr>
        <w:pStyle w:val="29"/>
        <w:ind w:firstLine="472"/>
        <w:rPr>
          <w:color w:val="auto"/>
        </w:rPr>
      </w:pPr>
      <w:r>
        <w:rPr>
          <w:rFonts w:hint="eastAsia"/>
          <w:color w:val="auto"/>
        </w:rPr>
        <w:t>投标方在合同范围签订后15天内向招标方提供资料和图纸（蓝图15份，电子版2份）：</w:t>
      </w:r>
    </w:p>
    <w:p>
      <w:pPr>
        <w:pStyle w:val="29"/>
        <w:ind w:firstLine="472"/>
        <w:rPr>
          <w:color w:val="auto"/>
        </w:rPr>
      </w:pPr>
      <w:r>
        <w:rPr>
          <w:rFonts w:hint="eastAsia"/>
          <w:color w:val="auto"/>
        </w:rPr>
        <w:t>（1）总装图。</w:t>
      </w:r>
    </w:p>
    <w:p>
      <w:pPr>
        <w:pStyle w:val="29"/>
        <w:ind w:firstLine="472"/>
        <w:rPr>
          <w:color w:val="auto"/>
        </w:rPr>
      </w:pPr>
      <w:r>
        <w:rPr>
          <w:rFonts w:hint="eastAsia"/>
          <w:color w:val="auto"/>
        </w:rPr>
        <w:t>（2）低压柜安装尺寸图。</w:t>
      </w:r>
    </w:p>
    <w:p>
      <w:pPr>
        <w:pStyle w:val="29"/>
        <w:ind w:firstLine="472"/>
        <w:rPr>
          <w:color w:val="auto"/>
        </w:rPr>
      </w:pPr>
      <w:r>
        <w:rPr>
          <w:rFonts w:hint="eastAsia"/>
          <w:color w:val="auto"/>
        </w:rPr>
        <w:t>（4）每面低压柜、箱一次出线、二次电流电压及控制回路原理图、端子排图、铭牌图。</w:t>
      </w:r>
    </w:p>
    <w:p>
      <w:pPr>
        <w:pStyle w:val="29"/>
        <w:ind w:firstLine="472"/>
        <w:rPr>
          <w:color w:val="auto"/>
        </w:rPr>
      </w:pPr>
      <w:r>
        <w:rPr>
          <w:rFonts w:hint="eastAsia"/>
          <w:color w:val="auto"/>
        </w:rPr>
        <w:t>（5）端子接线图：配合设计院统一出外部接入的接线施工图。</w:t>
      </w:r>
    </w:p>
    <w:p>
      <w:pPr>
        <w:pStyle w:val="29"/>
        <w:ind w:firstLine="472"/>
        <w:rPr>
          <w:color w:val="auto"/>
        </w:rPr>
      </w:pPr>
      <w:r>
        <w:rPr>
          <w:rFonts w:hint="eastAsia"/>
          <w:color w:val="auto"/>
        </w:rPr>
        <w:t>（6）造过程中所有型式试验、电气试验记录报告。</w:t>
      </w:r>
    </w:p>
    <w:p>
      <w:pPr>
        <w:pStyle w:val="29"/>
        <w:ind w:firstLine="472"/>
        <w:rPr>
          <w:color w:val="auto"/>
        </w:rPr>
      </w:pPr>
      <w:r>
        <w:rPr>
          <w:rFonts w:hint="eastAsia"/>
          <w:color w:val="auto"/>
        </w:rPr>
        <w:t>3.第三批图纸交付内容和时间</w:t>
      </w:r>
    </w:p>
    <w:p>
      <w:pPr>
        <w:pStyle w:val="29"/>
        <w:ind w:firstLine="472"/>
        <w:rPr>
          <w:color w:val="auto"/>
        </w:rPr>
      </w:pPr>
      <w:r>
        <w:rPr>
          <w:rFonts w:hint="eastAsia"/>
          <w:color w:val="auto"/>
        </w:rPr>
        <w:t>（1）在发货时每台设备提供随机资料文件一套，包括但不限于：</w:t>
      </w:r>
    </w:p>
    <w:p>
      <w:pPr>
        <w:pStyle w:val="29"/>
        <w:ind w:firstLine="472"/>
        <w:rPr>
          <w:color w:val="auto"/>
        </w:rPr>
      </w:pPr>
      <w:r>
        <w:rPr>
          <w:rFonts w:hint="eastAsia"/>
          <w:color w:val="auto"/>
        </w:rPr>
        <w:t>（2）整柜、全部元器件的原产地证明，质量性能证明文件；开关柜出厂一次配置图、柜体尺寸图。</w:t>
      </w:r>
    </w:p>
    <w:p>
      <w:pPr>
        <w:pStyle w:val="29"/>
        <w:ind w:firstLine="472"/>
        <w:rPr>
          <w:color w:val="auto"/>
        </w:rPr>
      </w:pPr>
      <w:r>
        <w:rPr>
          <w:rFonts w:hint="eastAsia"/>
          <w:color w:val="auto"/>
        </w:rPr>
        <w:t>（3）总装图。</w:t>
      </w:r>
    </w:p>
    <w:p>
      <w:pPr>
        <w:pStyle w:val="29"/>
        <w:ind w:firstLine="472"/>
        <w:rPr>
          <w:color w:val="auto"/>
        </w:rPr>
      </w:pPr>
      <w:r>
        <w:rPr>
          <w:rFonts w:hint="eastAsia"/>
          <w:color w:val="auto"/>
        </w:rPr>
        <w:t>（4）最终一次系统图、二次原理图、二次接线图、端子排图。（包括外购件、外协件）。</w:t>
      </w:r>
    </w:p>
    <w:p>
      <w:pPr>
        <w:pStyle w:val="29"/>
        <w:ind w:firstLine="472"/>
        <w:rPr>
          <w:color w:val="auto"/>
        </w:rPr>
      </w:pPr>
      <w:r>
        <w:rPr>
          <w:rFonts w:hint="eastAsia"/>
          <w:color w:val="auto"/>
        </w:rPr>
        <w:t>（5）出厂产品合格证明、产品型式试验报告、认证书、强制性标准（包括外购元器件厂家名称、产地及订货号）。</w:t>
      </w:r>
    </w:p>
    <w:p>
      <w:pPr>
        <w:pStyle w:val="29"/>
        <w:ind w:firstLine="472"/>
        <w:rPr>
          <w:color w:val="auto"/>
        </w:rPr>
      </w:pPr>
      <w:r>
        <w:rPr>
          <w:rFonts w:hint="eastAsia"/>
          <w:color w:val="auto"/>
        </w:rPr>
        <w:t>（6）主要设备使用的材料、外购件、外协件的材质报告。</w:t>
      </w:r>
    </w:p>
    <w:p>
      <w:pPr>
        <w:pStyle w:val="29"/>
        <w:ind w:firstLine="472"/>
        <w:rPr>
          <w:color w:val="auto"/>
        </w:rPr>
      </w:pPr>
      <w:r>
        <w:rPr>
          <w:rFonts w:hint="eastAsia"/>
          <w:color w:val="auto"/>
        </w:rPr>
        <w:t>（7）设备操作规程。</w:t>
      </w:r>
    </w:p>
    <w:p>
      <w:pPr>
        <w:pStyle w:val="29"/>
        <w:ind w:firstLine="472"/>
        <w:rPr>
          <w:color w:val="auto"/>
        </w:rPr>
      </w:pPr>
      <w:r>
        <w:rPr>
          <w:rFonts w:hint="eastAsia"/>
          <w:color w:val="auto"/>
        </w:rPr>
        <w:t>（8）操作安全规程、标准。</w:t>
      </w:r>
    </w:p>
    <w:p>
      <w:pPr>
        <w:pStyle w:val="29"/>
        <w:ind w:firstLine="472"/>
        <w:rPr>
          <w:color w:val="auto"/>
        </w:rPr>
      </w:pPr>
      <w:r>
        <w:rPr>
          <w:rFonts w:hint="eastAsia"/>
          <w:color w:val="auto"/>
        </w:rPr>
        <w:t>（9）检测报告、检验报告、试验报告（包括外购件、外协件）。</w:t>
      </w:r>
    </w:p>
    <w:p>
      <w:pPr>
        <w:pStyle w:val="29"/>
        <w:ind w:firstLine="472"/>
        <w:rPr>
          <w:color w:val="auto"/>
        </w:rPr>
      </w:pPr>
      <w:r>
        <w:rPr>
          <w:rFonts w:hint="eastAsia"/>
          <w:color w:val="auto"/>
        </w:rPr>
        <w:t>（10）投标方负责提供有关部门验收的需投标方提供的所有资料。</w:t>
      </w:r>
    </w:p>
    <w:p>
      <w:pPr>
        <w:pStyle w:val="29"/>
        <w:ind w:firstLine="472"/>
        <w:rPr>
          <w:color w:val="auto"/>
        </w:rPr>
      </w:pPr>
      <w:r>
        <w:rPr>
          <w:rFonts w:hint="eastAsia"/>
          <w:color w:val="auto"/>
        </w:rPr>
        <w:t>4.对于其它没有列入合同范围技术资料清单，却是工程所必须的文件和资料，一经发现，投标方也应及时免费提供。</w:t>
      </w:r>
    </w:p>
    <w:p>
      <w:pPr>
        <w:pStyle w:val="29"/>
        <w:ind w:firstLine="472"/>
        <w:rPr>
          <w:color w:val="auto"/>
        </w:rPr>
      </w:pPr>
      <w:r>
        <w:rPr>
          <w:rFonts w:hint="eastAsia"/>
          <w:color w:val="auto"/>
        </w:rPr>
        <w:t>5.投标方提供外购件、外协件的厂家针对此项目供货发票、质量保证函。</w:t>
      </w:r>
    </w:p>
    <w:p>
      <w:pPr>
        <w:pStyle w:val="31"/>
        <w:rPr>
          <w:color w:val="auto"/>
        </w:rPr>
      </w:pPr>
      <w:bookmarkStart w:id="36" w:name="_Toc530304325"/>
      <w:r>
        <w:rPr>
          <w:rFonts w:hint="eastAsia"/>
          <w:color w:val="auto"/>
        </w:rPr>
        <w:t>技术服务</w:t>
      </w:r>
      <w:bookmarkEnd w:id="36"/>
    </w:p>
    <w:p>
      <w:pPr>
        <w:pStyle w:val="29"/>
        <w:ind w:firstLine="472"/>
        <w:rPr>
          <w:color w:val="auto"/>
        </w:rPr>
      </w:pPr>
      <w:r>
        <w:rPr>
          <w:rFonts w:hint="eastAsia"/>
          <w:color w:val="auto"/>
        </w:rPr>
        <w:t>1.投标方现场技术服务人员应保证提供合同设备安全、正常投运的技术服务。投标方要派出合格的（有从事同类工作三年以上实践经验）、能独立解决问题的服务人员与业主一起进行指导设备安装、调试、验收及运行工作，直到保证正常稳定运行。</w:t>
      </w:r>
    </w:p>
    <w:p>
      <w:pPr>
        <w:pStyle w:val="29"/>
        <w:ind w:firstLine="472"/>
        <w:rPr>
          <w:color w:val="auto"/>
        </w:rPr>
      </w:pPr>
      <w:r>
        <w:rPr>
          <w:rFonts w:hint="eastAsia"/>
          <w:color w:val="auto"/>
        </w:rPr>
        <w:t>2.在调试期间，投标方在现场负责测试和调试。测试、调试方法及记录表格式应由业主认可后方可执行。投标方服务人员的一切费用己包含在合同价格中</w:t>
      </w:r>
      <w:r>
        <w:rPr>
          <w:color w:val="auto"/>
        </w:rPr>
        <w:t>,包</w:t>
      </w:r>
      <w:r>
        <w:rPr>
          <w:rFonts w:hint="eastAsia"/>
          <w:color w:val="auto"/>
        </w:rPr>
        <w:t>括诸如服务人员的工资及各种补助、交通费、通讯费、食宿费、医疗费、各种保险费、各种税费</w:t>
      </w:r>
      <w:r>
        <w:rPr>
          <w:color w:val="auto"/>
        </w:rPr>
        <w:t>等等。</w:t>
      </w:r>
    </w:p>
    <w:p>
      <w:pPr>
        <w:pStyle w:val="29"/>
        <w:ind w:firstLine="472"/>
        <w:rPr>
          <w:color w:val="auto"/>
        </w:rPr>
      </w:pPr>
      <w:r>
        <w:rPr>
          <w:rFonts w:hint="eastAsia"/>
          <w:color w:val="auto"/>
        </w:rPr>
        <w:t>3.现场服务人员的工作时间应与现场要求相一致，以满足现场安装、调试、验收和运行的要求。招标方不再因投标方现场服务人员的加班和节假日而另付费用。</w:t>
      </w:r>
    </w:p>
    <w:p>
      <w:pPr>
        <w:pStyle w:val="29"/>
        <w:ind w:firstLine="472"/>
        <w:rPr>
          <w:color w:val="auto"/>
        </w:rPr>
      </w:pPr>
      <w:r>
        <w:rPr>
          <w:rFonts w:hint="eastAsia"/>
          <w:color w:val="auto"/>
        </w:rPr>
        <w:t>4.未经招标方同意</w:t>
      </w:r>
      <w:r>
        <w:rPr>
          <w:color w:val="auto"/>
        </w:rPr>
        <w:t>,投标方不得随意更换现场服务人员。同时,投标方须及时更换招标方认为不合格的投标</w:t>
      </w:r>
      <w:r>
        <w:rPr>
          <w:rFonts w:hint="eastAsia"/>
          <w:color w:val="auto"/>
        </w:rPr>
        <w:t>方现场服务人员。投标方在招标方现场技术指导的技术人员的安全由投标方负责。</w:t>
      </w:r>
    </w:p>
    <w:p>
      <w:pPr>
        <w:pStyle w:val="29"/>
        <w:ind w:firstLine="472"/>
        <w:rPr>
          <w:color w:val="auto"/>
        </w:rPr>
      </w:pPr>
      <w:r>
        <w:rPr>
          <w:rFonts w:hint="eastAsia"/>
          <w:color w:val="auto"/>
        </w:rPr>
        <w:t>5.试运行过程中需连续</w:t>
      </w:r>
      <w:r>
        <w:rPr>
          <w:color w:val="auto"/>
        </w:rPr>
        <w:t>72+24小时以上的保证测试，如果一次保证测试达不到技术要求功能保证的规定，投标方应自费修正/</w:t>
      </w:r>
      <w:r>
        <w:rPr>
          <w:rFonts w:hint="eastAsia"/>
          <w:color w:val="auto"/>
        </w:rPr>
        <w:t>增补再次进行保证测试，业主允许投标方再次进行两次共不超过</w:t>
      </w:r>
      <w:r>
        <w:rPr>
          <w:color w:val="auto"/>
        </w:rPr>
        <w:t>20天的保证测试。如果仍无法满足合同功能保证规定的水平，允许投标方再进行一次完全自费的保证测试，但这次测试所消耗的原料、能源费用应由投标方承担。</w:t>
      </w:r>
    </w:p>
    <w:p>
      <w:pPr>
        <w:pStyle w:val="29"/>
        <w:ind w:firstLine="472"/>
        <w:rPr>
          <w:color w:val="auto"/>
        </w:rPr>
      </w:pPr>
      <w:r>
        <w:rPr>
          <w:rFonts w:hint="eastAsia"/>
          <w:color w:val="auto"/>
        </w:rPr>
        <w:t>6.投标方需保证测试的项目，保证测试的内容应包括本招标范围内所有设备、仪表、电气等组件的正常、系统的稳定、及各项操作指标达到要求。投标方应负责自费进行改造，直至达到规定的技术要求。</w:t>
      </w:r>
    </w:p>
    <w:p>
      <w:pPr>
        <w:pStyle w:val="29"/>
        <w:ind w:firstLine="472"/>
        <w:rPr>
          <w:color w:val="auto"/>
        </w:rPr>
      </w:pPr>
      <w:r>
        <w:rPr>
          <w:rFonts w:hint="eastAsia"/>
          <w:color w:val="auto"/>
        </w:rPr>
        <w:t>7.投标方承诺五年内不得高于本次投标价及时提供备品备件。</w:t>
      </w:r>
    </w:p>
    <w:p>
      <w:pPr>
        <w:pStyle w:val="29"/>
        <w:ind w:firstLine="472"/>
        <w:rPr>
          <w:color w:val="auto"/>
        </w:rPr>
      </w:pPr>
      <w:r>
        <w:rPr>
          <w:rFonts w:hint="eastAsia"/>
          <w:color w:val="auto"/>
        </w:rPr>
        <w:t>8.投标方须按承诺提供售后服务及在保质期内的免费维修，必须在收到业主故障申报</w:t>
      </w:r>
      <w:r>
        <w:rPr>
          <w:color w:val="auto"/>
        </w:rPr>
        <w:t>12小时内给以答复，24小时内抵达维修现场。</w:t>
      </w:r>
    </w:p>
    <w:p>
      <w:pPr>
        <w:pStyle w:val="29"/>
        <w:ind w:firstLine="472"/>
        <w:rPr>
          <w:color w:val="auto"/>
        </w:rPr>
      </w:pPr>
      <w:r>
        <w:rPr>
          <w:rFonts w:hint="eastAsia"/>
          <w:color w:val="auto"/>
        </w:rPr>
        <w:t>9.投标方可以提供给招标方的其他承诺。</w:t>
      </w:r>
    </w:p>
    <w:p>
      <w:pPr>
        <w:pStyle w:val="29"/>
        <w:ind w:firstLine="472"/>
        <w:rPr>
          <w:color w:val="auto"/>
        </w:rPr>
      </w:pPr>
      <w:r>
        <w:rPr>
          <w:rFonts w:hint="eastAsia"/>
          <w:color w:val="auto"/>
        </w:rPr>
        <w:t>10.验收</w:t>
      </w:r>
    </w:p>
    <w:p>
      <w:pPr>
        <w:pStyle w:val="29"/>
        <w:ind w:firstLine="472"/>
        <w:rPr>
          <w:color w:val="auto"/>
        </w:rPr>
      </w:pPr>
      <w:r>
        <w:rPr>
          <w:rFonts w:hint="eastAsia"/>
          <w:color w:val="auto"/>
        </w:rPr>
        <w:t>装置的试运行期满各项指标达到设计要求，由业主向投标方签发验收合格文件。</w:t>
      </w:r>
    </w:p>
    <w:p>
      <w:pPr>
        <w:pStyle w:val="29"/>
        <w:ind w:firstLine="472"/>
        <w:rPr>
          <w:color w:val="auto"/>
        </w:rPr>
      </w:pPr>
      <w:r>
        <w:rPr>
          <w:rFonts w:hint="eastAsia"/>
          <w:color w:val="auto"/>
        </w:rPr>
        <w:t>（1）验收按国家有关标准和规定执行。</w:t>
      </w:r>
    </w:p>
    <w:p>
      <w:pPr>
        <w:pStyle w:val="29"/>
        <w:ind w:firstLine="472"/>
        <w:rPr>
          <w:color w:val="auto"/>
        </w:rPr>
      </w:pPr>
      <w:r>
        <w:rPr>
          <w:rFonts w:hint="eastAsia"/>
          <w:color w:val="auto"/>
        </w:rPr>
        <w:t>（2）包括设备电压、电流、噪音等运行结果符合合同要求。</w:t>
      </w:r>
    </w:p>
    <w:p>
      <w:pPr>
        <w:pStyle w:val="29"/>
        <w:ind w:firstLine="472"/>
        <w:rPr>
          <w:color w:val="auto"/>
        </w:rPr>
      </w:pPr>
      <w:r>
        <w:rPr>
          <w:rFonts w:hint="eastAsia"/>
          <w:color w:val="auto"/>
        </w:rPr>
        <w:t>（3）在进行测试和验收、运行过程中发生的故障和发现的问题已被排除，并得到业主的认可。</w:t>
      </w:r>
    </w:p>
    <w:p>
      <w:pPr>
        <w:pStyle w:val="29"/>
        <w:ind w:firstLine="472"/>
        <w:rPr>
          <w:color w:val="auto"/>
        </w:rPr>
      </w:pPr>
      <w:r>
        <w:rPr>
          <w:rFonts w:hint="eastAsia"/>
          <w:color w:val="auto"/>
        </w:rPr>
        <w:t>（4）技术要求中规定的设备，备品备件、专用工具都已提交。</w:t>
      </w:r>
    </w:p>
    <w:p>
      <w:pPr>
        <w:pStyle w:val="29"/>
        <w:ind w:firstLine="472"/>
        <w:rPr>
          <w:color w:val="auto"/>
        </w:rPr>
      </w:pPr>
      <w:r>
        <w:rPr>
          <w:rFonts w:hint="eastAsia"/>
          <w:color w:val="auto"/>
        </w:rPr>
        <w:t>（5）设备在交由业主使用前已通过有关部门验收。</w:t>
      </w:r>
    </w:p>
    <w:p>
      <w:pPr>
        <w:pStyle w:val="29"/>
        <w:ind w:firstLine="472"/>
        <w:rPr>
          <w:color w:val="auto"/>
        </w:rPr>
      </w:pPr>
      <w:r>
        <w:rPr>
          <w:rFonts w:hint="eastAsia"/>
          <w:color w:val="auto"/>
        </w:rPr>
        <w:t>（6）整套设备图纸及技术文件都已提交并得到接受。</w:t>
      </w:r>
    </w:p>
    <w:p>
      <w:pPr>
        <w:pStyle w:val="29"/>
        <w:ind w:firstLine="472"/>
        <w:rPr>
          <w:color w:val="auto"/>
        </w:rPr>
      </w:pPr>
      <w:r>
        <w:rPr>
          <w:rFonts w:hint="eastAsia"/>
          <w:color w:val="auto"/>
        </w:rPr>
        <w:t>11.培训</w:t>
      </w:r>
    </w:p>
    <w:p>
      <w:pPr>
        <w:pStyle w:val="29"/>
        <w:ind w:firstLine="472"/>
        <w:rPr>
          <w:color w:val="auto"/>
        </w:rPr>
      </w:pPr>
      <w:r>
        <w:rPr>
          <w:rFonts w:hint="eastAsia"/>
          <w:color w:val="auto"/>
        </w:rPr>
        <w:t>投标方应对业主工作人员提供操作及维修培训，定出具体的时间、地点、培训内容和项目等。</w:t>
      </w:r>
    </w:p>
    <w:tbl>
      <w:tblPr>
        <w:tblStyle w:val="23"/>
        <w:tblW w:w="8789"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1880"/>
        <w:gridCol w:w="1080"/>
        <w:gridCol w:w="1309"/>
        <w:gridCol w:w="1411"/>
        <w:gridCol w:w="900"/>
        <w:gridCol w:w="148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trPr>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szCs w:val="21"/>
              </w:rPr>
              <w:t>序号</w:t>
            </w:r>
          </w:p>
        </w:tc>
        <w:tc>
          <w:tcPr>
            <w:tcW w:w="188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szCs w:val="21"/>
              </w:rPr>
              <w:t>培训内容</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szCs w:val="21"/>
              </w:rPr>
              <w:t>时间</w:t>
            </w:r>
          </w:p>
        </w:tc>
        <w:tc>
          <w:tcPr>
            <w:tcW w:w="130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szCs w:val="21"/>
              </w:rPr>
              <w:t>培训周期</w:t>
            </w:r>
          </w:p>
        </w:tc>
        <w:tc>
          <w:tcPr>
            <w:tcW w:w="141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szCs w:val="21"/>
              </w:rPr>
              <w:t>培训教师</w:t>
            </w:r>
          </w:p>
        </w:tc>
        <w:tc>
          <w:tcPr>
            <w:tcW w:w="9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szCs w:val="21"/>
              </w:rPr>
              <w:t>地点</w:t>
            </w:r>
          </w:p>
        </w:tc>
        <w:tc>
          <w:tcPr>
            <w:tcW w:w="14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szCs w:val="21"/>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trPr>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szCs w:val="21"/>
              </w:rPr>
              <w:t>1</w:t>
            </w:r>
          </w:p>
        </w:tc>
        <w:tc>
          <w:tcPr>
            <w:tcW w:w="188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130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141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14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trPr>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szCs w:val="21"/>
              </w:rPr>
              <w:t>2</w:t>
            </w:r>
          </w:p>
        </w:tc>
        <w:tc>
          <w:tcPr>
            <w:tcW w:w="188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130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141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14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trPr>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szCs w:val="21"/>
              </w:rPr>
              <w:t>3</w:t>
            </w:r>
          </w:p>
        </w:tc>
        <w:tc>
          <w:tcPr>
            <w:tcW w:w="188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130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141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14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exact"/>
        </w:trPr>
        <w:tc>
          <w:tcPr>
            <w:tcW w:w="72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szCs w:val="21"/>
              </w:rPr>
              <w:t>4</w:t>
            </w:r>
          </w:p>
        </w:tc>
        <w:tc>
          <w:tcPr>
            <w:tcW w:w="188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130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141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c>
          <w:tcPr>
            <w:tcW w:w="14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p>
        </w:tc>
      </w:tr>
    </w:tbl>
    <w:p>
      <w:pPr>
        <w:pStyle w:val="29"/>
        <w:ind w:firstLine="472"/>
        <w:rPr>
          <w:color w:val="auto"/>
        </w:rPr>
      </w:pPr>
      <w:r>
        <w:rPr>
          <w:rFonts w:hint="eastAsia"/>
          <w:color w:val="auto"/>
        </w:rPr>
        <w:t>12.</w:t>
      </w:r>
      <w:r>
        <w:rPr>
          <w:color w:val="auto"/>
        </w:rPr>
        <w:t>设备厂家现场服务人员的职责</w:t>
      </w:r>
    </w:p>
    <w:p>
      <w:pPr>
        <w:pStyle w:val="29"/>
        <w:ind w:firstLine="472"/>
        <w:rPr>
          <w:color w:val="auto"/>
        </w:rPr>
      </w:pPr>
      <w:r>
        <w:rPr>
          <w:rFonts w:hint="eastAsia"/>
          <w:color w:val="auto"/>
        </w:rPr>
        <w:t>（1）设备厂家现场服务人员的任务主要包括设备催交、货物的开箱检验、设备质量问题的处理、指导安装和调试、参加试运和性能验收试验。</w:t>
      </w:r>
    </w:p>
    <w:p>
      <w:pPr>
        <w:pStyle w:val="29"/>
        <w:ind w:firstLine="472"/>
        <w:rPr>
          <w:color w:val="auto"/>
        </w:rPr>
      </w:pPr>
      <w:r>
        <w:rPr>
          <w:rFonts w:hint="eastAsia"/>
          <w:color w:val="auto"/>
        </w:rPr>
        <w:t>（2）在安装和调试前，设备厂家技术服务人员向业主技术交底，讲解和示范将要进行的程序和方法。对重要工序，设备厂家技术人员要对施工情况进行确认和签证，否则业主不能进行下一道工序。经设备厂家确认和签证的工序如因设备厂家技术服务人员指导错误而发生问题，设备厂家负全部责任。</w:t>
      </w:r>
    </w:p>
    <w:p>
      <w:pPr>
        <w:pStyle w:val="31"/>
        <w:rPr>
          <w:color w:val="auto"/>
        </w:rPr>
      </w:pPr>
      <w:bookmarkStart w:id="37" w:name="_Toc530304326"/>
      <w:r>
        <w:rPr>
          <w:rFonts w:hint="eastAsia"/>
          <w:color w:val="auto"/>
        </w:rPr>
        <w:t>质量保证和性能验收</w:t>
      </w:r>
      <w:bookmarkEnd w:id="37"/>
    </w:p>
    <w:p>
      <w:pPr>
        <w:pStyle w:val="29"/>
        <w:ind w:firstLine="472"/>
        <w:rPr>
          <w:color w:val="auto"/>
        </w:rPr>
      </w:pPr>
      <w:r>
        <w:rPr>
          <w:rFonts w:hint="eastAsia"/>
          <w:color w:val="auto"/>
        </w:rPr>
        <w:t>（一）质量保证</w:t>
      </w:r>
    </w:p>
    <w:p>
      <w:pPr>
        <w:pStyle w:val="29"/>
        <w:ind w:firstLine="472"/>
        <w:rPr>
          <w:color w:val="auto"/>
        </w:rPr>
      </w:pPr>
      <w:r>
        <w:rPr>
          <w:rFonts w:hint="eastAsia"/>
          <w:color w:val="auto"/>
        </w:rPr>
        <w:t>（1）投标方应提供可操作的质量保证程序及相应的文件，并在生产本技术协议内的设备时能严格执行质量控制计划。</w:t>
      </w:r>
    </w:p>
    <w:p>
      <w:pPr>
        <w:pStyle w:val="29"/>
        <w:ind w:firstLine="472"/>
        <w:rPr>
          <w:color w:val="auto"/>
        </w:rPr>
      </w:pPr>
      <w:r>
        <w:rPr>
          <w:rFonts w:hint="eastAsia"/>
          <w:color w:val="auto"/>
        </w:rPr>
        <w:t>（2）为了确保产品质量，供货范围内的所有配套产品的生产厂家和分承包商的资格，原则上应经招标方和设计单位确认后才能采用。</w:t>
      </w:r>
    </w:p>
    <w:p>
      <w:pPr>
        <w:pStyle w:val="29"/>
        <w:ind w:firstLine="472"/>
        <w:rPr>
          <w:color w:val="auto"/>
        </w:rPr>
      </w:pPr>
      <w:r>
        <w:rPr>
          <w:rFonts w:hint="eastAsia"/>
          <w:color w:val="auto"/>
        </w:rPr>
        <w:t>（3）投标方提供的设备在安装过程中如发现与提供给设计单位的资料不符而造成基础、安装等返工，投标方应负责赔偿所造成的经济损失。</w:t>
      </w:r>
    </w:p>
    <w:p>
      <w:pPr>
        <w:pStyle w:val="29"/>
        <w:ind w:firstLine="472"/>
        <w:rPr>
          <w:color w:val="auto"/>
        </w:rPr>
      </w:pPr>
      <w:r>
        <w:rPr>
          <w:rFonts w:hint="eastAsia"/>
          <w:color w:val="auto"/>
        </w:rPr>
        <w:t>（4）本供货设备的质量保证期不低于1年，质量保证期从72+24小时满负荷试运行完成后开始算起。其中有源电力滤波器设备质量保质期：三年，三年内非人为或自然灾害等引起的设备故障，供方免费维修。</w:t>
      </w:r>
    </w:p>
    <w:p>
      <w:pPr>
        <w:pStyle w:val="29"/>
        <w:ind w:firstLine="472"/>
        <w:rPr>
          <w:color w:val="auto"/>
        </w:rPr>
      </w:pPr>
      <w:r>
        <w:rPr>
          <w:rFonts w:hint="eastAsia"/>
          <w:color w:val="auto"/>
        </w:rPr>
        <w:t>（二）整体性能验收</w:t>
      </w:r>
    </w:p>
    <w:p>
      <w:pPr>
        <w:pStyle w:val="29"/>
        <w:ind w:firstLine="472"/>
        <w:rPr>
          <w:color w:val="auto"/>
        </w:rPr>
      </w:pPr>
      <w:r>
        <w:rPr>
          <w:rFonts w:hint="eastAsia"/>
          <w:color w:val="auto"/>
        </w:rPr>
        <w:t>（1）性能验收试验方案由招标方组织，投标方参加，试验大纲由投标方遵循国家相关标准编写并经双方确认，投标方负责技术方案和技术指导。</w:t>
      </w:r>
    </w:p>
    <w:p>
      <w:pPr>
        <w:pStyle w:val="29"/>
        <w:ind w:firstLine="472"/>
        <w:rPr>
          <w:color w:val="auto"/>
        </w:rPr>
      </w:pPr>
      <w:r>
        <w:rPr>
          <w:rFonts w:hint="eastAsia"/>
          <w:color w:val="auto"/>
        </w:rPr>
        <w:t>（2）性能验收试验结果的确认</w:t>
      </w:r>
    </w:p>
    <w:p>
      <w:pPr>
        <w:pStyle w:val="29"/>
        <w:ind w:firstLine="472"/>
        <w:rPr>
          <w:color w:val="auto"/>
        </w:rPr>
      </w:pPr>
      <w:r>
        <w:rPr>
          <w:rFonts w:hint="eastAsia"/>
          <w:color w:val="auto"/>
        </w:rPr>
        <w:t>（3）性能验收试验报告以招标方为主编写，投标方参加，共同签章确认结论，如双方对试验的结果有不一致意见，双方协商解决，如仍不能达成一致，任何一方均可就近提请有资质的商验机构进行检验，上述机构出具的商验证明文件是具有法律效应的最终结果，其检验费用由责任方负担。</w:t>
      </w:r>
    </w:p>
    <w:p>
      <w:pPr>
        <w:pStyle w:val="29"/>
        <w:ind w:firstLine="472"/>
        <w:rPr>
          <w:color w:val="auto"/>
        </w:rPr>
      </w:pPr>
      <w:r>
        <w:rPr>
          <w:rFonts w:hint="eastAsia"/>
          <w:color w:val="auto"/>
        </w:rPr>
        <w:t>（4）进行性能验收试验时，投标方接到招标方试验通知而不派人参加试验，则被视为对验收试验结果的同意，并进行确认签字盖章。</w:t>
      </w:r>
    </w:p>
    <w:p>
      <w:pPr>
        <w:pStyle w:val="29"/>
        <w:ind w:firstLine="472"/>
        <w:rPr>
          <w:color w:val="auto"/>
        </w:rPr>
      </w:pPr>
      <w:r>
        <w:rPr>
          <w:rFonts w:hint="eastAsia"/>
          <w:color w:val="auto"/>
        </w:rPr>
        <w:t>（5）设备在通过72+24小时满负荷试运行后三个月内，招标方组织进行各项性能验收试验,试验结果应满足设计要求。</w:t>
      </w:r>
    </w:p>
    <w:p>
      <w:pPr>
        <w:pStyle w:val="30"/>
        <w:spacing w:before="120" w:after="120"/>
        <w:rPr>
          <w:b w:val="0"/>
          <w:bCs/>
          <w:color w:val="auto"/>
        </w:rPr>
      </w:pPr>
      <w:bookmarkStart w:id="38" w:name="_Toc117181344"/>
      <w:r>
        <w:rPr>
          <w:color w:val="auto"/>
        </w:rPr>
        <w:t>主要电气设备</w:t>
      </w:r>
      <w:bookmarkEnd w:id="38"/>
    </w:p>
    <w:p>
      <w:pPr>
        <w:pStyle w:val="31"/>
        <w:rPr>
          <w:color w:val="auto"/>
        </w:rPr>
      </w:pPr>
      <w:r>
        <w:rPr>
          <w:color w:val="auto"/>
        </w:rPr>
        <w:t>10KV高压开关柜</w:t>
      </w:r>
    </w:p>
    <w:p>
      <w:pPr>
        <w:pStyle w:val="29"/>
        <w:ind w:firstLine="478"/>
        <w:rPr>
          <w:color w:val="auto"/>
          <w:spacing w:val="-1"/>
        </w:rPr>
      </w:pPr>
      <w:r>
        <w:rPr>
          <w:color w:val="auto"/>
          <w:spacing w:val="-1"/>
        </w:rPr>
        <w:t>10KV高压开关柜应采用国内广泛应用的国际知名品牌产品。应符合IEC、GB以及电力行业DL标准的要求。</w:t>
      </w:r>
    </w:p>
    <w:p>
      <w:pPr>
        <w:pStyle w:val="29"/>
        <w:ind w:firstLine="478"/>
        <w:rPr>
          <w:color w:val="auto"/>
          <w:spacing w:val="-1"/>
        </w:rPr>
      </w:pPr>
      <w:r>
        <w:rPr>
          <w:color w:val="auto"/>
          <w:spacing w:val="-1"/>
        </w:rPr>
        <w:t>10KV高压开关柜应提供国家级型式试验机构发布的型式试验报告。高压配电柜</w:t>
      </w:r>
      <w:r>
        <w:rPr>
          <w:rFonts w:hint="eastAsia"/>
          <w:color w:val="auto"/>
          <w:spacing w:val="-1"/>
        </w:rPr>
        <w:t>建议选用</w:t>
      </w:r>
      <w:r>
        <w:rPr>
          <w:color w:val="auto"/>
          <w:spacing w:val="-1"/>
        </w:rPr>
        <w:t>金属铠装中置移开式高压开关柜，柜型应为在国内应用广泛的国际知</w:t>
      </w:r>
    </w:p>
    <w:p>
      <w:pPr>
        <w:pStyle w:val="29"/>
        <w:ind w:firstLine="478"/>
        <w:rPr>
          <w:color w:val="auto"/>
          <w:spacing w:val="-1"/>
        </w:rPr>
      </w:pPr>
      <w:r>
        <w:rPr>
          <w:color w:val="auto"/>
          <w:spacing w:val="-1"/>
        </w:rPr>
        <w:t>名品牌柜型，并获得当地供电部门当年的入网许可。开关柜内高压断路器采用真空断路器。开关柜柜体结构及柜内电气设备电气性能应满足下列条件</w:t>
      </w:r>
      <w:r>
        <w:rPr>
          <w:rFonts w:hint="eastAsia"/>
          <w:color w:val="auto"/>
          <w:spacing w:val="-1"/>
        </w:rPr>
        <w:t>：</w:t>
      </w:r>
    </w:p>
    <w:tbl>
      <w:tblPr>
        <w:tblStyle w:val="25"/>
        <w:tblpPr w:leftFromText="180" w:rightFromText="180" w:vertAnchor="text" w:horzAnchor="page" w:tblpX="2339" w:tblpY="190"/>
        <w:tblOverlap w:val="never"/>
        <w:tblW w:w="6548" w:type="dxa"/>
        <w:tblInd w:w="0" w:type="dxa"/>
        <w:tblLayout w:type="fixed"/>
        <w:tblCellMar>
          <w:top w:w="0" w:type="dxa"/>
          <w:left w:w="0" w:type="dxa"/>
          <w:bottom w:w="0" w:type="dxa"/>
          <w:right w:w="0" w:type="dxa"/>
        </w:tblCellMar>
      </w:tblPr>
      <w:tblGrid>
        <w:gridCol w:w="3821"/>
        <w:gridCol w:w="2727"/>
      </w:tblGrid>
      <w:tr>
        <w:tblPrEx>
          <w:tblLayout w:type="fixed"/>
          <w:tblCellMar>
            <w:top w:w="0" w:type="dxa"/>
            <w:left w:w="0" w:type="dxa"/>
            <w:bottom w:w="0" w:type="dxa"/>
            <w:right w:w="0" w:type="dxa"/>
          </w:tblCellMar>
        </w:tblPrEx>
        <w:trPr>
          <w:trHeight w:val="57" w:hRule="atLeast"/>
        </w:trPr>
        <w:tc>
          <w:tcPr>
            <w:tcW w:w="3821" w:type="dxa"/>
            <w:tcBorders>
              <w:top w:val="single" w:color="000000" w:sz="4" w:space="0"/>
              <w:left w:val="single" w:color="000000" w:sz="4" w:space="0"/>
              <w:bottom w:val="single" w:color="000000" w:sz="4" w:space="0"/>
              <w:right w:val="single" w:color="000000" w:sz="4" w:space="0"/>
            </w:tcBorders>
          </w:tcPr>
          <w:p>
            <w:pPr>
              <w:pStyle w:val="27"/>
              <w:spacing w:before="120" w:after="120" w:line="255" w:lineRule="exact"/>
              <w:jc w:val="center"/>
              <w:rPr>
                <w:rFonts w:ascii="宋体" w:hAnsi="宋体" w:eastAsia="宋体" w:cs="宋体"/>
                <w:color w:val="auto"/>
                <w:sz w:val="21"/>
                <w:szCs w:val="21"/>
              </w:rPr>
            </w:pPr>
            <w:r>
              <w:rPr>
                <w:rFonts w:ascii="宋体" w:hAnsi="宋体" w:eastAsia="宋体" w:cs="宋体"/>
                <w:color w:val="auto"/>
                <w:sz w:val="21"/>
                <w:szCs w:val="21"/>
              </w:rPr>
              <w:t>额定工作电压</w:t>
            </w:r>
          </w:p>
        </w:tc>
        <w:tc>
          <w:tcPr>
            <w:tcW w:w="2727" w:type="dxa"/>
            <w:tcBorders>
              <w:top w:val="single" w:color="000000" w:sz="4" w:space="0"/>
              <w:left w:val="single" w:color="000000" w:sz="4" w:space="0"/>
              <w:bottom w:val="single" w:color="000000" w:sz="4" w:space="0"/>
              <w:right w:val="single" w:color="000000" w:sz="4" w:space="0"/>
            </w:tcBorders>
          </w:tcPr>
          <w:p>
            <w:pPr>
              <w:pStyle w:val="27"/>
              <w:spacing w:before="120" w:after="120" w:line="255" w:lineRule="exact"/>
              <w:jc w:val="center"/>
              <w:rPr>
                <w:rFonts w:ascii="宋体" w:hAnsi="宋体" w:eastAsia="宋体" w:cs="宋体"/>
                <w:color w:val="auto"/>
                <w:sz w:val="21"/>
                <w:szCs w:val="21"/>
              </w:rPr>
            </w:pPr>
            <w:r>
              <w:rPr>
                <w:rFonts w:ascii="宋体"/>
                <w:color w:val="auto"/>
                <w:sz w:val="21"/>
              </w:rPr>
              <w:t>10KV</w:t>
            </w:r>
          </w:p>
        </w:tc>
      </w:tr>
      <w:tr>
        <w:tblPrEx>
          <w:tblLayout w:type="fixed"/>
          <w:tblCellMar>
            <w:top w:w="0" w:type="dxa"/>
            <w:left w:w="0" w:type="dxa"/>
            <w:bottom w:w="0" w:type="dxa"/>
            <w:right w:w="0" w:type="dxa"/>
          </w:tblCellMar>
        </w:tblPrEx>
        <w:trPr>
          <w:trHeight w:val="57" w:hRule="atLeast"/>
        </w:trPr>
        <w:tc>
          <w:tcPr>
            <w:tcW w:w="3821" w:type="dxa"/>
            <w:tcBorders>
              <w:top w:val="single" w:color="000000" w:sz="4" w:space="0"/>
              <w:left w:val="single" w:color="000000" w:sz="4" w:space="0"/>
              <w:bottom w:val="single" w:color="000000" w:sz="4" w:space="0"/>
              <w:right w:val="single" w:color="000000" w:sz="4" w:space="0"/>
            </w:tcBorders>
          </w:tcPr>
          <w:p>
            <w:pPr>
              <w:pStyle w:val="27"/>
              <w:spacing w:before="120" w:after="120" w:line="250" w:lineRule="exact"/>
              <w:jc w:val="center"/>
              <w:rPr>
                <w:rFonts w:ascii="宋体" w:hAnsi="宋体" w:eastAsia="宋体" w:cs="宋体"/>
                <w:color w:val="auto"/>
                <w:sz w:val="21"/>
                <w:szCs w:val="21"/>
              </w:rPr>
            </w:pPr>
            <w:r>
              <w:rPr>
                <w:rFonts w:ascii="宋体" w:hAnsi="宋体" w:eastAsia="宋体" w:cs="宋体"/>
                <w:color w:val="auto"/>
                <w:sz w:val="21"/>
                <w:szCs w:val="21"/>
              </w:rPr>
              <w:t>最高工作电压</w:t>
            </w:r>
          </w:p>
        </w:tc>
        <w:tc>
          <w:tcPr>
            <w:tcW w:w="2727" w:type="dxa"/>
            <w:tcBorders>
              <w:top w:val="single" w:color="000000" w:sz="4" w:space="0"/>
              <w:left w:val="single" w:color="000000" w:sz="4" w:space="0"/>
              <w:bottom w:val="single" w:color="000000" w:sz="4" w:space="0"/>
              <w:right w:val="single" w:color="000000" w:sz="4" w:space="0"/>
            </w:tcBorders>
          </w:tcPr>
          <w:p>
            <w:pPr>
              <w:pStyle w:val="27"/>
              <w:spacing w:before="120" w:after="120" w:line="250" w:lineRule="exact"/>
              <w:ind w:left="5"/>
              <w:jc w:val="center"/>
              <w:rPr>
                <w:rFonts w:ascii="宋体" w:hAnsi="宋体" w:eastAsia="宋体" w:cs="宋体"/>
                <w:color w:val="auto"/>
                <w:sz w:val="21"/>
                <w:szCs w:val="21"/>
              </w:rPr>
            </w:pPr>
            <w:r>
              <w:rPr>
                <w:rFonts w:ascii="宋体"/>
                <w:color w:val="auto"/>
                <w:sz w:val="21"/>
              </w:rPr>
              <w:t>12KV</w:t>
            </w:r>
          </w:p>
        </w:tc>
      </w:tr>
      <w:tr>
        <w:tblPrEx>
          <w:tblLayout w:type="fixed"/>
          <w:tblCellMar>
            <w:top w:w="0" w:type="dxa"/>
            <w:left w:w="0" w:type="dxa"/>
            <w:bottom w:w="0" w:type="dxa"/>
            <w:right w:w="0" w:type="dxa"/>
          </w:tblCellMar>
        </w:tblPrEx>
        <w:trPr>
          <w:trHeight w:val="57" w:hRule="atLeast"/>
        </w:trPr>
        <w:tc>
          <w:tcPr>
            <w:tcW w:w="3821" w:type="dxa"/>
            <w:tcBorders>
              <w:top w:val="single" w:color="000000" w:sz="4" w:space="0"/>
              <w:left w:val="single" w:color="000000" w:sz="4" w:space="0"/>
              <w:bottom w:val="single" w:color="000000" w:sz="4" w:space="0"/>
              <w:right w:val="single" w:color="000000" w:sz="4" w:space="0"/>
            </w:tcBorders>
          </w:tcPr>
          <w:p>
            <w:pPr>
              <w:pStyle w:val="27"/>
              <w:spacing w:before="120" w:after="120" w:line="255" w:lineRule="exact"/>
              <w:jc w:val="center"/>
              <w:rPr>
                <w:rFonts w:ascii="宋体" w:hAnsi="宋体" w:eastAsia="宋体" w:cs="宋体"/>
                <w:color w:val="auto"/>
                <w:sz w:val="21"/>
                <w:szCs w:val="21"/>
              </w:rPr>
            </w:pPr>
            <w:r>
              <w:rPr>
                <w:rFonts w:ascii="宋体" w:hAnsi="宋体" w:eastAsia="宋体" w:cs="宋体"/>
                <w:color w:val="auto"/>
                <w:sz w:val="21"/>
                <w:szCs w:val="21"/>
              </w:rPr>
              <w:t>1min工频耐压</w:t>
            </w:r>
          </w:p>
        </w:tc>
        <w:tc>
          <w:tcPr>
            <w:tcW w:w="2727" w:type="dxa"/>
            <w:tcBorders>
              <w:top w:val="single" w:color="000000" w:sz="4" w:space="0"/>
              <w:left w:val="single" w:color="000000" w:sz="4" w:space="0"/>
              <w:bottom w:val="single" w:color="000000" w:sz="4" w:space="0"/>
              <w:right w:val="single" w:color="000000" w:sz="4" w:space="0"/>
            </w:tcBorders>
          </w:tcPr>
          <w:p>
            <w:pPr>
              <w:pStyle w:val="27"/>
              <w:spacing w:before="120" w:after="120" w:line="255" w:lineRule="exact"/>
              <w:ind w:left="5"/>
              <w:jc w:val="center"/>
              <w:rPr>
                <w:rFonts w:ascii="宋体" w:hAnsi="宋体" w:eastAsia="宋体" w:cs="宋体"/>
                <w:color w:val="auto"/>
                <w:sz w:val="21"/>
                <w:szCs w:val="21"/>
              </w:rPr>
            </w:pPr>
            <w:r>
              <w:rPr>
                <w:rFonts w:ascii="宋体"/>
                <w:color w:val="auto"/>
                <w:sz w:val="21"/>
              </w:rPr>
              <w:t>42KV</w:t>
            </w:r>
          </w:p>
        </w:tc>
      </w:tr>
      <w:tr>
        <w:tblPrEx>
          <w:tblLayout w:type="fixed"/>
          <w:tblCellMar>
            <w:top w:w="0" w:type="dxa"/>
            <w:left w:w="0" w:type="dxa"/>
            <w:bottom w:w="0" w:type="dxa"/>
            <w:right w:w="0" w:type="dxa"/>
          </w:tblCellMar>
        </w:tblPrEx>
        <w:trPr>
          <w:trHeight w:val="57" w:hRule="atLeast"/>
        </w:trPr>
        <w:tc>
          <w:tcPr>
            <w:tcW w:w="3821" w:type="dxa"/>
            <w:tcBorders>
              <w:top w:val="single" w:color="000000" w:sz="4" w:space="0"/>
              <w:left w:val="single" w:color="000000" w:sz="4" w:space="0"/>
              <w:bottom w:val="single" w:color="000000" w:sz="4" w:space="0"/>
              <w:right w:val="single" w:color="000000" w:sz="4" w:space="0"/>
            </w:tcBorders>
          </w:tcPr>
          <w:p>
            <w:pPr>
              <w:pStyle w:val="27"/>
              <w:spacing w:before="120" w:after="120" w:line="250" w:lineRule="exact"/>
              <w:jc w:val="center"/>
              <w:rPr>
                <w:rFonts w:ascii="宋体" w:hAnsi="宋体" w:eastAsia="宋体" w:cs="宋体"/>
                <w:color w:val="auto"/>
                <w:sz w:val="21"/>
                <w:szCs w:val="21"/>
              </w:rPr>
            </w:pPr>
            <w:r>
              <w:rPr>
                <w:rFonts w:ascii="宋体" w:hAnsi="宋体" w:eastAsia="宋体" w:cs="宋体"/>
                <w:color w:val="auto"/>
                <w:sz w:val="21"/>
                <w:szCs w:val="21"/>
              </w:rPr>
              <w:t>雷电冲击耐压</w:t>
            </w:r>
          </w:p>
        </w:tc>
        <w:tc>
          <w:tcPr>
            <w:tcW w:w="2727" w:type="dxa"/>
            <w:tcBorders>
              <w:top w:val="single" w:color="000000" w:sz="4" w:space="0"/>
              <w:left w:val="single" w:color="000000" w:sz="4" w:space="0"/>
              <w:bottom w:val="single" w:color="000000" w:sz="4" w:space="0"/>
              <w:right w:val="single" w:color="000000" w:sz="4" w:space="0"/>
            </w:tcBorders>
          </w:tcPr>
          <w:p>
            <w:pPr>
              <w:pStyle w:val="27"/>
              <w:spacing w:before="120" w:after="120" w:line="250" w:lineRule="exact"/>
              <w:ind w:left="5"/>
              <w:jc w:val="center"/>
              <w:rPr>
                <w:rFonts w:ascii="宋体" w:hAnsi="宋体" w:eastAsia="宋体" w:cs="宋体"/>
                <w:color w:val="auto"/>
                <w:sz w:val="21"/>
                <w:szCs w:val="21"/>
              </w:rPr>
            </w:pPr>
            <w:r>
              <w:rPr>
                <w:rFonts w:ascii="宋体"/>
                <w:color w:val="auto"/>
                <w:sz w:val="21"/>
              </w:rPr>
              <w:t>75KV</w:t>
            </w:r>
          </w:p>
        </w:tc>
      </w:tr>
      <w:tr>
        <w:tblPrEx>
          <w:tblLayout w:type="fixed"/>
          <w:tblCellMar>
            <w:top w:w="0" w:type="dxa"/>
            <w:left w:w="0" w:type="dxa"/>
            <w:bottom w:w="0" w:type="dxa"/>
            <w:right w:w="0" w:type="dxa"/>
          </w:tblCellMar>
        </w:tblPrEx>
        <w:trPr>
          <w:trHeight w:val="57" w:hRule="atLeast"/>
        </w:trPr>
        <w:tc>
          <w:tcPr>
            <w:tcW w:w="3821" w:type="dxa"/>
            <w:tcBorders>
              <w:top w:val="single" w:color="000000" w:sz="4" w:space="0"/>
              <w:left w:val="single" w:color="000000" w:sz="4" w:space="0"/>
              <w:bottom w:val="single" w:color="000000" w:sz="4" w:space="0"/>
              <w:right w:val="single" w:color="000000" w:sz="4" w:space="0"/>
            </w:tcBorders>
          </w:tcPr>
          <w:p>
            <w:pPr>
              <w:pStyle w:val="27"/>
              <w:spacing w:before="120" w:after="120" w:line="253" w:lineRule="exact"/>
              <w:ind w:left="2"/>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额定热稳定电流值（3s有效值）</w:t>
            </w:r>
          </w:p>
        </w:tc>
        <w:tc>
          <w:tcPr>
            <w:tcW w:w="2727" w:type="dxa"/>
            <w:tcBorders>
              <w:top w:val="single" w:color="000000" w:sz="4" w:space="0"/>
              <w:left w:val="single" w:color="000000" w:sz="4" w:space="0"/>
              <w:bottom w:val="single" w:color="000000" w:sz="4" w:space="0"/>
              <w:right w:val="single" w:color="000000" w:sz="4" w:space="0"/>
            </w:tcBorders>
          </w:tcPr>
          <w:p>
            <w:pPr>
              <w:pStyle w:val="27"/>
              <w:spacing w:before="120" w:after="120" w:line="253" w:lineRule="exact"/>
              <w:ind w:left="5"/>
              <w:jc w:val="center"/>
              <w:rPr>
                <w:rFonts w:ascii="宋体" w:hAnsi="宋体" w:eastAsia="宋体" w:cs="宋体"/>
                <w:color w:val="auto"/>
                <w:sz w:val="21"/>
                <w:szCs w:val="21"/>
              </w:rPr>
            </w:pPr>
            <w:r>
              <w:rPr>
                <w:rFonts w:ascii="宋体" w:hAnsi="宋体" w:eastAsia="宋体" w:cs="宋体"/>
                <w:color w:val="auto"/>
                <w:sz w:val="21"/>
                <w:szCs w:val="21"/>
              </w:rPr>
              <w:t>不小于31.5KA</w:t>
            </w:r>
          </w:p>
        </w:tc>
      </w:tr>
      <w:tr>
        <w:tblPrEx>
          <w:tblLayout w:type="fixed"/>
          <w:tblCellMar>
            <w:top w:w="0" w:type="dxa"/>
            <w:left w:w="0" w:type="dxa"/>
            <w:bottom w:w="0" w:type="dxa"/>
            <w:right w:w="0" w:type="dxa"/>
          </w:tblCellMar>
        </w:tblPrEx>
        <w:trPr>
          <w:trHeight w:val="57" w:hRule="atLeast"/>
        </w:trPr>
        <w:tc>
          <w:tcPr>
            <w:tcW w:w="3821" w:type="dxa"/>
            <w:tcBorders>
              <w:top w:val="single" w:color="000000" w:sz="4" w:space="0"/>
              <w:left w:val="single" w:color="000000" w:sz="4" w:space="0"/>
              <w:bottom w:val="single" w:color="000000" w:sz="4" w:space="0"/>
              <w:right w:val="single" w:color="000000" w:sz="4" w:space="0"/>
            </w:tcBorders>
          </w:tcPr>
          <w:p>
            <w:pPr>
              <w:pStyle w:val="27"/>
              <w:spacing w:before="120" w:after="120" w:line="255" w:lineRule="exact"/>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额定动稳定电流（峰值）</w:t>
            </w:r>
          </w:p>
        </w:tc>
        <w:tc>
          <w:tcPr>
            <w:tcW w:w="2727" w:type="dxa"/>
            <w:tcBorders>
              <w:top w:val="single" w:color="000000" w:sz="4" w:space="0"/>
              <w:left w:val="single" w:color="000000" w:sz="4" w:space="0"/>
              <w:bottom w:val="single" w:color="000000" w:sz="4" w:space="0"/>
              <w:right w:val="single" w:color="000000" w:sz="4" w:space="0"/>
            </w:tcBorders>
          </w:tcPr>
          <w:p>
            <w:pPr>
              <w:pStyle w:val="27"/>
              <w:spacing w:before="120" w:after="120" w:line="255" w:lineRule="exact"/>
              <w:ind w:left="5"/>
              <w:jc w:val="center"/>
              <w:rPr>
                <w:rFonts w:ascii="宋体" w:hAnsi="宋体" w:eastAsia="宋体" w:cs="宋体"/>
                <w:color w:val="auto"/>
                <w:sz w:val="21"/>
                <w:szCs w:val="21"/>
              </w:rPr>
            </w:pPr>
            <w:r>
              <w:rPr>
                <w:rFonts w:ascii="宋体"/>
                <w:color w:val="auto"/>
                <w:sz w:val="21"/>
              </w:rPr>
              <w:t>80KA</w:t>
            </w:r>
          </w:p>
        </w:tc>
      </w:tr>
      <w:tr>
        <w:tblPrEx>
          <w:tblLayout w:type="fixed"/>
          <w:tblCellMar>
            <w:top w:w="0" w:type="dxa"/>
            <w:left w:w="0" w:type="dxa"/>
            <w:bottom w:w="0" w:type="dxa"/>
            <w:right w:w="0" w:type="dxa"/>
          </w:tblCellMar>
        </w:tblPrEx>
        <w:trPr>
          <w:trHeight w:val="57" w:hRule="atLeast"/>
        </w:trPr>
        <w:tc>
          <w:tcPr>
            <w:tcW w:w="3821" w:type="dxa"/>
            <w:tcBorders>
              <w:top w:val="single" w:color="000000" w:sz="4" w:space="0"/>
              <w:left w:val="single" w:color="000000" w:sz="4" w:space="0"/>
              <w:bottom w:val="single" w:color="000000" w:sz="4" w:space="0"/>
              <w:right w:val="single" w:color="000000" w:sz="4" w:space="0"/>
            </w:tcBorders>
          </w:tcPr>
          <w:p>
            <w:pPr>
              <w:pStyle w:val="27"/>
              <w:spacing w:before="120" w:after="120" w:line="250" w:lineRule="exact"/>
              <w:jc w:val="center"/>
              <w:rPr>
                <w:rFonts w:ascii="宋体" w:hAnsi="宋体" w:eastAsia="宋体" w:cs="宋体"/>
                <w:color w:val="auto"/>
                <w:sz w:val="21"/>
                <w:szCs w:val="21"/>
              </w:rPr>
            </w:pPr>
            <w:r>
              <w:rPr>
                <w:rFonts w:ascii="宋体" w:hAnsi="宋体" w:eastAsia="宋体" w:cs="宋体"/>
                <w:color w:val="auto"/>
                <w:sz w:val="21"/>
                <w:szCs w:val="21"/>
              </w:rPr>
              <w:t>母线额定电流</w:t>
            </w:r>
          </w:p>
        </w:tc>
        <w:tc>
          <w:tcPr>
            <w:tcW w:w="2727" w:type="dxa"/>
            <w:tcBorders>
              <w:top w:val="single" w:color="000000" w:sz="4" w:space="0"/>
              <w:left w:val="single" w:color="000000" w:sz="4" w:space="0"/>
              <w:bottom w:val="single" w:color="000000" w:sz="4" w:space="0"/>
              <w:right w:val="single" w:color="000000" w:sz="4" w:space="0"/>
            </w:tcBorders>
          </w:tcPr>
          <w:p>
            <w:pPr>
              <w:pStyle w:val="27"/>
              <w:spacing w:before="120" w:after="120" w:line="250" w:lineRule="exact"/>
              <w:ind w:left="5"/>
              <w:jc w:val="center"/>
              <w:rPr>
                <w:rFonts w:ascii="宋体" w:hAnsi="宋体" w:eastAsia="宋体" w:cs="宋体"/>
                <w:color w:val="auto"/>
                <w:sz w:val="21"/>
                <w:szCs w:val="21"/>
              </w:rPr>
            </w:pPr>
            <w:r>
              <w:rPr>
                <w:rFonts w:ascii="宋体"/>
                <w:color w:val="auto"/>
                <w:sz w:val="21"/>
              </w:rPr>
              <w:t>1250A</w:t>
            </w:r>
          </w:p>
        </w:tc>
      </w:tr>
      <w:tr>
        <w:tblPrEx>
          <w:tblLayout w:type="fixed"/>
          <w:tblCellMar>
            <w:top w:w="0" w:type="dxa"/>
            <w:left w:w="0" w:type="dxa"/>
            <w:bottom w:w="0" w:type="dxa"/>
            <w:right w:w="0" w:type="dxa"/>
          </w:tblCellMar>
        </w:tblPrEx>
        <w:trPr>
          <w:trHeight w:val="57" w:hRule="atLeast"/>
        </w:trPr>
        <w:tc>
          <w:tcPr>
            <w:tcW w:w="3821" w:type="dxa"/>
            <w:tcBorders>
              <w:top w:val="single" w:color="000000" w:sz="4" w:space="0"/>
              <w:left w:val="single" w:color="000000" w:sz="4" w:space="0"/>
              <w:bottom w:val="single" w:color="000000" w:sz="4" w:space="0"/>
              <w:right w:val="single" w:color="000000" w:sz="4" w:space="0"/>
            </w:tcBorders>
          </w:tcPr>
          <w:p>
            <w:pPr>
              <w:pStyle w:val="27"/>
              <w:spacing w:before="120" w:after="120" w:line="260" w:lineRule="exact"/>
              <w:ind w:left="1"/>
              <w:jc w:val="center"/>
              <w:rPr>
                <w:rFonts w:ascii="宋体" w:hAnsi="宋体" w:eastAsia="宋体" w:cs="宋体"/>
                <w:color w:val="auto"/>
                <w:sz w:val="21"/>
                <w:szCs w:val="21"/>
              </w:rPr>
            </w:pPr>
            <w:r>
              <w:rPr>
                <w:rFonts w:ascii="宋体" w:hAnsi="宋体" w:eastAsia="宋体" w:cs="宋体"/>
                <w:color w:val="auto"/>
                <w:sz w:val="21"/>
                <w:szCs w:val="21"/>
              </w:rPr>
              <w:t>防护等级</w:t>
            </w:r>
          </w:p>
        </w:tc>
        <w:tc>
          <w:tcPr>
            <w:tcW w:w="2727" w:type="dxa"/>
            <w:tcBorders>
              <w:top w:val="single" w:color="000000" w:sz="4" w:space="0"/>
              <w:left w:val="single" w:color="000000" w:sz="4" w:space="0"/>
              <w:bottom w:val="single" w:color="000000" w:sz="4" w:space="0"/>
              <w:right w:val="single" w:color="000000" w:sz="4" w:space="0"/>
            </w:tcBorders>
          </w:tcPr>
          <w:p>
            <w:pPr>
              <w:pStyle w:val="27"/>
              <w:spacing w:before="120" w:after="120" w:line="260" w:lineRule="exact"/>
              <w:ind w:left="5"/>
              <w:jc w:val="center"/>
              <w:rPr>
                <w:rFonts w:ascii="宋体" w:hAnsi="宋体" w:eastAsia="宋体" w:cs="宋体"/>
                <w:color w:val="auto"/>
                <w:sz w:val="21"/>
                <w:szCs w:val="21"/>
              </w:rPr>
            </w:pPr>
            <w:r>
              <w:rPr>
                <w:rFonts w:ascii="宋体"/>
                <w:color w:val="auto"/>
                <w:sz w:val="21"/>
              </w:rPr>
              <w:t>IP4X</w:t>
            </w:r>
          </w:p>
        </w:tc>
      </w:tr>
    </w:tbl>
    <w:p>
      <w:pPr>
        <w:pStyle w:val="31"/>
        <w:rPr>
          <w:b w:val="0"/>
          <w:bCs/>
          <w:color w:val="auto"/>
        </w:rPr>
      </w:pPr>
      <w:r>
        <w:rPr>
          <w:rFonts w:ascii="Calibri" w:hAnsi="Calibri" w:eastAsia="Calibri" w:cs="Calibri"/>
          <w:color w:val="auto"/>
        </w:rPr>
        <w:t>10KV</w:t>
      </w:r>
      <w:r>
        <w:rPr>
          <w:color w:val="auto"/>
        </w:rPr>
        <w:t>高压环网柜</w:t>
      </w:r>
    </w:p>
    <w:p>
      <w:pPr>
        <w:pStyle w:val="29"/>
        <w:ind w:firstLine="478"/>
        <w:rPr>
          <w:color w:val="auto"/>
          <w:spacing w:val="-1"/>
        </w:rPr>
      </w:pPr>
      <w:r>
        <w:rPr>
          <w:color w:val="auto"/>
          <w:spacing w:val="-1"/>
        </w:rPr>
        <w:t>10KV高压环网柜应采用国内广泛应用的国际知名品牌产品。应符合IEC、GB以及电力行业DL标准的要求。</w:t>
      </w:r>
    </w:p>
    <w:p>
      <w:pPr>
        <w:pStyle w:val="29"/>
        <w:ind w:firstLine="478"/>
        <w:rPr>
          <w:color w:val="auto"/>
          <w:spacing w:val="-1"/>
        </w:rPr>
      </w:pPr>
      <w:r>
        <w:rPr>
          <w:color w:val="auto"/>
          <w:spacing w:val="-1"/>
        </w:rPr>
        <w:t>10KV高压环网柜应提供国家级型式试验机构发布的型式试验报告。应符合IEC、GB以及电力行业DL标准的要求。</w:t>
      </w:r>
    </w:p>
    <w:p>
      <w:pPr>
        <w:pStyle w:val="29"/>
        <w:ind w:firstLine="478"/>
        <w:rPr>
          <w:color w:val="auto"/>
          <w:spacing w:val="-1"/>
        </w:rPr>
      </w:pPr>
      <w:r>
        <w:rPr>
          <w:color w:val="auto"/>
          <w:spacing w:val="-1"/>
        </w:rPr>
        <w:t>环网柜内高压负荷开关采用SF6气体绝缘。负荷开关应满足下列性能</w:t>
      </w:r>
      <w:r>
        <w:rPr>
          <w:rFonts w:hint="eastAsia"/>
          <w:color w:val="auto"/>
          <w:spacing w:val="-1"/>
        </w:rPr>
        <w:t>：</w:t>
      </w:r>
    </w:p>
    <w:tbl>
      <w:tblPr>
        <w:tblStyle w:val="25"/>
        <w:tblpPr w:leftFromText="180" w:rightFromText="180" w:vertAnchor="text" w:horzAnchor="page" w:tblpX="3007" w:tblpY="225"/>
        <w:tblOverlap w:val="never"/>
        <w:tblW w:w="5802" w:type="dxa"/>
        <w:tblInd w:w="0" w:type="dxa"/>
        <w:tblLayout w:type="fixed"/>
        <w:tblCellMar>
          <w:top w:w="0" w:type="dxa"/>
          <w:left w:w="0" w:type="dxa"/>
          <w:bottom w:w="0" w:type="dxa"/>
          <w:right w:w="0" w:type="dxa"/>
        </w:tblCellMar>
      </w:tblPr>
      <w:tblGrid>
        <w:gridCol w:w="3421"/>
        <w:gridCol w:w="2381"/>
      </w:tblGrid>
      <w:tr>
        <w:tblPrEx>
          <w:tblLayout w:type="fixed"/>
          <w:tblCellMar>
            <w:top w:w="0" w:type="dxa"/>
            <w:left w:w="0" w:type="dxa"/>
            <w:bottom w:w="0" w:type="dxa"/>
            <w:right w:w="0" w:type="dxa"/>
          </w:tblCellMar>
        </w:tblPrEx>
        <w:trPr>
          <w:trHeight w:val="20" w:hRule="atLeast"/>
        </w:trPr>
        <w:tc>
          <w:tcPr>
            <w:tcW w:w="3421" w:type="dxa"/>
            <w:tcBorders>
              <w:top w:val="single" w:color="000000" w:sz="4" w:space="0"/>
              <w:left w:val="single" w:color="000000" w:sz="4" w:space="0"/>
              <w:bottom w:val="single" w:color="000000" w:sz="4" w:space="0"/>
              <w:right w:val="single" w:color="000000" w:sz="4" w:space="0"/>
            </w:tcBorders>
          </w:tcPr>
          <w:p>
            <w:pPr>
              <w:pStyle w:val="27"/>
              <w:spacing w:before="120" w:after="120" w:line="262" w:lineRule="exact"/>
              <w:jc w:val="center"/>
              <w:rPr>
                <w:rFonts w:ascii="宋体" w:hAnsi="宋体" w:eastAsia="宋体" w:cs="宋体"/>
                <w:color w:val="auto"/>
                <w:sz w:val="21"/>
                <w:szCs w:val="21"/>
              </w:rPr>
            </w:pPr>
            <w:r>
              <w:rPr>
                <w:rFonts w:ascii="宋体" w:hAnsi="宋体" w:eastAsia="宋体" w:cs="宋体"/>
                <w:color w:val="auto"/>
                <w:sz w:val="21"/>
                <w:szCs w:val="21"/>
              </w:rPr>
              <w:t>额定电压</w:t>
            </w:r>
          </w:p>
        </w:tc>
        <w:tc>
          <w:tcPr>
            <w:tcW w:w="2381" w:type="dxa"/>
            <w:tcBorders>
              <w:top w:val="single" w:color="000000" w:sz="4" w:space="0"/>
              <w:left w:val="single" w:color="000000" w:sz="4" w:space="0"/>
              <w:bottom w:val="single" w:color="000000" w:sz="4" w:space="0"/>
              <w:right w:val="single" w:color="000000" w:sz="4" w:space="0"/>
            </w:tcBorders>
          </w:tcPr>
          <w:p>
            <w:pPr>
              <w:pStyle w:val="27"/>
              <w:spacing w:before="120" w:after="120" w:line="262" w:lineRule="exact"/>
              <w:jc w:val="center"/>
              <w:rPr>
                <w:rFonts w:ascii="宋体" w:hAnsi="宋体" w:eastAsia="宋体" w:cs="宋体"/>
                <w:color w:val="auto"/>
                <w:sz w:val="21"/>
                <w:szCs w:val="21"/>
              </w:rPr>
            </w:pPr>
            <w:r>
              <w:rPr>
                <w:rFonts w:ascii="宋体"/>
                <w:color w:val="auto"/>
                <w:sz w:val="21"/>
              </w:rPr>
              <w:t>12KV</w:t>
            </w:r>
          </w:p>
        </w:tc>
      </w:tr>
      <w:tr>
        <w:tblPrEx>
          <w:tblLayout w:type="fixed"/>
          <w:tblCellMar>
            <w:top w:w="0" w:type="dxa"/>
            <w:left w:w="0" w:type="dxa"/>
            <w:bottom w:w="0" w:type="dxa"/>
            <w:right w:w="0" w:type="dxa"/>
          </w:tblCellMar>
        </w:tblPrEx>
        <w:trPr>
          <w:trHeight w:val="20" w:hRule="atLeast"/>
        </w:trPr>
        <w:tc>
          <w:tcPr>
            <w:tcW w:w="3421" w:type="dxa"/>
            <w:tcBorders>
              <w:top w:val="single" w:color="000000" w:sz="4" w:space="0"/>
              <w:left w:val="single" w:color="000000" w:sz="4" w:space="0"/>
              <w:bottom w:val="single" w:color="000000" w:sz="4" w:space="0"/>
              <w:right w:val="single" w:color="000000" w:sz="4" w:space="0"/>
            </w:tcBorders>
          </w:tcPr>
          <w:p>
            <w:pPr>
              <w:pStyle w:val="27"/>
              <w:spacing w:before="120" w:after="120" w:line="262" w:lineRule="exact"/>
              <w:ind w:left="3"/>
              <w:jc w:val="center"/>
              <w:rPr>
                <w:rFonts w:ascii="宋体" w:hAnsi="宋体" w:eastAsia="宋体" w:cs="宋体"/>
                <w:color w:val="auto"/>
                <w:sz w:val="21"/>
                <w:szCs w:val="21"/>
              </w:rPr>
            </w:pPr>
            <w:r>
              <w:rPr>
                <w:rFonts w:ascii="宋体" w:hAnsi="宋体" w:eastAsia="宋体" w:cs="宋体"/>
                <w:color w:val="auto"/>
                <w:sz w:val="21"/>
                <w:szCs w:val="21"/>
              </w:rPr>
              <w:t>1min工频耐压</w:t>
            </w:r>
          </w:p>
        </w:tc>
        <w:tc>
          <w:tcPr>
            <w:tcW w:w="2381" w:type="dxa"/>
            <w:tcBorders>
              <w:top w:val="single" w:color="000000" w:sz="4" w:space="0"/>
              <w:left w:val="single" w:color="000000" w:sz="4" w:space="0"/>
              <w:bottom w:val="single" w:color="000000" w:sz="4" w:space="0"/>
              <w:right w:val="single" w:color="000000" w:sz="4" w:space="0"/>
            </w:tcBorders>
          </w:tcPr>
          <w:p>
            <w:pPr>
              <w:pStyle w:val="27"/>
              <w:spacing w:before="120" w:after="120" w:line="262" w:lineRule="exact"/>
              <w:jc w:val="center"/>
              <w:rPr>
                <w:rFonts w:ascii="宋体" w:hAnsi="宋体" w:eastAsia="宋体" w:cs="宋体"/>
                <w:color w:val="auto"/>
                <w:sz w:val="21"/>
                <w:szCs w:val="21"/>
              </w:rPr>
            </w:pPr>
            <w:r>
              <w:rPr>
                <w:rFonts w:ascii="宋体"/>
                <w:color w:val="auto"/>
                <w:sz w:val="21"/>
              </w:rPr>
              <w:t>42KV</w:t>
            </w:r>
          </w:p>
        </w:tc>
      </w:tr>
      <w:tr>
        <w:tblPrEx>
          <w:tblLayout w:type="fixed"/>
          <w:tblCellMar>
            <w:top w:w="0" w:type="dxa"/>
            <w:left w:w="0" w:type="dxa"/>
            <w:bottom w:w="0" w:type="dxa"/>
            <w:right w:w="0" w:type="dxa"/>
          </w:tblCellMar>
        </w:tblPrEx>
        <w:trPr>
          <w:trHeight w:val="20" w:hRule="atLeast"/>
        </w:trPr>
        <w:tc>
          <w:tcPr>
            <w:tcW w:w="3421" w:type="dxa"/>
            <w:tcBorders>
              <w:top w:val="single" w:color="000000" w:sz="4" w:space="0"/>
              <w:left w:val="single" w:color="000000" w:sz="4" w:space="0"/>
              <w:bottom w:val="single" w:color="000000" w:sz="4" w:space="0"/>
              <w:right w:val="single" w:color="000000" w:sz="4" w:space="0"/>
            </w:tcBorders>
          </w:tcPr>
          <w:p>
            <w:pPr>
              <w:pStyle w:val="27"/>
              <w:spacing w:before="120" w:after="120" w:line="262" w:lineRule="exact"/>
              <w:ind w:left="3"/>
              <w:jc w:val="center"/>
              <w:rPr>
                <w:rFonts w:ascii="宋体" w:hAnsi="宋体" w:eastAsia="宋体" w:cs="宋体"/>
                <w:color w:val="auto"/>
                <w:sz w:val="21"/>
                <w:szCs w:val="21"/>
              </w:rPr>
            </w:pPr>
            <w:r>
              <w:rPr>
                <w:rFonts w:ascii="宋体" w:hAnsi="宋体" w:eastAsia="宋体" w:cs="宋体"/>
                <w:color w:val="auto"/>
                <w:sz w:val="21"/>
                <w:szCs w:val="21"/>
              </w:rPr>
              <w:t>雷电冲击耐压</w:t>
            </w:r>
          </w:p>
        </w:tc>
        <w:tc>
          <w:tcPr>
            <w:tcW w:w="2381" w:type="dxa"/>
            <w:tcBorders>
              <w:top w:val="single" w:color="000000" w:sz="4" w:space="0"/>
              <w:left w:val="single" w:color="000000" w:sz="4" w:space="0"/>
              <w:bottom w:val="single" w:color="000000" w:sz="4" w:space="0"/>
              <w:right w:val="single" w:color="000000" w:sz="4" w:space="0"/>
            </w:tcBorders>
          </w:tcPr>
          <w:p>
            <w:pPr>
              <w:pStyle w:val="27"/>
              <w:spacing w:before="120" w:after="120" w:line="262" w:lineRule="exact"/>
              <w:jc w:val="center"/>
              <w:rPr>
                <w:rFonts w:ascii="宋体" w:hAnsi="宋体" w:eastAsia="宋体" w:cs="宋体"/>
                <w:color w:val="auto"/>
                <w:sz w:val="21"/>
                <w:szCs w:val="21"/>
              </w:rPr>
            </w:pPr>
            <w:r>
              <w:rPr>
                <w:rFonts w:ascii="宋体"/>
                <w:color w:val="auto"/>
                <w:sz w:val="21"/>
              </w:rPr>
              <w:t>75KV</w:t>
            </w:r>
          </w:p>
        </w:tc>
      </w:tr>
      <w:tr>
        <w:tblPrEx>
          <w:tblLayout w:type="fixed"/>
          <w:tblCellMar>
            <w:top w:w="0" w:type="dxa"/>
            <w:left w:w="0" w:type="dxa"/>
            <w:bottom w:w="0" w:type="dxa"/>
            <w:right w:w="0" w:type="dxa"/>
          </w:tblCellMar>
        </w:tblPrEx>
        <w:trPr>
          <w:trHeight w:val="20" w:hRule="atLeast"/>
        </w:trPr>
        <w:tc>
          <w:tcPr>
            <w:tcW w:w="3421" w:type="dxa"/>
            <w:tcBorders>
              <w:top w:val="single" w:color="000000" w:sz="4" w:space="0"/>
              <w:left w:val="single" w:color="000000" w:sz="4" w:space="0"/>
              <w:bottom w:val="single" w:color="000000" w:sz="4" w:space="0"/>
              <w:right w:val="single" w:color="000000" w:sz="4" w:space="0"/>
            </w:tcBorders>
          </w:tcPr>
          <w:p>
            <w:pPr>
              <w:pStyle w:val="27"/>
              <w:spacing w:before="120" w:after="120" w:line="265" w:lineRule="exact"/>
              <w:jc w:val="center"/>
              <w:rPr>
                <w:rFonts w:ascii="宋体" w:hAnsi="宋体" w:eastAsia="宋体" w:cs="宋体"/>
                <w:color w:val="auto"/>
                <w:sz w:val="21"/>
                <w:szCs w:val="21"/>
              </w:rPr>
            </w:pPr>
            <w:r>
              <w:rPr>
                <w:rFonts w:ascii="宋体" w:hAnsi="宋体" w:eastAsia="宋体" w:cs="宋体"/>
                <w:color w:val="auto"/>
                <w:sz w:val="21"/>
                <w:szCs w:val="21"/>
              </w:rPr>
              <w:t>额定电流</w:t>
            </w:r>
          </w:p>
        </w:tc>
        <w:tc>
          <w:tcPr>
            <w:tcW w:w="2381" w:type="dxa"/>
            <w:tcBorders>
              <w:top w:val="single" w:color="000000" w:sz="4" w:space="0"/>
              <w:left w:val="single" w:color="000000" w:sz="4" w:space="0"/>
              <w:bottom w:val="single" w:color="000000" w:sz="4" w:space="0"/>
              <w:right w:val="single" w:color="000000" w:sz="4" w:space="0"/>
            </w:tcBorders>
          </w:tcPr>
          <w:p>
            <w:pPr>
              <w:pStyle w:val="27"/>
              <w:spacing w:before="120" w:after="120" w:line="265" w:lineRule="exact"/>
              <w:jc w:val="center"/>
              <w:rPr>
                <w:rFonts w:ascii="宋体" w:hAnsi="宋体" w:eastAsia="宋体" w:cs="宋体"/>
                <w:color w:val="auto"/>
                <w:sz w:val="21"/>
                <w:szCs w:val="21"/>
              </w:rPr>
            </w:pPr>
            <w:r>
              <w:rPr>
                <w:rFonts w:ascii="宋体"/>
                <w:color w:val="auto"/>
                <w:sz w:val="21"/>
              </w:rPr>
              <w:t>630A</w:t>
            </w:r>
          </w:p>
        </w:tc>
      </w:tr>
      <w:tr>
        <w:tblPrEx>
          <w:tblLayout w:type="fixed"/>
          <w:tblCellMar>
            <w:top w:w="0" w:type="dxa"/>
            <w:left w:w="0" w:type="dxa"/>
            <w:bottom w:w="0" w:type="dxa"/>
            <w:right w:w="0" w:type="dxa"/>
          </w:tblCellMar>
        </w:tblPrEx>
        <w:trPr>
          <w:trHeight w:val="20" w:hRule="atLeast"/>
        </w:trPr>
        <w:tc>
          <w:tcPr>
            <w:tcW w:w="3421" w:type="dxa"/>
            <w:tcBorders>
              <w:top w:val="single" w:color="000000" w:sz="4" w:space="0"/>
              <w:left w:val="single" w:color="000000" w:sz="4" w:space="0"/>
              <w:bottom w:val="single" w:color="000000" w:sz="4" w:space="0"/>
              <w:right w:val="single" w:color="000000" w:sz="4" w:space="0"/>
            </w:tcBorders>
          </w:tcPr>
          <w:p>
            <w:pPr>
              <w:pStyle w:val="27"/>
              <w:spacing w:before="120" w:after="120" w:line="262" w:lineRule="exact"/>
              <w:jc w:val="center"/>
              <w:rPr>
                <w:rFonts w:ascii="宋体" w:hAnsi="宋体" w:eastAsia="宋体" w:cs="宋体"/>
                <w:color w:val="auto"/>
                <w:sz w:val="21"/>
                <w:szCs w:val="21"/>
              </w:rPr>
            </w:pPr>
            <w:r>
              <w:rPr>
                <w:rFonts w:ascii="宋体" w:hAnsi="宋体" w:eastAsia="宋体" w:cs="宋体"/>
                <w:color w:val="auto"/>
                <w:sz w:val="21"/>
                <w:szCs w:val="21"/>
              </w:rPr>
              <w:t>额定闭环开断电流</w:t>
            </w:r>
          </w:p>
        </w:tc>
        <w:tc>
          <w:tcPr>
            <w:tcW w:w="2381" w:type="dxa"/>
            <w:tcBorders>
              <w:top w:val="single" w:color="000000" w:sz="4" w:space="0"/>
              <w:left w:val="single" w:color="000000" w:sz="4" w:space="0"/>
              <w:bottom w:val="single" w:color="000000" w:sz="4" w:space="0"/>
              <w:right w:val="single" w:color="000000" w:sz="4" w:space="0"/>
            </w:tcBorders>
          </w:tcPr>
          <w:p>
            <w:pPr>
              <w:pStyle w:val="27"/>
              <w:spacing w:before="120" w:after="120" w:line="262" w:lineRule="exact"/>
              <w:jc w:val="center"/>
              <w:rPr>
                <w:rFonts w:ascii="宋体" w:hAnsi="宋体" w:eastAsia="宋体" w:cs="宋体"/>
                <w:color w:val="auto"/>
                <w:sz w:val="21"/>
                <w:szCs w:val="21"/>
              </w:rPr>
            </w:pPr>
            <w:r>
              <w:rPr>
                <w:rFonts w:ascii="宋体"/>
                <w:color w:val="auto"/>
                <w:sz w:val="21"/>
              </w:rPr>
              <w:t>630A</w:t>
            </w:r>
          </w:p>
        </w:tc>
      </w:tr>
      <w:tr>
        <w:tblPrEx>
          <w:tblLayout w:type="fixed"/>
          <w:tblCellMar>
            <w:top w:w="0" w:type="dxa"/>
            <w:left w:w="0" w:type="dxa"/>
            <w:bottom w:w="0" w:type="dxa"/>
            <w:right w:w="0" w:type="dxa"/>
          </w:tblCellMar>
        </w:tblPrEx>
        <w:trPr>
          <w:trHeight w:val="20" w:hRule="atLeast"/>
        </w:trPr>
        <w:tc>
          <w:tcPr>
            <w:tcW w:w="3421" w:type="dxa"/>
            <w:tcBorders>
              <w:top w:val="single" w:color="000000" w:sz="4" w:space="0"/>
              <w:left w:val="single" w:color="000000" w:sz="4" w:space="0"/>
              <w:bottom w:val="single" w:color="000000" w:sz="4" w:space="0"/>
              <w:right w:val="single" w:color="000000" w:sz="4" w:space="0"/>
            </w:tcBorders>
          </w:tcPr>
          <w:p>
            <w:pPr>
              <w:pStyle w:val="27"/>
              <w:spacing w:before="120" w:after="120" w:line="262" w:lineRule="exact"/>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5％额定有功负载开断电流</w:t>
            </w:r>
          </w:p>
        </w:tc>
        <w:tc>
          <w:tcPr>
            <w:tcW w:w="2381" w:type="dxa"/>
            <w:tcBorders>
              <w:top w:val="single" w:color="000000" w:sz="4" w:space="0"/>
              <w:left w:val="single" w:color="000000" w:sz="4" w:space="0"/>
              <w:bottom w:val="single" w:color="000000" w:sz="4" w:space="0"/>
              <w:right w:val="single" w:color="000000" w:sz="4" w:space="0"/>
            </w:tcBorders>
          </w:tcPr>
          <w:p>
            <w:pPr>
              <w:pStyle w:val="27"/>
              <w:spacing w:before="120" w:after="120" w:line="262" w:lineRule="exact"/>
              <w:jc w:val="center"/>
              <w:rPr>
                <w:rFonts w:ascii="宋体" w:hAnsi="宋体" w:eastAsia="宋体" w:cs="宋体"/>
                <w:color w:val="auto"/>
                <w:sz w:val="21"/>
                <w:szCs w:val="21"/>
              </w:rPr>
            </w:pPr>
            <w:r>
              <w:rPr>
                <w:rFonts w:ascii="宋体"/>
                <w:color w:val="auto"/>
                <w:sz w:val="21"/>
              </w:rPr>
              <w:t>31.5A</w:t>
            </w:r>
          </w:p>
        </w:tc>
      </w:tr>
      <w:tr>
        <w:tblPrEx>
          <w:tblLayout w:type="fixed"/>
          <w:tblCellMar>
            <w:top w:w="0" w:type="dxa"/>
            <w:left w:w="0" w:type="dxa"/>
            <w:bottom w:w="0" w:type="dxa"/>
            <w:right w:w="0" w:type="dxa"/>
          </w:tblCellMar>
        </w:tblPrEx>
        <w:trPr>
          <w:trHeight w:val="20" w:hRule="atLeast"/>
        </w:trPr>
        <w:tc>
          <w:tcPr>
            <w:tcW w:w="3421" w:type="dxa"/>
            <w:tcBorders>
              <w:top w:val="single" w:color="000000" w:sz="4" w:space="0"/>
              <w:left w:val="single" w:color="000000" w:sz="4" w:space="0"/>
              <w:bottom w:val="single" w:color="000000" w:sz="4" w:space="0"/>
              <w:right w:val="single" w:color="000000" w:sz="4" w:space="0"/>
            </w:tcBorders>
          </w:tcPr>
          <w:p>
            <w:pPr>
              <w:pStyle w:val="27"/>
              <w:spacing w:before="120" w:after="120" w:line="262" w:lineRule="exact"/>
              <w:jc w:val="center"/>
              <w:rPr>
                <w:rFonts w:ascii="宋体" w:hAnsi="宋体" w:eastAsia="宋体" w:cs="宋体"/>
                <w:color w:val="auto"/>
                <w:sz w:val="21"/>
                <w:szCs w:val="21"/>
              </w:rPr>
            </w:pPr>
            <w:r>
              <w:rPr>
                <w:rFonts w:ascii="宋体" w:hAnsi="宋体" w:eastAsia="宋体" w:cs="宋体"/>
                <w:color w:val="auto"/>
                <w:sz w:val="21"/>
                <w:szCs w:val="21"/>
              </w:rPr>
              <w:t>短时峰值耐受电流</w:t>
            </w:r>
          </w:p>
        </w:tc>
        <w:tc>
          <w:tcPr>
            <w:tcW w:w="2381" w:type="dxa"/>
            <w:tcBorders>
              <w:top w:val="single" w:color="000000" w:sz="4" w:space="0"/>
              <w:left w:val="single" w:color="000000" w:sz="4" w:space="0"/>
              <w:bottom w:val="single" w:color="000000" w:sz="4" w:space="0"/>
              <w:right w:val="single" w:color="000000" w:sz="4" w:space="0"/>
            </w:tcBorders>
          </w:tcPr>
          <w:p>
            <w:pPr>
              <w:pStyle w:val="27"/>
              <w:spacing w:before="120" w:after="120" w:line="262" w:lineRule="exact"/>
              <w:jc w:val="center"/>
              <w:rPr>
                <w:rFonts w:ascii="宋体" w:hAnsi="宋体" w:eastAsia="宋体" w:cs="宋体"/>
                <w:color w:val="auto"/>
                <w:sz w:val="21"/>
                <w:szCs w:val="21"/>
              </w:rPr>
            </w:pPr>
            <w:r>
              <w:rPr>
                <w:rFonts w:ascii="宋体"/>
                <w:color w:val="auto"/>
                <w:sz w:val="21"/>
              </w:rPr>
              <w:t>50KA</w:t>
            </w:r>
          </w:p>
        </w:tc>
      </w:tr>
      <w:tr>
        <w:tblPrEx>
          <w:tblLayout w:type="fixed"/>
          <w:tblCellMar>
            <w:top w:w="0" w:type="dxa"/>
            <w:left w:w="0" w:type="dxa"/>
            <w:bottom w:w="0" w:type="dxa"/>
            <w:right w:w="0" w:type="dxa"/>
          </w:tblCellMar>
        </w:tblPrEx>
        <w:trPr>
          <w:trHeight w:val="20" w:hRule="atLeast"/>
        </w:trPr>
        <w:tc>
          <w:tcPr>
            <w:tcW w:w="3421" w:type="dxa"/>
            <w:tcBorders>
              <w:top w:val="single" w:color="000000" w:sz="4" w:space="0"/>
              <w:left w:val="single" w:color="000000" w:sz="4" w:space="0"/>
              <w:bottom w:val="single" w:color="000000" w:sz="4" w:space="0"/>
              <w:right w:val="single" w:color="000000" w:sz="4" w:space="0"/>
            </w:tcBorders>
          </w:tcPr>
          <w:p>
            <w:pPr>
              <w:pStyle w:val="27"/>
              <w:spacing w:before="120" w:after="120" w:line="263" w:lineRule="exact"/>
              <w:jc w:val="center"/>
              <w:rPr>
                <w:rFonts w:ascii="宋体" w:hAnsi="宋体" w:eastAsia="宋体" w:cs="宋体"/>
                <w:color w:val="auto"/>
                <w:sz w:val="21"/>
                <w:szCs w:val="21"/>
              </w:rPr>
            </w:pPr>
            <w:r>
              <w:rPr>
                <w:rFonts w:ascii="宋体" w:hAnsi="宋体" w:eastAsia="宋体" w:cs="宋体"/>
                <w:color w:val="auto"/>
                <w:sz w:val="21"/>
                <w:szCs w:val="21"/>
              </w:rPr>
              <w:t>短时耐受电流（1</w:t>
            </w:r>
            <w:r>
              <w:rPr>
                <w:rFonts w:ascii="宋体" w:hAnsi="宋体" w:eastAsia="宋体" w:cs="宋体"/>
                <w:color w:val="auto"/>
                <w:spacing w:val="-3"/>
                <w:sz w:val="21"/>
                <w:szCs w:val="21"/>
              </w:rPr>
              <w:t>秒）</w:t>
            </w:r>
          </w:p>
        </w:tc>
        <w:tc>
          <w:tcPr>
            <w:tcW w:w="2381" w:type="dxa"/>
            <w:tcBorders>
              <w:top w:val="single" w:color="000000" w:sz="4" w:space="0"/>
              <w:left w:val="single" w:color="000000" w:sz="4" w:space="0"/>
              <w:bottom w:val="single" w:color="000000" w:sz="4" w:space="0"/>
              <w:right w:val="single" w:color="000000" w:sz="4" w:space="0"/>
            </w:tcBorders>
          </w:tcPr>
          <w:p>
            <w:pPr>
              <w:pStyle w:val="27"/>
              <w:spacing w:before="120" w:after="120" w:line="263" w:lineRule="exact"/>
              <w:jc w:val="center"/>
              <w:rPr>
                <w:rFonts w:ascii="宋体" w:hAnsi="宋体" w:eastAsia="宋体" w:cs="宋体"/>
                <w:color w:val="auto"/>
                <w:sz w:val="21"/>
                <w:szCs w:val="21"/>
              </w:rPr>
            </w:pPr>
            <w:r>
              <w:rPr>
                <w:rFonts w:ascii="宋体"/>
                <w:color w:val="auto"/>
                <w:sz w:val="21"/>
              </w:rPr>
              <w:t>25KA</w:t>
            </w:r>
          </w:p>
        </w:tc>
      </w:tr>
      <w:tr>
        <w:tblPrEx>
          <w:tblLayout w:type="fixed"/>
          <w:tblCellMar>
            <w:top w:w="0" w:type="dxa"/>
            <w:left w:w="0" w:type="dxa"/>
            <w:bottom w:w="0" w:type="dxa"/>
            <w:right w:w="0" w:type="dxa"/>
          </w:tblCellMar>
        </w:tblPrEx>
        <w:trPr>
          <w:trHeight w:val="20" w:hRule="atLeast"/>
        </w:trPr>
        <w:tc>
          <w:tcPr>
            <w:tcW w:w="3421" w:type="dxa"/>
            <w:tcBorders>
              <w:top w:val="single" w:color="000000" w:sz="4" w:space="0"/>
              <w:left w:val="single" w:color="000000" w:sz="4" w:space="0"/>
              <w:bottom w:val="single" w:color="000000" w:sz="4" w:space="0"/>
              <w:right w:val="single" w:color="000000" w:sz="4" w:space="0"/>
            </w:tcBorders>
          </w:tcPr>
          <w:p>
            <w:pPr>
              <w:pStyle w:val="27"/>
              <w:spacing w:before="120" w:after="120" w:line="262" w:lineRule="exact"/>
              <w:jc w:val="center"/>
              <w:rPr>
                <w:rFonts w:ascii="宋体" w:hAnsi="宋体" w:eastAsia="宋体" w:cs="宋体"/>
                <w:color w:val="auto"/>
                <w:sz w:val="21"/>
                <w:szCs w:val="21"/>
              </w:rPr>
            </w:pPr>
            <w:r>
              <w:rPr>
                <w:rFonts w:ascii="宋体" w:hAnsi="宋体" w:eastAsia="宋体" w:cs="宋体"/>
                <w:color w:val="auto"/>
                <w:sz w:val="21"/>
                <w:szCs w:val="21"/>
              </w:rPr>
              <w:t>机械寿命</w:t>
            </w:r>
          </w:p>
        </w:tc>
        <w:tc>
          <w:tcPr>
            <w:tcW w:w="2381" w:type="dxa"/>
            <w:tcBorders>
              <w:top w:val="single" w:color="000000" w:sz="4" w:space="0"/>
              <w:left w:val="single" w:color="000000" w:sz="4" w:space="0"/>
              <w:bottom w:val="single" w:color="000000" w:sz="4" w:space="0"/>
              <w:right w:val="single" w:color="000000" w:sz="4" w:space="0"/>
            </w:tcBorders>
          </w:tcPr>
          <w:p>
            <w:pPr>
              <w:pStyle w:val="27"/>
              <w:spacing w:before="120" w:after="120" w:line="262" w:lineRule="exact"/>
              <w:ind w:left="2"/>
              <w:jc w:val="center"/>
              <w:rPr>
                <w:rFonts w:ascii="宋体" w:hAnsi="宋体" w:eastAsia="宋体" w:cs="宋体"/>
                <w:color w:val="auto"/>
                <w:sz w:val="21"/>
                <w:szCs w:val="21"/>
              </w:rPr>
            </w:pPr>
            <w:r>
              <w:rPr>
                <w:rFonts w:ascii="宋体" w:hAnsi="宋体" w:eastAsia="宋体" w:cs="宋体"/>
                <w:color w:val="auto"/>
                <w:sz w:val="21"/>
                <w:szCs w:val="21"/>
              </w:rPr>
              <w:t>2000次</w:t>
            </w:r>
          </w:p>
        </w:tc>
      </w:tr>
    </w:tbl>
    <w:p>
      <w:pPr>
        <w:rPr>
          <w:rFonts w:ascii="Calibri" w:hAnsi="Calibri" w:cs="Calibri"/>
          <w:color w:val="auto"/>
          <w:sz w:val="20"/>
          <w:szCs w:val="20"/>
          <w:lang w:eastAsia="zh-CN"/>
        </w:rPr>
      </w:pPr>
    </w:p>
    <w:p>
      <w:pPr>
        <w:rPr>
          <w:rFonts w:ascii="Calibri" w:hAnsi="Calibri" w:eastAsia="Calibri" w:cs="Calibri"/>
          <w:color w:val="auto"/>
          <w:sz w:val="20"/>
          <w:szCs w:val="20"/>
          <w:lang w:eastAsia="zh-CN"/>
        </w:rPr>
      </w:pPr>
    </w:p>
    <w:p>
      <w:pPr>
        <w:rPr>
          <w:rFonts w:ascii="Calibri" w:hAnsi="Calibri" w:eastAsia="Calibri" w:cs="Calibri"/>
          <w:color w:val="auto"/>
          <w:sz w:val="20"/>
          <w:szCs w:val="20"/>
          <w:lang w:eastAsia="zh-CN"/>
        </w:rPr>
      </w:pPr>
    </w:p>
    <w:p>
      <w:pPr>
        <w:rPr>
          <w:rFonts w:ascii="Calibri" w:hAnsi="Calibri" w:eastAsia="Calibri" w:cs="Calibri"/>
          <w:color w:val="auto"/>
          <w:sz w:val="20"/>
          <w:szCs w:val="20"/>
          <w:lang w:eastAsia="zh-CN"/>
        </w:rPr>
      </w:pPr>
    </w:p>
    <w:p>
      <w:pPr>
        <w:rPr>
          <w:rFonts w:ascii="Calibri" w:hAnsi="Calibri" w:eastAsia="Calibri" w:cs="Calibri"/>
          <w:color w:val="auto"/>
          <w:sz w:val="20"/>
          <w:szCs w:val="20"/>
          <w:lang w:eastAsia="zh-CN"/>
        </w:rPr>
      </w:pPr>
    </w:p>
    <w:p>
      <w:pPr>
        <w:rPr>
          <w:rFonts w:ascii="Calibri" w:hAnsi="Calibri" w:eastAsia="Calibri" w:cs="Calibri"/>
          <w:color w:val="auto"/>
          <w:sz w:val="20"/>
          <w:szCs w:val="20"/>
          <w:lang w:eastAsia="zh-CN"/>
        </w:rPr>
      </w:pPr>
    </w:p>
    <w:p>
      <w:pPr>
        <w:rPr>
          <w:rFonts w:ascii="Calibri" w:hAnsi="Calibri" w:eastAsia="Calibri" w:cs="Calibri"/>
          <w:color w:val="auto"/>
          <w:sz w:val="20"/>
          <w:szCs w:val="20"/>
          <w:lang w:eastAsia="zh-CN"/>
        </w:rPr>
      </w:pPr>
    </w:p>
    <w:p>
      <w:pPr>
        <w:rPr>
          <w:rFonts w:ascii="Calibri" w:hAnsi="Calibri" w:eastAsia="Calibri" w:cs="Calibri"/>
          <w:color w:val="auto"/>
          <w:sz w:val="20"/>
          <w:szCs w:val="20"/>
          <w:lang w:eastAsia="zh-CN"/>
        </w:rPr>
      </w:pPr>
    </w:p>
    <w:p>
      <w:pPr>
        <w:rPr>
          <w:rFonts w:ascii="Calibri" w:hAnsi="Calibri" w:eastAsia="Calibri" w:cs="Calibri"/>
          <w:color w:val="auto"/>
          <w:sz w:val="20"/>
          <w:szCs w:val="20"/>
          <w:lang w:eastAsia="zh-CN"/>
        </w:rPr>
      </w:pPr>
    </w:p>
    <w:p>
      <w:pPr>
        <w:rPr>
          <w:rFonts w:ascii="Calibri" w:hAnsi="Calibri" w:eastAsia="Calibri" w:cs="Calibri"/>
          <w:color w:val="auto"/>
          <w:sz w:val="20"/>
          <w:szCs w:val="20"/>
          <w:lang w:eastAsia="zh-CN"/>
        </w:rPr>
      </w:pPr>
    </w:p>
    <w:p>
      <w:pPr>
        <w:rPr>
          <w:rFonts w:ascii="Calibri" w:hAnsi="Calibri" w:eastAsia="Calibri" w:cs="Calibri"/>
          <w:color w:val="auto"/>
          <w:sz w:val="20"/>
          <w:szCs w:val="20"/>
          <w:lang w:eastAsia="zh-CN"/>
        </w:rPr>
      </w:pPr>
    </w:p>
    <w:p>
      <w:pPr>
        <w:rPr>
          <w:rFonts w:ascii="Calibri" w:hAnsi="Calibri" w:eastAsia="Calibri" w:cs="Calibri"/>
          <w:color w:val="auto"/>
          <w:sz w:val="20"/>
          <w:szCs w:val="20"/>
          <w:lang w:eastAsia="zh-CN"/>
        </w:rPr>
      </w:pPr>
    </w:p>
    <w:p>
      <w:pPr>
        <w:rPr>
          <w:rFonts w:ascii="Calibri" w:hAnsi="Calibri" w:cs="Calibri"/>
          <w:color w:val="auto"/>
          <w:sz w:val="20"/>
          <w:szCs w:val="20"/>
          <w:lang w:eastAsia="zh-CN"/>
        </w:rPr>
      </w:pPr>
    </w:p>
    <w:p>
      <w:pPr>
        <w:rPr>
          <w:rFonts w:ascii="Calibri" w:hAnsi="Calibri" w:cs="Calibri"/>
          <w:color w:val="auto"/>
          <w:sz w:val="20"/>
          <w:szCs w:val="20"/>
          <w:lang w:eastAsia="zh-CN"/>
        </w:rPr>
      </w:pPr>
    </w:p>
    <w:p>
      <w:pPr>
        <w:rPr>
          <w:rFonts w:ascii="Calibri" w:hAnsi="Calibri" w:cs="Calibri"/>
          <w:color w:val="auto"/>
          <w:sz w:val="20"/>
          <w:szCs w:val="20"/>
          <w:lang w:eastAsia="zh-CN"/>
        </w:rPr>
      </w:pPr>
    </w:p>
    <w:p>
      <w:pPr>
        <w:rPr>
          <w:rFonts w:ascii="Calibri" w:hAnsi="Calibri" w:cs="Calibri"/>
          <w:color w:val="auto"/>
          <w:sz w:val="20"/>
          <w:szCs w:val="20"/>
          <w:lang w:eastAsia="zh-CN"/>
        </w:rPr>
      </w:pPr>
    </w:p>
    <w:p>
      <w:pPr>
        <w:rPr>
          <w:rFonts w:ascii="Calibri" w:hAnsi="Calibri" w:cs="Calibri"/>
          <w:color w:val="auto"/>
          <w:sz w:val="20"/>
          <w:szCs w:val="20"/>
          <w:lang w:eastAsia="zh-CN"/>
        </w:rPr>
      </w:pPr>
    </w:p>
    <w:p>
      <w:pPr>
        <w:rPr>
          <w:rFonts w:ascii="Calibri" w:hAnsi="Calibri" w:cs="Calibri"/>
          <w:color w:val="auto"/>
          <w:sz w:val="20"/>
          <w:szCs w:val="20"/>
          <w:lang w:eastAsia="zh-CN"/>
        </w:rPr>
      </w:pPr>
    </w:p>
    <w:p>
      <w:pPr>
        <w:rPr>
          <w:rFonts w:ascii="Calibri" w:hAnsi="Calibri" w:cs="Calibri"/>
          <w:color w:val="auto"/>
          <w:sz w:val="20"/>
          <w:szCs w:val="20"/>
          <w:lang w:eastAsia="zh-CN"/>
        </w:rPr>
      </w:pPr>
    </w:p>
    <w:p>
      <w:pPr>
        <w:rPr>
          <w:rFonts w:ascii="Calibri" w:hAnsi="Calibri" w:cs="Calibri"/>
          <w:color w:val="auto"/>
          <w:sz w:val="20"/>
          <w:szCs w:val="20"/>
          <w:lang w:eastAsia="zh-CN"/>
        </w:rPr>
      </w:pPr>
    </w:p>
    <w:p>
      <w:pPr>
        <w:spacing w:before="5"/>
        <w:rPr>
          <w:rFonts w:ascii="Calibri" w:hAnsi="Calibri" w:eastAsia="Calibri" w:cs="Calibri"/>
          <w:color w:val="auto"/>
          <w:sz w:val="17"/>
          <w:szCs w:val="17"/>
          <w:lang w:eastAsia="zh-CN"/>
        </w:rPr>
      </w:pPr>
    </w:p>
    <w:p>
      <w:pPr>
        <w:pStyle w:val="29"/>
        <w:spacing w:before="120" w:after="120"/>
        <w:ind w:firstLine="472"/>
        <w:rPr>
          <w:color w:val="auto"/>
        </w:rPr>
      </w:pPr>
      <w:r>
        <w:rPr>
          <w:color w:val="auto"/>
        </w:rPr>
        <w:t>外壳颜色应得到业主的同意并与变压器外柜、低压开关柜一致。</w:t>
      </w:r>
    </w:p>
    <w:p>
      <w:pPr>
        <w:pStyle w:val="31"/>
        <w:rPr>
          <w:b w:val="0"/>
          <w:bCs/>
          <w:color w:val="auto"/>
        </w:rPr>
      </w:pPr>
      <w:r>
        <w:rPr>
          <w:color w:val="auto"/>
        </w:rPr>
        <w:t>干式变压器</w:t>
      </w:r>
    </w:p>
    <w:p>
      <w:pPr>
        <w:pStyle w:val="29"/>
        <w:ind w:firstLine="478"/>
        <w:rPr>
          <w:color w:val="auto"/>
          <w:spacing w:val="-1"/>
        </w:rPr>
      </w:pPr>
      <w:r>
        <w:rPr>
          <w:rFonts w:hint="eastAsia"/>
          <w:color w:val="auto"/>
          <w:spacing w:val="-1"/>
        </w:rPr>
        <w:t>1</w:t>
      </w:r>
      <w:r>
        <w:rPr>
          <w:color w:val="auto"/>
          <w:spacing w:val="-1"/>
        </w:rPr>
        <w:t>.范围</w:t>
      </w:r>
    </w:p>
    <w:p>
      <w:pPr>
        <w:pStyle w:val="29"/>
        <w:ind w:firstLine="478"/>
        <w:rPr>
          <w:color w:val="auto"/>
          <w:spacing w:val="-1"/>
        </w:rPr>
      </w:pPr>
      <w:r>
        <w:rPr>
          <w:color w:val="auto"/>
          <w:spacing w:val="-1"/>
        </w:rPr>
        <w:t>本技术要求用于户内安装的三相配电用的电力变压器及其辅助设备。</w:t>
      </w:r>
    </w:p>
    <w:p>
      <w:pPr>
        <w:pStyle w:val="29"/>
        <w:ind w:firstLine="478"/>
        <w:rPr>
          <w:color w:val="auto"/>
          <w:spacing w:val="-1"/>
        </w:rPr>
      </w:pPr>
      <w:r>
        <w:rPr>
          <w:color w:val="auto"/>
          <w:spacing w:val="-1"/>
        </w:rPr>
        <w:t>2.一般要求</w:t>
      </w:r>
    </w:p>
    <w:p>
      <w:pPr>
        <w:pStyle w:val="29"/>
        <w:ind w:firstLine="478"/>
        <w:rPr>
          <w:color w:val="auto"/>
          <w:spacing w:val="-1"/>
        </w:rPr>
      </w:pPr>
      <w:r>
        <w:rPr>
          <w:color w:val="auto"/>
          <w:spacing w:val="-1"/>
        </w:rPr>
        <w:t>变压器</w:t>
      </w:r>
      <w:r>
        <w:rPr>
          <w:rFonts w:hint="eastAsia"/>
          <w:color w:val="auto"/>
          <w:spacing w:val="-1"/>
        </w:rPr>
        <w:t>选用</w:t>
      </w:r>
      <w:r>
        <w:rPr>
          <w:color w:val="auto"/>
          <w:spacing w:val="-1"/>
        </w:rPr>
        <w:t>国内知名品牌产品。应符合IEC、GB以及电力行业DL标准的要求。变压器应符合IEC以及GB相关标准，变压器应为</w:t>
      </w:r>
      <w:r>
        <w:rPr>
          <w:rFonts w:hint="eastAsia"/>
          <w:color w:val="auto"/>
          <w:spacing w:val="-1"/>
        </w:rPr>
        <w:t>SCB14</w:t>
      </w:r>
      <w:r>
        <w:rPr>
          <w:color w:val="auto"/>
          <w:spacing w:val="-1"/>
        </w:rPr>
        <w:t>系列铜芯干式变压器，高压侧为线绕式，低压侧为箔绕式。变压器冷却方式应为自然冷却和通过辅助风扇冷却两种方式。</w:t>
      </w:r>
    </w:p>
    <w:p>
      <w:pPr>
        <w:pStyle w:val="29"/>
        <w:ind w:firstLine="478"/>
        <w:rPr>
          <w:color w:val="auto"/>
          <w:spacing w:val="-1"/>
        </w:rPr>
      </w:pPr>
      <w:r>
        <w:rPr>
          <w:color w:val="auto"/>
          <w:spacing w:val="-1"/>
        </w:rPr>
        <w:t>所供变压器额定容量是指自然冷却状态台变压器的容量。在厂区当地气候条件下，变压器应能在自然冷却状态满额定容量连续运行。</w:t>
      </w:r>
    </w:p>
    <w:p>
      <w:pPr>
        <w:pStyle w:val="29"/>
        <w:ind w:firstLine="478"/>
        <w:rPr>
          <w:color w:val="auto"/>
          <w:spacing w:val="-1"/>
        </w:rPr>
      </w:pPr>
      <w:r>
        <w:rPr>
          <w:rFonts w:hint="eastAsia"/>
          <w:color w:val="auto"/>
          <w:spacing w:val="-1"/>
        </w:rPr>
        <w:t>3</w:t>
      </w:r>
      <w:r>
        <w:rPr>
          <w:color w:val="auto"/>
          <w:spacing w:val="-1"/>
        </w:rPr>
        <w:t>.结构</w:t>
      </w:r>
    </w:p>
    <w:p>
      <w:pPr>
        <w:pStyle w:val="29"/>
        <w:ind w:firstLine="478"/>
        <w:rPr>
          <w:color w:val="auto"/>
          <w:spacing w:val="-1"/>
        </w:rPr>
      </w:pPr>
      <w:r>
        <w:rPr>
          <w:color w:val="auto"/>
          <w:spacing w:val="-1"/>
        </w:rPr>
        <w:t>变压器铁芯应采用优质高导磁性能硅钢片叠装而成，绕组与铁芯采用弹性固定装置，使变压器具有较低的空载损耗和噪音。变压器外壳采用防腐蚀性强的敷铝锌板。外壳颜色应得到业主的同意并与低压开关柜一致。</w:t>
      </w:r>
    </w:p>
    <w:p>
      <w:pPr>
        <w:pStyle w:val="29"/>
        <w:ind w:firstLine="478"/>
        <w:rPr>
          <w:color w:val="auto"/>
          <w:spacing w:val="-1"/>
        </w:rPr>
      </w:pPr>
      <w:r>
        <w:rPr>
          <w:color w:val="auto"/>
          <w:spacing w:val="-1"/>
        </w:rPr>
        <w:t>外壳的前后板均可拆卸便于连接高压分接头及连接电缆。底板处开孔，以便穿进电缆。外壳应设温控排气扇。外壳门应加电磁锁，带电时不能开门，以免误入带电区。</w:t>
      </w:r>
    </w:p>
    <w:p>
      <w:pPr>
        <w:pStyle w:val="29"/>
        <w:ind w:firstLine="478"/>
        <w:rPr>
          <w:color w:val="auto"/>
          <w:spacing w:val="-1"/>
        </w:rPr>
      </w:pPr>
      <w:r>
        <w:rPr>
          <w:rFonts w:hint="eastAsia"/>
          <w:color w:val="auto"/>
          <w:spacing w:val="-1"/>
        </w:rPr>
        <w:t>4</w:t>
      </w:r>
      <w:r>
        <w:rPr>
          <w:color w:val="auto"/>
          <w:spacing w:val="-1"/>
        </w:rPr>
        <w:t>.绕组</w:t>
      </w:r>
    </w:p>
    <w:p>
      <w:pPr>
        <w:pStyle w:val="29"/>
        <w:ind w:firstLine="478"/>
        <w:rPr>
          <w:color w:val="auto"/>
          <w:spacing w:val="-1"/>
        </w:rPr>
      </w:pPr>
      <w:r>
        <w:rPr>
          <w:color w:val="auto"/>
          <w:spacing w:val="-1"/>
        </w:rPr>
        <w:t>高压和低压绕组的中间不应有接头，所有连接点的绝缘和机械支持能承受在运行时或运输途中由于短路电流或其它瞬态条件产生的机械应力，高低压绕组按GB311进行短路试验时不应发生机械移动。</w:t>
      </w:r>
    </w:p>
    <w:p>
      <w:pPr>
        <w:pStyle w:val="29"/>
        <w:ind w:firstLine="478"/>
        <w:rPr>
          <w:color w:val="auto"/>
          <w:spacing w:val="-1"/>
        </w:rPr>
      </w:pPr>
      <w:r>
        <w:rPr>
          <w:color w:val="auto"/>
          <w:spacing w:val="-1"/>
        </w:rPr>
        <w:t>变压器初级绕组应在额定电压±2³2.5%处抽头，电压选择通过改变电压分接点金属连接线完成。</w:t>
      </w:r>
    </w:p>
    <w:p>
      <w:pPr>
        <w:pStyle w:val="29"/>
        <w:ind w:firstLine="478"/>
        <w:rPr>
          <w:color w:val="auto"/>
          <w:spacing w:val="-1"/>
        </w:rPr>
      </w:pPr>
      <w:r>
        <w:rPr>
          <w:color w:val="auto"/>
          <w:spacing w:val="-1"/>
        </w:rPr>
        <w:t>变压器高低压绕组绝缘等级为H级。</w:t>
      </w:r>
    </w:p>
    <w:p>
      <w:pPr>
        <w:pStyle w:val="29"/>
        <w:ind w:firstLine="478"/>
        <w:rPr>
          <w:color w:val="auto"/>
          <w:spacing w:val="-1"/>
        </w:rPr>
      </w:pPr>
      <w:r>
        <w:rPr>
          <w:color w:val="auto"/>
          <w:spacing w:val="-1"/>
        </w:rPr>
        <w:t>5.温度保护</w:t>
      </w:r>
    </w:p>
    <w:p>
      <w:pPr>
        <w:pStyle w:val="29"/>
        <w:ind w:firstLine="478"/>
        <w:rPr>
          <w:color w:val="auto"/>
          <w:spacing w:val="-1"/>
        </w:rPr>
      </w:pPr>
      <w:r>
        <w:rPr>
          <w:color w:val="auto"/>
          <w:spacing w:val="-1"/>
        </w:rPr>
        <w:t>变压器配置数字式温控器，就地安装在变压器柜上，应有至少2组高温及超温报警功能</w:t>
      </w:r>
    </w:p>
    <w:p>
      <w:pPr>
        <w:pStyle w:val="29"/>
        <w:ind w:firstLine="478"/>
        <w:rPr>
          <w:color w:val="auto"/>
          <w:spacing w:val="-1"/>
        </w:rPr>
      </w:pPr>
      <w:r>
        <w:rPr>
          <w:color w:val="auto"/>
          <w:spacing w:val="-1"/>
        </w:rPr>
        <w:t>和辅助触点（高温、超温各1组，报警接点为无源触点，送至高压柜综保）以及温度变送输出（4~20mA模拟量信号）。</w:t>
      </w:r>
    </w:p>
    <w:p>
      <w:pPr>
        <w:pStyle w:val="29"/>
        <w:ind w:firstLine="478"/>
        <w:rPr>
          <w:color w:val="auto"/>
          <w:spacing w:val="-1"/>
        </w:rPr>
      </w:pPr>
      <w:r>
        <w:rPr>
          <w:color w:val="auto"/>
          <w:spacing w:val="-1"/>
        </w:rPr>
        <w:t>变压器三相低压线圈内设置热电阻PT100以及PTC传感器，数字式温控器检测绕组温度显示绕组温度数值，并根据绕组温度控制风扇自动进行调温，输出高温报警以及超温跳闸信号。同时数字温控器还应具有传感器故障检测报警功能，定时风机开启以及风机故障报警功能。</w:t>
      </w:r>
    </w:p>
    <w:p>
      <w:pPr>
        <w:pStyle w:val="29"/>
        <w:ind w:firstLine="478"/>
        <w:rPr>
          <w:color w:val="auto"/>
          <w:spacing w:val="-1"/>
        </w:rPr>
      </w:pPr>
      <w:r>
        <w:rPr>
          <w:color w:val="auto"/>
          <w:spacing w:val="-1"/>
        </w:rPr>
        <w:t>数字式温控器应具有Modbus通讯总线接口，通讯协议符合厂区电力监控系统要求。</w:t>
      </w:r>
    </w:p>
    <w:p>
      <w:pPr>
        <w:pStyle w:val="31"/>
        <w:rPr>
          <w:b w:val="0"/>
          <w:bCs/>
          <w:color w:val="auto"/>
        </w:rPr>
      </w:pPr>
      <w:r>
        <w:rPr>
          <w:color w:val="auto"/>
        </w:rPr>
        <w:t>低压开关柜</w:t>
      </w:r>
    </w:p>
    <w:p>
      <w:pPr>
        <w:pStyle w:val="29"/>
        <w:ind w:firstLine="478"/>
        <w:rPr>
          <w:color w:val="auto"/>
          <w:spacing w:val="-1"/>
        </w:rPr>
      </w:pPr>
      <w:r>
        <w:rPr>
          <w:color w:val="auto"/>
          <w:spacing w:val="-1"/>
        </w:rPr>
        <w:t>1.简要说明</w:t>
      </w:r>
    </w:p>
    <w:p>
      <w:pPr>
        <w:pStyle w:val="29"/>
        <w:ind w:firstLine="478"/>
        <w:rPr>
          <w:color w:val="auto"/>
          <w:spacing w:val="-1"/>
        </w:rPr>
      </w:pPr>
      <w:r>
        <w:rPr>
          <w:color w:val="auto"/>
          <w:spacing w:val="-1"/>
        </w:rPr>
        <w:t>低压开关柜柜型应为在国内应用广泛的柜型。应符合IEC、GB以及电力行业DL标准的要求。柜型至少应达国际先进水平，在国内相应行业拥有良好的应用业绩。</w:t>
      </w:r>
    </w:p>
    <w:p>
      <w:pPr>
        <w:pStyle w:val="29"/>
        <w:ind w:firstLine="478"/>
        <w:rPr>
          <w:color w:val="auto"/>
          <w:spacing w:val="-1"/>
        </w:rPr>
      </w:pPr>
      <w:r>
        <w:rPr>
          <w:color w:val="auto"/>
          <w:spacing w:val="-1"/>
        </w:rPr>
        <w:t>低压开关柜和控制柜的设计应包括功能单元，控制保护以及仪表设备等，对每个设备位置留有适当的空间便于进线和出线，利于接线扩展，固定件的维修及部分元件的调换。</w:t>
      </w:r>
    </w:p>
    <w:p>
      <w:pPr>
        <w:pStyle w:val="29"/>
        <w:ind w:firstLine="478"/>
        <w:rPr>
          <w:color w:val="auto"/>
          <w:spacing w:val="-1"/>
        </w:rPr>
      </w:pPr>
      <w:r>
        <w:rPr>
          <w:color w:val="auto"/>
          <w:spacing w:val="-1"/>
        </w:rPr>
        <w:t>开关柜柜体结构及柜内电气设备电气性能应满足下列条件:</w:t>
      </w:r>
    </w:p>
    <w:p>
      <w:pPr>
        <w:spacing w:before="4"/>
        <w:rPr>
          <w:rFonts w:ascii="Calibri" w:hAnsi="Calibri" w:eastAsia="Calibri" w:cs="Calibri"/>
          <w:color w:val="auto"/>
          <w:sz w:val="8"/>
          <w:szCs w:val="8"/>
          <w:lang w:eastAsia="zh-CN"/>
        </w:rPr>
      </w:pPr>
    </w:p>
    <w:tbl>
      <w:tblPr>
        <w:tblStyle w:val="25"/>
        <w:tblW w:w="6680" w:type="dxa"/>
        <w:tblInd w:w="929" w:type="dxa"/>
        <w:tblLayout w:type="fixed"/>
        <w:tblCellMar>
          <w:top w:w="0" w:type="dxa"/>
          <w:left w:w="0" w:type="dxa"/>
          <w:bottom w:w="0" w:type="dxa"/>
          <w:right w:w="0" w:type="dxa"/>
        </w:tblCellMar>
      </w:tblPr>
      <w:tblGrid>
        <w:gridCol w:w="3339"/>
        <w:gridCol w:w="3341"/>
      </w:tblGrid>
      <w:tr>
        <w:tblPrEx>
          <w:tblLayout w:type="fixed"/>
          <w:tblCellMar>
            <w:top w:w="0" w:type="dxa"/>
            <w:left w:w="0" w:type="dxa"/>
            <w:bottom w:w="0" w:type="dxa"/>
            <w:right w:w="0" w:type="dxa"/>
          </w:tblCellMar>
        </w:tblPrEx>
        <w:trPr>
          <w:trHeight w:val="410" w:hRule="atLeast"/>
        </w:trPr>
        <w:tc>
          <w:tcPr>
            <w:tcW w:w="3339" w:type="dxa"/>
            <w:tcBorders>
              <w:top w:val="single" w:color="000000" w:sz="4" w:space="0"/>
              <w:left w:val="single" w:color="000000" w:sz="4" w:space="0"/>
              <w:bottom w:val="single" w:color="000000" w:sz="4" w:space="0"/>
              <w:right w:val="single" w:color="000000" w:sz="4" w:space="0"/>
            </w:tcBorders>
          </w:tcPr>
          <w:p>
            <w:pPr>
              <w:pStyle w:val="27"/>
              <w:spacing w:before="120" w:after="120"/>
              <w:ind w:left="1"/>
              <w:jc w:val="center"/>
              <w:rPr>
                <w:rFonts w:ascii="宋体" w:hAnsi="宋体" w:eastAsia="宋体" w:cs="宋体"/>
                <w:color w:val="auto"/>
                <w:sz w:val="21"/>
                <w:szCs w:val="21"/>
              </w:rPr>
            </w:pPr>
            <w:r>
              <w:rPr>
                <w:rFonts w:ascii="宋体" w:hAnsi="宋体" w:eastAsia="宋体" w:cs="宋体"/>
                <w:color w:val="auto"/>
                <w:sz w:val="21"/>
                <w:szCs w:val="21"/>
              </w:rPr>
              <w:t>额定绝缘电压</w:t>
            </w:r>
          </w:p>
        </w:tc>
        <w:tc>
          <w:tcPr>
            <w:tcW w:w="3341" w:type="dxa"/>
            <w:tcBorders>
              <w:top w:val="single" w:color="000000" w:sz="4" w:space="0"/>
              <w:left w:val="single" w:color="000000" w:sz="4" w:space="0"/>
              <w:bottom w:val="single" w:color="000000" w:sz="4" w:space="0"/>
              <w:right w:val="single" w:color="000000" w:sz="4" w:space="0"/>
            </w:tcBorders>
          </w:tcPr>
          <w:p>
            <w:pPr>
              <w:pStyle w:val="27"/>
              <w:spacing w:before="120" w:after="120"/>
              <w:jc w:val="center"/>
              <w:rPr>
                <w:rFonts w:ascii="Calibri" w:hAnsi="Calibri" w:eastAsia="Calibri" w:cs="Calibri"/>
                <w:color w:val="auto"/>
                <w:sz w:val="21"/>
                <w:szCs w:val="21"/>
              </w:rPr>
            </w:pPr>
            <w:r>
              <w:rPr>
                <w:rFonts w:ascii="Calibri"/>
                <w:color w:val="auto"/>
                <w:sz w:val="21"/>
              </w:rPr>
              <w:t>1KV</w:t>
            </w:r>
          </w:p>
        </w:tc>
      </w:tr>
      <w:tr>
        <w:tblPrEx>
          <w:tblLayout w:type="fixed"/>
          <w:tblCellMar>
            <w:top w:w="0" w:type="dxa"/>
            <w:left w:w="0" w:type="dxa"/>
            <w:bottom w:w="0" w:type="dxa"/>
            <w:right w:w="0" w:type="dxa"/>
          </w:tblCellMar>
        </w:tblPrEx>
        <w:trPr>
          <w:trHeight w:val="410" w:hRule="exact"/>
        </w:trPr>
        <w:tc>
          <w:tcPr>
            <w:tcW w:w="3339" w:type="dxa"/>
            <w:tcBorders>
              <w:top w:val="single" w:color="000000" w:sz="4" w:space="0"/>
              <w:left w:val="single" w:color="000000" w:sz="4" w:space="0"/>
              <w:bottom w:val="single" w:color="000000" w:sz="4" w:space="0"/>
              <w:right w:val="single" w:color="000000" w:sz="4" w:space="0"/>
            </w:tcBorders>
          </w:tcPr>
          <w:p>
            <w:pPr>
              <w:pStyle w:val="27"/>
              <w:spacing w:before="120" w:after="120"/>
              <w:ind w:left="1"/>
              <w:jc w:val="center"/>
              <w:rPr>
                <w:rFonts w:ascii="宋体" w:hAnsi="宋体" w:eastAsia="宋体" w:cs="宋体"/>
                <w:color w:val="auto"/>
                <w:sz w:val="21"/>
                <w:szCs w:val="21"/>
              </w:rPr>
            </w:pPr>
            <w:r>
              <w:rPr>
                <w:rFonts w:ascii="宋体" w:hAnsi="宋体" w:eastAsia="宋体" w:cs="宋体"/>
                <w:color w:val="auto"/>
                <w:sz w:val="21"/>
                <w:szCs w:val="21"/>
              </w:rPr>
              <w:t>额定工作电压</w:t>
            </w:r>
          </w:p>
        </w:tc>
        <w:tc>
          <w:tcPr>
            <w:tcW w:w="3341" w:type="dxa"/>
            <w:tcBorders>
              <w:top w:val="single" w:color="000000" w:sz="4" w:space="0"/>
              <w:left w:val="single" w:color="000000" w:sz="4" w:space="0"/>
              <w:bottom w:val="single" w:color="000000" w:sz="4" w:space="0"/>
              <w:right w:val="single" w:color="000000" w:sz="4" w:space="0"/>
            </w:tcBorders>
          </w:tcPr>
          <w:p>
            <w:pPr>
              <w:pStyle w:val="27"/>
              <w:spacing w:before="120" w:after="120"/>
              <w:jc w:val="center"/>
              <w:rPr>
                <w:rFonts w:ascii="Calibri" w:hAnsi="Calibri" w:eastAsia="Calibri" w:cs="Calibri"/>
                <w:color w:val="auto"/>
                <w:sz w:val="21"/>
                <w:szCs w:val="21"/>
              </w:rPr>
            </w:pPr>
            <w:r>
              <w:rPr>
                <w:rFonts w:ascii="Calibri"/>
                <w:color w:val="auto"/>
                <w:sz w:val="21"/>
              </w:rPr>
              <w:t>690V</w:t>
            </w:r>
          </w:p>
        </w:tc>
      </w:tr>
      <w:tr>
        <w:tblPrEx>
          <w:tblLayout w:type="fixed"/>
          <w:tblCellMar>
            <w:top w:w="0" w:type="dxa"/>
            <w:left w:w="0" w:type="dxa"/>
            <w:bottom w:w="0" w:type="dxa"/>
            <w:right w:w="0" w:type="dxa"/>
          </w:tblCellMar>
        </w:tblPrEx>
        <w:trPr>
          <w:trHeight w:val="409" w:hRule="exact"/>
        </w:trPr>
        <w:tc>
          <w:tcPr>
            <w:tcW w:w="3339" w:type="dxa"/>
            <w:tcBorders>
              <w:top w:val="single" w:color="000000" w:sz="4" w:space="0"/>
              <w:left w:val="single" w:color="000000" w:sz="4" w:space="0"/>
              <w:bottom w:val="single" w:color="000000" w:sz="4" w:space="0"/>
              <w:right w:val="single" w:color="000000" w:sz="4" w:space="0"/>
            </w:tcBorders>
          </w:tcPr>
          <w:p>
            <w:pPr>
              <w:pStyle w:val="27"/>
              <w:spacing w:before="120" w:after="120"/>
              <w:jc w:val="center"/>
              <w:rPr>
                <w:rFonts w:ascii="宋体" w:hAnsi="宋体" w:eastAsia="宋体" w:cs="宋体"/>
                <w:color w:val="auto"/>
                <w:sz w:val="21"/>
                <w:szCs w:val="21"/>
              </w:rPr>
            </w:pPr>
            <w:r>
              <w:rPr>
                <w:rFonts w:ascii="宋体" w:hAnsi="宋体" w:eastAsia="宋体" w:cs="宋体"/>
                <w:color w:val="auto"/>
                <w:sz w:val="21"/>
                <w:szCs w:val="21"/>
              </w:rPr>
              <w:t>额定脉冲耐受电压</w:t>
            </w:r>
          </w:p>
        </w:tc>
        <w:tc>
          <w:tcPr>
            <w:tcW w:w="3341" w:type="dxa"/>
            <w:tcBorders>
              <w:top w:val="single" w:color="000000" w:sz="4" w:space="0"/>
              <w:left w:val="single" w:color="000000" w:sz="4" w:space="0"/>
              <w:bottom w:val="single" w:color="000000" w:sz="4" w:space="0"/>
              <w:right w:val="single" w:color="000000" w:sz="4" w:space="0"/>
            </w:tcBorders>
          </w:tcPr>
          <w:p>
            <w:pPr>
              <w:pStyle w:val="27"/>
              <w:spacing w:before="120" w:after="120"/>
              <w:jc w:val="center"/>
              <w:rPr>
                <w:rFonts w:ascii="Calibri" w:hAnsi="Calibri" w:eastAsia="Calibri" w:cs="Calibri"/>
                <w:color w:val="auto"/>
                <w:sz w:val="21"/>
                <w:szCs w:val="21"/>
              </w:rPr>
            </w:pPr>
            <w:r>
              <w:rPr>
                <w:rFonts w:ascii="Calibri"/>
                <w:color w:val="auto"/>
                <w:sz w:val="21"/>
              </w:rPr>
              <w:t>12KV</w:t>
            </w:r>
          </w:p>
        </w:tc>
      </w:tr>
      <w:tr>
        <w:tblPrEx>
          <w:tblLayout w:type="fixed"/>
          <w:tblCellMar>
            <w:top w:w="0" w:type="dxa"/>
            <w:left w:w="0" w:type="dxa"/>
            <w:bottom w:w="0" w:type="dxa"/>
            <w:right w:w="0" w:type="dxa"/>
          </w:tblCellMar>
        </w:tblPrEx>
        <w:trPr>
          <w:trHeight w:val="410" w:hRule="exact"/>
        </w:trPr>
        <w:tc>
          <w:tcPr>
            <w:tcW w:w="3339" w:type="dxa"/>
            <w:tcBorders>
              <w:top w:val="single" w:color="000000" w:sz="4" w:space="0"/>
              <w:left w:val="single" w:color="000000" w:sz="4" w:space="0"/>
              <w:bottom w:val="single" w:color="000000" w:sz="4" w:space="0"/>
              <w:right w:val="single" w:color="000000" w:sz="4" w:space="0"/>
            </w:tcBorders>
          </w:tcPr>
          <w:p>
            <w:pPr>
              <w:pStyle w:val="27"/>
              <w:spacing w:before="120" w:after="120"/>
              <w:jc w:val="center"/>
              <w:rPr>
                <w:rFonts w:ascii="宋体" w:hAnsi="宋体" w:eastAsia="宋体" w:cs="宋体"/>
                <w:color w:val="auto"/>
                <w:sz w:val="21"/>
                <w:szCs w:val="21"/>
              </w:rPr>
            </w:pPr>
            <w:r>
              <w:rPr>
                <w:rFonts w:ascii="宋体" w:hAnsi="宋体" w:eastAsia="宋体" w:cs="宋体"/>
                <w:color w:val="auto"/>
                <w:sz w:val="21"/>
                <w:szCs w:val="21"/>
              </w:rPr>
              <w:t>主母线最大额定电流</w:t>
            </w:r>
          </w:p>
        </w:tc>
        <w:tc>
          <w:tcPr>
            <w:tcW w:w="3341" w:type="dxa"/>
            <w:tcBorders>
              <w:top w:val="single" w:color="000000" w:sz="4" w:space="0"/>
              <w:left w:val="single" w:color="000000" w:sz="4" w:space="0"/>
              <w:bottom w:val="single" w:color="000000" w:sz="4" w:space="0"/>
              <w:right w:val="single" w:color="000000" w:sz="4" w:space="0"/>
            </w:tcBorders>
          </w:tcPr>
          <w:p>
            <w:pPr>
              <w:pStyle w:val="27"/>
              <w:spacing w:before="120" w:after="120"/>
              <w:ind w:left="103" w:right="-3"/>
              <w:jc w:val="center"/>
              <w:rPr>
                <w:rFonts w:ascii="宋体" w:hAnsi="宋体" w:eastAsia="宋体" w:cs="宋体"/>
                <w:color w:val="auto"/>
                <w:sz w:val="21"/>
                <w:szCs w:val="21"/>
                <w:lang w:eastAsia="zh-CN"/>
              </w:rPr>
            </w:pPr>
            <w:r>
              <w:rPr>
                <w:rFonts w:ascii="Calibri" w:hAnsi="Calibri" w:eastAsia="Calibri" w:cs="Calibri"/>
                <w:color w:val="auto"/>
                <w:spacing w:val="-10"/>
                <w:sz w:val="21"/>
                <w:szCs w:val="21"/>
                <w:lang w:eastAsia="zh-CN"/>
              </w:rPr>
              <w:t>2500A</w:t>
            </w:r>
            <w:r>
              <w:rPr>
                <w:rFonts w:ascii="宋体" w:hAnsi="宋体" w:eastAsia="宋体" w:cs="宋体"/>
                <w:color w:val="auto"/>
                <w:spacing w:val="-10"/>
                <w:sz w:val="21"/>
                <w:szCs w:val="21"/>
                <w:lang w:eastAsia="zh-CN"/>
              </w:rPr>
              <w:t>（单母线），</w:t>
            </w:r>
            <w:r>
              <w:rPr>
                <w:rFonts w:ascii="Calibri" w:hAnsi="Calibri" w:eastAsia="Calibri" w:cs="Calibri"/>
                <w:color w:val="auto"/>
                <w:spacing w:val="-10"/>
                <w:sz w:val="21"/>
                <w:szCs w:val="21"/>
                <w:lang w:eastAsia="zh-CN"/>
              </w:rPr>
              <w:t>5000A</w:t>
            </w:r>
            <w:r>
              <w:rPr>
                <w:rFonts w:ascii="宋体" w:hAnsi="宋体" w:eastAsia="宋体" w:cs="宋体"/>
                <w:color w:val="auto"/>
                <w:spacing w:val="-10"/>
                <w:sz w:val="21"/>
                <w:szCs w:val="21"/>
                <w:lang w:eastAsia="zh-CN"/>
              </w:rPr>
              <w:t>（双母线）</w:t>
            </w:r>
          </w:p>
        </w:tc>
      </w:tr>
      <w:tr>
        <w:tblPrEx>
          <w:tblLayout w:type="fixed"/>
          <w:tblCellMar>
            <w:top w:w="0" w:type="dxa"/>
            <w:left w:w="0" w:type="dxa"/>
            <w:bottom w:w="0" w:type="dxa"/>
            <w:right w:w="0" w:type="dxa"/>
          </w:tblCellMar>
        </w:tblPrEx>
        <w:trPr>
          <w:trHeight w:val="410" w:hRule="exact"/>
        </w:trPr>
        <w:tc>
          <w:tcPr>
            <w:tcW w:w="3339" w:type="dxa"/>
            <w:tcBorders>
              <w:top w:val="single" w:color="000000" w:sz="4" w:space="0"/>
              <w:left w:val="single" w:color="000000" w:sz="4" w:space="0"/>
              <w:bottom w:val="single" w:color="000000" w:sz="4" w:space="0"/>
              <w:right w:val="single" w:color="000000" w:sz="4" w:space="0"/>
            </w:tcBorders>
          </w:tcPr>
          <w:p>
            <w:pPr>
              <w:pStyle w:val="27"/>
              <w:spacing w:before="120" w:after="120"/>
              <w:ind w:left="2"/>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配电母线最大额定电流</w:t>
            </w:r>
          </w:p>
        </w:tc>
        <w:tc>
          <w:tcPr>
            <w:tcW w:w="3341" w:type="dxa"/>
            <w:tcBorders>
              <w:top w:val="single" w:color="000000" w:sz="4" w:space="0"/>
              <w:left w:val="single" w:color="000000" w:sz="4" w:space="0"/>
              <w:bottom w:val="single" w:color="000000" w:sz="4" w:space="0"/>
              <w:right w:val="single" w:color="000000" w:sz="4" w:space="0"/>
            </w:tcBorders>
          </w:tcPr>
          <w:p>
            <w:pPr>
              <w:pStyle w:val="27"/>
              <w:spacing w:before="120" w:after="120"/>
              <w:jc w:val="center"/>
              <w:rPr>
                <w:rFonts w:ascii="Calibri" w:hAnsi="Calibri" w:eastAsia="Calibri" w:cs="Calibri"/>
                <w:color w:val="auto"/>
                <w:sz w:val="21"/>
                <w:szCs w:val="21"/>
              </w:rPr>
            </w:pPr>
            <w:r>
              <w:rPr>
                <w:rFonts w:ascii="Calibri"/>
                <w:color w:val="auto"/>
                <w:sz w:val="21"/>
              </w:rPr>
              <w:t>2500A</w:t>
            </w:r>
          </w:p>
        </w:tc>
      </w:tr>
      <w:tr>
        <w:tblPrEx>
          <w:tblLayout w:type="fixed"/>
          <w:tblCellMar>
            <w:top w:w="0" w:type="dxa"/>
            <w:left w:w="0" w:type="dxa"/>
            <w:bottom w:w="0" w:type="dxa"/>
            <w:right w:w="0" w:type="dxa"/>
          </w:tblCellMar>
        </w:tblPrEx>
        <w:trPr>
          <w:trHeight w:val="410" w:hRule="exact"/>
        </w:trPr>
        <w:tc>
          <w:tcPr>
            <w:tcW w:w="3339" w:type="dxa"/>
            <w:tcBorders>
              <w:top w:val="single" w:color="000000" w:sz="4" w:space="0"/>
              <w:left w:val="single" w:color="000000" w:sz="4" w:space="0"/>
              <w:bottom w:val="single" w:color="000000" w:sz="4" w:space="0"/>
              <w:right w:val="single" w:color="000000" w:sz="4" w:space="0"/>
            </w:tcBorders>
          </w:tcPr>
          <w:p>
            <w:pPr>
              <w:pStyle w:val="27"/>
              <w:spacing w:before="120" w:after="120"/>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母线短时耐受电流（</w:t>
            </w:r>
            <w:r>
              <w:rPr>
                <w:rFonts w:ascii="Calibri" w:hAnsi="Calibri" w:eastAsia="Calibri" w:cs="Calibri"/>
                <w:color w:val="auto"/>
                <w:sz w:val="21"/>
                <w:szCs w:val="21"/>
                <w:lang w:eastAsia="zh-CN"/>
              </w:rPr>
              <w:t>1S</w:t>
            </w:r>
            <w:r>
              <w:rPr>
                <w:rFonts w:ascii="宋体" w:hAnsi="宋体" w:eastAsia="宋体" w:cs="宋体"/>
                <w:color w:val="auto"/>
                <w:sz w:val="21"/>
                <w:szCs w:val="21"/>
                <w:lang w:eastAsia="zh-CN"/>
              </w:rPr>
              <w:t>）</w:t>
            </w:r>
          </w:p>
        </w:tc>
        <w:tc>
          <w:tcPr>
            <w:tcW w:w="3341" w:type="dxa"/>
            <w:tcBorders>
              <w:top w:val="single" w:color="000000" w:sz="4" w:space="0"/>
              <w:left w:val="single" w:color="000000" w:sz="4" w:space="0"/>
              <w:bottom w:val="single" w:color="000000" w:sz="4" w:space="0"/>
              <w:right w:val="single" w:color="000000" w:sz="4" w:space="0"/>
            </w:tcBorders>
          </w:tcPr>
          <w:p>
            <w:pPr>
              <w:pStyle w:val="27"/>
              <w:spacing w:before="120" w:after="120"/>
              <w:jc w:val="center"/>
              <w:rPr>
                <w:rFonts w:ascii="Calibri" w:hAnsi="Calibri" w:eastAsia="Calibri" w:cs="Calibri"/>
                <w:color w:val="auto"/>
                <w:sz w:val="21"/>
                <w:szCs w:val="21"/>
              </w:rPr>
            </w:pPr>
            <w:r>
              <w:rPr>
                <w:rFonts w:ascii="Calibri"/>
                <w:color w:val="auto"/>
                <w:sz w:val="21"/>
              </w:rPr>
              <w:t>36KA</w:t>
            </w:r>
          </w:p>
        </w:tc>
      </w:tr>
      <w:tr>
        <w:tblPrEx>
          <w:tblLayout w:type="fixed"/>
          <w:tblCellMar>
            <w:top w:w="0" w:type="dxa"/>
            <w:left w:w="0" w:type="dxa"/>
            <w:bottom w:w="0" w:type="dxa"/>
            <w:right w:w="0" w:type="dxa"/>
          </w:tblCellMar>
        </w:tblPrEx>
        <w:trPr>
          <w:trHeight w:val="410" w:hRule="exact"/>
        </w:trPr>
        <w:tc>
          <w:tcPr>
            <w:tcW w:w="3339" w:type="dxa"/>
            <w:tcBorders>
              <w:top w:val="single" w:color="000000" w:sz="4" w:space="0"/>
              <w:left w:val="single" w:color="000000" w:sz="4" w:space="0"/>
              <w:bottom w:val="single" w:color="000000" w:sz="4" w:space="0"/>
              <w:right w:val="single" w:color="000000" w:sz="4" w:space="0"/>
            </w:tcBorders>
          </w:tcPr>
          <w:p>
            <w:pPr>
              <w:pStyle w:val="27"/>
              <w:spacing w:before="120" w:after="120"/>
              <w:ind w:left="823"/>
              <w:rPr>
                <w:rFonts w:ascii="宋体" w:hAnsi="宋体" w:eastAsia="宋体" w:cs="宋体"/>
                <w:color w:val="auto"/>
                <w:sz w:val="21"/>
                <w:szCs w:val="21"/>
              </w:rPr>
            </w:pPr>
            <w:r>
              <w:rPr>
                <w:rFonts w:ascii="宋体" w:hAnsi="宋体" w:eastAsia="宋体" w:cs="宋体"/>
                <w:color w:val="auto"/>
                <w:sz w:val="21"/>
                <w:szCs w:val="21"/>
              </w:rPr>
              <w:t>母线峰值耐受电流</w:t>
            </w:r>
          </w:p>
        </w:tc>
        <w:tc>
          <w:tcPr>
            <w:tcW w:w="3341" w:type="dxa"/>
            <w:tcBorders>
              <w:top w:val="single" w:color="000000" w:sz="4" w:space="0"/>
              <w:left w:val="single" w:color="000000" w:sz="4" w:space="0"/>
              <w:bottom w:val="single" w:color="000000" w:sz="4" w:space="0"/>
              <w:right w:val="single" w:color="000000" w:sz="4" w:space="0"/>
            </w:tcBorders>
          </w:tcPr>
          <w:p>
            <w:pPr>
              <w:pStyle w:val="27"/>
              <w:spacing w:before="120" w:after="120"/>
              <w:jc w:val="center"/>
              <w:rPr>
                <w:rFonts w:ascii="Calibri" w:hAnsi="Calibri" w:eastAsia="Calibri" w:cs="Calibri"/>
                <w:color w:val="auto"/>
                <w:sz w:val="21"/>
                <w:szCs w:val="21"/>
              </w:rPr>
            </w:pPr>
            <w:r>
              <w:rPr>
                <w:rFonts w:ascii="Calibri"/>
                <w:color w:val="auto"/>
                <w:sz w:val="21"/>
              </w:rPr>
              <w:t>80KA</w:t>
            </w:r>
          </w:p>
        </w:tc>
      </w:tr>
    </w:tbl>
    <w:p>
      <w:pPr>
        <w:pStyle w:val="29"/>
        <w:spacing w:before="120" w:beforeLines="50"/>
        <w:ind w:firstLine="478"/>
        <w:rPr>
          <w:color w:val="auto"/>
          <w:spacing w:val="-1"/>
        </w:rPr>
      </w:pPr>
      <w:r>
        <w:rPr>
          <w:rFonts w:hint="eastAsia"/>
          <w:color w:val="auto"/>
          <w:spacing w:val="-1"/>
        </w:rPr>
        <w:t>2</w:t>
      </w:r>
      <w:r>
        <w:rPr>
          <w:color w:val="auto"/>
          <w:spacing w:val="-1"/>
        </w:rPr>
        <w:t>.结构</w:t>
      </w:r>
    </w:p>
    <w:p>
      <w:pPr>
        <w:pStyle w:val="29"/>
        <w:ind w:firstLine="478"/>
        <w:rPr>
          <w:color w:val="auto"/>
          <w:spacing w:val="-1"/>
        </w:rPr>
      </w:pPr>
      <w:r>
        <w:rPr>
          <w:color w:val="auto"/>
          <w:spacing w:val="-1"/>
        </w:rPr>
        <w:t>低压开关柜按需采用固定分隔式或抽出式全封闭结构，柜内每个装置应连续运行，其防护等级应符合IEC60529要求的IP4X。柜体采用防腐蚀性强的钢板，型钢支架，框架的结构件用螺栓紧固连接而成。所有框架零件应为免维护型。开关柜内部严格防止开关元件因故障引起的飞弧造成电气设备的短路。</w:t>
      </w:r>
    </w:p>
    <w:p>
      <w:pPr>
        <w:pStyle w:val="29"/>
        <w:ind w:firstLine="478"/>
        <w:rPr>
          <w:color w:val="auto"/>
          <w:spacing w:val="-1"/>
        </w:rPr>
      </w:pPr>
      <w:r>
        <w:rPr>
          <w:color w:val="auto"/>
          <w:spacing w:val="-1"/>
        </w:rPr>
        <w:t>3.柜内主要元器件</w:t>
      </w:r>
    </w:p>
    <w:p>
      <w:pPr>
        <w:pStyle w:val="29"/>
        <w:ind w:firstLine="478"/>
        <w:rPr>
          <w:color w:val="auto"/>
          <w:spacing w:val="-1"/>
        </w:rPr>
      </w:pPr>
      <w:r>
        <w:rPr>
          <w:color w:val="auto"/>
          <w:spacing w:val="-1"/>
        </w:rPr>
        <w:t>框架断路器、塑壳断路器以及隔离开关等主要元器件应采用施耐德、ABB、西门子或同等国际知名品牌产品。</w:t>
      </w:r>
    </w:p>
    <w:p>
      <w:pPr>
        <w:spacing w:before="10"/>
        <w:rPr>
          <w:rFonts w:ascii="宋体" w:hAnsi="宋体" w:eastAsia="宋体" w:cs="宋体"/>
          <w:color w:val="auto"/>
          <w:sz w:val="14"/>
          <w:szCs w:val="14"/>
          <w:lang w:eastAsia="zh-CN"/>
        </w:rPr>
      </w:pPr>
    </w:p>
    <w:p>
      <w:pPr>
        <w:pStyle w:val="31"/>
        <w:rPr>
          <w:b w:val="0"/>
          <w:bCs/>
          <w:color w:val="auto"/>
        </w:rPr>
      </w:pPr>
      <w:r>
        <w:rPr>
          <w:color w:val="auto"/>
        </w:rPr>
        <w:t>MCC控制柜</w:t>
      </w:r>
    </w:p>
    <w:p>
      <w:pPr>
        <w:pStyle w:val="29"/>
        <w:ind w:firstLine="478"/>
        <w:rPr>
          <w:color w:val="auto"/>
          <w:spacing w:val="-1"/>
        </w:rPr>
      </w:pPr>
      <w:r>
        <w:rPr>
          <w:color w:val="auto"/>
          <w:spacing w:val="-1"/>
        </w:rPr>
        <w:t>1.简要说明</w:t>
      </w:r>
    </w:p>
    <w:p>
      <w:pPr>
        <w:pStyle w:val="29"/>
        <w:ind w:firstLine="478"/>
        <w:rPr>
          <w:color w:val="auto"/>
          <w:spacing w:val="-1"/>
        </w:rPr>
      </w:pPr>
      <w:r>
        <w:rPr>
          <w:color w:val="auto"/>
          <w:spacing w:val="-1"/>
        </w:rPr>
        <w:t>MCC控制柜采用抽屉式MCC控制柜，柜型至少应达到90年代的国际先进水平，在国内相应行业拥有良好的应用业绩。</w:t>
      </w:r>
    </w:p>
    <w:p>
      <w:pPr>
        <w:pStyle w:val="29"/>
        <w:ind w:firstLine="478"/>
        <w:rPr>
          <w:color w:val="auto"/>
          <w:spacing w:val="-1"/>
        </w:rPr>
      </w:pPr>
      <w:r>
        <w:rPr>
          <w:color w:val="auto"/>
          <w:spacing w:val="-1"/>
        </w:rPr>
        <w:t>MCC控制柜的设计应包括功能单元，控制保护以及仪表设备等，对每个设备位置留有适当的空间便于进线和出线，利于接线扩展，固定件的维修及部分元件的调换。</w:t>
      </w:r>
    </w:p>
    <w:p>
      <w:pPr>
        <w:pStyle w:val="29"/>
        <w:ind w:firstLine="478"/>
        <w:rPr>
          <w:color w:val="auto"/>
          <w:spacing w:val="-1"/>
        </w:rPr>
      </w:pPr>
      <w:r>
        <w:rPr>
          <w:color w:val="auto"/>
          <w:spacing w:val="-1"/>
        </w:rPr>
        <w:t>2.结构</w:t>
      </w:r>
    </w:p>
    <w:p>
      <w:pPr>
        <w:pStyle w:val="29"/>
        <w:ind w:firstLine="478"/>
        <w:rPr>
          <w:color w:val="auto"/>
          <w:spacing w:val="-1"/>
        </w:rPr>
      </w:pPr>
      <w:r>
        <w:rPr>
          <w:color w:val="auto"/>
          <w:spacing w:val="-1"/>
        </w:rPr>
        <w:t>MCC控制柜采用抽屉式结构，相同尺寸抽屉单元可任意替换。柜内每个装置应连续运行，其防护等级应符合IEC60529要求的IP4X。</w:t>
      </w:r>
    </w:p>
    <w:p>
      <w:pPr>
        <w:pStyle w:val="29"/>
        <w:ind w:firstLine="478"/>
        <w:rPr>
          <w:color w:val="auto"/>
          <w:spacing w:val="-1"/>
        </w:rPr>
      </w:pPr>
      <w:r>
        <w:rPr>
          <w:color w:val="auto"/>
          <w:spacing w:val="-1"/>
        </w:rPr>
        <w:t>柜体采用防腐蚀性强的钢板，型钢支架，框架的结构件用螺栓紧固连接而成。所有框架零件应为免维护型。控制柜内部严格防止开关元件因故障引起的飞弧造成电气设备的短路。</w:t>
      </w:r>
    </w:p>
    <w:p>
      <w:pPr>
        <w:pStyle w:val="29"/>
        <w:ind w:firstLine="478"/>
        <w:rPr>
          <w:color w:val="auto"/>
          <w:spacing w:val="-1"/>
        </w:rPr>
      </w:pPr>
      <w:r>
        <w:rPr>
          <w:color w:val="auto"/>
          <w:spacing w:val="-1"/>
        </w:rPr>
        <w:t>3.柜内主要元器件框架断路器、塑壳断路器、接触器以及隔离开关等主要元器件应采用施耐德、ABB、西门子或同等国际知名品牌产品。</w:t>
      </w:r>
    </w:p>
    <w:p>
      <w:pPr>
        <w:spacing w:before="10"/>
        <w:rPr>
          <w:rFonts w:ascii="宋体" w:hAnsi="宋体" w:eastAsia="宋体" w:cs="宋体"/>
          <w:color w:val="auto"/>
          <w:sz w:val="14"/>
          <w:szCs w:val="14"/>
          <w:lang w:eastAsia="zh-CN"/>
        </w:rPr>
      </w:pPr>
    </w:p>
    <w:p>
      <w:pPr>
        <w:pStyle w:val="31"/>
        <w:rPr>
          <w:b w:val="0"/>
          <w:bCs/>
          <w:color w:val="auto"/>
        </w:rPr>
      </w:pPr>
      <w:r>
        <w:rPr>
          <w:color w:val="auto"/>
        </w:rPr>
        <w:t>直流电源屏</w:t>
      </w:r>
    </w:p>
    <w:p>
      <w:pPr>
        <w:pStyle w:val="29"/>
        <w:ind w:firstLine="478"/>
        <w:rPr>
          <w:color w:val="auto"/>
          <w:spacing w:val="-1"/>
        </w:rPr>
      </w:pPr>
      <w:r>
        <w:rPr>
          <w:color w:val="auto"/>
          <w:spacing w:val="-1"/>
        </w:rPr>
        <w:t>1.直流电源屏采用两路380/220V电源进线，屏内两路电源自动切换。直流输出电源电压应为220VDC。功率输出单元采用进口高频开关电源模块，可带电热</w:t>
      </w:r>
    </w:p>
    <w:p>
      <w:pPr>
        <w:pStyle w:val="29"/>
        <w:ind w:firstLine="478"/>
        <w:rPr>
          <w:color w:val="auto"/>
          <w:spacing w:val="-1"/>
        </w:rPr>
      </w:pPr>
      <w:r>
        <w:rPr>
          <w:color w:val="auto"/>
          <w:spacing w:val="-1"/>
        </w:rPr>
        <w:t>插拔，个别模块故障后，自动退出运行，不影响整个系统的正常运行。</w:t>
      </w:r>
    </w:p>
    <w:p>
      <w:pPr>
        <w:pStyle w:val="29"/>
        <w:ind w:firstLine="478"/>
        <w:rPr>
          <w:color w:val="auto"/>
          <w:spacing w:val="-1"/>
        </w:rPr>
      </w:pPr>
      <w:r>
        <w:rPr>
          <w:color w:val="auto"/>
          <w:spacing w:val="-1"/>
        </w:rPr>
        <w:t>1.直流电源屏应带上盖和两侧侧板，前后有门，前门应配有大玻璃透明窗。屏顶应安装温控排气扇。</w:t>
      </w:r>
    </w:p>
    <w:p>
      <w:pPr>
        <w:pStyle w:val="29"/>
        <w:ind w:firstLine="478"/>
        <w:rPr>
          <w:color w:val="auto"/>
          <w:spacing w:val="-1"/>
        </w:rPr>
      </w:pPr>
      <w:r>
        <w:rPr>
          <w:rFonts w:hint="eastAsia"/>
          <w:color w:val="auto"/>
          <w:spacing w:val="-1"/>
        </w:rPr>
        <w:t>2</w:t>
      </w:r>
      <w:r>
        <w:rPr>
          <w:color w:val="auto"/>
          <w:spacing w:val="-1"/>
        </w:rPr>
        <w:t>.直流屏内应配备一组进口免维护阀控全密封铅酸蓄电池，且应满足合闸电源，控制电源，信号电源等操作要求。电池的容量、内阻应有良好的一致性。屏内应包括一套充电机和一套浮充电机，充电机应能作为浮充电机的备份机。</w:t>
      </w:r>
    </w:p>
    <w:p>
      <w:pPr>
        <w:pStyle w:val="29"/>
        <w:ind w:firstLine="478"/>
        <w:rPr>
          <w:color w:val="auto"/>
          <w:spacing w:val="-1"/>
        </w:rPr>
      </w:pPr>
      <w:r>
        <w:rPr>
          <w:rFonts w:hint="eastAsia"/>
          <w:color w:val="auto"/>
          <w:spacing w:val="-1"/>
        </w:rPr>
        <w:t>3</w:t>
      </w:r>
      <w:r>
        <w:rPr>
          <w:color w:val="auto"/>
          <w:spacing w:val="-1"/>
        </w:rPr>
        <w:t>.直流屏应配备智能型监控管理系统，采用触摸屏作为人机界面。应具有Modbus通讯总线接口，通讯协议应符合厂区电力监控系统要求。</w:t>
      </w:r>
    </w:p>
    <w:p>
      <w:pPr>
        <w:pStyle w:val="29"/>
        <w:ind w:firstLine="478"/>
        <w:rPr>
          <w:color w:val="auto"/>
          <w:spacing w:val="-1"/>
        </w:rPr>
      </w:pPr>
      <w:r>
        <w:rPr>
          <w:color w:val="auto"/>
          <w:spacing w:val="-1"/>
        </w:rPr>
        <w:t>直流屏外壳防护等级不应低于IP40。</w:t>
      </w:r>
    </w:p>
    <w:p>
      <w:pPr>
        <w:pStyle w:val="31"/>
        <w:rPr>
          <w:b w:val="0"/>
          <w:bCs/>
          <w:color w:val="auto"/>
        </w:rPr>
      </w:pPr>
      <w:r>
        <w:rPr>
          <w:color w:val="auto"/>
        </w:rPr>
        <w:t>动力配电柜（箱）</w:t>
      </w:r>
    </w:p>
    <w:p>
      <w:pPr>
        <w:pStyle w:val="29"/>
        <w:ind w:firstLine="478"/>
        <w:rPr>
          <w:color w:val="auto"/>
          <w:spacing w:val="-1"/>
        </w:rPr>
      </w:pPr>
      <w:r>
        <w:rPr>
          <w:rFonts w:hint="eastAsia"/>
          <w:color w:val="auto"/>
          <w:spacing w:val="-1"/>
        </w:rPr>
        <w:t>1</w:t>
      </w:r>
      <w:r>
        <w:rPr>
          <w:color w:val="auto"/>
          <w:spacing w:val="-1"/>
        </w:rPr>
        <w:t>.简要说明</w:t>
      </w:r>
    </w:p>
    <w:p>
      <w:pPr>
        <w:pStyle w:val="29"/>
        <w:ind w:firstLine="478"/>
        <w:rPr>
          <w:color w:val="auto"/>
          <w:spacing w:val="-1"/>
        </w:rPr>
      </w:pPr>
      <w:r>
        <w:rPr>
          <w:color w:val="auto"/>
          <w:spacing w:val="-1"/>
        </w:rPr>
        <w:t>动力配电柜（箱）作为现场配电使用。</w:t>
      </w:r>
    </w:p>
    <w:p>
      <w:pPr>
        <w:pStyle w:val="29"/>
        <w:ind w:firstLine="478"/>
        <w:rPr>
          <w:color w:val="auto"/>
          <w:spacing w:val="-1"/>
        </w:rPr>
      </w:pPr>
      <w:r>
        <w:rPr>
          <w:rFonts w:hint="eastAsia"/>
          <w:color w:val="auto"/>
          <w:spacing w:val="-1"/>
        </w:rPr>
        <w:t>2</w:t>
      </w:r>
      <w:r>
        <w:rPr>
          <w:color w:val="auto"/>
          <w:spacing w:val="-1"/>
        </w:rPr>
        <w:t>.柜体结构</w:t>
      </w:r>
    </w:p>
    <w:p>
      <w:pPr>
        <w:pStyle w:val="29"/>
        <w:ind w:firstLine="478"/>
        <w:rPr>
          <w:color w:val="auto"/>
          <w:spacing w:val="-1"/>
        </w:rPr>
      </w:pPr>
      <w:r>
        <w:rPr>
          <w:color w:val="auto"/>
          <w:spacing w:val="-1"/>
        </w:rPr>
        <w:t>采用前检修前开门的结构形式。配电柜应落地可靠墙安装，配电箱应采用挂墙或支架明装或嵌墙暗装。</w:t>
      </w:r>
    </w:p>
    <w:p>
      <w:pPr>
        <w:pStyle w:val="29"/>
        <w:ind w:firstLine="478"/>
        <w:rPr>
          <w:color w:val="auto"/>
          <w:spacing w:val="-1"/>
        </w:rPr>
      </w:pPr>
      <w:r>
        <w:rPr>
          <w:color w:val="auto"/>
          <w:spacing w:val="-1"/>
        </w:rPr>
        <w:t>箱体应阻燃，防腐蚀，耐老化，抗冲击。所有动力配电柜（箱）的箱体要求外形、色彩要求全厂统一协调，并须征得业主许可。</w:t>
      </w:r>
    </w:p>
    <w:p>
      <w:pPr>
        <w:pStyle w:val="29"/>
        <w:ind w:firstLine="478"/>
        <w:rPr>
          <w:color w:val="auto"/>
          <w:spacing w:val="-1"/>
        </w:rPr>
      </w:pPr>
      <w:r>
        <w:rPr>
          <w:color w:val="auto"/>
          <w:spacing w:val="-1"/>
        </w:rPr>
        <w:t>3.柜内主要元器件</w:t>
      </w:r>
    </w:p>
    <w:p>
      <w:pPr>
        <w:pStyle w:val="29"/>
        <w:ind w:firstLine="478"/>
        <w:rPr>
          <w:color w:val="auto"/>
          <w:spacing w:val="-1"/>
        </w:rPr>
      </w:pPr>
      <w:r>
        <w:rPr>
          <w:color w:val="auto"/>
          <w:spacing w:val="-1"/>
        </w:rPr>
        <w:t>柜内元器件应符合《低压开关柜》“柜内主要设备”的技术要求，并应与低压开关柜内主要设备采用同品牌同系列产品。</w:t>
      </w:r>
    </w:p>
    <w:p>
      <w:pPr>
        <w:spacing w:before="10"/>
        <w:rPr>
          <w:rFonts w:ascii="宋体" w:hAnsi="宋体" w:eastAsia="宋体" w:cs="宋体"/>
          <w:color w:val="auto"/>
          <w:sz w:val="14"/>
          <w:szCs w:val="14"/>
          <w:lang w:eastAsia="zh-CN"/>
        </w:rPr>
      </w:pPr>
    </w:p>
    <w:p>
      <w:pPr>
        <w:pStyle w:val="31"/>
        <w:rPr>
          <w:color w:val="auto"/>
        </w:rPr>
      </w:pPr>
      <w:r>
        <w:rPr>
          <w:color w:val="auto"/>
        </w:rPr>
        <w:t>控制箱及机旁按钮箱</w:t>
      </w:r>
    </w:p>
    <w:p>
      <w:pPr>
        <w:pStyle w:val="29"/>
        <w:ind w:firstLine="478"/>
        <w:rPr>
          <w:color w:val="auto"/>
          <w:spacing w:val="-1"/>
        </w:rPr>
      </w:pPr>
      <w:r>
        <w:rPr>
          <w:color w:val="auto"/>
          <w:spacing w:val="-1"/>
        </w:rPr>
        <w:t>所有机械设备配套控制箱或机旁箱的箱体外形、色彩要求全厂统一协调，并须征得业主许可。室外场所要求防护等级达到IP65，干燥的室内场所要求防护等级达到IP41。</w:t>
      </w:r>
    </w:p>
    <w:p>
      <w:pPr>
        <w:pStyle w:val="31"/>
        <w:rPr>
          <w:b w:val="0"/>
          <w:bCs/>
          <w:color w:val="auto"/>
        </w:rPr>
      </w:pPr>
      <w:r>
        <w:rPr>
          <w:color w:val="auto"/>
        </w:rPr>
        <w:t>变频器</w:t>
      </w:r>
    </w:p>
    <w:p>
      <w:pPr>
        <w:pStyle w:val="29"/>
        <w:ind w:firstLine="478"/>
        <w:rPr>
          <w:color w:val="auto"/>
          <w:spacing w:val="-1"/>
        </w:rPr>
      </w:pPr>
      <w:r>
        <w:rPr>
          <w:color w:val="auto"/>
          <w:spacing w:val="-1"/>
        </w:rPr>
        <w:t>变频器</w:t>
      </w:r>
      <w:r>
        <w:rPr>
          <w:rFonts w:hint="eastAsia"/>
          <w:color w:val="auto"/>
          <w:spacing w:val="-1"/>
        </w:rPr>
        <w:t>建议选用</w:t>
      </w:r>
      <w:r>
        <w:rPr>
          <w:color w:val="auto"/>
          <w:spacing w:val="-1"/>
        </w:rPr>
        <w:t>丹佛斯、ABB、施耐德、AB或同等国际知名品牌产品，产品应符合相关国际国内标准，并应通过CCC认证。为便于选型和调试，各种规格必须采用同一系列产品。</w:t>
      </w:r>
    </w:p>
    <w:p>
      <w:pPr>
        <w:pStyle w:val="29"/>
        <w:ind w:firstLine="478"/>
        <w:rPr>
          <w:color w:val="auto"/>
          <w:spacing w:val="-1"/>
        </w:rPr>
      </w:pPr>
      <w:r>
        <w:rPr>
          <w:color w:val="auto"/>
          <w:spacing w:val="-1"/>
        </w:rPr>
        <w:t>为了确保变频器能够在本工程环境条件下能够提供所需的输出电流，承包商必须根据产品相应的降容特性，进行选型，从而不影响变频器的使用寿命和性能，过载能力以及变频器的可靠性。</w:t>
      </w:r>
    </w:p>
    <w:p>
      <w:pPr>
        <w:pStyle w:val="31"/>
        <w:rPr>
          <w:b w:val="0"/>
          <w:bCs/>
          <w:color w:val="auto"/>
        </w:rPr>
      </w:pPr>
      <w:r>
        <w:rPr>
          <w:color w:val="auto"/>
        </w:rPr>
        <w:t>软起动器</w:t>
      </w:r>
    </w:p>
    <w:p>
      <w:pPr>
        <w:pStyle w:val="29"/>
        <w:ind w:firstLine="478"/>
        <w:rPr>
          <w:color w:val="auto"/>
          <w:spacing w:val="-1"/>
        </w:rPr>
      </w:pPr>
      <w:r>
        <w:rPr>
          <w:color w:val="auto"/>
          <w:spacing w:val="-1"/>
        </w:rPr>
        <w:t>软起动器</w:t>
      </w:r>
      <w:r>
        <w:rPr>
          <w:rFonts w:hint="eastAsia"/>
          <w:color w:val="auto"/>
          <w:spacing w:val="-1"/>
        </w:rPr>
        <w:t>建议选用</w:t>
      </w:r>
      <w:r>
        <w:rPr>
          <w:color w:val="auto"/>
          <w:spacing w:val="-1"/>
        </w:rPr>
        <w:t>施耐德、ABB、西门子或同等国际知名品牌产品。软起动器应符合相关国际国内标准，并应通过CCC认证。为便于选型和调试，各种规格必须采用同一系列产品。</w:t>
      </w:r>
    </w:p>
    <w:p>
      <w:pPr>
        <w:pStyle w:val="29"/>
        <w:ind w:firstLine="478"/>
        <w:rPr>
          <w:color w:val="auto"/>
          <w:spacing w:val="-1"/>
        </w:rPr>
      </w:pPr>
      <w:r>
        <w:rPr>
          <w:color w:val="auto"/>
          <w:spacing w:val="-1"/>
        </w:rPr>
        <w:t>软起动器应能对电机提供缺相、过载、过流、欠载、堵转等保护，能根据电机额定电流和电路中的实际电流持续计算电机的温升，以提供对电机精确的热保护。为防止电机在温升过高的情况下重新被起动。</w:t>
      </w:r>
    </w:p>
    <w:p>
      <w:pPr>
        <w:pStyle w:val="29"/>
        <w:ind w:firstLine="478"/>
        <w:rPr>
          <w:color w:val="auto"/>
          <w:spacing w:val="-1"/>
        </w:rPr>
      </w:pPr>
      <w:r>
        <w:rPr>
          <w:color w:val="auto"/>
          <w:spacing w:val="-1"/>
        </w:rPr>
        <w:t>软起动器应能对软起动器提供过热、起动时间过长、连续起动间隔等保护电动机控制回路设计时必须设计旁路接触器，设置起动过程结束后，软起动器必须能够</w:t>
      </w:r>
    </w:p>
    <w:p>
      <w:pPr>
        <w:pStyle w:val="29"/>
        <w:ind w:firstLine="478"/>
        <w:rPr>
          <w:color w:val="auto"/>
          <w:spacing w:val="-1"/>
        </w:rPr>
      </w:pPr>
      <w:r>
        <w:rPr>
          <w:color w:val="auto"/>
          <w:spacing w:val="-1"/>
        </w:rPr>
        <w:t>自动提供旁路信号给旁路接触器，旁路后，软启动器的电动机保护功能如电机过载保护，过流保护，欠载保护，缺相保护、堵转保护等必须保持有效，无需额外设置热继电器。</w:t>
      </w:r>
    </w:p>
    <w:p>
      <w:pPr>
        <w:pStyle w:val="31"/>
        <w:rPr>
          <w:color w:val="auto"/>
        </w:rPr>
      </w:pPr>
      <w:r>
        <w:rPr>
          <w:color w:val="auto"/>
        </w:rPr>
        <w:t>电缆</w:t>
      </w:r>
    </w:p>
    <w:p>
      <w:pPr>
        <w:pStyle w:val="29"/>
        <w:ind w:firstLine="478"/>
        <w:rPr>
          <w:color w:val="auto"/>
          <w:spacing w:val="-1"/>
        </w:rPr>
      </w:pPr>
      <w:r>
        <w:rPr>
          <w:color w:val="auto"/>
          <w:spacing w:val="-1"/>
        </w:rPr>
        <w:t>在户内以及电缆构筑物中敷设的电缆采用</w:t>
      </w:r>
      <w:r>
        <w:rPr>
          <w:rFonts w:hint="eastAsia"/>
          <w:color w:val="auto"/>
          <w:spacing w:val="-1"/>
        </w:rPr>
        <w:t>无卤低烟阻燃</w:t>
      </w:r>
      <w:r>
        <w:rPr>
          <w:color w:val="auto"/>
          <w:spacing w:val="-1"/>
        </w:rPr>
        <w:t>铜芯套电力电缆</w:t>
      </w:r>
      <w:r>
        <w:rPr>
          <w:rFonts w:hint="eastAsia"/>
          <w:color w:val="auto"/>
          <w:spacing w:val="-1"/>
        </w:rPr>
        <w:t>。电力电缆建议选用广州电缆厂、广东天虹电缆有限公司、中国惠州信牌电缆、广东庆丰电缆有限公司、广东南洋电缆集团股份有限公司等。</w:t>
      </w:r>
    </w:p>
    <w:p>
      <w:pPr>
        <w:pStyle w:val="29"/>
        <w:ind w:firstLine="478"/>
        <w:rPr>
          <w:color w:val="auto"/>
          <w:spacing w:val="-1"/>
        </w:rPr>
      </w:pPr>
      <w:r>
        <w:rPr>
          <w:color w:val="auto"/>
          <w:spacing w:val="-1"/>
        </w:rPr>
        <w:t>（</w:t>
      </w:r>
      <w:r>
        <w:rPr>
          <w:rFonts w:hint="eastAsia"/>
          <w:color w:val="auto"/>
          <w:spacing w:val="-1"/>
        </w:rPr>
        <w:t>WDZN-</w:t>
      </w:r>
      <w:r>
        <w:rPr>
          <w:color w:val="auto"/>
          <w:spacing w:val="-1"/>
        </w:rPr>
        <w:t>YJY</w:t>
      </w:r>
      <w:r>
        <w:rPr>
          <w:rFonts w:hint="eastAsia"/>
          <w:color w:val="auto"/>
          <w:spacing w:val="-1"/>
        </w:rPr>
        <w:t>、WDZB-</w:t>
      </w:r>
      <w:r>
        <w:rPr>
          <w:color w:val="auto"/>
          <w:spacing w:val="-1"/>
        </w:rPr>
        <w:t>YJY型），户外直接埋地敷设的电缆采用铠装铜芯交联聚乙烯绝缘聚氯乙烯护套电力电缆</w:t>
      </w:r>
    </w:p>
    <w:p>
      <w:pPr>
        <w:pStyle w:val="29"/>
        <w:ind w:firstLine="478"/>
        <w:rPr>
          <w:color w:val="auto"/>
          <w:spacing w:val="-1"/>
        </w:rPr>
      </w:pPr>
      <w:r>
        <w:rPr>
          <w:color w:val="auto"/>
          <w:spacing w:val="-1"/>
        </w:rPr>
        <w:t>电缆的各项电气参数应符合其使用条件下的要求，电缆性能应达到国标（GB）以及国际标准（IEC）的要求。</w:t>
      </w:r>
    </w:p>
    <w:p>
      <w:pPr>
        <w:pStyle w:val="31"/>
        <w:rPr>
          <w:color w:val="auto"/>
        </w:rPr>
      </w:pPr>
      <w:r>
        <w:rPr>
          <w:color w:val="auto"/>
        </w:rPr>
        <w:t>电缆穿线管</w:t>
      </w:r>
    </w:p>
    <w:p>
      <w:pPr>
        <w:pStyle w:val="29"/>
        <w:ind w:firstLine="478"/>
        <w:rPr>
          <w:color w:val="auto"/>
          <w:spacing w:val="-1"/>
        </w:rPr>
      </w:pPr>
      <w:r>
        <w:rPr>
          <w:color w:val="auto"/>
          <w:spacing w:val="-1"/>
        </w:rPr>
        <w:t>电缆穿线管应具有强度高、耐腐蚀、无电腐蚀、非磁性、不变形、不燃烧、耐热性高、</w:t>
      </w:r>
    </w:p>
    <w:p>
      <w:pPr>
        <w:pStyle w:val="29"/>
        <w:ind w:firstLine="478"/>
        <w:rPr>
          <w:color w:val="auto"/>
          <w:spacing w:val="-1"/>
        </w:rPr>
      </w:pPr>
      <w:r>
        <w:rPr>
          <w:color w:val="auto"/>
          <w:spacing w:val="-1"/>
        </w:rPr>
        <w:t>耐水性好、重量轻、施工简便及使用寿命长等特性。材质采用各种规格热镀锌钢管，电力排管可采用散热性能好的不需浇注混凝土的高强度复合材料电缆保护管。近设备旁可穿短段防水型可挠金属软管。</w:t>
      </w:r>
    </w:p>
    <w:p>
      <w:pPr>
        <w:pStyle w:val="29"/>
        <w:ind w:firstLine="478"/>
        <w:rPr>
          <w:color w:val="auto"/>
          <w:spacing w:val="-1"/>
        </w:rPr>
      </w:pPr>
      <w:r>
        <w:rPr>
          <w:color w:val="auto"/>
          <w:spacing w:val="-1"/>
        </w:rPr>
        <w:t>电缆过路需穿钢管保护，必须采用热镀锌的厚壁钢管（管径≥100mm），埋深1m以下。</w:t>
      </w:r>
    </w:p>
    <w:p>
      <w:pPr>
        <w:pStyle w:val="29"/>
        <w:ind w:firstLine="478"/>
        <w:rPr>
          <w:color w:val="auto"/>
          <w:spacing w:val="-1"/>
        </w:rPr>
      </w:pPr>
      <w:r>
        <w:rPr>
          <w:rFonts w:hint="eastAsia"/>
          <w:color w:val="auto"/>
          <w:spacing w:val="-1"/>
        </w:rPr>
        <w:t>电缆线管建议选用广东珠江管业科技有限公司、广州钢管厂有限公司、广东华捷钢管实业有限公司、广州市番禺天虹工业开发有限公司、广州市白云区鸿际电气设备厂等。</w:t>
      </w:r>
    </w:p>
    <w:p>
      <w:pPr>
        <w:pStyle w:val="31"/>
        <w:rPr>
          <w:b w:val="0"/>
          <w:bCs/>
          <w:color w:val="auto"/>
        </w:rPr>
      </w:pPr>
      <w:r>
        <w:rPr>
          <w:color w:val="auto"/>
        </w:rPr>
        <w:t>电缆桥架</w:t>
      </w:r>
    </w:p>
    <w:p>
      <w:pPr>
        <w:pStyle w:val="29"/>
        <w:ind w:firstLine="478"/>
        <w:rPr>
          <w:color w:val="auto"/>
          <w:spacing w:val="-1"/>
        </w:rPr>
      </w:pPr>
      <w:r>
        <w:rPr>
          <w:color w:val="auto"/>
          <w:spacing w:val="-1"/>
        </w:rPr>
        <w:t>电缆托架要采用桥架厂特制的托臂、连接件和弯曲件。与桥架材质和处理方式相同。电缆托架和桥架应成为整体，弯头处、拼接处要具有电气连续性。电缆桥架应在电缆敷设前完成。电缆由电缆桥架引入其他场合时，应注意电缆不受应力。电缆敷设完成后，桥架需用配套盖板覆盖。</w:t>
      </w:r>
    </w:p>
    <w:p>
      <w:pPr>
        <w:pStyle w:val="29"/>
        <w:ind w:firstLine="478"/>
        <w:rPr>
          <w:color w:val="auto"/>
          <w:spacing w:val="-1"/>
        </w:rPr>
      </w:pPr>
      <w:r>
        <w:rPr>
          <w:color w:val="auto"/>
          <w:spacing w:val="-1"/>
        </w:rPr>
        <w:t>电缆桥架离终端600mm处装有支架并根据桥架负载，其支架中心距最大不超过2m。电缆桥架至少离建筑物墙面25mm安装。</w:t>
      </w:r>
    </w:p>
    <w:p>
      <w:pPr>
        <w:pStyle w:val="29"/>
        <w:ind w:firstLine="478"/>
        <w:rPr>
          <w:color w:val="auto"/>
          <w:spacing w:val="-1"/>
        </w:rPr>
      </w:pPr>
      <w:r>
        <w:rPr>
          <w:color w:val="auto"/>
          <w:spacing w:val="-1"/>
        </w:rPr>
        <w:t>所有电缆桥架的安装附件、支架或托臂、各种桥架接头等均由承包人配套提供。每段桥架的二端须留有供接地软铜线接线用的螺栓孔。</w:t>
      </w:r>
    </w:p>
    <w:p>
      <w:pPr>
        <w:pStyle w:val="29"/>
        <w:ind w:firstLine="478"/>
        <w:rPr>
          <w:color w:val="auto"/>
          <w:spacing w:val="-1"/>
        </w:rPr>
      </w:pPr>
      <w:r>
        <w:rPr>
          <w:rFonts w:hint="eastAsia"/>
          <w:color w:val="auto"/>
          <w:spacing w:val="-1"/>
        </w:rPr>
        <w:t>电缆桥架建议选用广州市番禺电缆桥架厂有限公司、广州市番禺天虹工业开发有限公司、广州市海珠区中兴五金线槽桥架厂等。</w:t>
      </w:r>
    </w:p>
    <w:p>
      <w:pPr>
        <w:pStyle w:val="30"/>
        <w:spacing w:before="120" w:after="120"/>
        <w:rPr>
          <w:b w:val="0"/>
          <w:bCs/>
          <w:color w:val="auto"/>
        </w:rPr>
      </w:pPr>
      <w:bookmarkStart w:id="39" w:name="_Toc117181345"/>
      <w:r>
        <w:rPr>
          <w:color w:val="auto"/>
        </w:rPr>
        <w:t>电气设备安装检验技术规范</w:t>
      </w:r>
      <w:bookmarkEnd w:id="39"/>
    </w:p>
    <w:p>
      <w:pPr>
        <w:pStyle w:val="31"/>
        <w:rPr>
          <w:color w:val="auto"/>
        </w:rPr>
      </w:pPr>
      <w:r>
        <w:rPr>
          <w:color w:val="auto"/>
        </w:rPr>
        <w:t>总则</w:t>
      </w:r>
    </w:p>
    <w:p>
      <w:pPr>
        <w:pStyle w:val="29"/>
        <w:ind w:firstLine="478"/>
        <w:rPr>
          <w:color w:val="auto"/>
          <w:spacing w:val="-1"/>
        </w:rPr>
      </w:pPr>
      <w:r>
        <w:rPr>
          <w:color w:val="auto"/>
          <w:spacing w:val="-1"/>
        </w:rPr>
        <w:t>所有设备的安装应满足有关设备制造规范，安装验收规范及产品的安装要求，也应符合电气设备详细安装图纸的要求。因提供的产品与设计图纸不符或其它原因需修改设计图纸的工作应在安装工作开始前完成，该工作作为本安装工程的一部分。</w:t>
      </w:r>
    </w:p>
    <w:p>
      <w:pPr>
        <w:pStyle w:val="29"/>
        <w:ind w:firstLine="478"/>
        <w:rPr>
          <w:color w:val="auto"/>
          <w:spacing w:val="-1"/>
        </w:rPr>
      </w:pPr>
      <w:r>
        <w:rPr>
          <w:color w:val="auto"/>
          <w:spacing w:val="-1"/>
        </w:rPr>
        <w:t>高低压开关柜，变压器及各类配电箱控制箱等在搬运和安装时应采用防震，防潮，防止框架变形和漆面受损等措施，必要时将易损元件拆下。当产品有特殊要求时，应根据产品的特殊要求实施。</w:t>
      </w:r>
    </w:p>
    <w:p>
      <w:pPr>
        <w:pStyle w:val="29"/>
        <w:ind w:firstLine="478"/>
        <w:rPr>
          <w:color w:val="auto"/>
          <w:spacing w:val="-1"/>
        </w:rPr>
      </w:pPr>
      <w:r>
        <w:rPr>
          <w:color w:val="auto"/>
          <w:spacing w:val="-1"/>
        </w:rPr>
        <w:t>承包商应在设备进场后取得完整的开箱资料，包括设备的合格证书，安装手册，操作手册，维护保养手册等文件，并应从供货商处获得设备安装所必需的设备安装指导手册和设备安装参数等交接资料。</w:t>
      </w:r>
    </w:p>
    <w:p>
      <w:pPr>
        <w:pStyle w:val="29"/>
        <w:ind w:firstLine="478"/>
        <w:rPr>
          <w:color w:val="auto"/>
          <w:spacing w:val="-1"/>
        </w:rPr>
      </w:pPr>
      <w:r>
        <w:rPr>
          <w:color w:val="auto"/>
          <w:spacing w:val="-1"/>
        </w:rPr>
        <w:t>承包商应在设备安装前取得完整的设备施工安装图纸，并应对图纸提出的各种要求作详细的了解和全面的复核与计算。</w:t>
      </w:r>
    </w:p>
    <w:p>
      <w:pPr>
        <w:pStyle w:val="29"/>
        <w:ind w:firstLine="478"/>
        <w:rPr>
          <w:color w:val="auto"/>
          <w:spacing w:val="-1"/>
        </w:rPr>
      </w:pPr>
      <w:r>
        <w:rPr>
          <w:color w:val="auto"/>
          <w:spacing w:val="-1"/>
        </w:rPr>
        <w:t>承包商在设备安装过程中严格按合同执行并建立工程联系单事项，在设备安装过程中对设备安装的修改和调整应以书面形式向业主和项目监理提交报告，并应在得到肯定的书面答复后方可执行。</w:t>
      </w:r>
    </w:p>
    <w:p>
      <w:pPr>
        <w:pStyle w:val="31"/>
        <w:rPr>
          <w:color w:val="auto"/>
        </w:rPr>
      </w:pPr>
      <w:r>
        <w:rPr>
          <w:color w:val="auto"/>
        </w:rPr>
        <w:t>低压开关柜、及配电柜（箱）的安装</w:t>
      </w:r>
    </w:p>
    <w:p>
      <w:pPr>
        <w:pStyle w:val="29"/>
        <w:ind w:firstLine="478"/>
        <w:rPr>
          <w:color w:val="auto"/>
          <w:spacing w:val="-1"/>
        </w:rPr>
      </w:pPr>
      <w:r>
        <w:rPr>
          <w:color w:val="auto"/>
          <w:spacing w:val="-1"/>
        </w:rPr>
        <w:t>低压开关柜、及配电柜（箱）到达现场后，承包商应在规定期限内作验收和检查，并应符合下列要求：</w:t>
      </w:r>
    </w:p>
    <w:p>
      <w:pPr>
        <w:pStyle w:val="29"/>
        <w:numPr>
          <w:ilvl w:val="0"/>
          <w:numId w:val="2"/>
        </w:numPr>
        <w:ind w:firstLineChars="0"/>
        <w:rPr>
          <w:color w:val="auto"/>
          <w:spacing w:val="-1"/>
        </w:rPr>
      </w:pPr>
      <w:r>
        <w:rPr>
          <w:color w:val="auto"/>
          <w:spacing w:val="-1"/>
        </w:rPr>
        <w:t>包装及密封良好</w:t>
      </w:r>
    </w:p>
    <w:p>
      <w:pPr>
        <w:pStyle w:val="29"/>
        <w:numPr>
          <w:ilvl w:val="0"/>
          <w:numId w:val="2"/>
        </w:numPr>
        <w:ind w:firstLineChars="0"/>
        <w:rPr>
          <w:color w:val="auto"/>
          <w:spacing w:val="-1"/>
        </w:rPr>
      </w:pPr>
      <w:r>
        <w:rPr>
          <w:color w:val="auto"/>
          <w:spacing w:val="-1"/>
        </w:rPr>
        <w:t>开箱检查型号及规格符合设计要求，设备无损伤，附件备件齐全</w:t>
      </w:r>
    </w:p>
    <w:p>
      <w:pPr>
        <w:pStyle w:val="29"/>
        <w:numPr>
          <w:ilvl w:val="0"/>
          <w:numId w:val="2"/>
        </w:numPr>
        <w:ind w:firstLineChars="0"/>
        <w:rPr>
          <w:color w:val="auto"/>
          <w:spacing w:val="-1"/>
        </w:rPr>
      </w:pPr>
      <w:r>
        <w:rPr>
          <w:color w:val="auto"/>
          <w:spacing w:val="-1"/>
        </w:rPr>
        <w:t>产品的技术文件齐全</w:t>
      </w:r>
    </w:p>
    <w:p>
      <w:pPr>
        <w:pStyle w:val="29"/>
        <w:numPr>
          <w:ilvl w:val="0"/>
          <w:numId w:val="2"/>
        </w:numPr>
        <w:ind w:firstLineChars="0"/>
        <w:rPr>
          <w:color w:val="auto"/>
          <w:spacing w:val="-1"/>
        </w:rPr>
      </w:pPr>
      <w:r>
        <w:rPr>
          <w:color w:val="auto"/>
          <w:spacing w:val="-1"/>
        </w:rPr>
        <w:t>外观检查应合格</w:t>
      </w:r>
    </w:p>
    <w:p>
      <w:pPr>
        <w:pStyle w:val="29"/>
        <w:ind w:firstLine="478"/>
        <w:rPr>
          <w:color w:val="auto"/>
          <w:spacing w:val="-1"/>
        </w:rPr>
      </w:pPr>
      <w:r>
        <w:rPr>
          <w:color w:val="auto"/>
          <w:spacing w:val="-1"/>
        </w:rPr>
        <w:t>承包商在进行低压开关柜及配电屏（箱）的安装前应对土建施工提供的设备安装条件包括沟槽尺寸及预埋件的位置等进行检查和验收，如果土建条件未能符合设备安装条件时，承包商有责任协助土建单位作必要的修正。</w:t>
      </w:r>
    </w:p>
    <w:p>
      <w:pPr>
        <w:pStyle w:val="29"/>
        <w:ind w:firstLine="478"/>
        <w:rPr>
          <w:color w:val="auto"/>
          <w:spacing w:val="-1"/>
        </w:rPr>
      </w:pPr>
      <w:r>
        <w:rPr>
          <w:color w:val="auto"/>
          <w:spacing w:val="-1"/>
        </w:rPr>
        <w:t>所有开关柜和配电箱在安装前应作全面的特性测试。</w:t>
      </w:r>
    </w:p>
    <w:p>
      <w:pPr>
        <w:pStyle w:val="29"/>
        <w:ind w:firstLine="478"/>
        <w:rPr>
          <w:color w:val="auto"/>
          <w:spacing w:val="-1"/>
        </w:rPr>
      </w:pPr>
      <w:r>
        <w:rPr>
          <w:color w:val="auto"/>
          <w:spacing w:val="-1"/>
        </w:rPr>
        <w:t>所有设备安装用的紧固件，除地脚螺栓外，应用镀锌制品，开关柜和配电箱内母线的涂漆颜色应符合规范规定。</w:t>
      </w:r>
    </w:p>
    <w:p>
      <w:pPr>
        <w:pStyle w:val="29"/>
        <w:ind w:firstLine="478"/>
        <w:rPr>
          <w:color w:val="auto"/>
          <w:spacing w:val="-1"/>
        </w:rPr>
      </w:pPr>
      <w:r>
        <w:rPr>
          <w:color w:val="auto"/>
          <w:spacing w:val="-1"/>
        </w:rPr>
        <w:t>开关柜和配电箱的基础型钢安装允许偏差应符合下列要求：</w:t>
      </w:r>
    </w:p>
    <w:p>
      <w:pPr>
        <w:pStyle w:val="29"/>
        <w:numPr>
          <w:ilvl w:val="0"/>
          <w:numId w:val="3"/>
        </w:numPr>
        <w:ind w:firstLineChars="0"/>
        <w:rPr>
          <w:color w:val="auto"/>
          <w:spacing w:val="-1"/>
        </w:rPr>
      </w:pPr>
      <w:r>
        <w:rPr>
          <w:color w:val="auto"/>
          <w:spacing w:val="-1"/>
        </w:rPr>
        <w:t>不直度偏差每米不大于1毫米，全长不大于5毫米。</w:t>
      </w:r>
    </w:p>
    <w:p>
      <w:pPr>
        <w:pStyle w:val="29"/>
        <w:numPr>
          <w:ilvl w:val="0"/>
          <w:numId w:val="3"/>
        </w:numPr>
        <w:ind w:firstLineChars="0"/>
        <w:rPr>
          <w:color w:val="auto"/>
          <w:spacing w:val="-1"/>
        </w:rPr>
      </w:pPr>
      <w:r>
        <w:rPr>
          <w:color w:val="auto"/>
          <w:spacing w:val="-1"/>
        </w:rPr>
        <w:t>水平度偏差每米不大于1毫米，全长不大于5毫米</w:t>
      </w:r>
    </w:p>
    <w:p>
      <w:pPr>
        <w:pStyle w:val="29"/>
        <w:numPr>
          <w:ilvl w:val="0"/>
          <w:numId w:val="3"/>
        </w:numPr>
        <w:ind w:firstLineChars="0"/>
        <w:rPr>
          <w:color w:val="auto"/>
          <w:spacing w:val="-1"/>
        </w:rPr>
      </w:pPr>
      <w:r>
        <w:rPr>
          <w:color w:val="auto"/>
          <w:spacing w:val="-1"/>
        </w:rPr>
        <w:t>基础型钢应可靠接地，柜箱本体及内部设备与各构件连接应牢固，柜箱本体与基础型钢应用螺栓连接，基础型钢应除锈油漆。</w:t>
      </w:r>
    </w:p>
    <w:p>
      <w:pPr>
        <w:pStyle w:val="29"/>
        <w:ind w:firstLine="478"/>
        <w:rPr>
          <w:color w:val="auto"/>
          <w:spacing w:val="-1"/>
        </w:rPr>
      </w:pPr>
      <w:r>
        <w:rPr>
          <w:color w:val="auto"/>
          <w:spacing w:val="-1"/>
        </w:rPr>
        <w:t>开关柜与配电箱单独或成列安装时，其安装允许偏差应符合下列要求：</w:t>
      </w:r>
    </w:p>
    <w:p>
      <w:pPr>
        <w:pStyle w:val="29"/>
        <w:numPr>
          <w:ilvl w:val="0"/>
          <w:numId w:val="4"/>
        </w:numPr>
        <w:ind w:firstLineChars="0"/>
        <w:rPr>
          <w:color w:val="auto"/>
          <w:spacing w:val="-1"/>
        </w:rPr>
      </w:pPr>
      <w:r>
        <w:rPr>
          <w:color w:val="auto"/>
          <w:spacing w:val="-1"/>
        </w:rPr>
        <w:t>相邻两柜或箱顶部水平度偏差不大于2毫米</w:t>
      </w:r>
    </w:p>
    <w:p>
      <w:pPr>
        <w:pStyle w:val="29"/>
        <w:numPr>
          <w:ilvl w:val="0"/>
          <w:numId w:val="4"/>
        </w:numPr>
        <w:ind w:firstLineChars="0"/>
        <w:rPr>
          <w:color w:val="auto"/>
          <w:spacing w:val="-1"/>
        </w:rPr>
      </w:pPr>
      <w:r>
        <w:rPr>
          <w:color w:val="auto"/>
          <w:spacing w:val="-1"/>
        </w:rPr>
        <w:t>全部柜或箱顶部水平度偏差不大于5毫米</w:t>
      </w:r>
    </w:p>
    <w:p>
      <w:pPr>
        <w:pStyle w:val="29"/>
        <w:numPr>
          <w:ilvl w:val="0"/>
          <w:numId w:val="4"/>
        </w:numPr>
        <w:ind w:firstLineChars="0"/>
        <w:rPr>
          <w:color w:val="auto"/>
          <w:spacing w:val="-1"/>
        </w:rPr>
      </w:pPr>
      <w:r>
        <w:rPr>
          <w:color w:val="auto"/>
          <w:spacing w:val="-1"/>
        </w:rPr>
        <w:t>相邻两柜或箱面不平度偏差不大于1毫米</w:t>
      </w:r>
    </w:p>
    <w:p>
      <w:pPr>
        <w:pStyle w:val="29"/>
        <w:numPr>
          <w:ilvl w:val="0"/>
          <w:numId w:val="4"/>
        </w:numPr>
        <w:ind w:firstLineChars="0"/>
        <w:rPr>
          <w:color w:val="auto"/>
          <w:spacing w:val="-1"/>
        </w:rPr>
      </w:pPr>
      <w:r>
        <w:rPr>
          <w:color w:val="auto"/>
          <w:spacing w:val="-1"/>
        </w:rPr>
        <w:t>全部柜或箱面不平度偏差不大于5毫米</w:t>
      </w:r>
    </w:p>
    <w:p>
      <w:pPr>
        <w:pStyle w:val="29"/>
        <w:numPr>
          <w:ilvl w:val="0"/>
          <w:numId w:val="4"/>
        </w:numPr>
        <w:ind w:firstLineChars="0"/>
        <w:rPr>
          <w:color w:val="auto"/>
          <w:spacing w:val="-1"/>
        </w:rPr>
      </w:pPr>
      <w:r>
        <w:rPr>
          <w:color w:val="auto"/>
          <w:spacing w:val="-1"/>
        </w:rPr>
        <w:t>柜与箱间接缝偏差不大于2毫米</w:t>
      </w:r>
    </w:p>
    <w:p>
      <w:pPr>
        <w:pStyle w:val="29"/>
        <w:numPr>
          <w:ilvl w:val="0"/>
          <w:numId w:val="4"/>
        </w:numPr>
        <w:ind w:firstLineChars="0"/>
        <w:rPr>
          <w:color w:val="auto"/>
          <w:spacing w:val="-1"/>
        </w:rPr>
      </w:pPr>
      <w:r>
        <w:rPr>
          <w:color w:val="auto"/>
          <w:spacing w:val="-1"/>
        </w:rPr>
        <w:t>柜与箱垂直度偏差每米不大于1.5毫米</w:t>
      </w:r>
    </w:p>
    <w:p>
      <w:pPr>
        <w:pStyle w:val="29"/>
        <w:ind w:firstLine="478"/>
        <w:rPr>
          <w:color w:val="auto"/>
          <w:spacing w:val="-1"/>
        </w:rPr>
      </w:pPr>
      <w:r>
        <w:rPr>
          <w:color w:val="auto"/>
          <w:spacing w:val="-1"/>
        </w:rPr>
        <w:t>低压抽屉式开关柜的安装应符合下列要求：</w:t>
      </w:r>
    </w:p>
    <w:p>
      <w:pPr>
        <w:pStyle w:val="29"/>
        <w:numPr>
          <w:ilvl w:val="0"/>
          <w:numId w:val="5"/>
        </w:numPr>
        <w:ind w:firstLineChars="0"/>
        <w:rPr>
          <w:color w:val="auto"/>
          <w:spacing w:val="-1"/>
        </w:rPr>
      </w:pPr>
      <w:r>
        <w:rPr>
          <w:color w:val="auto"/>
          <w:spacing w:val="-1"/>
        </w:rPr>
        <w:t>抽屉推拉应灵活轻便，无卡阻及碰撞现象，相同型号的抽屉应能互换</w:t>
      </w:r>
    </w:p>
    <w:p>
      <w:pPr>
        <w:pStyle w:val="29"/>
        <w:numPr>
          <w:ilvl w:val="0"/>
          <w:numId w:val="5"/>
        </w:numPr>
        <w:ind w:firstLineChars="0"/>
        <w:rPr>
          <w:color w:val="auto"/>
          <w:spacing w:val="-1"/>
        </w:rPr>
      </w:pPr>
      <w:r>
        <w:rPr>
          <w:color w:val="auto"/>
          <w:spacing w:val="-1"/>
        </w:rPr>
        <w:t>抽屉的机械连锁或电气连锁装置应动作准确可靠，断路器分闸后，隔离触头才能分开</w:t>
      </w:r>
    </w:p>
    <w:p>
      <w:pPr>
        <w:pStyle w:val="29"/>
        <w:numPr>
          <w:ilvl w:val="0"/>
          <w:numId w:val="5"/>
        </w:numPr>
        <w:ind w:firstLineChars="0"/>
        <w:rPr>
          <w:color w:val="auto"/>
          <w:spacing w:val="-1"/>
        </w:rPr>
      </w:pPr>
      <w:r>
        <w:rPr>
          <w:color w:val="auto"/>
          <w:spacing w:val="-1"/>
        </w:rPr>
        <w:t>动触头和静触头的中心线应一致，触头接触紧密</w:t>
      </w:r>
    </w:p>
    <w:p>
      <w:pPr>
        <w:pStyle w:val="29"/>
        <w:numPr>
          <w:ilvl w:val="0"/>
          <w:numId w:val="5"/>
        </w:numPr>
        <w:ind w:firstLineChars="0"/>
        <w:rPr>
          <w:color w:val="auto"/>
          <w:spacing w:val="-1"/>
        </w:rPr>
      </w:pPr>
      <w:r>
        <w:rPr>
          <w:color w:val="auto"/>
          <w:spacing w:val="-1"/>
        </w:rPr>
        <w:t>抽屉与柜体间的二次回路连接插件应接触良好</w:t>
      </w:r>
    </w:p>
    <w:p>
      <w:pPr>
        <w:pStyle w:val="29"/>
        <w:numPr>
          <w:ilvl w:val="0"/>
          <w:numId w:val="5"/>
        </w:numPr>
        <w:ind w:firstLineChars="0"/>
        <w:rPr>
          <w:color w:val="auto"/>
          <w:spacing w:val="-1"/>
        </w:rPr>
      </w:pPr>
      <w:r>
        <w:rPr>
          <w:color w:val="auto"/>
          <w:spacing w:val="-1"/>
        </w:rPr>
        <w:t>抽屉与柜体间的接触及柜体，框架的接地应良好</w:t>
      </w:r>
    </w:p>
    <w:p>
      <w:pPr>
        <w:pStyle w:val="29"/>
        <w:ind w:firstLine="478"/>
        <w:rPr>
          <w:color w:val="auto"/>
          <w:spacing w:val="-1"/>
        </w:rPr>
      </w:pPr>
      <w:r>
        <w:rPr>
          <w:color w:val="auto"/>
          <w:spacing w:val="-1"/>
        </w:rPr>
        <w:t>凡需悬挂安装的配电箱，应用型钢制作固定支架，将其固定在墙上或栏杆上，安装高度详见图纸说明，安装支架应作必要的除锈及防腐处理。</w:t>
      </w:r>
    </w:p>
    <w:p>
      <w:pPr>
        <w:spacing w:before="10"/>
        <w:rPr>
          <w:rFonts w:ascii="宋体" w:hAnsi="宋体" w:eastAsia="宋体" w:cs="宋体"/>
          <w:color w:val="auto"/>
          <w:sz w:val="14"/>
          <w:szCs w:val="14"/>
          <w:lang w:eastAsia="zh-CN"/>
        </w:rPr>
      </w:pPr>
    </w:p>
    <w:p>
      <w:pPr>
        <w:pStyle w:val="31"/>
        <w:rPr>
          <w:color w:val="auto"/>
        </w:rPr>
      </w:pPr>
      <w:r>
        <w:rPr>
          <w:color w:val="auto"/>
        </w:rPr>
        <w:t>电力变压器的安装</w:t>
      </w:r>
    </w:p>
    <w:p>
      <w:pPr>
        <w:pStyle w:val="29"/>
        <w:ind w:firstLine="478"/>
        <w:rPr>
          <w:color w:val="auto"/>
          <w:spacing w:val="-1"/>
        </w:rPr>
      </w:pPr>
      <w:r>
        <w:rPr>
          <w:color w:val="auto"/>
          <w:spacing w:val="-1"/>
        </w:rPr>
        <w:t>电力变压器在搬运过程中，不应有冲击或严重振动的情况，利用机械牵引时，着力点应</w:t>
      </w:r>
    </w:p>
    <w:p>
      <w:pPr>
        <w:pStyle w:val="29"/>
        <w:ind w:firstLine="478"/>
        <w:rPr>
          <w:color w:val="auto"/>
          <w:spacing w:val="-1"/>
        </w:rPr>
      </w:pPr>
      <w:r>
        <w:rPr>
          <w:color w:val="auto"/>
          <w:spacing w:val="-1"/>
        </w:rPr>
        <w:t>在变压器的重心以下，以防倾倒，搬运时倾斜角不应超过15度，否则应采取必要的措施，防止电力变压器内部结构变形。</w:t>
      </w:r>
    </w:p>
    <w:p>
      <w:pPr>
        <w:pStyle w:val="29"/>
        <w:ind w:firstLine="478"/>
        <w:rPr>
          <w:color w:val="auto"/>
          <w:spacing w:val="-1"/>
        </w:rPr>
      </w:pPr>
      <w:r>
        <w:rPr>
          <w:color w:val="auto"/>
          <w:spacing w:val="-1"/>
        </w:rPr>
        <w:t>电力变压器整体起吊时，应将钢丝绳系在电力变压器专供起吊整体的吊环上。</w:t>
      </w:r>
    </w:p>
    <w:p>
      <w:pPr>
        <w:pStyle w:val="29"/>
        <w:ind w:firstLine="478"/>
        <w:rPr>
          <w:color w:val="auto"/>
          <w:spacing w:val="-1"/>
        </w:rPr>
      </w:pPr>
      <w:r>
        <w:rPr>
          <w:color w:val="auto"/>
          <w:spacing w:val="-1"/>
        </w:rPr>
        <w:t>电力变压器在安装前应作下列检查：</w:t>
      </w:r>
    </w:p>
    <w:p>
      <w:pPr>
        <w:pStyle w:val="29"/>
        <w:numPr>
          <w:ilvl w:val="0"/>
          <w:numId w:val="6"/>
        </w:numPr>
        <w:ind w:firstLineChars="0"/>
        <w:rPr>
          <w:color w:val="auto"/>
          <w:spacing w:val="-1"/>
        </w:rPr>
      </w:pPr>
      <w:r>
        <w:rPr>
          <w:color w:val="auto"/>
          <w:spacing w:val="-1"/>
        </w:rPr>
        <w:t>技术规格应符合设计要求，制造厂的技术文件应齐全</w:t>
      </w:r>
    </w:p>
    <w:p>
      <w:pPr>
        <w:pStyle w:val="29"/>
        <w:numPr>
          <w:ilvl w:val="0"/>
          <w:numId w:val="6"/>
        </w:numPr>
        <w:ind w:firstLineChars="0"/>
        <w:rPr>
          <w:color w:val="auto"/>
          <w:spacing w:val="-1"/>
        </w:rPr>
      </w:pPr>
      <w:r>
        <w:rPr>
          <w:color w:val="auto"/>
          <w:spacing w:val="-1"/>
        </w:rPr>
        <w:t>变压器的所有附件应齐全，无锈蚀和机械损伤</w:t>
      </w:r>
    </w:p>
    <w:p>
      <w:pPr>
        <w:pStyle w:val="29"/>
        <w:ind w:firstLine="478"/>
        <w:rPr>
          <w:color w:val="auto"/>
          <w:spacing w:val="-1"/>
        </w:rPr>
      </w:pPr>
      <w:r>
        <w:rPr>
          <w:color w:val="auto"/>
          <w:spacing w:val="-1"/>
        </w:rPr>
        <w:t>电力变压器基础的轨道应水平，轨距与轮距应配合。</w:t>
      </w:r>
    </w:p>
    <w:p>
      <w:pPr>
        <w:pStyle w:val="29"/>
        <w:ind w:firstLine="478"/>
        <w:rPr>
          <w:color w:val="auto"/>
          <w:spacing w:val="-1"/>
        </w:rPr>
      </w:pPr>
      <w:r>
        <w:rPr>
          <w:color w:val="auto"/>
          <w:spacing w:val="-1"/>
        </w:rPr>
        <w:t>电力变压器的滚轮应能转动灵活，在变压器就位后，应将滚轮用能拆卸的制动装置加以固定。</w:t>
      </w:r>
    </w:p>
    <w:p>
      <w:pPr>
        <w:pStyle w:val="29"/>
        <w:ind w:firstLine="478"/>
        <w:rPr>
          <w:color w:val="auto"/>
          <w:spacing w:val="-1"/>
        </w:rPr>
      </w:pPr>
      <w:r>
        <w:rPr>
          <w:color w:val="auto"/>
          <w:spacing w:val="-1"/>
        </w:rPr>
        <w:t>与变压器配套供应的温度信号报警装置应进行必要的校验，信号接点应动作正确，温度的整定应根据制造厂的规定进行。</w:t>
      </w:r>
    </w:p>
    <w:p>
      <w:pPr>
        <w:pStyle w:val="31"/>
        <w:rPr>
          <w:b w:val="0"/>
          <w:bCs/>
          <w:color w:val="auto"/>
        </w:rPr>
      </w:pPr>
      <w:r>
        <w:rPr>
          <w:color w:val="auto"/>
        </w:rPr>
        <w:t>电缆的安装</w:t>
      </w:r>
    </w:p>
    <w:p>
      <w:pPr>
        <w:pStyle w:val="29"/>
        <w:ind w:firstLine="478"/>
        <w:rPr>
          <w:color w:val="auto"/>
          <w:spacing w:val="-1"/>
        </w:rPr>
      </w:pPr>
      <w:r>
        <w:rPr>
          <w:color w:val="auto"/>
          <w:spacing w:val="-1"/>
        </w:rPr>
        <w:t>电缆在敷设前应按下列要求进行检查：</w:t>
      </w:r>
    </w:p>
    <w:p>
      <w:pPr>
        <w:pStyle w:val="29"/>
        <w:numPr>
          <w:ilvl w:val="0"/>
          <w:numId w:val="7"/>
        </w:numPr>
        <w:ind w:left="440" w:leftChars="200" w:firstLineChars="0"/>
        <w:rPr>
          <w:color w:val="auto"/>
          <w:spacing w:val="-1"/>
        </w:rPr>
      </w:pPr>
      <w:r>
        <w:rPr>
          <w:color w:val="auto"/>
          <w:spacing w:val="-1"/>
        </w:rPr>
        <w:t>电缆通道畅通，预留穿线管无堵塞现象</w:t>
      </w:r>
    </w:p>
    <w:p>
      <w:pPr>
        <w:pStyle w:val="29"/>
        <w:numPr>
          <w:ilvl w:val="0"/>
          <w:numId w:val="7"/>
        </w:numPr>
        <w:ind w:left="440" w:leftChars="200" w:firstLineChars="0"/>
        <w:rPr>
          <w:color w:val="auto"/>
          <w:spacing w:val="-1"/>
        </w:rPr>
      </w:pPr>
      <w:r>
        <w:rPr>
          <w:color w:val="auto"/>
          <w:spacing w:val="-1"/>
        </w:rPr>
        <w:t>电缆型号，电压及规格应符合设计要求</w:t>
      </w:r>
    </w:p>
    <w:p>
      <w:pPr>
        <w:pStyle w:val="29"/>
        <w:numPr>
          <w:ilvl w:val="0"/>
          <w:numId w:val="7"/>
        </w:numPr>
        <w:ind w:left="440" w:leftChars="200" w:firstLineChars="0"/>
        <w:rPr>
          <w:color w:val="auto"/>
          <w:spacing w:val="-1"/>
        </w:rPr>
      </w:pPr>
      <w:r>
        <w:rPr>
          <w:color w:val="auto"/>
          <w:spacing w:val="-1"/>
        </w:rPr>
        <w:t>电缆外观无损伤，绝缘良好</w:t>
      </w:r>
    </w:p>
    <w:p>
      <w:pPr>
        <w:pStyle w:val="29"/>
        <w:numPr>
          <w:ilvl w:val="0"/>
          <w:numId w:val="7"/>
        </w:numPr>
        <w:ind w:left="440" w:leftChars="200" w:firstLineChars="0"/>
        <w:rPr>
          <w:color w:val="auto"/>
          <w:spacing w:val="-1"/>
        </w:rPr>
      </w:pPr>
      <w:r>
        <w:rPr>
          <w:color w:val="auto"/>
          <w:spacing w:val="-1"/>
        </w:rPr>
        <w:t>敷设前应按设计和实际路径计算每根电缆的长度，避免电缆接头。</w:t>
      </w:r>
    </w:p>
    <w:p>
      <w:pPr>
        <w:pStyle w:val="29"/>
        <w:numPr>
          <w:ilvl w:val="0"/>
          <w:numId w:val="7"/>
        </w:numPr>
        <w:ind w:left="440" w:leftChars="200" w:firstLineChars="0"/>
        <w:rPr>
          <w:color w:val="auto"/>
          <w:spacing w:val="-1"/>
        </w:rPr>
      </w:pPr>
      <w:r>
        <w:rPr>
          <w:color w:val="auto"/>
          <w:spacing w:val="-1"/>
        </w:rPr>
        <w:t>在带电区域内敷设电缆，应有可靠的安全措施</w:t>
      </w:r>
    </w:p>
    <w:p>
      <w:pPr>
        <w:pStyle w:val="29"/>
        <w:ind w:left="440" w:leftChars="200" w:firstLine="478"/>
        <w:rPr>
          <w:color w:val="auto"/>
          <w:spacing w:val="-1"/>
        </w:rPr>
      </w:pPr>
      <w:r>
        <w:rPr>
          <w:color w:val="auto"/>
          <w:spacing w:val="-1"/>
        </w:rPr>
        <w:t>电缆的安装应符合下列要求：</w:t>
      </w:r>
    </w:p>
    <w:p>
      <w:pPr>
        <w:pStyle w:val="29"/>
        <w:numPr>
          <w:ilvl w:val="0"/>
          <w:numId w:val="8"/>
        </w:numPr>
        <w:ind w:left="440" w:leftChars="200" w:firstLineChars="0"/>
        <w:rPr>
          <w:color w:val="auto"/>
          <w:spacing w:val="-1"/>
        </w:rPr>
      </w:pPr>
      <w:r>
        <w:rPr>
          <w:color w:val="auto"/>
          <w:spacing w:val="-1"/>
        </w:rPr>
        <w:t>所有的电缆桥架、线夹、吊钩及所有钢结构支架的金属部分均应按照标准镀锌</w:t>
      </w:r>
    </w:p>
    <w:p>
      <w:pPr>
        <w:pStyle w:val="29"/>
        <w:numPr>
          <w:ilvl w:val="0"/>
          <w:numId w:val="8"/>
        </w:numPr>
        <w:ind w:left="440" w:leftChars="200" w:firstLineChars="0"/>
        <w:rPr>
          <w:color w:val="auto"/>
          <w:spacing w:val="-1"/>
        </w:rPr>
      </w:pPr>
      <w:r>
        <w:rPr>
          <w:color w:val="auto"/>
          <w:spacing w:val="-1"/>
        </w:rPr>
        <w:t>在电缆安装前应先将穿线管、桥架等安装竣工，电缆及导线在穿管和桥架中夹紧前应事先估计长度，电缆不允许在管内桥架内硬拖</w:t>
      </w:r>
    </w:p>
    <w:p>
      <w:pPr>
        <w:pStyle w:val="29"/>
        <w:numPr>
          <w:ilvl w:val="0"/>
          <w:numId w:val="8"/>
        </w:numPr>
        <w:ind w:left="440" w:leftChars="200" w:firstLineChars="0"/>
        <w:rPr>
          <w:color w:val="auto"/>
          <w:spacing w:val="-1"/>
        </w:rPr>
      </w:pPr>
      <w:r>
        <w:rPr>
          <w:color w:val="auto"/>
          <w:spacing w:val="-1"/>
        </w:rPr>
        <w:t>在电缆接口处应将电缆编上回路号的持久标志牌</w:t>
      </w:r>
    </w:p>
    <w:p>
      <w:pPr>
        <w:pStyle w:val="29"/>
        <w:numPr>
          <w:ilvl w:val="0"/>
          <w:numId w:val="8"/>
        </w:numPr>
        <w:ind w:left="440" w:leftChars="200" w:firstLineChars="0"/>
        <w:rPr>
          <w:color w:val="auto"/>
          <w:spacing w:val="-1"/>
        </w:rPr>
      </w:pPr>
      <w:r>
        <w:rPr>
          <w:color w:val="auto"/>
          <w:spacing w:val="-1"/>
        </w:rPr>
        <w:t>电缆抽取后应立即敷设防止机械损伤，电缆的安装应采用支撑、导板绞车、托盘或其它设备等工具</w:t>
      </w:r>
    </w:p>
    <w:p>
      <w:pPr>
        <w:pStyle w:val="29"/>
        <w:numPr>
          <w:ilvl w:val="0"/>
          <w:numId w:val="8"/>
        </w:numPr>
        <w:ind w:left="440" w:leftChars="200" w:firstLineChars="0"/>
        <w:rPr>
          <w:color w:val="auto"/>
          <w:spacing w:val="-1"/>
        </w:rPr>
      </w:pPr>
      <w:r>
        <w:rPr>
          <w:color w:val="auto"/>
          <w:spacing w:val="-1"/>
        </w:rPr>
        <w:t>电缆在安装进程及最后就位时应保证其曲率半径符合规定的要求，并在各种情况下满足制造商所推荐的要求</w:t>
      </w:r>
    </w:p>
    <w:p>
      <w:pPr>
        <w:pStyle w:val="29"/>
        <w:numPr>
          <w:ilvl w:val="0"/>
          <w:numId w:val="8"/>
        </w:numPr>
        <w:ind w:left="440" w:leftChars="200" w:firstLineChars="0"/>
        <w:rPr>
          <w:color w:val="auto"/>
          <w:spacing w:val="-1"/>
        </w:rPr>
      </w:pPr>
      <w:r>
        <w:rPr>
          <w:color w:val="auto"/>
          <w:spacing w:val="-1"/>
        </w:rPr>
        <w:t>高压电缆的敷设，应在每个转弯处挂电缆标志牌。</w:t>
      </w:r>
    </w:p>
    <w:p>
      <w:pPr>
        <w:pStyle w:val="31"/>
        <w:rPr>
          <w:b w:val="0"/>
          <w:bCs/>
          <w:color w:val="auto"/>
        </w:rPr>
      </w:pPr>
      <w:r>
        <w:rPr>
          <w:color w:val="auto"/>
        </w:rPr>
        <w:t>母线的安装</w:t>
      </w:r>
    </w:p>
    <w:p>
      <w:pPr>
        <w:pStyle w:val="29"/>
        <w:ind w:firstLine="478"/>
        <w:rPr>
          <w:color w:val="auto"/>
          <w:spacing w:val="-1"/>
        </w:rPr>
      </w:pPr>
      <w:r>
        <w:rPr>
          <w:color w:val="auto"/>
          <w:spacing w:val="-1"/>
        </w:rPr>
        <w:t>母线在安装前应按下列要求进行检查：</w:t>
      </w:r>
    </w:p>
    <w:p>
      <w:pPr>
        <w:pStyle w:val="29"/>
        <w:ind w:firstLine="478"/>
        <w:rPr>
          <w:color w:val="auto"/>
          <w:spacing w:val="-1"/>
        </w:rPr>
      </w:pPr>
      <w:r>
        <w:rPr>
          <w:color w:val="auto"/>
          <w:spacing w:val="-1"/>
        </w:rPr>
        <w:t>母线表面应光洁平整，不应有裂纹，折皱，夹杂物及变形和扭曲现象。</w:t>
      </w:r>
    </w:p>
    <w:p>
      <w:pPr>
        <w:pStyle w:val="29"/>
        <w:ind w:firstLine="478"/>
        <w:rPr>
          <w:color w:val="auto"/>
          <w:spacing w:val="-1"/>
        </w:rPr>
      </w:pPr>
      <w:r>
        <w:rPr>
          <w:color w:val="auto"/>
          <w:spacing w:val="-1"/>
        </w:rPr>
        <w:t>与低压开关柜配套供应的空气型母线槽，其各段应标志清晰，附件齐全，外壳无变形，内部无损伤。</w:t>
      </w:r>
    </w:p>
    <w:p>
      <w:pPr>
        <w:pStyle w:val="29"/>
        <w:ind w:firstLine="478"/>
        <w:rPr>
          <w:color w:val="auto"/>
          <w:spacing w:val="-1"/>
        </w:rPr>
      </w:pPr>
      <w:r>
        <w:rPr>
          <w:color w:val="auto"/>
          <w:spacing w:val="-1"/>
        </w:rPr>
        <w:t>母线的安装应符合下列要求：</w:t>
      </w:r>
    </w:p>
    <w:p>
      <w:pPr>
        <w:pStyle w:val="29"/>
        <w:ind w:firstLine="478"/>
        <w:rPr>
          <w:color w:val="auto"/>
          <w:spacing w:val="-1"/>
        </w:rPr>
      </w:pPr>
      <w:r>
        <w:rPr>
          <w:color w:val="auto"/>
          <w:spacing w:val="-1"/>
        </w:rPr>
        <w:t>母线应涂刷防腐相色油漆，涂漆应均匀，无起层和皱皮等缺陷。</w:t>
      </w:r>
    </w:p>
    <w:p>
      <w:pPr>
        <w:pStyle w:val="29"/>
        <w:ind w:firstLine="478"/>
        <w:rPr>
          <w:color w:val="auto"/>
          <w:spacing w:val="-1"/>
        </w:rPr>
      </w:pPr>
      <w:r>
        <w:rPr>
          <w:color w:val="auto"/>
          <w:spacing w:val="-1"/>
        </w:rPr>
        <w:t>母线应矫正平直，切断面应平整。</w:t>
      </w:r>
    </w:p>
    <w:p>
      <w:pPr>
        <w:pStyle w:val="29"/>
        <w:ind w:firstLine="478"/>
        <w:rPr>
          <w:color w:val="auto"/>
          <w:spacing w:val="-1"/>
        </w:rPr>
      </w:pPr>
      <w:r>
        <w:rPr>
          <w:color w:val="auto"/>
          <w:spacing w:val="-1"/>
        </w:rPr>
        <w:t>母线应按实际需要整根剪裁</w:t>
      </w:r>
      <w:r>
        <w:rPr>
          <w:rFonts w:hint="eastAsia"/>
          <w:color w:val="auto"/>
          <w:spacing w:val="-1"/>
        </w:rPr>
        <w:t>。</w:t>
      </w:r>
    </w:p>
    <w:p>
      <w:pPr>
        <w:pStyle w:val="29"/>
        <w:ind w:firstLine="478"/>
        <w:rPr>
          <w:color w:val="auto"/>
          <w:spacing w:val="-1"/>
        </w:rPr>
      </w:pPr>
      <w:r>
        <w:rPr>
          <w:color w:val="auto"/>
          <w:spacing w:val="-1"/>
        </w:rPr>
        <w:t>室内母线在安装时，其安全净距应符合IEC和GB规定的要求</w:t>
      </w:r>
      <w:r>
        <w:rPr>
          <w:rFonts w:hint="eastAsia"/>
          <w:color w:val="auto"/>
          <w:spacing w:val="-1"/>
        </w:rPr>
        <w:t>。</w:t>
      </w:r>
    </w:p>
    <w:p>
      <w:pPr>
        <w:pStyle w:val="29"/>
        <w:ind w:firstLine="478"/>
        <w:rPr>
          <w:color w:val="auto"/>
          <w:spacing w:val="-1"/>
        </w:rPr>
      </w:pPr>
      <w:r>
        <w:rPr>
          <w:color w:val="auto"/>
          <w:spacing w:val="-1"/>
        </w:rPr>
        <w:t>矩形母线应进行冷弯，弯曲处不得有裂纹和显著的折皱，弯曲半径不小于母线2倍的厚度，多片母线的弯曲度应一致。</w:t>
      </w:r>
    </w:p>
    <w:p>
      <w:pPr>
        <w:pStyle w:val="29"/>
        <w:ind w:firstLine="478"/>
        <w:rPr>
          <w:color w:val="auto"/>
          <w:spacing w:val="-1"/>
        </w:rPr>
      </w:pPr>
      <w:r>
        <w:rPr>
          <w:color w:val="auto"/>
          <w:spacing w:val="-1"/>
        </w:rPr>
        <w:t>母线的搭接面必须搪锡，并涂以复合脂</w:t>
      </w:r>
      <w:r>
        <w:rPr>
          <w:rFonts w:hint="eastAsia"/>
          <w:color w:val="auto"/>
          <w:spacing w:val="-1"/>
        </w:rPr>
        <w:t>。</w:t>
      </w:r>
    </w:p>
    <w:p>
      <w:pPr>
        <w:pStyle w:val="29"/>
        <w:ind w:firstLine="478"/>
        <w:rPr>
          <w:color w:val="auto"/>
          <w:spacing w:val="-1"/>
        </w:rPr>
      </w:pPr>
      <w:r>
        <w:rPr>
          <w:color w:val="auto"/>
          <w:spacing w:val="-1"/>
        </w:rPr>
        <w:t>母线的紧固件应采用符合国家标准的热镀锌螺栓螺母和垫圈。</w:t>
      </w:r>
    </w:p>
    <w:p>
      <w:pPr>
        <w:pStyle w:val="31"/>
        <w:rPr>
          <w:b w:val="0"/>
          <w:bCs/>
          <w:color w:val="auto"/>
        </w:rPr>
      </w:pPr>
      <w:r>
        <w:rPr>
          <w:color w:val="auto"/>
        </w:rPr>
        <w:t>接地的安装</w:t>
      </w:r>
    </w:p>
    <w:p>
      <w:pPr>
        <w:pStyle w:val="29"/>
        <w:ind w:firstLine="478"/>
        <w:rPr>
          <w:color w:val="auto"/>
          <w:spacing w:val="-1"/>
        </w:rPr>
      </w:pPr>
      <w:r>
        <w:rPr>
          <w:color w:val="auto"/>
          <w:spacing w:val="-1"/>
        </w:rPr>
        <w:t>本接地安装的工程范围为除室外接地极，室外接地网及接地网引出线以外的所有电气设备的接地安装。</w:t>
      </w:r>
    </w:p>
    <w:p>
      <w:pPr>
        <w:pStyle w:val="29"/>
        <w:ind w:firstLine="478"/>
        <w:rPr>
          <w:color w:val="auto"/>
          <w:spacing w:val="-1"/>
        </w:rPr>
      </w:pPr>
      <w:r>
        <w:rPr>
          <w:color w:val="auto"/>
          <w:spacing w:val="-1"/>
        </w:rPr>
        <w:t>承包商应在室内接地工程安装之前，对土建单位完成的接地极及接地引出线作全面的检查和测试，且须经安装单位复核并书面确认，当接电电阻不符合设计要求时，承包商有责任提出对土建的要求。</w:t>
      </w:r>
    </w:p>
    <w:p>
      <w:pPr>
        <w:pStyle w:val="29"/>
        <w:ind w:firstLine="478"/>
        <w:rPr>
          <w:color w:val="auto"/>
          <w:spacing w:val="-1"/>
        </w:rPr>
      </w:pPr>
      <w:r>
        <w:rPr>
          <w:color w:val="auto"/>
          <w:spacing w:val="-1"/>
        </w:rPr>
        <w:t>电气设备的下列金属部分均应可靠接地或接零：</w:t>
      </w:r>
    </w:p>
    <w:p>
      <w:pPr>
        <w:pStyle w:val="29"/>
        <w:numPr>
          <w:ilvl w:val="0"/>
          <w:numId w:val="9"/>
        </w:numPr>
        <w:ind w:left="440" w:leftChars="200" w:firstLineChars="0"/>
        <w:rPr>
          <w:color w:val="auto"/>
          <w:spacing w:val="-1"/>
        </w:rPr>
      </w:pPr>
      <w:r>
        <w:rPr>
          <w:color w:val="auto"/>
          <w:spacing w:val="-1"/>
        </w:rPr>
        <w:t>变压器低压侧中性线引出线</w:t>
      </w:r>
    </w:p>
    <w:p>
      <w:pPr>
        <w:pStyle w:val="29"/>
        <w:numPr>
          <w:ilvl w:val="0"/>
          <w:numId w:val="9"/>
        </w:numPr>
        <w:ind w:left="440" w:leftChars="200" w:firstLineChars="0"/>
        <w:rPr>
          <w:color w:val="auto"/>
          <w:spacing w:val="-1"/>
        </w:rPr>
      </w:pPr>
      <w:r>
        <w:rPr>
          <w:color w:val="auto"/>
          <w:spacing w:val="-1"/>
        </w:rPr>
        <w:t>电机，变压器，开关柜，配电箱，控制屏等金属底座，金属框架和外壳</w:t>
      </w:r>
    </w:p>
    <w:p>
      <w:pPr>
        <w:pStyle w:val="29"/>
        <w:numPr>
          <w:ilvl w:val="0"/>
          <w:numId w:val="9"/>
        </w:numPr>
        <w:ind w:left="440" w:leftChars="200" w:firstLineChars="0"/>
        <w:rPr>
          <w:color w:val="auto"/>
          <w:spacing w:val="-1"/>
        </w:rPr>
      </w:pPr>
      <w:r>
        <w:rPr>
          <w:color w:val="auto"/>
          <w:spacing w:val="-1"/>
        </w:rPr>
        <w:t>配电间金属门，户外构筑物金属栏杆，电缆铠装层和电缆穿线管</w:t>
      </w:r>
    </w:p>
    <w:p>
      <w:pPr>
        <w:pStyle w:val="29"/>
        <w:numPr>
          <w:ilvl w:val="0"/>
          <w:numId w:val="9"/>
        </w:numPr>
        <w:ind w:left="440" w:leftChars="200" w:firstLineChars="0"/>
        <w:rPr>
          <w:color w:val="auto"/>
          <w:spacing w:val="-1"/>
        </w:rPr>
      </w:pPr>
      <w:r>
        <w:rPr>
          <w:color w:val="auto"/>
          <w:spacing w:val="-1"/>
        </w:rPr>
        <w:t>电缆桥架和电缆支架</w:t>
      </w:r>
    </w:p>
    <w:p>
      <w:pPr>
        <w:pStyle w:val="29"/>
        <w:numPr>
          <w:ilvl w:val="0"/>
          <w:numId w:val="9"/>
        </w:numPr>
        <w:ind w:left="440" w:leftChars="200" w:firstLineChars="0"/>
        <w:rPr>
          <w:color w:val="auto"/>
        </w:rPr>
      </w:pPr>
      <w:r>
        <w:rPr>
          <w:color w:val="auto"/>
          <w:spacing w:val="-1"/>
        </w:rPr>
        <w:t>空气型母线槽金属外壳</w:t>
      </w:r>
    </w:p>
    <w:p>
      <w:pPr>
        <w:pStyle w:val="29"/>
        <w:ind w:left="440" w:leftChars="200" w:firstLine="0" w:firstLineChars="0"/>
        <w:rPr>
          <w:color w:val="auto"/>
        </w:rPr>
      </w:pPr>
      <w:r>
        <w:rPr>
          <w:color w:val="auto"/>
          <w:spacing w:val="-1"/>
        </w:rPr>
        <w:t>接地</w:t>
      </w:r>
      <w:r>
        <w:rPr>
          <w:color w:val="auto"/>
          <w:spacing w:val="-2"/>
        </w:rPr>
        <w:t>线的敷设应符合下列要求：</w:t>
      </w:r>
    </w:p>
    <w:p>
      <w:pPr>
        <w:pStyle w:val="29"/>
        <w:numPr>
          <w:ilvl w:val="0"/>
          <w:numId w:val="9"/>
        </w:numPr>
        <w:ind w:left="440" w:leftChars="200" w:firstLineChars="0"/>
        <w:rPr>
          <w:color w:val="auto"/>
          <w:spacing w:val="-1"/>
        </w:rPr>
      </w:pPr>
      <w:r>
        <w:rPr>
          <w:color w:val="auto"/>
          <w:spacing w:val="-1"/>
        </w:rPr>
        <w:t>接地线及其紧固件应采用热镀锌防腐措施</w:t>
      </w:r>
    </w:p>
    <w:p>
      <w:pPr>
        <w:pStyle w:val="29"/>
        <w:numPr>
          <w:ilvl w:val="0"/>
          <w:numId w:val="9"/>
        </w:numPr>
        <w:ind w:left="440" w:leftChars="200" w:firstLineChars="0"/>
        <w:rPr>
          <w:color w:val="auto"/>
          <w:spacing w:val="-1"/>
        </w:rPr>
      </w:pPr>
      <w:r>
        <w:rPr>
          <w:color w:val="auto"/>
          <w:spacing w:val="-1"/>
        </w:rPr>
        <w:t>接地线在穿过墙壁，楼板和地坪处应加装钢管保护</w:t>
      </w:r>
    </w:p>
    <w:p>
      <w:pPr>
        <w:pStyle w:val="29"/>
        <w:numPr>
          <w:ilvl w:val="0"/>
          <w:numId w:val="9"/>
        </w:numPr>
        <w:ind w:left="440" w:leftChars="200" w:firstLineChars="0"/>
        <w:rPr>
          <w:color w:val="auto"/>
          <w:spacing w:val="-1"/>
        </w:rPr>
      </w:pPr>
      <w:r>
        <w:rPr>
          <w:color w:val="auto"/>
          <w:spacing w:val="-1"/>
        </w:rPr>
        <w:t>接地干线应在不同的两点及以上与接地网相连接</w:t>
      </w:r>
    </w:p>
    <w:p>
      <w:pPr>
        <w:pStyle w:val="29"/>
        <w:numPr>
          <w:ilvl w:val="0"/>
          <w:numId w:val="9"/>
        </w:numPr>
        <w:ind w:left="440" w:leftChars="200" w:firstLineChars="0"/>
        <w:rPr>
          <w:color w:val="auto"/>
          <w:spacing w:val="-1"/>
        </w:rPr>
      </w:pPr>
      <w:r>
        <w:rPr>
          <w:color w:val="auto"/>
          <w:spacing w:val="-1"/>
        </w:rPr>
        <w:t>室内接地线离地300mm沿墙水平敷设</w:t>
      </w:r>
    </w:p>
    <w:p>
      <w:pPr>
        <w:pStyle w:val="29"/>
        <w:numPr>
          <w:ilvl w:val="0"/>
          <w:numId w:val="9"/>
        </w:numPr>
        <w:ind w:left="440" w:leftChars="200" w:firstLineChars="0"/>
        <w:rPr>
          <w:color w:val="auto"/>
          <w:spacing w:val="-1"/>
        </w:rPr>
      </w:pPr>
      <w:r>
        <w:rPr>
          <w:color w:val="auto"/>
          <w:spacing w:val="-1"/>
        </w:rPr>
        <w:t>配电间，变电所，控制室及其它装有配电箱设备的房间，均应设置供临时接地线使用的接线板和螺栓</w:t>
      </w:r>
    </w:p>
    <w:p>
      <w:pPr>
        <w:pStyle w:val="29"/>
        <w:numPr>
          <w:ilvl w:val="0"/>
          <w:numId w:val="9"/>
        </w:numPr>
        <w:ind w:left="440" w:leftChars="200" w:firstLineChars="0"/>
        <w:rPr>
          <w:color w:val="auto"/>
          <w:spacing w:val="-1"/>
        </w:rPr>
      </w:pPr>
      <w:r>
        <w:rPr>
          <w:color w:val="auto"/>
          <w:spacing w:val="-1"/>
        </w:rPr>
        <w:t>接地线的连接应采用焊接，焊接必须牢固无虚焊，连接至电气设备上的接地线，应采用热镀锌螺栓连接</w:t>
      </w:r>
    </w:p>
    <w:p>
      <w:pPr>
        <w:pStyle w:val="29"/>
        <w:numPr>
          <w:ilvl w:val="0"/>
          <w:numId w:val="9"/>
        </w:numPr>
        <w:ind w:left="440" w:leftChars="200" w:firstLineChars="0"/>
        <w:rPr>
          <w:color w:val="auto"/>
          <w:spacing w:val="-1"/>
        </w:rPr>
      </w:pPr>
      <w:r>
        <w:rPr>
          <w:color w:val="auto"/>
          <w:spacing w:val="-1"/>
        </w:rPr>
        <w:t>当利用金属构件，金属管道等作为接地线时，应保证其全长为完好的电气通路。</w:t>
      </w:r>
    </w:p>
    <w:p>
      <w:pPr>
        <w:pStyle w:val="31"/>
        <w:rPr>
          <w:color w:val="auto"/>
        </w:rPr>
      </w:pPr>
      <w:r>
        <w:rPr>
          <w:color w:val="auto"/>
        </w:rPr>
        <w:t>安装工程的检验</w:t>
      </w:r>
    </w:p>
    <w:p>
      <w:pPr>
        <w:pStyle w:val="29"/>
        <w:ind w:firstLine="478"/>
        <w:rPr>
          <w:color w:val="auto"/>
          <w:spacing w:val="-1"/>
        </w:rPr>
      </w:pPr>
      <w:r>
        <w:rPr>
          <w:color w:val="auto"/>
          <w:spacing w:val="-1"/>
        </w:rPr>
        <w:t>承包商应根据合同规定的安装计划进行整个工程的安装，包括提供足够的技术工人，材料以及完成合格安装所需的设备与装置等，在规定的日期内完成规定的工程内容。承包商在安装工程完成之后，应与项目监理和业主进行联合验收，承包商应准备和完成已经批准的验收报告记录，验收报告是在安装工程的各个部分被验收通过时由承包商和项目监理共同完成并签名。在验收完成后，应提交二份装订过的验收报告复印件给项目监理，承包商应至少在联合验收开始前的48小时给项目监理和业主发通知。</w:t>
      </w:r>
    </w:p>
    <w:p>
      <w:pPr>
        <w:pStyle w:val="29"/>
        <w:ind w:firstLine="478"/>
        <w:rPr>
          <w:color w:val="auto"/>
          <w:spacing w:val="-1"/>
        </w:rPr>
      </w:pPr>
      <w:r>
        <w:rPr>
          <w:color w:val="auto"/>
          <w:spacing w:val="-1"/>
        </w:rPr>
        <w:t>所有电气设备在交工验收时应进行下列检查：</w:t>
      </w:r>
    </w:p>
    <w:p>
      <w:pPr>
        <w:pStyle w:val="29"/>
        <w:numPr>
          <w:ilvl w:val="0"/>
          <w:numId w:val="9"/>
        </w:numPr>
        <w:ind w:left="440" w:leftChars="200" w:firstLineChars="0"/>
        <w:rPr>
          <w:color w:val="auto"/>
          <w:spacing w:val="-1"/>
        </w:rPr>
      </w:pPr>
      <w:r>
        <w:rPr>
          <w:color w:val="auto"/>
          <w:spacing w:val="-1"/>
        </w:rPr>
        <w:t>竣工的安装工程应符合设计要求</w:t>
      </w:r>
    </w:p>
    <w:p>
      <w:pPr>
        <w:pStyle w:val="29"/>
        <w:numPr>
          <w:ilvl w:val="0"/>
          <w:numId w:val="9"/>
        </w:numPr>
        <w:ind w:left="440" w:leftChars="200" w:firstLineChars="0"/>
        <w:rPr>
          <w:color w:val="auto"/>
          <w:spacing w:val="-1"/>
        </w:rPr>
      </w:pPr>
      <w:r>
        <w:rPr>
          <w:color w:val="auto"/>
          <w:spacing w:val="-1"/>
        </w:rPr>
        <w:t>安装工程的质量应符合标书的规定要求</w:t>
      </w:r>
    </w:p>
    <w:p>
      <w:pPr>
        <w:pStyle w:val="29"/>
        <w:numPr>
          <w:ilvl w:val="0"/>
          <w:numId w:val="9"/>
        </w:numPr>
        <w:ind w:left="440" w:leftChars="200" w:firstLineChars="0"/>
        <w:rPr>
          <w:color w:val="auto"/>
          <w:spacing w:val="-1"/>
        </w:rPr>
      </w:pPr>
      <w:r>
        <w:rPr>
          <w:color w:val="auto"/>
          <w:spacing w:val="-1"/>
        </w:rPr>
        <w:t>调整，试验项目及其结果应符合规范和规定</w:t>
      </w:r>
    </w:p>
    <w:p>
      <w:pPr>
        <w:pStyle w:val="29"/>
        <w:numPr>
          <w:ilvl w:val="0"/>
          <w:numId w:val="9"/>
        </w:numPr>
        <w:ind w:left="440" w:leftChars="200" w:firstLineChars="0"/>
        <w:rPr>
          <w:color w:val="auto"/>
          <w:spacing w:val="-1"/>
        </w:rPr>
      </w:pPr>
      <w:r>
        <w:rPr>
          <w:color w:val="auto"/>
          <w:spacing w:val="-1"/>
        </w:rPr>
        <w:t>技术资料和技术文件应齐全</w:t>
      </w:r>
    </w:p>
    <w:p>
      <w:pPr>
        <w:pStyle w:val="31"/>
        <w:rPr>
          <w:color w:val="auto"/>
        </w:rPr>
      </w:pPr>
      <w:r>
        <w:rPr>
          <w:color w:val="auto"/>
        </w:rPr>
        <w:t>开关柜及配电箱的检验</w:t>
      </w:r>
    </w:p>
    <w:p>
      <w:pPr>
        <w:pStyle w:val="29"/>
        <w:ind w:firstLine="478"/>
        <w:rPr>
          <w:color w:val="auto"/>
          <w:spacing w:val="-1"/>
        </w:rPr>
      </w:pPr>
      <w:r>
        <w:rPr>
          <w:color w:val="auto"/>
          <w:spacing w:val="-1"/>
        </w:rPr>
        <w:t>开关柜及配电箱的安装验收应按下列要求进行：</w:t>
      </w:r>
    </w:p>
    <w:p>
      <w:pPr>
        <w:pStyle w:val="29"/>
        <w:numPr>
          <w:ilvl w:val="0"/>
          <w:numId w:val="9"/>
        </w:numPr>
        <w:ind w:left="440" w:leftChars="200" w:firstLineChars="0"/>
        <w:rPr>
          <w:color w:val="auto"/>
          <w:spacing w:val="-1"/>
        </w:rPr>
      </w:pPr>
      <w:r>
        <w:rPr>
          <w:color w:val="auto"/>
          <w:spacing w:val="-1"/>
        </w:rPr>
        <w:t>柜（箱）的固定及接地应可靠，柜（箱）漆层应完好，清洁整齐</w:t>
      </w:r>
    </w:p>
    <w:p>
      <w:pPr>
        <w:pStyle w:val="29"/>
        <w:numPr>
          <w:ilvl w:val="0"/>
          <w:numId w:val="9"/>
        </w:numPr>
        <w:ind w:left="440" w:leftChars="200" w:firstLineChars="0"/>
        <w:rPr>
          <w:color w:val="auto"/>
          <w:spacing w:val="-1"/>
        </w:rPr>
      </w:pPr>
      <w:r>
        <w:rPr>
          <w:color w:val="auto"/>
          <w:spacing w:val="-1"/>
        </w:rPr>
        <w:t>柜（箱）内所装电气元件应齐全完好，安装位置正确，固定牢固</w:t>
      </w:r>
    </w:p>
    <w:p>
      <w:pPr>
        <w:pStyle w:val="29"/>
        <w:numPr>
          <w:ilvl w:val="0"/>
          <w:numId w:val="9"/>
        </w:numPr>
        <w:ind w:left="440" w:leftChars="200" w:firstLineChars="0"/>
        <w:rPr>
          <w:color w:val="auto"/>
          <w:spacing w:val="-1"/>
        </w:rPr>
      </w:pPr>
      <w:r>
        <w:rPr>
          <w:color w:val="auto"/>
          <w:spacing w:val="-1"/>
        </w:rPr>
        <w:t>所有二次回路接线应准确，连接可靠，标志齐全清晰，绝缘符合要求</w:t>
      </w:r>
    </w:p>
    <w:p>
      <w:pPr>
        <w:pStyle w:val="29"/>
        <w:numPr>
          <w:ilvl w:val="0"/>
          <w:numId w:val="9"/>
        </w:numPr>
        <w:ind w:left="440" w:leftChars="200" w:firstLineChars="0"/>
        <w:rPr>
          <w:color w:val="auto"/>
          <w:spacing w:val="-1"/>
        </w:rPr>
      </w:pPr>
      <w:r>
        <w:rPr>
          <w:color w:val="auto"/>
          <w:spacing w:val="-1"/>
        </w:rPr>
        <w:t>手车或抽屉式开关柜在推入或拉出时应灵活，机械闭锁可靠，照明装置齐全</w:t>
      </w:r>
    </w:p>
    <w:p>
      <w:pPr>
        <w:pStyle w:val="29"/>
        <w:numPr>
          <w:ilvl w:val="0"/>
          <w:numId w:val="9"/>
        </w:numPr>
        <w:ind w:left="440" w:leftChars="200" w:firstLineChars="0"/>
        <w:rPr>
          <w:color w:val="auto"/>
          <w:spacing w:val="-1"/>
        </w:rPr>
      </w:pPr>
      <w:r>
        <w:rPr>
          <w:color w:val="auto"/>
          <w:spacing w:val="-1"/>
        </w:rPr>
        <w:t>柜内一次设备的安装质量验收要求应符合标书规定的要求</w:t>
      </w:r>
    </w:p>
    <w:p>
      <w:pPr>
        <w:pStyle w:val="29"/>
        <w:numPr>
          <w:ilvl w:val="0"/>
          <w:numId w:val="9"/>
        </w:numPr>
        <w:ind w:left="440" w:leftChars="200" w:firstLineChars="0"/>
        <w:rPr>
          <w:color w:val="auto"/>
          <w:spacing w:val="-1"/>
        </w:rPr>
      </w:pPr>
      <w:r>
        <w:rPr>
          <w:color w:val="auto"/>
          <w:spacing w:val="-1"/>
        </w:rPr>
        <w:t>柜（箱）及电缆管道安装完毕后，应作好封堵</w:t>
      </w:r>
    </w:p>
    <w:p>
      <w:pPr>
        <w:pStyle w:val="29"/>
        <w:numPr>
          <w:ilvl w:val="0"/>
          <w:numId w:val="9"/>
        </w:numPr>
        <w:ind w:left="440" w:leftChars="200" w:firstLineChars="0"/>
        <w:rPr>
          <w:color w:val="auto"/>
          <w:spacing w:val="-1"/>
        </w:rPr>
      </w:pPr>
      <w:r>
        <w:rPr>
          <w:color w:val="auto"/>
          <w:spacing w:val="-1"/>
        </w:rPr>
        <w:t>操作及联动试验正确，符合设计要求</w:t>
      </w:r>
    </w:p>
    <w:p>
      <w:pPr>
        <w:pStyle w:val="29"/>
        <w:numPr>
          <w:ilvl w:val="0"/>
          <w:numId w:val="9"/>
        </w:numPr>
        <w:ind w:left="440" w:leftChars="200" w:firstLineChars="0"/>
        <w:rPr>
          <w:color w:val="auto"/>
          <w:spacing w:val="-1"/>
        </w:rPr>
      </w:pPr>
      <w:r>
        <w:rPr>
          <w:color w:val="auto"/>
          <w:spacing w:val="-1"/>
        </w:rPr>
        <w:t>电压表、电流表的校验须合格，并出具校验报告</w:t>
      </w:r>
    </w:p>
    <w:p>
      <w:pPr>
        <w:pStyle w:val="31"/>
        <w:rPr>
          <w:color w:val="auto"/>
        </w:rPr>
      </w:pPr>
      <w:r>
        <w:rPr>
          <w:bCs/>
          <w:color w:val="auto"/>
        </w:rPr>
        <w:t>电力变压器的检验</w:t>
      </w:r>
    </w:p>
    <w:p>
      <w:pPr>
        <w:pStyle w:val="29"/>
        <w:ind w:firstLine="478"/>
        <w:rPr>
          <w:color w:val="auto"/>
          <w:spacing w:val="-1"/>
        </w:rPr>
      </w:pPr>
      <w:r>
        <w:rPr>
          <w:color w:val="auto"/>
          <w:spacing w:val="-1"/>
        </w:rPr>
        <w:t>电力变压器的安装验收应按下列要求进行：</w:t>
      </w:r>
    </w:p>
    <w:p>
      <w:pPr>
        <w:pStyle w:val="29"/>
        <w:numPr>
          <w:ilvl w:val="0"/>
          <w:numId w:val="9"/>
        </w:numPr>
        <w:ind w:left="440" w:leftChars="200" w:firstLineChars="0"/>
        <w:rPr>
          <w:color w:val="auto"/>
          <w:spacing w:val="-1"/>
        </w:rPr>
      </w:pPr>
      <w:r>
        <w:rPr>
          <w:color w:val="auto"/>
          <w:spacing w:val="-1"/>
        </w:rPr>
        <w:t>本体，温度信号报警装置及所有附件应齐全，无缺陷</w:t>
      </w:r>
    </w:p>
    <w:p>
      <w:pPr>
        <w:pStyle w:val="29"/>
        <w:numPr>
          <w:ilvl w:val="0"/>
          <w:numId w:val="9"/>
        </w:numPr>
        <w:ind w:left="440" w:leftChars="200" w:firstLineChars="0"/>
        <w:rPr>
          <w:color w:val="auto"/>
          <w:spacing w:val="-1"/>
        </w:rPr>
      </w:pPr>
      <w:r>
        <w:rPr>
          <w:color w:val="auto"/>
          <w:spacing w:val="-1"/>
        </w:rPr>
        <w:t>轮子的制动装置应牢固</w:t>
      </w:r>
    </w:p>
    <w:p>
      <w:pPr>
        <w:pStyle w:val="29"/>
        <w:numPr>
          <w:ilvl w:val="0"/>
          <w:numId w:val="9"/>
        </w:numPr>
        <w:ind w:left="440" w:leftChars="200" w:firstLineChars="0"/>
        <w:rPr>
          <w:color w:val="auto"/>
          <w:spacing w:val="-1"/>
        </w:rPr>
      </w:pPr>
      <w:r>
        <w:rPr>
          <w:color w:val="auto"/>
          <w:spacing w:val="-1"/>
        </w:rPr>
        <w:t>油漆应完整，相色标志正确</w:t>
      </w:r>
    </w:p>
    <w:p>
      <w:pPr>
        <w:pStyle w:val="29"/>
        <w:numPr>
          <w:ilvl w:val="0"/>
          <w:numId w:val="9"/>
        </w:numPr>
        <w:ind w:left="440" w:leftChars="200" w:firstLineChars="0"/>
        <w:rPr>
          <w:color w:val="auto"/>
          <w:spacing w:val="-1"/>
        </w:rPr>
      </w:pPr>
      <w:r>
        <w:rPr>
          <w:color w:val="auto"/>
          <w:spacing w:val="-1"/>
        </w:rPr>
        <w:t>变压器身上应无遗留杂物</w:t>
      </w:r>
    </w:p>
    <w:p>
      <w:pPr>
        <w:pStyle w:val="29"/>
        <w:numPr>
          <w:ilvl w:val="0"/>
          <w:numId w:val="9"/>
        </w:numPr>
        <w:ind w:left="440" w:leftChars="200" w:firstLineChars="0"/>
        <w:rPr>
          <w:color w:val="auto"/>
          <w:spacing w:val="-1"/>
        </w:rPr>
      </w:pPr>
      <w:r>
        <w:rPr>
          <w:color w:val="auto"/>
          <w:spacing w:val="-1"/>
        </w:rPr>
        <w:t>测温装置温度显示应正确，整定值符合要求</w:t>
      </w:r>
    </w:p>
    <w:p>
      <w:pPr>
        <w:pStyle w:val="29"/>
        <w:numPr>
          <w:ilvl w:val="0"/>
          <w:numId w:val="9"/>
        </w:numPr>
        <w:ind w:left="440" w:leftChars="200" w:firstLineChars="0"/>
        <w:rPr>
          <w:color w:val="auto"/>
          <w:spacing w:val="-1"/>
        </w:rPr>
      </w:pPr>
      <w:r>
        <w:rPr>
          <w:color w:val="auto"/>
          <w:spacing w:val="-1"/>
        </w:rPr>
        <w:t>接地引下线及其与主接地网的连接应满足设计要求，接地应可靠</w:t>
      </w:r>
    </w:p>
    <w:p>
      <w:pPr>
        <w:pStyle w:val="29"/>
        <w:numPr>
          <w:ilvl w:val="0"/>
          <w:numId w:val="9"/>
        </w:numPr>
        <w:ind w:left="440" w:leftChars="200" w:firstLineChars="0"/>
        <w:rPr>
          <w:color w:val="auto"/>
          <w:spacing w:val="-1"/>
        </w:rPr>
      </w:pPr>
      <w:r>
        <w:rPr>
          <w:color w:val="auto"/>
          <w:spacing w:val="-1"/>
        </w:rPr>
        <w:t>分接头的位置应符合运行要求</w:t>
      </w:r>
    </w:p>
    <w:p>
      <w:pPr>
        <w:pStyle w:val="29"/>
        <w:numPr>
          <w:ilvl w:val="0"/>
          <w:numId w:val="9"/>
        </w:numPr>
        <w:ind w:left="440" w:leftChars="200" w:firstLineChars="0"/>
        <w:rPr>
          <w:color w:val="auto"/>
          <w:spacing w:val="-1"/>
        </w:rPr>
      </w:pPr>
      <w:r>
        <w:rPr>
          <w:color w:val="auto"/>
          <w:spacing w:val="-1"/>
        </w:rPr>
        <w:t>变压器的全部电气试验应合格，保护装置整定值符合规定</w:t>
      </w:r>
    </w:p>
    <w:p>
      <w:pPr>
        <w:pStyle w:val="31"/>
        <w:rPr>
          <w:b w:val="0"/>
          <w:bCs/>
          <w:color w:val="auto"/>
        </w:rPr>
      </w:pPr>
      <w:r>
        <w:rPr>
          <w:color w:val="auto"/>
        </w:rPr>
        <w:t>电缆的检验</w:t>
      </w:r>
    </w:p>
    <w:p>
      <w:pPr>
        <w:pStyle w:val="29"/>
        <w:ind w:firstLine="478"/>
        <w:rPr>
          <w:color w:val="auto"/>
          <w:spacing w:val="-1"/>
        </w:rPr>
      </w:pPr>
      <w:r>
        <w:rPr>
          <w:color w:val="auto"/>
          <w:spacing w:val="-1"/>
        </w:rPr>
        <w:t>电缆的安装验收应按下列要求进行：</w:t>
      </w:r>
    </w:p>
    <w:p>
      <w:pPr>
        <w:pStyle w:val="29"/>
        <w:numPr>
          <w:ilvl w:val="0"/>
          <w:numId w:val="9"/>
        </w:numPr>
        <w:ind w:left="440" w:leftChars="200" w:firstLineChars="0"/>
        <w:rPr>
          <w:color w:val="auto"/>
          <w:spacing w:val="-1"/>
        </w:rPr>
      </w:pPr>
      <w:r>
        <w:rPr>
          <w:color w:val="auto"/>
          <w:spacing w:val="-1"/>
        </w:rPr>
        <w:t>电缆规格应符合规定，排列整齐，无机械损伤，标志牌应装设齐全，正确，清晰</w:t>
      </w:r>
    </w:p>
    <w:p>
      <w:pPr>
        <w:pStyle w:val="29"/>
        <w:numPr>
          <w:ilvl w:val="0"/>
          <w:numId w:val="9"/>
        </w:numPr>
        <w:ind w:left="440" w:leftChars="200" w:firstLineChars="0"/>
        <w:rPr>
          <w:color w:val="auto"/>
          <w:spacing w:val="-1"/>
        </w:rPr>
      </w:pPr>
      <w:r>
        <w:rPr>
          <w:color w:val="auto"/>
          <w:spacing w:val="-1"/>
        </w:rPr>
        <w:t>电缆的固定，弯曲半径，有关距离及相序排列等应符合国家标准</w:t>
      </w:r>
    </w:p>
    <w:p>
      <w:pPr>
        <w:pStyle w:val="29"/>
        <w:numPr>
          <w:ilvl w:val="0"/>
          <w:numId w:val="9"/>
        </w:numPr>
        <w:ind w:left="440" w:leftChars="200" w:firstLineChars="0"/>
        <w:rPr>
          <w:color w:val="auto"/>
          <w:spacing w:val="-1"/>
        </w:rPr>
      </w:pPr>
      <w:r>
        <w:rPr>
          <w:color w:val="auto"/>
          <w:spacing w:val="-1"/>
        </w:rPr>
        <w:t>电缆终端及电缆接头应安装牢固</w:t>
      </w:r>
    </w:p>
    <w:p>
      <w:pPr>
        <w:pStyle w:val="29"/>
        <w:numPr>
          <w:ilvl w:val="0"/>
          <w:numId w:val="9"/>
        </w:numPr>
        <w:ind w:left="440" w:leftChars="200" w:firstLineChars="0"/>
        <w:rPr>
          <w:color w:val="auto"/>
          <w:spacing w:val="-1"/>
        </w:rPr>
      </w:pPr>
      <w:r>
        <w:rPr>
          <w:color w:val="auto"/>
          <w:spacing w:val="-1"/>
        </w:rPr>
        <w:t>电缆终端相色应正确，电缆支架金属部件防腐层应完好，接地应良好</w:t>
      </w:r>
    </w:p>
    <w:p>
      <w:pPr>
        <w:pStyle w:val="29"/>
        <w:numPr>
          <w:ilvl w:val="0"/>
          <w:numId w:val="9"/>
        </w:numPr>
        <w:ind w:left="440" w:leftChars="200" w:firstLineChars="0"/>
        <w:rPr>
          <w:color w:val="auto"/>
          <w:spacing w:val="-1"/>
        </w:rPr>
      </w:pPr>
      <w:r>
        <w:rPr>
          <w:color w:val="auto"/>
          <w:spacing w:val="-1"/>
        </w:rPr>
        <w:t>电缆沟内无杂物，盖板齐全</w:t>
      </w:r>
    </w:p>
    <w:p>
      <w:pPr>
        <w:pStyle w:val="29"/>
        <w:numPr>
          <w:ilvl w:val="0"/>
          <w:numId w:val="9"/>
        </w:numPr>
        <w:ind w:left="440" w:leftChars="200" w:firstLineChars="0"/>
        <w:rPr>
          <w:color w:val="auto"/>
          <w:spacing w:val="-1"/>
        </w:rPr>
      </w:pPr>
      <w:r>
        <w:rPr>
          <w:color w:val="auto"/>
          <w:spacing w:val="-1"/>
        </w:rPr>
        <w:t>电缆应有路径标志。路径标志应与实际路径相符，清晰牢固，间距适当，且应符合标书要求</w:t>
      </w:r>
    </w:p>
    <w:p>
      <w:pPr>
        <w:pStyle w:val="29"/>
        <w:numPr>
          <w:ilvl w:val="0"/>
          <w:numId w:val="9"/>
        </w:numPr>
        <w:ind w:left="440" w:leftChars="200" w:firstLineChars="0"/>
        <w:rPr>
          <w:color w:val="auto"/>
          <w:spacing w:val="-1"/>
        </w:rPr>
      </w:pPr>
      <w:r>
        <w:rPr>
          <w:color w:val="auto"/>
          <w:spacing w:val="-1"/>
        </w:rPr>
        <w:t>隐蔽工程应在施工过程中进行中间验收，并作好签证</w:t>
      </w:r>
    </w:p>
    <w:p>
      <w:pPr>
        <w:pStyle w:val="29"/>
        <w:numPr>
          <w:ilvl w:val="0"/>
          <w:numId w:val="9"/>
        </w:numPr>
        <w:ind w:left="440" w:leftChars="200" w:firstLineChars="0"/>
        <w:rPr>
          <w:color w:val="auto"/>
          <w:spacing w:val="-1"/>
        </w:rPr>
      </w:pPr>
      <w:r>
        <w:rPr>
          <w:color w:val="auto"/>
          <w:spacing w:val="-1"/>
        </w:rPr>
        <w:t>电缆的绝缘电阻应符合规范要求</w:t>
      </w:r>
    </w:p>
    <w:p>
      <w:pPr>
        <w:pStyle w:val="31"/>
        <w:rPr>
          <w:b w:val="0"/>
          <w:bCs/>
          <w:color w:val="auto"/>
        </w:rPr>
      </w:pPr>
      <w:r>
        <w:rPr>
          <w:color w:val="auto"/>
        </w:rPr>
        <w:t>母线的检验</w:t>
      </w:r>
    </w:p>
    <w:p>
      <w:pPr>
        <w:pStyle w:val="29"/>
        <w:ind w:firstLine="478"/>
        <w:rPr>
          <w:color w:val="auto"/>
        </w:rPr>
      </w:pPr>
      <w:r>
        <w:rPr>
          <w:color w:val="auto"/>
          <w:spacing w:val="-1"/>
        </w:rPr>
        <w:t>母线的安装验收应按下列要求进行：</w:t>
      </w:r>
    </w:p>
    <w:p>
      <w:pPr>
        <w:pStyle w:val="29"/>
        <w:numPr>
          <w:ilvl w:val="0"/>
          <w:numId w:val="9"/>
        </w:numPr>
        <w:ind w:left="440" w:leftChars="200" w:firstLineChars="0"/>
        <w:rPr>
          <w:color w:val="auto"/>
          <w:spacing w:val="-1"/>
        </w:rPr>
      </w:pPr>
      <w:r>
        <w:rPr>
          <w:color w:val="auto"/>
          <w:spacing w:val="-1"/>
        </w:rPr>
        <w:t>金属构件加工，配制，螺栓连接，焊接等应符合国家标准</w:t>
      </w:r>
    </w:p>
    <w:p>
      <w:pPr>
        <w:pStyle w:val="29"/>
        <w:numPr>
          <w:ilvl w:val="0"/>
          <w:numId w:val="9"/>
        </w:numPr>
        <w:ind w:left="440" w:leftChars="200" w:firstLineChars="0"/>
        <w:rPr>
          <w:color w:val="auto"/>
          <w:spacing w:val="-1"/>
        </w:rPr>
      </w:pPr>
      <w:r>
        <w:rPr>
          <w:color w:val="auto"/>
          <w:spacing w:val="-1"/>
        </w:rPr>
        <w:t>所有螺栓，垫圈，闭口销，锁紧销，弹簧垫圈及螺母等应齐全可靠</w:t>
      </w:r>
    </w:p>
    <w:p>
      <w:pPr>
        <w:pStyle w:val="29"/>
        <w:numPr>
          <w:ilvl w:val="0"/>
          <w:numId w:val="9"/>
        </w:numPr>
        <w:ind w:left="440" w:leftChars="200" w:firstLineChars="0"/>
        <w:rPr>
          <w:color w:val="auto"/>
          <w:spacing w:val="-1"/>
        </w:rPr>
      </w:pPr>
      <w:r>
        <w:rPr>
          <w:color w:val="auto"/>
          <w:spacing w:val="-1"/>
        </w:rPr>
        <w:t>母线配制及安装架设应符合设计规定，相间及对地电气距离符合国家标准</w:t>
      </w:r>
    </w:p>
    <w:p>
      <w:pPr>
        <w:pStyle w:val="29"/>
        <w:numPr>
          <w:ilvl w:val="0"/>
          <w:numId w:val="9"/>
        </w:numPr>
        <w:ind w:left="440" w:leftChars="200" w:firstLineChars="0"/>
        <w:rPr>
          <w:color w:val="auto"/>
          <w:spacing w:val="-1"/>
        </w:rPr>
      </w:pPr>
      <w:r>
        <w:rPr>
          <w:color w:val="auto"/>
          <w:spacing w:val="-1"/>
        </w:rPr>
        <w:t>瓷件应完整，油漆应完好，相色正确，接地良好</w:t>
      </w:r>
    </w:p>
    <w:p>
      <w:pPr>
        <w:pStyle w:val="31"/>
        <w:rPr>
          <w:b w:val="0"/>
          <w:bCs/>
          <w:color w:val="auto"/>
        </w:rPr>
      </w:pPr>
      <w:r>
        <w:rPr>
          <w:color w:val="auto"/>
        </w:rPr>
        <w:t>接地的检验</w:t>
      </w:r>
    </w:p>
    <w:p>
      <w:pPr>
        <w:pStyle w:val="29"/>
        <w:ind w:firstLine="478"/>
        <w:rPr>
          <w:color w:val="auto"/>
          <w:spacing w:val="-1"/>
        </w:rPr>
      </w:pPr>
      <w:r>
        <w:rPr>
          <w:color w:val="auto"/>
          <w:spacing w:val="-1"/>
        </w:rPr>
        <w:t>接地的安装验收应按下列要求进行：</w:t>
      </w:r>
    </w:p>
    <w:p>
      <w:pPr>
        <w:pStyle w:val="29"/>
        <w:numPr>
          <w:ilvl w:val="0"/>
          <w:numId w:val="9"/>
        </w:numPr>
        <w:ind w:left="440" w:leftChars="200" w:firstLineChars="0"/>
        <w:rPr>
          <w:color w:val="auto"/>
          <w:spacing w:val="-1"/>
        </w:rPr>
      </w:pPr>
      <w:r>
        <w:rPr>
          <w:color w:val="auto"/>
          <w:spacing w:val="-1"/>
        </w:rPr>
        <w:t>整个接地网外露部分的连接可靠，接地线规格正确，防腐层完好，标志齐全明显</w:t>
      </w:r>
    </w:p>
    <w:p>
      <w:pPr>
        <w:pStyle w:val="29"/>
        <w:numPr>
          <w:ilvl w:val="0"/>
          <w:numId w:val="9"/>
        </w:numPr>
        <w:ind w:left="440" w:leftChars="200" w:firstLineChars="0"/>
        <w:rPr>
          <w:color w:val="auto"/>
          <w:spacing w:val="-1"/>
        </w:rPr>
      </w:pPr>
      <w:r>
        <w:rPr>
          <w:color w:val="auto"/>
          <w:spacing w:val="-1"/>
        </w:rPr>
        <w:t>供连接临时接地线用的连接板的数量和位置符合设计要求</w:t>
      </w:r>
    </w:p>
    <w:p>
      <w:pPr>
        <w:pStyle w:val="29"/>
        <w:numPr>
          <w:ilvl w:val="0"/>
          <w:numId w:val="9"/>
        </w:numPr>
        <w:ind w:left="440" w:leftChars="200" w:firstLineChars="0"/>
        <w:rPr>
          <w:color w:val="auto"/>
          <w:spacing w:val="-1"/>
        </w:rPr>
      </w:pPr>
      <w:r>
        <w:rPr>
          <w:color w:val="auto"/>
          <w:spacing w:val="-1"/>
        </w:rPr>
        <w:t>工频接地电阻及设计要求的其它测试参数符合设计规定，雨后不应立即测量接地电阻</w:t>
      </w:r>
    </w:p>
    <w:p>
      <w:pPr>
        <w:pStyle w:val="29"/>
        <w:numPr>
          <w:ilvl w:val="0"/>
          <w:numId w:val="9"/>
        </w:numPr>
        <w:ind w:left="440" w:leftChars="200" w:firstLineChars="0"/>
        <w:rPr>
          <w:color w:val="auto"/>
          <w:spacing w:val="-1"/>
        </w:rPr>
      </w:pPr>
      <w:r>
        <w:rPr>
          <w:color w:val="auto"/>
          <w:spacing w:val="-1"/>
        </w:rPr>
        <w:t>雨后应连续7个晴天才能进行接地电阻的测试</w:t>
      </w:r>
    </w:p>
    <w:p>
      <w:pPr>
        <w:pStyle w:val="28"/>
        <w:spacing w:before="120" w:after="120"/>
        <w:rPr>
          <w:b/>
          <w:color w:val="auto"/>
        </w:rPr>
      </w:pPr>
      <w:bookmarkStart w:id="40" w:name="_Toc117181346"/>
      <w:r>
        <w:rPr>
          <w:b/>
          <w:color w:val="auto"/>
        </w:rPr>
        <w:t>电气设计的相关要求</w:t>
      </w:r>
      <w:bookmarkEnd w:id="40"/>
    </w:p>
    <w:p>
      <w:pPr>
        <w:pStyle w:val="30"/>
        <w:spacing w:before="120" w:after="120"/>
        <w:rPr>
          <w:b w:val="0"/>
          <w:bCs/>
          <w:color w:val="auto"/>
        </w:rPr>
      </w:pPr>
      <w:bookmarkStart w:id="41" w:name="_Toc117181347"/>
      <w:r>
        <w:rPr>
          <w:color w:val="auto"/>
        </w:rPr>
        <w:t>污水处理厂</w:t>
      </w:r>
      <w:bookmarkEnd w:id="41"/>
    </w:p>
    <w:p>
      <w:pPr>
        <w:pStyle w:val="29"/>
        <w:ind w:firstLine="478"/>
        <w:rPr>
          <w:color w:val="auto"/>
          <w:spacing w:val="-1"/>
        </w:rPr>
      </w:pPr>
      <w:r>
        <w:rPr>
          <w:color w:val="auto"/>
          <w:spacing w:val="-1"/>
        </w:rPr>
        <w:t>1.电气分界面</w:t>
      </w:r>
    </w:p>
    <w:p>
      <w:pPr>
        <w:pStyle w:val="29"/>
        <w:ind w:firstLine="478"/>
        <w:rPr>
          <w:color w:val="auto"/>
          <w:spacing w:val="-1"/>
        </w:rPr>
      </w:pPr>
      <w:r>
        <w:rPr>
          <w:color w:val="auto"/>
          <w:spacing w:val="-1"/>
        </w:rPr>
        <w:t>以本工程各路电源进户电缆终端头为分界面，分界面以下用户侧部分所有电气系统的设计、采购、安装、调试均在本次招标范围内。10KV电源外线系统设备申请、设计、采购、施工及调试不在本次招标范围内。</w:t>
      </w:r>
    </w:p>
    <w:p>
      <w:pPr>
        <w:pStyle w:val="29"/>
        <w:ind w:firstLine="478"/>
        <w:rPr>
          <w:color w:val="auto"/>
          <w:spacing w:val="-1"/>
        </w:rPr>
      </w:pPr>
      <w:r>
        <w:rPr>
          <w:color w:val="auto"/>
          <w:spacing w:val="-1"/>
        </w:rPr>
        <w:t>2.负荷等级与供电电源</w:t>
      </w:r>
    </w:p>
    <w:p>
      <w:pPr>
        <w:pStyle w:val="29"/>
        <w:ind w:firstLine="478"/>
        <w:rPr>
          <w:color w:val="auto"/>
          <w:spacing w:val="-1"/>
        </w:rPr>
      </w:pPr>
      <w:r>
        <w:rPr>
          <w:color w:val="auto"/>
          <w:spacing w:val="-1"/>
        </w:rPr>
        <w:t>本工程用电负荷中二级负荷占绝大部分，因此整体负荷等级应为二级负荷。</w:t>
      </w:r>
    </w:p>
    <w:p>
      <w:pPr>
        <w:pStyle w:val="29"/>
        <w:ind w:firstLine="478"/>
        <w:rPr>
          <w:color w:val="auto"/>
          <w:spacing w:val="-1"/>
        </w:rPr>
      </w:pPr>
      <w:r>
        <w:rPr>
          <w:color w:val="auto"/>
          <w:spacing w:val="-1"/>
        </w:rPr>
        <w:t>按照二级负荷供电要求，拟向当地供电部门新申请两路10KV电源，两路电源一用一备。每路电源均能够满足污水厂全部用电负荷要求。</w:t>
      </w:r>
    </w:p>
    <w:p>
      <w:pPr>
        <w:pStyle w:val="29"/>
        <w:ind w:firstLine="478"/>
        <w:rPr>
          <w:color w:val="auto"/>
          <w:spacing w:val="-1"/>
        </w:rPr>
      </w:pPr>
      <w:r>
        <w:rPr>
          <w:color w:val="auto"/>
          <w:spacing w:val="-1"/>
        </w:rPr>
        <w:t>3.供配电系统</w:t>
      </w:r>
    </w:p>
    <w:p>
      <w:pPr>
        <w:pStyle w:val="29"/>
        <w:ind w:firstLine="478"/>
        <w:rPr>
          <w:color w:val="auto"/>
          <w:spacing w:val="-1"/>
        </w:rPr>
      </w:pPr>
      <w:r>
        <w:rPr>
          <w:color w:val="auto"/>
          <w:spacing w:val="-1"/>
        </w:rPr>
        <w:t>（1）变配电所设置</w:t>
      </w:r>
    </w:p>
    <w:p>
      <w:pPr>
        <w:pStyle w:val="29"/>
        <w:ind w:firstLine="478"/>
        <w:rPr>
          <w:color w:val="auto"/>
          <w:spacing w:val="-1"/>
        </w:rPr>
      </w:pPr>
      <w:r>
        <w:rPr>
          <w:color w:val="auto"/>
          <w:spacing w:val="-1"/>
        </w:rPr>
        <w:t>根据厂区负荷分布情况，厂区变电所设置需伸入负荷集中区域。两路10KV电源外线接入10KV高压配电间。该10KV配电间土建规模应充分考虑污水处理厂远期扩建的需求，在满足本次工程设备安装的同时，预留足够的10KV馈线回路安装空间。</w:t>
      </w:r>
    </w:p>
    <w:p>
      <w:pPr>
        <w:pStyle w:val="29"/>
        <w:ind w:firstLine="478"/>
        <w:rPr>
          <w:color w:val="auto"/>
          <w:spacing w:val="-1"/>
        </w:rPr>
      </w:pPr>
      <w:r>
        <w:rPr>
          <w:color w:val="auto"/>
          <w:spacing w:val="-1"/>
        </w:rPr>
        <w:t>（2）新建变电所变压器选择</w:t>
      </w:r>
    </w:p>
    <w:p>
      <w:pPr>
        <w:pStyle w:val="29"/>
        <w:ind w:firstLine="478"/>
        <w:rPr>
          <w:color w:val="auto"/>
          <w:spacing w:val="-1"/>
        </w:rPr>
      </w:pPr>
      <w:r>
        <w:rPr>
          <w:color w:val="auto"/>
          <w:spacing w:val="-1"/>
        </w:rPr>
        <w:t>变电所装设</w:t>
      </w:r>
      <w:r>
        <w:rPr>
          <w:rFonts w:hint="eastAsia"/>
          <w:color w:val="auto"/>
          <w:spacing w:val="-1"/>
        </w:rPr>
        <w:t>4</w:t>
      </w:r>
      <w:r>
        <w:rPr>
          <w:color w:val="auto"/>
          <w:spacing w:val="-1"/>
        </w:rPr>
        <w:t>台变压器，</w:t>
      </w:r>
      <w:r>
        <w:rPr>
          <w:rFonts w:hint="eastAsia"/>
          <w:color w:val="auto"/>
          <w:spacing w:val="-1"/>
        </w:rPr>
        <w:t>4</w:t>
      </w:r>
      <w:r>
        <w:rPr>
          <w:color w:val="auto"/>
          <w:spacing w:val="-1"/>
        </w:rPr>
        <w:t>台变压器</w:t>
      </w:r>
      <w:r>
        <w:rPr>
          <w:rFonts w:hint="eastAsia"/>
          <w:color w:val="auto"/>
          <w:spacing w:val="-1"/>
        </w:rPr>
        <w:t>4</w:t>
      </w:r>
      <w:r>
        <w:rPr>
          <w:color w:val="auto"/>
          <w:spacing w:val="-1"/>
        </w:rPr>
        <w:t>常用，当其中任一台变压器断开时，其余变压器的容量应满足二级负荷的用电。</w:t>
      </w:r>
    </w:p>
    <w:p>
      <w:pPr>
        <w:pStyle w:val="29"/>
        <w:ind w:firstLine="478"/>
        <w:rPr>
          <w:color w:val="auto"/>
          <w:spacing w:val="-1"/>
        </w:rPr>
      </w:pPr>
      <w:r>
        <w:rPr>
          <w:color w:val="auto"/>
          <w:spacing w:val="-1"/>
        </w:rPr>
        <w:t>（3）主接线</w:t>
      </w:r>
    </w:p>
    <w:p>
      <w:pPr>
        <w:pStyle w:val="29"/>
        <w:ind w:firstLine="478"/>
        <w:rPr>
          <w:color w:val="auto"/>
          <w:spacing w:val="-1"/>
        </w:rPr>
      </w:pPr>
      <w:r>
        <w:rPr>
          <w:color w:val="auto"/>
          <w:spacing w:val="-1"/>
        </w:rPr>
        <w:t>10KV高压主接线采用双电源单母线分段并联络的主接线方式，两路10KV电源一用一备。</w:t>
      </w:r>
    </w:p>
    <w:p>
      <w:pPr>
        <w:pStyle w:val="29"/>
        <w:ind w:firstLine="478"/>
        <w:rPr>
          <w:color w:val="auto"/>
          <w:spacing w:val="-1"/>
        </w:rPr>
      </w:pPr>
      <w:r>
        <w:rPr>
          <w:color w:val="auto"/>
          <w:spacing w:val="-1"/>
        </w:rPr>
        <w:t>变电所0.4KV低压主接线采用双变压器单母线分段并联络的主接线方式。</w:t>
      </w:r>
    </w:p>
    <w:p>
      <w:pPr>
        <w:pStyle w:val="29"/>
        <w:ind w:firstLine="478"/>
        <w:rPr>
          <w:color w:val="auto"/>
          <w:spacing w:val="-1"/>
        </w:rPr>
      </w:pPr>
      <w:r>
        <w:rPr>
          <w:color w:val="auto"/>
          <w:spacing w:val="-1"/>
        </w:rPr>
        <w:t>4.保护方式及操作控制电源</w:t>
      </w:r>
    </w:p>
    <w:p>
      <w:pPr>
        <w:pStyle w:val="29"/>
        <w:ind w:firstLine="478"/>
        <w:rPr>
          <w:color w:val="auto"/>
          <w:spacing w:val="-1"/>
        </w:rPr>
      </w:pPr>
      <w:r>
        <w:rPr>
          <w:color w:val="auto"/>
          <w:spacing w:val="-1"/>
        </w:rPr>
        <w:t>继电保护装置采用带通讯口的综合微机继电保护装置。</w:t>
      </w:r>
    </w:p>
    <w:p>
      <w:pPr>
        <w:pStyle w:val="29"/>
        <w:ind w:firstLine="478"/>
        <w:rPr>
          <w:color w:val="auto"/>
          <w:spacing w:val="-1"/>
        </w:rPr>
      </w:pPr>
      <w:r>
        <w:rPr>
          <w:color w:val="auto"/>
          <w:spacing w:val="-1"/>
        </w:rPr>
        <w:t>10KV电力变压器设置电流速断保护、过电流保护、过负荷保护、低压侧单相接地保护以及温度保护。</w:t>
      </w:r>
    </w:p>
    <w:p>
      <w:pPr>
        <w:pStyle w:val="29"/>
        <w:ind w:firstLine="478"/>
        <w:rPr>
          <w:color w:val="auto"/>
          <w:spacing w:val="-1"/>
        </w:rPr>
      </w:pPr>
      <w:r>
        <w:rPr>
          <w:color w:val="auto"/>
          <w:spacing w:val="-1"/>
        </w:rPr>
        <w:t>0.4KV低压进线总开关设置反时限过负荷保护、短路速断保护。</w:t>
      </w:r>
    </w:p>
    <w:p>
      <w:pPr>
        <w:pStyle w:val="29"/>
        <w:ind w:firstLine="478"/>
        <w:rPr>
          <w:color w:val="auto"/>
          <w:spacing w:val="-1"/>
        </w:rPr>
      </w:pPr>
      <w:r>
        <w:rPr>
          <w:color w:val="auto"/>
          <w:spacing w:val="-1"/>
        </w:rPr>
        <w:t>低压用电设备及馈线电缆设置短路、过载保护以及接地故障保护。</w:t>
      </w:r>
    </w:p>
    <w:p>
      <w:pPr>
        <w:pStyle w:val="29"/>
        <w:ind w:firstLine="478"/>
        <w:rPr>
          <w:color w:val="auto"/>
          <w:spacing w:val="-1"/>
        </w:rPr>
      </w:pPr>
      <w:r>
        <w:rPr>
          <w:color w:val="auto"/>
          <w:spacing w:val="-1"/>
        </w:rPr>
        <w:t>变电所10KV高压开关柜的控制、操作电源采用直流</w:t>
      </w:r>
      <w:r>
        <w:rPr>
          <w:rFonts w:hint="eastAsia"/>
          <w:color w:val="auto"/>
          <w:spacing w:val="-1"/>
        </w:rPr>
        <w:t>22</w:t>
      </w:r>
      <w:r>
        <w:rPr>
          <w:color w:val="auto"/>
          <w:spacing w:val="-1"/>
        </w:rPr>
        <w:t>0V，真空断路器采用弹簧储能操作机构。变电所内设置DC</w:t>
      </w:r>
      <w:r>
        <w:rPr>
          <w:rFonts w:hint="eastAsia"/>
          <w:color w:val="auto"/>
          <w:spacing w:val="-1"/>
        </w:rPr>
        <w:t>220</w:t>
      </w:r>
      <w:r>
        <w:rPr>
          <w:color w:val="auto"/>
          <w:spacing w:val="-1"/>
        </w:rPr>
        <w:t>V硅整流直流屏一台，采用免维护蓄电池作为后备电源。低压设备控制、操作电源采用交流220V。</w:t>
      </w:r>
    </w:p>
    <w:p>
      <w:pPr>
        <w:pStyle w:val="29"/>
        <w:ind w:firstLine="478"/>
        <w:rPr>
          <w:color w:val="auto"/>
          <w:spacing w:val="-1"/>
        </w:rPr>
      </w:pPr>
      <w:r>
        <w:rPr>
          <w:color w:val="auto"/>
          <w:spacing w:val="-1"/>
        </w:rPr>
        <w:t>5.无功功率补偿</w:t>
      </w:r>
    </w:p>
    <w:p>
      <w:pPr>
        <w:pStyle w:val="29"/>
        <w:ind w:firstLine="478"/>
        <w:rPr>
          <w:color w:val="auto"/>
          <w:spacing w:val="-1"/>
        </w:rPr>
      </w:pPr>
      <w:r>
        <w:rPr>
          <w:color w:val="auto"/>
          <w:spacing w:val="-1"/>
        </w:rPr>
        <w:t>在各变电所低压侧应集中设置并联电力电容器组作为无功功率补偿装置。补偿后10KV高压电源进线处功率因数达到0.9以上。</w:t>
      </w:r>
    </w:p>
    <w:p>
      <w:pPr>
        <w:pStyle w:val="29"/>
        <w:ind w:firstLine="478"/>
        <w:rPr>
          <w:color w:val="auto"/>
          <w:spacing w:val="-1"/>
        </w:rPr>
      </w:pPr>
      <w:r>
        <w:rPr>
          <w:color w:val="auto"/>
          <w:spacing w:val="-1"/>
        </w:rPr>
        <w:t>6.控制方式</w:t>
      </w:r>
    </w:p>
    <w:p>
      <w:pPr>
        <w:pStyle w:val="29"/>
        <w:ind w:firstLine="478"/>
        <w:rPr>
          <w:color w:val="auto"/>
          <w:spacing w:val="-1"/>
        </w:rPr>
      </w:pPr>
      <w:r>
        <w:rPr>
          <w:color w:val="auto"/>
          <w:spacing w:val="-1"/>
        </w:rPr>
        <w:t>为便于设备控制及运行管理，污泥干化车间主要设备的控制柜应进行集中布置，设备现场按需设置就地按钮箱。</w:t>
      </w:r>
    </w:p>
    <w:p>
      <w:pPr>
        <w:pStyle w:val="29"/>
        <w:ind w:firstLine="478"/>
        <w:rPr>
          <w:color w:val="auto"/>
          <w:spacing w:val="-1"/>
        </w:rPr>
      </w:pPr>
      <w:r>
        <w:rPr>
          <w:color w:val="auto"/>
          <w:spacing w:val="-1"/>
        </w:rPr>
        <w:t>各设备控制箱（柜）内设短路、过载等保护，其工况和开停、故障信号采用常规数字量信号送厂区自控系统现场控制站，按需要配置自控、远控措施。控制柜柜面应为设备设置指示灯及电流表。柜内设短路、过载以及接地故障等保护装置。</w:t>
      </w:r>
    </w:p>
    <w:p>
      <w:pPr>
        <w:pStyle w:val="29"/>
        <w:ind w:firstLine="478"/>
        <w:rPr>
          <w:color w:val="auto"/>
          <w:spacing w:val="-1"/>
        </w:rPr>
      </w:pPr>
      <w:r>
        <w:rPr>
          <w:color w:val="auto"/>
          <w:spacing w:val="-1"/>
        </w:rPr>
        <w:t>7.起动方式</w:t>
      </w:r>
    </w:p>
    <w:p>
      <w:pPr>
        <w:pStyle w:val="29"/>
        <w:ind w:firstLine="478"/>
        <w:rPr>
          <w:color w:val="auto"/>
          <w:spacing w:val="-1"/>
        </w:rPr>
      </w:pPr>
      <w:r>
        <w:rPr>
          <w:color w:val="auto"/>
          <w:spacing w:val="-1"/>
        </w:rPr>
        <w:t>频繁起动的电机起动压降应不大于10%，不频繁起动的电机起动压降应不大于15%。当不满足起动压降要求时，采用启动器启动。</w:t>
      </w:r>
    </w:p>
    <w:p>
      <w:pPr>
        <w:pStyle w:val="29"/>
        <w:ind w:firstLine="478"/>
        <w:rPr>
          <w:color w:val="auto"/>
          <w:spacing w:val="-1"/>
        </w:rPr>
      </w:pPr>
      <w:r>
        <w:rPr>
          <w:color w:val="auto"/>
          <w:spacing w:val="-1"/>
        </w:rPr>
        <w:t>8.电力监控</w:t>
      </w:r>
    </w:p>
    <w:p>
      <w:pPr>
        <w:pStyle w:val="29"/>
        <w:ind w:firstLine="478"/>
        <w:rPr>
          <w:color w:val="auto"/>
          <w:spacing w:val="-1"/>
        </w:rPr>
      </w:pPr>
      <w:r>
        <w:rPr>
          <w:color w:val="auto"/>
          <w:spacing w:val="-1"/>
        </w:rPr>
        <w:t>变电所综合自动化系统由站控层、间隔层以及连接两层的通讯网络组成一套分散控制、集中管理的计算机自动化系统。整套变电所综合自动化系统负责完成对厂区供配电系统的测量、监视、控制、保护等功能。电力系统监控计算机作为厂区自控系统子站通过厂区自控工业以太网接入厂区自控系统。</w:t>
      </w:r>
    </w:p>
    <w:p>
      <w:pPr>
        <w:pStyle w:val="29"/>
        <w:ind w:firstLine="478"/>
        <w:rPr>
          <w:color w:val="auto"/>
          <w:spacing w:val="-1"/>
        </w:rPr>
      </w:pPr>
      <w:r>
        <w:rPr>
          <w:rFonts w:hint="eastAsia"/>
          <w:color w:val="auto"/>
          <w:spacing w:val="-1"/>
        </w:rPr>
        <w:t>9.</w:t>
      </w:r>
      <w:r>
        <w:rPr>
          <w:color w:val="auto"/>
          <w:spacing w:val="-1"/>
        </w:rPr>
        <w:t>照明</w:t>
      </w:r>
    </w:p>
    <w:p>
      <w:pPr>
        <w:pStyle w:val="29"/>
        <w:ind w:firstLine="478"/>
        <w:rPr>
          <w:color w:val="auto"/>
          <w:spacing w:val="-1"/>
        </w:rPr>
      </w:pPr>
      <w:r>
        <w:rPr>
          <w:color w:val="auto"/>
          <w:spacing w:val="-1"/>
        </w:rPr>
        <w:t>在照明设计体现“绿色照明”的理念。针对不同的环境及其对照度和显色性的要求，变电所、控制室等场所选用高效节能的T8或T5 LED 灯；室外照明光源采用新型节能LED光源。单灯补偿至功率因数0.9以上，以节约能耗。</w:t>
      </w:r>
    </w:p>
    <w:p>
      <w:pPr>
        <w:pStyle w:val="29"/>
        <w:ind w:firstLine="478"/>
        <w:rPr>
          <w:color w:val="auto"/>
          <w:spacing w:val="-1"/>
        </w:rPr>
      </w:pPr>
      <w:r>
        <w:rPr>
          <w:color w:val="auto"/>
          <w:spacing w:val="-1"/>
        </w:rPr>
        <w:t>配电间、控制室根据规范设置应急照明，备用时间不小于180分钟。</w:t>
      </w:r>
    </w:p>
    <w:p>
      <w:pPr>
        <w:pStyle w:val="29"/>
        <w:ind w:firstLine="478"/>
        <w:rPr>
          <w:color w:val="auto"/>
          <w:spacing w:val="-1"/>
        </w:rPr>
      </w:pPr>
      <w:r>
        <w:rPr>
          <w:color w:val="auto"/>
          <w:spacing w:val="-1"/>
        </w:rPr>
        <w:t>10．主要设备选型</w:t>
      </w:r>
    </w:p>
    <w:p>
      <w:pPr>
        <w:pStyle w:val="29"/>
        <w:ind w:firstLine="478"/>
        <w:rPr>
          <w:color w:val="auto"/>
          <w:spacing w:val="-1"/>
        </w:rPr>
      </w:pPr>
      <w:r>
        <w:rPr>
          <w:color w:val="auto"/>
          <w:spacing w:val="-1"/>
        </w:rPr>
        <w:t>变压器</w:t>
      </w:r>
      <w:r>
        <w:rPr>
          <w:rFonts w:hint="eastAsia"/>
          <w:color w:val="auto"/>
          <w:spacing w:val="-1"/>
        </w:rPr>
        <w:t>建议选用</w:t>
      </w:r>
      <w:r>
        <w:rPr>
          <w:color w:val="auto"/>
          <w:spacing w:val="-1"/>
        </w:rPr>
        <w:t>干式变压器。</w:t>
      </w:r>
    </w:p>
    <w:p>
      <w:pPr>
        <w:pStyle w:val="29"/>
        <w:ind w:firstLine="478"/>
        <w:rPr>
          <w:color w:val="auto"/>
          <w:spacing w:val="-1"/>
        </w:rPr>
      </w:pPr>
      <w:r>
        <w:rPr>
          <w:color w:val="auto"/>
          <w:spacing w:val="-1"/>
        </w:rPr>
        <w:t>高压环网柜选用空气绝缘环网柜</w:t>
      </w:r>
      <w:r>
        <w:rPr>
          <w:rFonts w:hint="eastAsia"/>
          <w:color w:val="auto"/>
          <w:spacing w:val="-1"/>
        </w:rPr>
        <w:t>或</w:t>
      </w:r>
      <w:r>
        <w:rPr>
          <w:color w:val="auto"/>
          <w:spacing w:val="-1"/>
        </w:rPr>
        <w:t>SF6环网柜</w:t>
      </w:r>
      <w:r>
        <w:rPr>
          <w:rFonts w:hint="eastAsia"/>
          <w:color w:val="auto"/>
          <w:spacing w:val="-1"/>
        </w:rPr>
        <w:t>。</w:t>
      </w:r>
    </w:p>
    <w:p>
      <w:pPr>
        <w:pStyle w:val="29"/>
        <w:ind w:firstLine="478"/>
        <w:rPr>
          <w:color w:val="auto"/>
          <w:spacing w:val="-1"/>
        </w:rPr>
      </w:pPr>
      <w:r>
        <w:rPr>
          <w:color w:val="auto"/>
          <w:spacing w:val="-1"/>
        </w:rPr>
        <w:t>高压开关柜采用中置式金属铠装高压开关柜</w:t>
      </w:r>
      <w:r>
        <w:rPr>
          <w:rFonts w:hint="eastAsia"/>
          <w:color w:val="auto"/>
          <w:spacing w:val="-1"/>
        </w:rPr>
        <w:t>。</w:t>
      </w:r>
    </w:p>
    <w:p>
      <w:pPr>
        <w:pStyle w:val="29"/>
        <w:ind w:firstLine="478"/>
        <w:rPr>
          <w:color w:val="auto"/>
          <w:spacing w:val="-1"/>
        </w:rPr>
      </w:pPr>
      <w:r>
        <w:rPr>
          <w:color w:val="auto"/>
          <w:spacing w:val="-1"/>
        </w:rPr>
        <w:t>高压开关采用真空断路器。</w:t>
      </w:r>
    </w:p>
    <w:p>
      <w:pPr>
        <w:pStyle w:val="29"/>
        <w:ind w:firstLine="478"/>
        <w:rPr>
          <w:color w:val="auto"/>
          <w:spacing w:val="-1"/>
        </w:rPr>
      </w:pPr>
      <w:r>
        <w:rPr>
          <w:color w:val="auto"/>
          <w:spacing w:val="-1"/>
        </w:rPr>
        <w:t>低压配电柜采用固定分隔式或抽屉式低压开关柜。</w:t>
      </w:r>
    </w:p>
    <w:p>
      <w:pPr>
        <w:pStyle w:val="29"/>
        <w:ind w:firstLine="478"/>
        <w:rPr>
          <w:color w:val="auto"/>
          <w:spacing w:val="-1"/>
        </w:rPr>
      </w:pPr>
      <w:r>
        <w:rPr>
          <w:color w:val="auto"/>
          <w:spacing w:val="-1"/>
        </w:rPr>
        <w:t>高压继电保护装置采用微机型综合保护装置。</w:t>
      </w:r>
    </w:p>
    <w:p>
      <w:pPr>
        <w:pStyle w:val="29"/>
        <w:ind w:firstLine="478"/>
        <w:rPr>
          <w:color w:val="auto"/>
          <w:spacing w:val="-1"/>
        </w:rPr>
      </w:pPr>
      <w:r>
        <w:rPr>
          <w:color w:val="auto"/>
          <w:spacing w:val="-1"/>
        </w:rPr>
        <w:t>主要电气元器件</w:t>
      </w:r>
      <w:r>
        <w:rPr>
          <w:rFonts w:hint="eastAsia"/>
          <w:color w:val="auto"/>
          <w:spacing w:val="-1"/>
        </w:rPr>
        <w:t>建议选用</w:t>
      </w:r>
      <w:r>
        <w:rPr>
          <w:color w:val="auto"/>
          <w:spacing w:val="-1"/>
        </w:rPr>
        <w:t>欧美知名品牌产品。</w:t>
      </w:r>
    </w:p>
    <w:p>
      <w:pPr>
        <w:pStyle w:val="29"/>
        <w:ind w:firstLine="478"/>
        <w:rPr>
          <w:color w:val="auto"/>
          <w:spacing w:val="-1"/>
        </w:rPr>
      </w:pPr>
      <w:r>
        <w:rPr>
          <w:color w:val="auto"/>
          <w:spacing w:val="-1"/>
        </w:rPr>
        <w:t>在户内以及电缆构筑物中敷设的电缆应采用铜芯交联聚乙烯绝缘聚氯乙烯护套电力电缆，户外直接埋地敷设的电缆应采用钢丝铠装铜芯交联聚乙烯绝缘聚氯乙烯护套电力电缆。</w:t>
      </w:r>
    </w:p>
    <w:p>
      <w:pPr>
        <w:pStyle w:val="29"/>
        <w:ind w:firstLine="478"/>
        <w:rPr>
          <w:color w:val="auto"/>
          <w:spacing w:val="-1"/>
        </w:rPr>
      </w:pPr>
      <w:r>
        <w:rPr>
          <w:color w:val="auto"/>
          <w:spacing w:val="-1"/>
        </w:rPr>
        <w:t>11．接地、防雷及电力设备过电压保护</w:t>
      </w:r>
    </w:p>
    <w:p>
      <w:pPr>
        <w:pStyle w:val="29"/>
        <w:ind w:firstLine="478"/>
        <w:rPr>
          <w:color w:val="auto"/>
          <w:spacing w:val="-1"/>
        </w:rPr>
      </w:pPr>
      <w:r>
        <w:rPr>
          <w:color w:val="auto"/>
          <w:spacing w:val="-1"/>
        </w:rPr>
        <w:t>低压接地型式采用TN-C-S制。</w:t>
      </w:r>
    </w:p>
    <w:p>
      <w:pPr>
        <w:pStyle w:val="29"/>
        <w:ind w:firstLine="478"/>
        <w:rPr>
          <w:color w:val="auto"/>
          <w:spacing w:val="-1"/>
        </w:rPr>
      </w:pPr>
      <w:r>
        <w:rPr>
          <w:color w:val="auto"/>
          <w:spacing w:val="-1"/>
        </w:rPr>
        <w:t>各建构筑物利用结构自然接地体作为接地装置，防雷接地、电气仪表工作接地以及保护接地合用接地装置，接地电阻不大于1欧姆。电气装置的外露可导电部分与保护导体相联结，各建构筑物内均实施等电位联结。</w:t>
      </w:r>
    </w:p>
    <w:p>
      <w:pPr>
        <w:pStyle w:val="29"/>
        <w:ind w:firstLine="478"/>
        <w:rPr>
          <w:color w:val="auto"/>
          <w:spacing w:val="-1"/>
        </w:rPr>
      </w:pPr>
      <w:r>
        <w:rPr>
          <w:color w:val="auto"/>
          <w:spacing w:val="-1"/>
        </w:rPr>
        <w:t>各建筑物中预计雷击次数大于或等于0.05次/a的按第三类防雷建筑物设计防雷措施，小于0.05次/a不考虑防雷措施。</w:t>
      </w:r>
    </w:p>
    <w:p>
      <w:pPr>
        <w:pStyle w:val="29"/>
        <w:ind w:firstLine="478"/>
        <w:rPr>
          <w:color w:val="auto"/>
          <w:spacing w:val="-1"/>
        </w:rPr>
      </w:pPr>
      <w:r>
        <w:rPr>
          <w:color w:val="auto"/>
          <w:spacing w:val="-1"/>
        </w:rPr>
        <w:t>10KV高压侧装设避雷器作雷电侵入波过电压保护，低压配电柜（箱）进线处设置SPD浪涌保护装置。进出防雷保护区的金属线路加装防雷保护器。</w:t>
      </w:r>
    </w:p>
    <w:p>
      <w:pPr>
        <w:pStyle w:val="30"/>
        <w:spacing w:before="120" w:after="120"/>
        <w:rPr>
          <w:b w:val="0"/>
          <w:bCs/>
          <w:color w:val="auto"/>
        </w:rPr>
      </w:pPr>
      <w:bookmarkStart w:id="42" w:name="_Toc117181348"/>
      <w:r>
        <w:rPr>
          <w:color w:val="auto"/>
        </w:rPr>
        <w:t>泵站</w:t>
      </w:r>
      <w:bookmarkEnd w:id="42"/>
    </w:p>
    <w:p>
      <w:pPr>
        <w:pStyle w:val="29"/>
        <w:ind w:firstLine="478"/>
        <w:rPr>
          <w:color w:val="auto"/>
          <w:spacing w:val="-1"/>
        </w:rPr>
      </w:pPr>
      <w:r>
        <w:rPr>
          <w:color w:val="auto"/>
          <w:spacing w:val="-1"/>
        </w:rPr>
        <w:t>1.电气分界面</w:t>
      </w:r>
    </w:p>
    <w:p>
      <w:pPr>
        <w:pStyle w:val="29"/>
        <w:ind w:firstLine="478"/>
        <w:rPr>
          <w:color w:val="auto"/>
          <w:spacing w:val="-1"/>
        </w:rPr>
      </w:pPr>
      <w:r>
        <w:rPr>
          <w:color w:val="auto"/>
          <w:spacing w:val="-1"/>
        </w:rPr>
        <w:t>以本工程各路电源进户电缆终端头为分界面，分界面以下用户侧部分所有电气系统的设计、采购、安装、调试均在本次招标范围内。10KV电源外线系统设备申请、设计、采购、施工及调试不在本次招标范围内。</w:t>
      </w:r>
    </w:p>
    <w:p>
      <w:pPr>
        <w:pStyle w:val="29"/>
        <w:ind w:firstLine="478"/>
        <w:rPr>
          <w:color w:val="auto"/>
          <w:spacing w:val="-1"/>
        </w:rPr>
      </w:pPr>
      <w:r>
        <w:rPr>
          <w:color w:val="auto"/>
          <w:spacing w:val="-1"/>
        </w:rPr>
        <w:t>2.负荷等级与供电电源</w:t>
      </w:r>
    </w:p>
    <w:p>
      <w:pPr>
        <w:pStyle w:val="29"/>
        <w:ind w:firstLine="478"/>
        <w:rPr>
          <w:color w:val="auto"/>
          <w:spacing w:val="-1"/>
        </w:rPr>
      </w:pPr>
      <w:r>
        <w:rPr>
          <w:color w:val="auto"/>
          <w:spacing w:val="-1"/>
        </w:rPr>
        <w:t>本工程用电负荷中二级负荷占绝大部分，因此整体负荷等级应为二级负荷。按照二级负荷供电要求，拟向当地供电部门新申请两路10KV电源，两路电源一用一备。每路电源均能够满足泵站全部用电负荷要求。</w:t>
      </w:r>
    </w:p>
    <w:p>
      <w:pPr>
        <w:pStyle w:val="29"/>
        <w:ind w:firstLine="478"/>
        <w:rPr>
          <w:color w:val="auto"/>
          <w:spacing w:val="-1"/>
        </w:rPr>
      </w:pPr>
      <w:r>
        <w:rPr>
          <w:color w:val="auto"/>
          <w:spacing w:val="-1"/>
        </w:rPr>
        <w:t>3.供配电系统</w:t>
      </w:r>
    </w:p>
    <w:p>
      <w:pPr>
        <w:pStyle w:val="29"/>
        <w:ind w:firstLine="478"/>
        <w:rPr>
          <w:color w:val="auto"/>
          <w:spacing w:val="-1"/>
        </w:rPr>
      </w:pPr>
      <w:r>
        <w:rPr>
          <w:color w:val="auto"/>
          <w:spacing w:val="-1"/>
        </w:rPr>
        <w:t>（1）变配电所设置</w:t>
      </w:r>
    </w:p>
    <w:p>
      <w:pPr>
        <w:pStyle w:val="29"/>
        <w:ind w:firstLine="478"/>
        <w:rPr>
          <w:color w:val="auto"/>
          <w:spacing w:val="-1"/>
        </w:rPr>
      </w:pPr>
      <w:r>
        <w:rPr>
          <w:color w:val="auto"/>
          <w:spacing w:val="-1"/>
        </w:rPr>
        <w:t>本工程共设置变电所1座，两路10KV电源外线接入至此。该变电所土建规模应充分考虑泵站远期扩建的需求。</w:t>
      </w:r>
    </w:p>
    <w:p>
      <w:pPr>
        <w:pStyle w:val="29"/>
        <w:ind w:firstLine="478"/>
        <w:rPr>
          <w:color w:val="auto"/>
          <w:spacing w:val="-1"/>
        </w:rPr>
      </w:pPr>
      <w:r>
        <w:rPr>
          <w:color w:val="auto"/>
          <w:spacing w:val="-1"/>
        </w:rPr>
        <w:t>（2）新建变电所变压器选择</w:t>
      </w:r>
    </w:p>
    <w:p>
      <w:pPr>
        <w:pStyle w:val="29"/>
        <w:ind w:firstLine="478"/>
        <w:rPr>
          <w:color w:val="auto"/>
          <w:spacing w:val="-1"/>
        </w:rPr>
      </w:pPr>
      <w:r>
        <w:rPr>
          <w:color w:val="auto"/>
          <w:spacing w:val="-1"/>
        </w:rPr>
        <w:t>变电所内装设两台变压器，</w:t>
      </w:r>
      <w:r>
        <w:rPr>
          <w:rFonts w:hint="eastAsia"/>
          <w:color w:val="auto"/>
          <w:spacing w:val="-1"/>
        </w:rPr>
        <w:t>工作方式一用一备，</w:t>
      </w:r>
      <w:r>
        <w:rPr>
          <w:color w:val="auto"/>
          <w:spacing w:val="-1"/>
        </w:rPr>
        <w:t>当其中任一台变压器断开时，其余变压器的容量应满足二级负荷的用电。</w:t>
      </w:r>
    </w:p>
    <w:p>
      <w:pPr>
        <w:pStyle w:val="29"/>
        <w:ind w:firstLine="478"/>
        <w:rPr>
          <w:color w:val="auto"/>
          <w:spacing w:val="-1"/>
        </w:rPr>
      </w:pPr>
      <w:r>
        <w:rPr>
          <w:color w:val="auto"/>
          <w:spacing w:val="-1"/>
        </w:rPr>
        <w:t>（3）主接线</w:t>
      </w:r>
    </w:p>
    <w:p>
      <w:pPr>
        <w:pStyle w:val="29"/>
        <w:ind w:firstLine="478"/>
        <w:rPr>
          <w:color w:val="auto"/>
          <w:spacing w:val="-1"/>
        </w:rPr>
      </w:pPr>
      <w:r>
        <w:rPr>
          <w:color w:val="auto"/>
          <w:spacing w:val="-1"/>
        </w:rPr>
        <w:t>10KV高压主接线采用线路-变压器组接线，每路10KV线路挂接1台变压器。</w:t>
      </w:r>
    </w:p>
    <w:p>
      <w:pPr>
        <w:pStyle w:val="29"/>
        <w:ind w:firstLine="478"/>
        <w:rPr>
          <w:color w:val="auto"/>
          <w:spacing w:val="-1"/>
        </w:rPr>
      </w:pPr>
      <w:r>
        <w:rPr>
          <w:color w:val="auto"/>
          <w:spacing w:val="-1"/>
        </w:rPr>
        <w:t>变电所0.4KV低压主接线采用双变压器单母线分段并联络的主接线方式，进线断路器与母联断路器配置三锁二钥匙机械与电气联锁。</w:t>
      </w:r>
    </w:p>
    <w:p>
      <w:pPr>
        <w:pStyle w:val="29"/>
        <w:ind w:firstLine="478"/>
        <w:rPr>
          <w:color w:val="auto"/>
          <w:spacing w:val="-1"/>
        </w:rPr>
      </w:pPr>
      <w:r>
        <w:rPr>
          <w:color w:val="auto"/>
          <w:spacing w:val="-1"/>
        </w:rPr>
        <w:t>4.保护方式及操作控制电源</w:t>
      </w:r>
    </w:p>
    <w:p>
      <w:pPr>
        <w:pStyle w:val="29"/>
        <w:ind w:firstLine="478"/>
        <w:rPr>
          <w:color w:val="auto"/>
          <w:spacing w:val="-1"/>
        </w:rPr>
      </w:pPr>
      <w:r>
        <w:rPr>
          <w:color w:val="auto"/>
          <w:spacing w:val="-1"/>
        </w:rPr>
        <w:t>低压设备控制、操作电源采用交流220V。</w:t>
      </w:r>
    </w:p>
    <w:p>
      <w:pPr>
        <w:pStyle w:val="29"/>
        <w:ind w:firstLine="478"/>
        <w:rPr>
          <w:color w:val="auto"/>
          <w:spacing w:val="-1"/>
        </w:rPr>
      </w:pPr>
      <w:r>
        <w:rPr>
          <w:color w:val="auto"/>
          <w:spacing w:val="-1"/>
        </w:rPr>
        <w:t>变压器采用高压熔断器进行保护。</w:t>
      </w:r>
    </w:p>
    <w:p>
      <w:pPr>
        <w:pStyle w:val="29"/>
        <w:ind w:firstLine="478"/>
        <w:rPr>
          <w:color w:val="auto"/>
          <w:spacing w:val="-1"/>
        </w:rPr>
      </w:pPr>
      <w:r>
        <w:rPr>
          <w:color w:val="auto"/>
          <w:spacing w:val="-1"/>
        </w:rPr>
        <w:t>0.4KV低压进线总开关设置反时限过负荷保护、短路速断保护。</w:t>
      </w:r>
    </w:p>
    <w:p>
      <w:pPr>
        <w:pStyle w:val="29"/>
        <w:ind w:firstLine="478"/>
        <w:rPr>
          <w:color w:val="auto"/>
          <w:spacing w:val="-1"/>
        </w:rPr>
      </w:pPr>
      <w:r>
        <w:rPr>
          <w:color w:val="auto"/>
          <w:spacing w:val="-1"/>
        </w:rPr>
        <w:t>低压用电设备及馈线电缆设置短路、过载保护以及接地故障保护。</w:t>
      </w:r>
    </w:p>
    <w:p>
      <w:pPr>
        <w:pStyle w:val="29"/>
        <w:ind w:firstLine="478"/>
        <w:rPr>
          <w:color w:val="auto"/>
          <w:spacing w:val="-1"/>
        </w:rPr>
      </w:pPr>
      <w:r>
        <w:rPr>
          <w:color w:val="auto"/>
          <w:spacing w:val="-1"/>
        </w:rPr>
        <w:t>5.无功功率补偿</w:t>
      </w:r>
    </w:p>
    <w:p>
      <w:pPr>
        <w:pStyle w:val="29"/>
        <w:ind w:firstLine="478"/>
        <w:rPr>
          <w:color w:val="auto"/>
          <w:spacing w:val="-1"/>
        </w:rPr>
      </w:pPr>
      <w:r>
        <w:rPr>
          <w:color w:val="auto"/>
          <w:spacing w:val="-1"/>
        </w:rPr>
        <w:t>在变电所低压侧应集中设置并联电力电容器组作为无功功率补偿装置。电力电容器组应串联7%调谐电抗器。补偿后10KV高压电源进线处功率因数达到0.9以上。</w:t>
      </w:r>
    </w:p>
    <w:p>
      <w:pPr>
        <w:pStyle w:val="29"/>
        <w:ind w:firstLine="478"/>
        <w:rPr>
          <w:color w:val="auto"/>
          <w:spacing w:val="-1"/>
        </w:rPr>
      </w:pPr>
      <w:r>
        <w:rPr>
          <w:color w:val="auto"/>
          <w:spacing w:val="-1"/>
        </w:rPr>
        <w:t>6.控制方式</w:t>
      </w:r>
    </w:p>
    <w:p>
      <w:pPr>
        <w:pStyle w:val="29"/>
        <w:ind w:firstLine="478"/>
        <w:rPr>
          <w:color w:val="auto"/>
          <w:spacing w:val="-1"/>
        </w:rPr>
      </w:pPr>
      <w:r>
        <w:rPr>
          <w:color w:val="auto"/>
          <w:spacing w:val="-1"/>
        </w:rPr>
        <w:t>各设备控制箱（柜）内设短路、过载等保护，其工况和开停、故障信号采用常规数字量信号送厂区自控系统现场控制站，按需要配置自控、远控措施。控制柜柜面应为设备设置指示灯及电流表。柜内设短路、过载以及接地故障等保护装置。</w:t>
      </w:r>
    </w:p>
    <w:p>
      <w:pPr>
        <w:pStyle w:val="29"/>
        <w:ind w:firstLine="478"/>
        <w:rPr>
          <w:color w:val="auto"/>
          <w:spacing w:val="-1"/>
        </w:rPr>
      </w:pPr>
      <w:r>
        <w:rPr>
          <w:color w:val="auto"/>
          <w:spacing w:val="-1"/>
        </w:rPr>
        <w:t>7.起动方式</w:t>
      </w:r>
    </w:p>
    <w:p>
      <w:pPr>
        <w:pStyle w:val="29"/>
        <w:ind w:firstLine="478"/>
        <w:rPr>
          <w:color w:val="auto"/>
          <w:spacing w:val="-1"/>
        </w:rPr>
      </w:pPr>
      <w:r>
        <w:rPr>
          <w:color w:val="auto"/>
          <w:spacing w:val="-1"/>
        </w:rPr>
        <w:t>频繁起动的电机起动压降应不大于10%，不频繁起动的电机起动压降应不大于15%。当不满足起动压降要求时，采用启动器启动。</w:t>
      </w:r>
    </w:p>
    <w:p>
      <w:pPr>
        <w:pStyle w:val="29"/>
        <w:ind w:firstLine="478"/>
        <w:rPr>
          <w:color w:val="auto"/>
          <w:spacing w:val="-1"/>
        </w:rPr>
      </w:pPr>
      <w:r>
        <w:rPr>
          <w:color w:val="auto"/>
          <w:spacing w:val="-1"/>
        </w:rPr>
        <w:t>8．照明</w:t>
      </w:r>
    </w:p>
    <w:p>
      <w:pPr>
        <w:pStyle w:val="29"/>
        <w:ind w:firstLine="478"/>
        <w:rPr>
          <w:color w:val="auto"/>
          <w:spacing w:val="-1"/>
        </w:rPr>
      </w:pPr>
      <w:r>
        <w:rPr>
          <w:color w:val="auto"/>
          <w:spacing w:val="-1"/>
        </w:rPr>
        <w:t>在照明设计体现“绿色照明”的理念。针对不同的环境及其对照度和显色性的要求，变电所、控制室等场所选用高效节能的T8或T5荧光灯、节能灯；高大厂房采用显色性好、光效高、寿命长的金卤灯；室外照明光源采用新型节能LED光源。荧光灯配置电子整流器，金卤灯配置节能型电感整流器，单灯补偿至功率因数0.9以上，以节约能耗。</w:t>
      </w:r>
    </w:p>
    <w:p>
      <w:pPr>
        <w:pStyle w:val="29"/>
        <w:ind w:firstLine="478"/>
        <w:rPr>
          <w:color w:val="auto"/>
          <w:spacing w:val="-1"/>
        </w:rPr>
      </w:pPr>
      <w:r>
        <w:rPr>
          <w:color w:val="auto"/>
          <w:spacing w:val="-1"/>
        </w:rPr>
        <w:t>配电间、控制室根据规范设置应急照明，备用时间不小于180分钟。</w:t>
      </w:r>
    </w:p>
    <w:p>
      <w:pPr>
        <w:pStyle w:val="29"/>
        <w:ind w:firstLine="478"/>
        <w:rPr>
          <w:color w:val="auto"/>
          <w:spacing w:val="-1"/>
        </w:rPr>
      </w:pPr>
      <w:r>
        <w:rPr>
          <w:color w:val="auto"/>
          <w:spacing w:val="-1"/>
        </w:rPr>
        <w:t>9.主要设备选型</w:t>
      </w:r>
    </w:p>
    <w:p>
      <w:pPr>
        <w:pStyle w:val="29"/>
        <w:ind w:firstLine="478"/>
        <w:rPr>
          <w:color w:val="auto"/>
          <w:spacing w:val="-1"/>
        </w:rPr>
      </w:pPr>
      <w:r>
        <w:rPr>
          <w:color w:val="auto"/>
          <w:spacing w:val="-1"/>
        </w:rPr>
        <w:t>变压器</w:t>
      </w:r>
      <w:r>
        <w:rPr>
          <w:rFonts w:hint="eastAsia"/>
          <w:color w:val="auto"/>
          <w:spacing w:val="-1"/>
        </w:rPr>
        <w:t>建议选用</w:t>
      </w:r>
      <w:r>
        <w:rPr>
          <w:color w:val="auto"/>
          <w:spacing w:val="-1"/>
        </w:rPr>
        <w:t>干式变压器。</w:t>
      </w:r>
    </w:p>
    <w:p>
      <w:pPr>
        <w:pStyle w:val="29"/>
        <w:ind w:firstLine="478"/>
        <w:rPr>
          <w:color w:val="auto"/>
          <w:spacing w:val="-1"/>
        </w:rPr>
      </w:pPr>
      <w:r>
        <w:rPr>
          <w:color w:val="auto"/>
          <w:spacing w:val="-1"/>
        </w:rPr>
        <w:t>高压环网柜选用采用SF6环网柜</w:t>
      </w:r>
      <w:r>
        <w:rPr>
          <w:rFonts w:hint="eastAsia"/>
          <w:color w:val="auto"/>
          <w:spacing w:val="-1"/>
        </w:rPr>
        <w:t>。</w:t>
      </w:r>
    </w:p>
    <w:p>
      <w:pPr>
        <w:pStyle w:val="29"/>
        <w:ind w:firstLine="478"/>
        <w:rPr>
          <w:color w:val="auto"/>
          <w:spacing w:val="-1"/>
        </w:rPr>
      </w:pPr>
      <w:r>
        <w:rPr>
          <w:color w:val="auto"/>
          <w:spacing w:val="-1"/>
        </w:rPr>
        <w:t>低压配电柜采用固定分隔式或抽屉式低压开关柜。</w:t>
      </w:r>
    </w:p>
    <w:p>
      <w:pPr>
        <w:pStyle w:val="29"/>
        <w:ind w:firstLine="478"/>
        <w:rPr>
          <w:color w:val="auto"/>
          <w:spacing w:val="-1"/>
        </w:rPr>
      </w:pPr>
      <w:r>
        <w:rPr>
          <w:color w:val="auto"/>
          <w:spacing w:val="-1"/>
        </w:rPr>
        <w:t>主要电气元器件</w:t>
      </w:r>
      <w:r>
        <w:rPr>
          <w:rFonts w:hint="eastAsia"/>
          <w:color w:val="auto"/>
          <w:spacing w:val="-1"/>
        </w:rPr>
        <w:t>建议选用</w:t>
      </w:r>
      <w:r>
        <w:rPr>
          <w:color w:val="auto"/>
          <w:spacing w:val="-1"/>
        </w:rPr>
        <w:t>欧美知名品牌产品。</w:t>
      </w:r>
    </w:p>
    <w:p>
      <w:pPr>
        <w:pStyle w:val="29"/>
        <w:ind w:firstLine="478"/>
        <w:rPr>
          <w:color w:val="auto"/>
          <w:spacing w:val="-1"/>
        </w:rPr>
      </w:pPr>
      <w:r>
        <w:rPr>
          <w:color w:val="auto"/>
          <w:spacing w:val="-1"/>
        </w:rPr>
        <w:t>在户内以及电缆构筑物中敷设的电缆应采用铜芯交联聚乙烯绝缘聚氯乙烯护套电力电缆，户外直接埋地敷设的电缆应采用钢丝铠装铜芯交联聚乙烯绝缘聚氯乙烯护套电力电缆。</w:t>
      </w:r>
    </w:p>
    <w:p>
      <w:pPr>
        <w:pStyle w:val="29"/>
        <w:ind w:firstLine="478"/>
        <w:rPr>
          <w:color w:val="auto"/>
          <w:spacing w:val="-1"/>
        </w:rPr>
      </w:pPr>
      <w:r>
        <w:rPr>
          <w:color w:val="auto"/>
          <w:spacing w:val="-1"/>
        </w:rPr>
        <w:t>10.接地、防雷及电力设备过电压保护</w:t>
      </w:r>
    </w:p>
    <w:p>
      <w:pPr>
        <w:pStyle w:val="29"/>
        <w:ind w:firstLine="478"/>
        <w:rPr>
          <w:color w:val="auto"/>
          <w:spacing w:val="-1"/>
        </w:rPr>
      </w:pPr>
      <w:r>
        <w:rPr>
          <w:color w:val="auto"/>
          <w:spacing w:val="-1"/>
        </w:rPr>
        <w:t>低压接地型式采用TN-S制。</w:t>
      </w:r>
    </w:p>
    <w:p>
      <w:pPr>
        <w:pStyle w:val="29"/>
        <w:ind w:firstLine="478"/>
        <w:rPr>
          <w:color w:val="auto"/>
          <w:spacing w:val="-1"/>
        </w:rPr>
      </w:pPr>
      <w:r>
        <w:rPr>
          <w:color w:val="auto"/>
          <w:spacing w:val="-1"/>
        </w:rPr>
        <w:t>各建构筑物利用结构自然接地体作为接地装置，防雷接地、电气仪表工作接地以及保护接地合用接地装置，接地电阻不大于1欧姆。电气装置的外露可导电部分与保护导体相联结，各建构筑物内均实施等电位联结。</w:t>
      </w:r>
    </w:p>
    <w:p>
      <w:pPr>
        <w:pStyle w:val="29"/>
        <w:ind w:firstLine="478"/>
        <w:rPr>
          <w:color w:val="auto"/>
          <w:spacing w:val="-1"/>
        </w:rPr>
      </w:pPr>
      <w:r>
        <w:rPr>
          <w:color w:val="auto"/>
          <w:spacing w:val="-1"/>
        </w:rPr>
        <w:t>泵站各建筑物中预计雷击次数大于或等于0.05次/a的按第三类防雷建筑物设计防雷措施，小于0.05次/a不考虑防雷措施。</w:t>
      </w:r>
    </w:p>
    <w:p>
      <w:pPr>
        <w:pStyle w:val="29"/>
        <w:ind w:firstLine="478"/>
        <w:rPr>
          <w:color w:val="auto"/>
          <w:spacing w:val="-1"/>
        </w:rPr>
      </w:pPr>
      <w:r>
        <w:rPr>
          <w:color w:val="auto"/>
          <w:spacing w:val="-1"/>
        </w:rPr>
        <w:t>10KV高压侧装设避雷器作雷电侵入波过电压保护，低压配电柜（箱）进线处设置SPD浪涌保护装置。进出防雷保护区的金属线路加装防雷保护器。</w:t>
      </w:r>
    </w:p>
    <w:p>
      <w:pPr>
        <w:pStyle w:val="28"/>
        <w:spacing w:before="120" w:after="120"/>
        <w:rPr>
          <w:b/>
          <w:color w:val="auto"/>
        </w:rPr>
      </w:pPr>
      <w:bookmarkStart w:id="43" w:name="_Toc117181349"/>
      <w:r>
        <w:rPr>
          <w:b/>
          <w:color w:val="auto"/>
        </w:rPr>
        <w:t>仪表及自控设备通用性要求</w:t>
      </w:r>
      <w:bookmarkEnd w:id="43"/>
    </w:p>
    <w:p>
      <w:pPr>
        <w:pStyle w:val="30"/>
        <w:spacing w:before="120" w:after="120"/>
        <w:rPr>
          <w:color w:val="auto"/>
        </w:rPr>
      </w:pPr>
      <w:bookmarkStart w:id="44" w:name="_Toc117181350"/>
      <w:r>
        <w:rPr>
          <w:color w:val="auto"/>
        </w:rPr>
        <w:t>一般技术要求</w:t>
      </w:r>
      <w:bookmarkEnd w:id="44"/>
    </w:p>
    <w:p>
      <w:pPr>
        <w:pStyle w:val="29"/>
        <w:ind w:firstLine="472"/>
        <w:rPr>
          <w:color w:val="auto"/>
        </w:rPr>
      </w:pPr>
      <w:r>
        <w:rPr>
          <w:color w:val="auto"/>
        </w:rPr>
        <w:t>所有仪表和控制设备应为目前正在生产产品。自控系统主要设备和仪表应具有在相同的领域中使用过，可提供过稳定运行的经验。</w:t>
      </w:r>
    </w:p>
    <w:p>
      <w:pPr>
        <w:pStyle w:val="29"/>
        <w:ind w:firstLine="472"/>
        <w:rPr>
          <w:color w:val="auto"/>
        </w:rPr>
      </w:pPr>
      <w:r>
        <w:rPr>
          <w:rFonts w:hint="eastAsia"/>
          <w:color w:val="auto"/>
        </w:rPr>
        <w:t>承包人选择的自动化系统供应商，应具信息系统建设和服务能力以及再生水厂服务业绩，其项目负责人应持有机电工程专业注册建造师证书、PMP证书、信息系统集成及服务等资格证或认证。对于供应商的选择，承包人需根据合同相关条款约定向发包人提出申请，经监理工程师和发包人复核后方可实施。</w:t>
      </w:r>
    </w:p>
    <w:p>
      <w:pPr>
        <w:pStyle w:val="29"/>
        <w:ind w:firstLine="472"/>
        <w:rPr>
          <w:color w:val="auto"/>
        </w:rPr>
      </w:pPr>
      <w:r>
        <w:rPr>
          <w:rFonts w:hint="eastAsia"/>
          <w:color w:val="auto"/>
        </w:rPr>
        <w:t>承包人中标后，在自动化系统设备采购方案中，应提供动化仪表系统供应商以下资质证明材料：</w:t>
      </w:r>
    </w:p>
    <w:p>
      <w:pPr>
        <w:pStyle w:val="29"/>
        <w:ind w:firstLine="472"/>
        <w:rPr>
          <w:color w:val="auto"/>
        </w:rPr>
      </w:pPr>
      <w:r>
        <w:rPr>
          <w:rFonts w:hint="eastAsia"/>
          <w:color w:val="auto"/>
        </w:rPr>
        <w:t>1）承接本工程所需的电子与智能化工程专业承包一级资质。</w:t>
      </w:r>
    </w:p>
    <w:p>
      <w:pPr>
        <w:pStyle w:val="29"/>
        <w:ind w:firstLine="472"/>
        <w:rPr>
          <w:color w:val="auto"/>
        </w:rPr>
      </w:pPr>
      <w:r>
        <w:rPr>
          <w:rFonts w:hint="eastAsia"/>
          <w:color w:val="auto"/>
        </w:rPr>
        <w:t>2）信息系统建设和服务能力等级证书及有效的安全生产许可证；</w:t>
      </w:r>
    </w:p>
    <w:p>
      <w:pPr>
        <w:pStyle w:val="29"/>
        <w:ind w:firstLine="472"/>
        <w:rPr>
          <w:color w:val="auto"/>
        </w:rPr>
      </w:pPr>
      <w:r>
        <w:rPr>
          <w:rFonts w:hint="eastAsia"/>
          <w:color w:val="auto"/>
        </w:rPr>
        <w:t>3）项目经理的机电工程专业注册建造师证书、PMP证书、信息系统集成及服务项目经理证，以及有效的安全员（B）证；</w:t>
      </w:r>
    </w:p>
    <w:p>
      <w:pPr>
        <w:pStyle w:val="29"/>
        <w:ind w:firstLine="472"/>
        <w:rPr>
          <w:color w:val="auto"/>
        </w:rPr>
      </w:pPr>
      <w:r>
        <w:rPr>
          <w:rFonts w:hint="eastAsia"/>
          <w:color w:val="auto"/>
        </w:rPr>
        <w:t>4）2015年以后的10万/吨及以上的再生水厂全厂自控系统工程投运业绩不少于2个（须提供中标通知书、合同协议书和竣工验收证明复印件，原件备查）；</w:t>
      </w:r>
    </w:p>
    <w:p>
      <w:pPr>
        <w:pStyle w:val="29"/>
        <w:ind w:firstLine="472"/>
        <w:rPr>
          <w:color w:val="auto"/>
        </w:rPr>
      </w:pPr>
      <w:r>
        <w:rPr>
          <w:rFonts w:hint="eastAsia"/>
          <w:color w:val="auto"/>
        </w:rPr>
        <w:t>5）自动化仪表系统供应商针对本项目的授权书及售后服务承诺书；</w:t>
      </w:r>
    </w:p>
    <w:p>
      <w:pPr>
        <w:pStyle w:val="29"/>
        <w:ind w:firstLine="472"/>
        <w:rPr>
          <w:color w:val="auto"/>
        </w:rPr>
      </w:pPr>
      <w:r>
        <w:rPr>
          <w:rFonts w:hint="eastAsia"/>
          <w:color w:val="auto"/>
        </w:rPr>
        <w:t>自动化仪表系统集成商参照采用：（广州市机电安装、广东普利达建设、广州华计、广州源缘科技、广州东芝白云）。</w:t>
      </w:r>
    </w:p>
    <w:p>
      <w:pPr>
        <w:pStyle w:val="30"/>
        <w:spacing w:before="120" w:after="120"/>
        <w:rPr>
          <w:b w:val="0"/>
          <w:bCs/>
          <w:color w:val="auto"/>
        </w:rPr>
      </w:pPr>
      <w:bookmarkStart w:id="45" w:name="_Toc117181351"/>
      <w:r>
        <w:rPr>
          <w:color w:val="auto"/>
        </w:rPr>
        <w:t>工作环境</w:t>
      </w:r>
      <w:bookmarkEnd w:id="45"/>
    </w:p>
    <w:p>
      <w:pPr>
        <w:pStyle w:val="29"/>
        <w:ind w:firstLine="472"/>
        <w:rPr>
          <w:color w:val="auto"/>
        </w:rPr>
      </w:pPr>
      <w:r>
        <w:rPr>
          <w:color w:val="auto"/>
        </w:rPr>
        <w:t>设备的工作（操作）温度及湿度应遵照如下：</w:t>
      </w:r>
    </w:p>
    <w:p>
      <w:pPr>
        <w:pStyle w:val="29"/>
        <w:ind w:firstLine="472"/>
        <w:rPr>
          <w:color w:val="auto"/>
        </w:rPr>
      </w:pPr>
      <w:r>
        <w:rPr>
          <w:color w:val="auto"/>
        </w:rPr>
        <w:t>1、室外安装设备（不包括浸没式仪表传感器）：-10~45℃</w:t>
      </w:r>
    </w:p>
    <w:p>
      <w:pPr>
        <w:pStyle w:val="29"/>
        <w:ind w:firstLine="472"/>
        <w:rPr>
          <w:color w:val="auto"/>
        </w:rPr>
      </w:pPr>
      <w:r>
        <w:rPr>
          <w:color w:val="auto"/>
        </w:rPr>
        <w:t>2、室外浸没式仪表传感器：0~30℃</w:t>
      </w:r>
    </w:p>
    <w:p>
      <w:pPr>
        <w:pStyle w:val="29"/>
        <w:ind w:firstLine="472"/>
        <w:rPr>
          <w:color w:val="auto"/>
        </w:rPr>
      </w:pPr>
      <w:r>
        <w:rPr>
          <w:color w:val="auto"/>
        </w:rPr>
        <w:t>3、室内安装设备：0~40℃</w:t>
      </w:r>
    </w:p>
    <w:p>
      <w:pPr>
        <w:pStyle w:val="29"/>
        <w:ind w:firstLine="472"/>
        <w:rPr>
          <w:color w:val="auto"/>
        </w:rPr>
      </w:pPr>
      <w:r>
        <w:rPr>
          <w:color w:val="auto"/>
        </w:rPr>
        <w:t>4、相对湿度不大于95%</w:t>
      </w:r>
    </w:p>
    <w:p>
      <w:pPr>
        <w:pStyle w:val="29"/>
        <w:ind w:firstLine="472"/>
        <w:rPr>
          <w:color w:val="auto"/>
        </w:rPr>
      </w:pPr>
      <w:r>
        <w:rPr>
          <w:rFonts w:hint="eastAsia"/>
          <w:color w:val="auto"/>
        </w:rPr>
        <w:t>5</w:t>
      </w:r>
      <w:r>
        <w:rPr>
          <w:color w:val="auto"/>
        </w:rPr>
        <w:t>、</w:t>
      </w:r>
      <w:r>
        <w:rPr>
          <w:rFonts w:hint="eastAsia"/>
          <w:color w:val="auto"/>
        </w:rPr>
        <w:t>电磁干扰和电磁相容性：</w:t>
      </w:r>
    </w:p>
    <w:p>
      <w:pPr>
        <w:pStyle w:val="29"/>
        <w:ind w:firstLine="472"/>
        <w:rPr>
          <w:color w:val="auto"/>
        </w:rPr>
      </w:pPr>
      <w:r>
        <w:rPr>
          <w:rFonts w:hint="eastAsia"/>
          <w:color w:val="auto"/>
        </w:rPr>
        <w:t>1）电磁干扰极限：距离设备1m处不超过1V/m（30～50MHz电磁波）；</w:t>
      </w:r>
    </w:p>
    <w:p>
      <w:pPr>
        <w:pStyle w:val="29"/>
        <w:ind w:firstLine="472"/>
        <w:rPr>
          <w:color w:val="auto"/>
        </w:rPr>
      </w:pPr>
      <w:r>
        <w:rPr>
          <w:rFonts w:hint="eastAsia"/>
          <w:color w:val="auto"/>
        </w:rPr>
        <w:t>2）电磁相容性：各微机系统设备在相距汇流主母线10m处的辐射场环境中应能正常工作。</w:t>
      </w:r>
    </w:p>
    <w:p>
      <w:pPr>
        <w:pStyle w:val="29"/>
        <w:ind w:firstLine="472"/>
        <w:rPr>
          <w:color w:val="auto"/>
        </w:rPr>
      </w:pPr>
      <w:r>
        <w:rPr>
          <w:rFonts w:hint="eastAsia"/>
          <w:color w:val="auto"/>
        </w:rPr>
        <w:t>6、噪声：噪声控制在不造成人员伤害、疲劳或干扰通话的程度内，各系统的设备所引起的噪声应小于60分贝。</w:t>
      </w:r>
    </w:p>
    <w:p>
      <w:pPr>
        <w:pStyle w:val="30"/>
        <w:spacing w:before="120" w:after="120"/>
        <w:rPr>
          <w:b w:val="0"/>
          <w:bCs/>
          <w:color w:val="auto"/>
        </w:rPr>
      </w:pPr>
      <w:bookmarkStart w:id="46" w:name="_Toc117181352"/>
      <w:r>
        <w:rPr>
          <w:color w:val="auto"/>
        </w:rPr>
        <w:t>设备外壳</w:t>
      </w:r>
      <w:bookmarkEnd w:id="46"/>
    </w:p>
    <w:p>
      <w:pPr>
        <w:pStyle w:val="29"/>
        <w:ind w:firstLine="472"/>
        <w:rPr>
          <w:color w:val="auto"/>
        </w:rPr>
      </w:pPr>
      <w:r>
        <w:rPr>
          <w:color w:val="auto"/>
        </w:rPr>
        <w:t>设备外壳的保护等级应遵照如下：</w:t>
      </w:r>
    </w:p>
    <w:p>
      <w:pPr>
        <w:pStyle w:val="29"/>
        <w:ind w:firstLine="472"/>
        <w:rPr>
          <w:color w:val="auto"/>
        </w:rPr>
      </w:pPr>
      <w:r>
        <w:rPr>
          <w:color w:val="auto"/>
        </w:rPr>
        <w:t>1、在室内的设备：IP4X以上；</w:t>
      </w:r>
    </w:p>
    <w:p>
      <w:pPr>
        <w:pStyle w:val="29"/>
        <w:ind w:firstLine="472"/>
        <w:rPr>
          <w:color w:val="auto"/>
        </w:rPr>
      </w:pPr>
      <w:r>
        <w:rPr>
          <w:color w:val="auto"/>
        </w:rPr>
        <w:t>2、在户外的设备：IP65以上；</w:t>
      </w:r>
    </w:p>
    <w:p>
      <w:pPr>
        <w:pStyle w:val="29"/>
        <w:ind w:firstLine="472"/>
        <w:rPr>
          <w:color w:val="auto"/>
        </w:rPr>
      </w:pPr>
      <w:r>
        <w:rPr>
          <w:color w:val="auto"/>
        </w:rPr>
        <w:t>3、安装在在水中、地下以及有可能被水浸没场合的的设备：IP68。</w:t>
      </w:r>
    </w:p>
    <w:p>
      <w:pPr>
        <w:pStyle w:val="30"/>
        <w:spacing w:before="120" w:after="120"/>
        <w:rPr>
          <w:b w:val="0"/>
          <w:bCs/>
          <w:color w:val="auto"/>
        </w:rPr>
      </w:pPr>
      <w:bookmarkStart w:id="47" w:name="_Toc117181353"/>
      <w:r>
        <w:rPr>
          <w:color w:val="auto"/>
        </w:rPr>
        <w:t>电源</w:t>
      </w:r>
      <w:bookmarkEnd w:id="47"/>
    </w:p>
    <w:p>
      <w:pPr>
        <w:pStyle w:val="29"/>
        <w:ind w:firstLine="472"/>
        <w:rPr>
          <w:color w:val="auto"/>
        </w:rPr>
      </w:pPr>
      <w:r>
        <w:rPr>
          <w:rFonts w:hint="eastAsia"/>
          <w:color w:val="auto"/>
        </w:rPr>
        <w:t>U</w:t>
      </w:r>
      <w:r>
        <w:rPr>
          <w:color w:val="auto"/>
        </w:rPr>
        <w:t>PS</w:t>
      </w:r>
      <w:r>
        <w:rPr>
          <w:rFonts w:hint="eastAsia"/>
          <w:color w:val="auto"/>
        </w:rPr>
        <w:t>电源柜</w:t>
      </w:r>
      <w:r>
        <w:rPr>
          <w:color w:val="auto"/>
        </w:rPr>
        <w:t>由就近</w:t>
      </w:r>
      <w:r>
        <w:rPr>
          <w:rFonts w:hint="eastAsia"/>
          <w:color w:val="auto"/>
        </w:rPr>
        <w:t>低压配电柜</w:t>
      </w:r>
      <w:r>
        <w:rPr>
          <w:color w:val="auto"/>
        </w:rPr>
        <w:t>提供220V/380VAC电源，进线处应有抑制和泄放暂态浪涌电压的过电压保护装置。所有现场检测仪表电源均由就近的</w:t>
      </w:r>
      <w:r>
        <w:rPr>
          <w:rFonts w:hint="eastAsia"/>
          <w:color w:val="auto"/>
        </w:rPr>
        <w:t>UPS电源</w:t>
      </w:r>
      <w:r>
        <w:rPr>
          <w:color w:val="auto"/>
        </w:rPr>
        <w:t>柜集中供电，供电电源为220VAC或24VDC。</w:t>
      </w:r>
    </w:p>
    <w:p>
      <w:pPr>
        <w:pStyle w:val="29"/>
        <w:ind w:firstLine="472"/>
        <w:rPr>
          <w:color w:val="auto"/>
        </w:rPr>
      </w:pPr>
      <w:r>
        <w:rPr>
          <w:rFonts w:hint="eastAsia"/>
          <w:color w:val="auto"/>
        </w:rPr>
        <w:t>（1）交流电源</w:t>
      </w:r>
    </w:p>
    <w:p>
      <w:pPr>
        <w:pStyle w:val="29"/>
        <w:ind w:firstLine="472"/>
        <w:rPr>
          <w:color w:val="auto"/>
        </w:rPr>
      </w:pPr>
      <w:r>
        <w:rPr>
          <w:rFonts w:hint="eastAsia"/>
          <w:color w:val="auto"/>
        </w:rPr>
        <w:t>额定电压：单相220V+15%/-10%</w:t>
      </w:r>
    </w:p>
    <w:p>
      <w:pPr>
        <w:pStyle w:val="29"/>
        <w:ind w:firstLine="472"/>
        <w:rPr>
          <w:color w:val="auto"/>
        </w:rPr>
      </w:pPr>
      <w:r>
        <w:rPr>
          <w:rFonts w:hint="eastAsia"/>
          <w:color w:val="auto"/>
        </w:rPr>
        <w:t>频率：50Hz</w:t>
      </w:r>
    </w:p>
    <w:p>
      <w:pPr>
        <w:pStyle w:val="29"/>
        <w:ind w:firstLine="472"/>
        <w:rPr>
          <w:color w:val="auto"/>
        </w:rPr>
      </w:pPr>
      <w:r>
        <w:rPr>
          <w:rFonts w:hint="eastAsia"/>
          <w:color w:val="auto"/>
        </w:rPr>
        <w:t>（2）直流电源</w:t>
      </w:r>
    </w:p>
    <w:p>
      <w:pPr>
        <w:pStyle w:val="29"/>
        <w:ind w:firstLine="472"/>
        <w:rPr>
          <w:color w:val="auto"/>
        </w:rPr>
      </w:pPr>
      <w:r>
        <w:rPr>
          <w:rFonts w:hint="eastAsia"/>
          <w:color w:val="auto"/>
        </w:rPr>
        <w:t>额定电压：24VDC+1%/-1%</w:t>
      </w:r>
    </w:p>
    <w:p>
      <w:pPr>
        <w:pStyle w:val="30"/>
        <w:spacing w:before="120" w:after="120"/>
        <w:rPr>
          <w:b w:val="0"/>
          <w:bCs/>
          <w:color w:val="auto"/>
        </w:rPr>
      </w:pPr>
      <w:bookmarkStart w:id="48" w:name="_Toc117181354"/>
      <w:r>
        <w:rPr>
          <w:color w:val="auto"/>
        </w:rPr>
        <w:t>信号类型</w:t>
      </w:r>
      <w:bookmarkEnd w:id="48"/>
    </w:p>
    <w:p>
      <w:pPr>
        <w:pStyle w:val="29"/>
        <w:ind w:firstLine="472"/>
        <w:rPr>
          <w:color w:val="auto"/>
        </w:rPr>
      </w:pPr>
      <w:r>
        <w:rPr>
          <w:color w:val="auto"/>
        </w:rPr>
        <w:t>自控系统输入输出模拟信号：4-20mADC电流信号。</w:t>
      </w:r>
    </w:p>
    <w:p>
      <w:pPr>
        <w:pStyle w:val="29"/>
        <w:ind w:firstLine="472"/>
        <w:rPr>
          <w:color w:val="auto"/>
        </w:rPr>
      </w:pPr>
      <w:r>
        <w:rPr>
          <w:color w:val="auto"/>
        </w:rPr>
        <w:t>自控系统数字量输入信号接口：无源继电器触点，触头容量24VDC，2A；220VAC</w:t>
      </w:r>
      <w:r>
        <w:rPr>
          <w:rFonts w:hint="eastAsia"/>
          <w:color w:val="auto"/>
        </w:rPr>
        <w:t>，</w:t>
      </w:r>
      <w:r>
        <w:rPr>
          <w:color w:val="auto"/>
        </w:rPr>
        <w:t>2A。</w:t>
      </w:r>
    </w:p>
    <w:p>
      <w:pPr>
        <w:pStyle w:val="29"/>
        <w:ind w:firstLine="472"/>
        <w:rPr>
          <w:color w:val="auto"/>
        </w:rPr>
      </w:pPr>
      <w:r>
        <w:rPr>
          <w:color w:val="auto"/>
        </w:rPr>
        <w:t>自控系统数字量输出信号：继电器隔离，无源继电器触点，触头容量24VDC，5A；220VAC，5A</w:t>
      </w:r>
      <w:r>
        <w:rPr>
          <w:rFonts w:hint="eastAsia"/>
          <w:color w:val="auto"/>
        </w:rPr>
        <w:t>。</w:t>
      </w:r>
    </w:p>
    <w:p>
      <w:pPr>
        <w:pStyle w:val="29"/>
        <w:ind w:firstLine="472"/>
        <w:rPr>
          <w:color w:val="auto"/>
        </w:rPr>
      </w:pPr>
      <w:r>
        <w:rPr>
          <w:color w:val="auto"/>
        </w:rPr>
        <w:t>所有进PLC的信号均为无源触点，所有进被控设备的信号均加继电器隔离。数字量输入信号一般采用高电平有效（即“1”有效，“0”为正常状态），表示设备故障状态的数字量输入采用低电平有效（即“0”有效，“1”为正常状态）。</w:t>
      </w:r>
    </w:p>
    <w:p>
      <w:pPr>
        <w:pStyle w:val="30"/>
        <w:spacing w:before="120" w:after="120"/>
        <w:rPr>
          <w:b w:val="0"/>
          <w:bCs/>
          <w:color w:val="auto"/>
        </w:rPr>
      </w:pPr>
      <w:bookmarkStart w:id="49" w:name="_Toc117181355"/>
      <w:r>
        <w:rPr>
          <w:color w:val="auto"/>
        </w:rPr>
        <w:t>系统接地</w:t>
      </w:r>
      <w:bookmarkEnd w:id="49"/>
    </w:p>
    <w:p>
      <w:pPr>
        <w:pStyle w:val="29"/>
        <w:ind w:firstLine="472"/>
        <w:rPr>
          <w:color w:val="auto"/>
        </w:rPr>
      </w:pPr>
      <w:r>
        <w:rPr>
          <w:color w:val="auto"/>
        </w:rPr>
        <w:t>本工程采用联合接地装置，共用接地体的（接地极）的实施由土建负责，土建与机电设备分界面在接地预埋板或总等电位联结箱接线端。界面以上仪表以及自控系统的接地均属机电设备范围，主要要求包括以下但不限于以下内容：</w:t>
      </w:r>
    </w:p>
    <w:p>
      <w:pPr>
        <w:pStyle w:val="29"/>
        <w:ind w:firstLine="472"/>
        <w:rPr>
          <w:color w:val="auto"/>
        </w:rPr>
      </w:pPr>
      <w:r>
        <w:rPr>
          <w:color w:val="auto"/>
        </w:rPr>
        <w:t>220V供电的用电仪表的金属外壳及自控设备正常不带电的金属部分，均应作保护接地。</w:t>
      </w:r>
    </w:p>
    <w:p>
      <w:pPr>
        <w:pStyle w:val="29"/>
        <w:ind w:firstLine="472"/>
        <w:rPr>
          <w:color w:val="auto"/>
        </w:rPr>
      </w:pPr>
      <w:r>
        <w:rPr>
          <w:color w:val="auto"/>
        </w:rPr>
        <w:t>仪表及自控系统中各设备的信号回路接地应符合设备安装说明书的要求。仪表及自控系统中用以降低电磁干扰的部件如电缆的屏蔽层、设备上的屏蔽接地</w:t>
      </w:r>
    </w:p>
    <w:p>
      <w:pPr>
        <w:pStyle w:val="29"/>
        <w:ind w:firstLine="472"/>
        <w:rPr>
          <w:color w:val="auto"/>
        </w:rPr>
      </w:pPr>
      <w:r>
        <w:rPr>
          <w:color w:val="auto"/>
        </w:rPr>
        <w:t>端子等，均应作屏蔽接地。现场接线箱两侧的电缆屏蔽层应在箱内跨接。</w:t>
      </w:r>
    </w:p>
    <w:p>
      <w:pPr>
        <w:pStyle w:val="29"/>
        <w:ind w:firstLine="472"/>
        <w:rPr>
          <w:color w:val="auto"/>
        </w:rPr>
      </w:pPr>
      <w:r>
        <w:rPr>
          <w:color w:val="auto"/>
        </w:rPr>
        <w:t>现场仪表的工作接地（即屏蔽接地和信号回路接地）应仅在控制室（现场控制站）侧接地。</w:t>
      </w:r>
    </w:p>
    <w:p>
      <w:pPr>
        <w:pStyle w:val="29"/>
        <w:ind w:firstLine="472"/>
        <w:rPr>
          <w:color w:val="auto"/>
        </w:rPr>
      </w:pPr>
      <w:r>
        <w:rPr>
          <w:color w:val="auto"/>
        </w:rPr>
        <w:t>对于被要求在现场接地的现场仪表（如电磁流量计、PH计，根据仪表说明书要求）应仅在现场接地。对于在两侧均需接地的仪表应将两个接地点做电气隔离。</w:t>
      </w:r>
    </w:p>
    <w:p>
      <w:pPr>
        <w:pStyle w:val="30"/>
        <w:spacing w:before="120" w:after="120"/>
        <w:rPr>
          <w:b w:val="0"/>
          <w:bCs/>
          <w:color w:val="auto"/>
        </w:rPr>
      </w:pPr>
      <w:bookmarkStart w:id="50" w:name="_Toc117181356"/>
      <w:r>
        <w:rPr>
          <w:color w:val="auto"/>
        </w:rPr>
        <w:t>安装及调试技术要求</w:t>
      </w:r>
      <w:bookmarkEnd w:id="50"/>
    </w:p>
    <w:p>
      <w:pPr>
        <w:pStyle w:val="31"/>
        <w:rPr>
          <w:color w:val="auto"/>
        </w:rPr>
      </w:pPr>
      <w:r>
        <w:rPr>
          <w:color w:val="auto"/>
        </w:rPr>
        <w:t>一般技术规定</w:t>
      </w:r>
    </w:p>
    <w:p>
      <w:pPr>
        <w:pStyle w:val="29"/>
        <w:ind w:firstLine="472"/>
        <w:rPr>
          <w:color w:val="auto"/>
        </w:rPr>
      </w:pPr>
      <w:r>
        <w:rPr>
          <w:color w:val="auto"/>
        </w:rPr>
        <w:t>（1）检测仪表及自动仪表系统的安装应按设计图和产品说明书进行。</w:t>
      </w:r>
    </w:p>
    <w:p>
      <w:pPr>
        <w:pStyle w:val="29"/>
        <w:ind w:firstLine="472"/>
        <w:rPr>
          <w:color w:val="auto"/>
        </w:rPr>
      </w:pPr>
      <w:r>
        <w:rPr>
          <w:color w:val="auto"/>
        </w:rPr>
        <w:t>（2）检测仪表及自动控制系统在安装前应进行检查：仪表及自控设备的型号、规格应符合设计要求，附件、备件齐全完好，产品技术文件齐全，外表无锈蚀，漆皮无脱落，器件无损伤，连接牢固可靠。</w:t>
      </w:r>
    </w:p>
    <w:p>
      <w:pPr>
        <w:pStyle w:val="29"/>
        <w:ind w:firstLine="472"/>
        <w:rPr>
          <w:color w:val="auto"/>
        </w:rPr>
      </w:pPr>
      <w:r>
        <w:rPr>
          <w:color w:val="auto"/>
        </w:rPr>
        <w:t>（3）施工中的安全技术措施符合现行有关部门安全技术标准和产品技术文件规定，对重要安装工艺要事先制定安全技术措施。</w:t>
      </w:r>
    </w:p>
    <w:p>
      <w:pPr>
        <w:pStyle w:val="29"/>
        <w:ind w:firstLine="472"/>
        <w:rPr>
          <w:color w:val="auto"/>
        </w:rPr>
      </w:pPr>
      <w:r>
        <w:rPr>
          <w:color w:val="auto"/>
        </w:rPr>
        <w:t>（4）与检测仪表及自动控制系统安装有关部门的构筑物、建筑物的建筑工程质量应符合建筑工程验收规范的规定。</w:t>
      </w:r>
    </w:p>
    <w:p>
      <w:pPr>
        <w:pStyle w:val="29"/>
        <w:ind w:firstLine="472"/>
        <w:rPr>
          <w:color w:val="auto"/>
        </w:rPr>
      </w:pPr>
      <w:r>
        <w:rPr>
          <w:color w:val="auto"/>
        </w:rPr>
        <w:t>（5）检测仪表及自动控制系统安装所用的紧固件，除地脚螺栓外，均应采用镀锌制品，户外使用紧固件应使用热镀锌制品。</w:t>
      </w:r>
    </w:p>
    <w:p>
      <w:pPr>
        <w:pStyle w:val="31"/>
        <w:rPr>
          <w:color w:val="auto"/>
        </w:rPr>
      </w:pPr>
      <w:r>
        <w:rPr>
          <w:color w:val="auto"/>
        </w:rPr>
        <w:t>预埋件、预埋管及预留孔</w:t>
      </w:r>
    </w:p>
    <w:p>
      <w:pPr>
        <w:pStyle w:val="29"/>
        <w:ind w:firstLine="472"/>
        <w:rPr>
          <w:color w:val="auto"/>
        </w:rPr>
      </w:pPr>
      <w:r>
        <w:rPr>
          <w:color w:val="auto"/>
        </w:rPr>
        <w:t>投标人应根据土建和设备安装工程的进度及时完成本招标范围内的设备安装的预埋和预留工作。</w:t>
      </w:r>
    </w:p>
    <w:p>
      <w:pPr>
        <w:pStyle w:val="31"/>
        <w:rPr>
          <w:b w:val="0"/>
          <w:bCs/>
          <w:color w:val="auto"/>
        </w:rPr>
      </w:pPr>
      <w:r>
        <w:rPr>
          <w:color w:val="auto"/>
        </w:rPr>
        <w:t>材料设备</w:t>
      </w:r>
    </w:p>
    <w:p>
      <w:pPr>
        <w:pStyle w:val="29"/>
        <w:ind w:firstLine="472"/>
        <w:rPr>
          <w:color w:val="auto"/>
        </w:rPr>
      </w:pPr>
      <w:r>
        <w:rPr>
          <w:color w:val="auto"/>
        </w:rPr>
        <w:t>检测仪表及自动控制系统安装所用的材料设备应符合国家标准要求，应有合格证件，设备应有铭牌。</w:t>
      </w:r>
    </w:p>
    <w:p>
      <w:pPr>
        <w:pStyle w:val="31"/>
        <w:rPr>
          <w:b w:val="0"/>
          <w:bCs/>
          <w:color w:val="auto"/>
        </w:rPr>
      </w:pPr>
      <w:r>
        <w:rPr>
          <w:color w:val="auto"/>
        </w:rPr>
        <w:t>施工要求</w:t>
      </w:r>
    </w:p>
    <w:p>
      <w:pPr>
        <w:pStyle w:val="29"/>
        <w:ind w:firstLine="472"/>
        <w:rPr>
          <w:color w:val="auto"/>
        </w:rPr>
      </w:pPr>
      <w:r>
        <w:rPr>
          <w:color w:val="auto"/>
        </w:rPr>
        <w:t>（1）检测仪表及自动控制系统安装，投标人应与项目经理协调做好与其他专业施工的配合工作，避免相互冲突、干扰、延误工期。</w:t>
      </w:r>
    </w:p>
    <w:p>
      <w:pPr>
        <w:pStyle w:val="29"/>
        <w:ind w:firstLine="472"/>
        <w:rPr>
          <w:color w:val="auto"/>
        </w:rPr>
      </w:pPr>
      <w:r>
        <w:rPr>
          <w:color w:val="auto"/>
        </w:rPr>
        <w:t>（2）投标人应根据合同条件的规定，防止仪表设备损伤或损坏，提供保护措施，按生产厂商的要求进行贮存。在施工中对仪表设备提供防物理损伤和防污染保护。做</w:t>
      </w:r>
    </w:p>
    <w:p>
      <w:pPr>
        <w:pStyle w:val="29"/>
        <w:ind w:firstLine="472"/>
        <w:rPr>
          <w:color w:val="auto"/>
        </w:rPr>
      </w:pPr>
      <w:r>
        <w:rPr>
          <w:color w:val="auto"/>
        </w:rPr>
        <w:t>到文明施工，安装完毕后，应及时清理现场，并对仪表设备表面的划痕进行修补，保持原状。</w:t>
      </w:r>
    </w:p>
    <w:p>
      <w:pPr>
        <w:pStyle w:val="29"/>
        <w:ind w:firstLine="472"/>
        <w:rPr>
          <w:color w:val="auto"/>
        </w:rPr>
      </w:pPr>
      <w:r>
        <w:rPr>
          <w:color w:val="auto"/>
        </w:rPr>
        <w:t>（3）施工中，检测仪表及自动控制设备安装尺寸与土建尺寸或预埋预留发生冲突时，投标人应书面通知项目经理，服从项目经理的调整、修改。未经项目经理同意，不得在构筑物、建筑物表面开凿或钻孔。</w:t>
      </w:r>
    </w:p>
    <w:p>
      <w:pPr>
        <w:pStyle w:val="29"/>
        <w:ind w:firstLine="472"/>
        <w:rPr>
          <w:color w:val="auto"/>
        </w:rPr>
      </w:pPr>
      <w:r>
        <w:rPr>
          <w:color w:val="auto"/>
        </w:rPr>
        <w:t>（4）投标人在检测仪表及自动控制设备安装施工中，使用的计量器具、仪器仪表等，应符合计量法规的规定，其精度不低于被测对象的精度等级。</w:t>
      </w:r>
    </w:p>
    <w:p>
      <w:pPr>
        <w:pStyle w:val="31"/>
        <w:rPr>
          <w:color w:val="auto"/>
        </w:rPr>
      </w:pPr>
      <w:r>
        <w:rPr>
          <w:color w:val="auto"/>
        </w:rPr>
        <w:t>检测仪表设备安装</w:t>
      </w:r>
    </w:p>
    <w:p>
      <w:pPr>
        <w:pStyle w:val="29"/>
        <w:ind w:firstLine="472"/>
        <w:rPr>
          <w:color w:val="auto"/>
        </w:rPr>
      </w:pPr>
      <w:r>
        <w:rPr>
          <w:color w:val="auto"/>
        </w:rPr>
        <w:t>（1）检测仪表设备的安装支架应牢固可靠，不得有变形或损坏。</w:t>
      </w:r>
    </w:p>
    <w:p>
      <w:pPr>
        <w:pStyle w:val="29"/>
        <w:ind w:firstLine="472"/>
        <w:rPr>
          <w:color w:val="auto"/>
        </w:rPr>
      </w:pPr>
      <w:r>
        <w:rPr>
          <w:color w:val="auto"/>
        </w:rPr>
        <w:t>（2）不得使用变形或破漏的管子连接检测仪表设备。检测仪表设备管线应与建筑结构平行或垂直，所有竖管应垂直地面。对铝、不锈钢或塑料制品的连接螺纹处，应使用化学润滑剂或麻丝，以防螺纹磨损或损坏。</w:t>
      </w:r>
    </w:p>
    <w:p>
      <w:pPr>
        <w:pStyle w:val="29"/>
        <w:ind w:firstLine="472"/>
        <w:rPr>
          <w:color w:val="auto"/>
        </w:rPr>
      </w:pPr>
      <w:r>
        <w:rPr>
          <w:color w:val="auto"/>
        </w:rPr>
        <w:t>（3）倾斜型检测仪表设备的安装应符合产品生产厂商的安装要求。在配电柜、盘、电气起动器或机械装置的净空点1.0米范围内，不得有充满液体的管线穿越。确属需要，应设置在PVC管槽内或将电气装置罩住隔离，以防液体流入电气设备。</w:t>
      </w:r>
    </w:p>
    <w:p>
      <w:pPr>
        <w:pStyle w:val="29"/>
        <w:ind w:firstLine="472"/>
        <w:rPr>
          <w:color w:val="auto"/>
        </w:rPr>
      </w:pPr>
      <w:r>
        <w:rPr>
          <w:color w:val="auto"/>
        </w:rPr>
        <w:t>（4）检测仪表设备管道敷设至控制器，盘的下方应有干净的通道，以便维修。安装在管路上的元件，要单独设支架，不得借用管子进行支撑。</w:t>
      </w:r>
    </w:p>
    <w:p>
      <w:pPr>
        <w:pStyle w:val="29"/>
        <w:ind w:firstLine="472"/>
        <w:rPr>
          <w:color w:val="auto"/>
        </w:rPr>
      </w:pPr>
      <w:r>
        <w:rPr>
          <w:color w:val="auto"/>
        </w:rPr>
        <w:t>（5）检测仪表设备及管道应远离供热管道，与其他管道的间距应符合规范要求。</w:t>
      </w:r>
    </w:p>
    <w:p>
      <w:pPr>
        <w:pStyle w:val="29"/>
        <w:ind w:firstLine="472"/>
        <w:rPr>
          <w:color w:val="auto"/>
        </w:rPr>
      </w:pPr>
      <w:r>
        <w:rPr>
          <w:color w:val="auto"/>
        </w:rPr>
        <w:t>（6）投标人应提供膨胀环进行检测仪表设备的连接，在管道、阀门检测仪表设备、管件的连接处应使用连接器确保位置固定。</w:t>
      </w:r>
    </w:p>
    <w:p>
      <w:pPr>
        <w:pStyle w:val="29"/>
        <w:ind w:firstLine="472"/>
        <w:rPr>
          <w:color w:val="auto"/>
        </w:rPr>
      </w:pPr>
      <w:r>
        <w:rPr>
          <w:color w:val="auto"/>
        </w:rPr>
        <w:t>（7）避免在施工现场进行检测仪表设备管道的弯管或调整，不得使用加热方式进行管道的弯管或调整。</w:t>
      </w:r>
    </w:p>
    <w:p>
      <w:pPr>
        <w:pStyle w:val="29"/>
        <w:ind w:firstLine="472"/>
        <w:rPr>
          <w:color w:val="auto"/>
        </w:rPr>
      </w:pPr>
      <w:r>
        <w:rPr>
          <w:color w:val="auto"/>
        </w:rPr>
        <w:t>（8）户外安装的检测仪表设备应具有防尘、防雨雪保护措施，防护等级不低于IP55。</w:t>
      </w:r>
    </w:p>
    <w:p>
      <w:pPr>
        <w:pStyle w:val="29"/>
        <w:ind w:firstLine="472"/>
        <w:rPr>
          <w:color w:val="auto"/>
        </w:rPr>
      </w:pPr>
      <w:r>
        <w:rPr>
          <w:color w:val="auto"/>
        </w:rPr>
        <w:t>（9）检测仪表设备的信号输出线应采用截面不小于1.0平方毫米的铜芯控制电缆。</w:t>
      </w:r>
    </w:p>
    <w:p>
      <w:pPr>
        <w:pStyle w:val="29"/>
        <w:ind w:firstLine="472"/>
        <w:rPr>
          <w:color w:val="auto"/>
        </w:rPr>
      </w:pPr>
      <w:r>
        <w:rPr>
          <w:color w:val="auto"/>
        </w:rPr>
        <w:t>（10）检测仪表设备管道安装后，应及时清除管道内的水及杂质，并按要求着色标记。</w:t>
      </w:r>
    </w:p>
    <w:p>
      <w:pPr>
        <w:pStyle w:val="29"/>
        <w:ind w:firstLine="472"/>
        <w:rPr>
          <w:color w:val="auto"/>
        </w:rPr>
      </w:pPr>
      <w:r>
        <w:rPr>
          <w:color w:val="auto"/>
        </w:rPr>
        <w:t>（11）检测仪表设备安装完毕后进行调试，各仪表指示正常，管道无渗漏。</w:t>
      </w:r>
    </w:p>
    <w:p>
      <w:pPr>
        <w:pStyle w:val="31"/>
        <w:rPr>
          <w:b w:val="0"/>
          <w:bCs/>
          <w:color w:val="auto"/>
        </w:rPr>
      </w:pPr>
      <w:r>
        <w:rPr>
          <w:color w:val="auto"/>
        </w:rPr>
        <w:t>自动控制设备安装调试</w:t>
      </w:r>
    </w:p>
    <w:p>
      <w:pPr>
        <w:pStyle w:val="29"/>
        <w:ind w:firstLine="472"/>
        <w:rPr>
          <w:color w:val="auto"/>
        </w:rPr>
      </w:pPr>
      <w:r>
        <w:rPr>
          <w:color w:val="auto"/>
        </w:rPr>
        <w:t>（1）自动控制设备的连接应保证紧密，接触良好，螺栓紧固无松动，需接零或接地的应有明显的接零或接地连接。</w:t>
      </w:r>
    </w:p>
    <w:p>
      <w:pPr>
        <w:pStyle w:val="29"/>
        <w:ind w:firstLine="472"/>
        <w:rPr>
          <w:color w:val="auto"/>
        </w:rPr>
      </w:pPr>
      <w:r>
        <w:rPr>
          <w:color w:val="auto"/>
        </w:rPr>
        <w:t>（2）自动控制设备安装位置应便于检查、维修，通风良好，且不影响临近设备的安装与解体。</w:t>
      </w:r>
    </w:p>
    <w:p>
      <w:pPr>
        <w:pStyle w:val="29"/>
        <w:ind w:firstLine="472"/>
        <w:rPr>
          <w:color w:val="auto"/>
        </w:rPr>
      </w:pPr>
      <w:r>
        <w:rPr>
          <w:color w:val="auto"/>
        </w:rPr>
        <w:t>（3）中央控制、现场控制和就地控制应协调一致，准确无误，灵敏可靠。</w:t>
      </w:r>
    </w:p>
    <w:p>
      <w:pPr>
        <w:pStyle w:val="29"/>
        <w:ind w:firstLine="472"/>
        <w:rPr>
          <w:color w:val="auto"/>
        </w:rPr>
      </w:pPr>
      <w:r>
        <w:rPr>
          <w:color w:val="auto"/>
        </w:rPr>
        <w:t>（4）自动控制设备安装后应进行单机调试和系统调试，保证仪表、信号指示正常，开关操作灵活可靠，控制准确无误，设备运转良好。</w:t>
      </w:r>
    </w:p>
    <w:p>
      <w:pPr>
        <w:pStyle w:val="31"/>
        <w:rPr>
          <w:color w:val="auto"/>
        </w:rPr>
      </w:pPr>
      <w:r>
        <w:rPr>
          <w:color w:val="auto"/>
        </w:rPr>
        <w:t>视频监视系统设备安装调试</w:t>
      </w:r>
    </w:p>
    <w:p>
      <w:pPr>
        <w:pStyle w:val="29"/>
        <w:ind w:firstLine="472"/>
        <w:rPr>
          <w:color w:val="auto"/>
        </w:rPr>
      </w:pPr>
      <w:r>
        <w:rPr>
          <w:color w:val="auto"/>
        </w:rPr>
        <w:t>（1）视频监视系统的连接应保证紧密，接触良好，螺栓紧固无松动，需接零或接地的应有明显的接零或接地连接。</w:t>
      </w:r>
    </w:p>
    <w:p>
      <w:pPr>
        <w:pStyle w:val="29"/>
        <w:ind w:firstLine="472"/>
        <w:rPr>
          <w:color w:val="auto"/>
        </w:rPr>
      </w:pPr>
      <w:r>
        <w:rPr>
          <w:color w:val="auto"/>
        </w:rPr>
        <w:t>（2）视频监视系统设备安装应协调一致，准确无误，灵敏可靠。</w:t>
      </w:r>
    </w:p>
    <w:p>
      <w:pPr>
        <w:pStyle w:val="29"/>
        <w:ind w:firstLine="472"/>
        <w:rPr>
          <w:color w:val="auto"/>
        </w:rPr>
      </w:pPr>
      <w:r>
        <w:rPr>
          <w:color w:val="auto"/>
        </w:rPr>
        <w:t>（3）视频监视系统设备安装后应进行单机调试和系统调试，保证摄像头控制正常，操作灵活可靠，监视图像清晰，设备运转良好。</w:t>
      </w:r>
    </w:p>
    <w:p>
      <w:pPr>
        <w:pStyle w:val="31"/>
        <w:rPr>
          <w:b w:val="0"/>
          <w:bCs/>
          <w:color w:val="auto"/>
        </w:rPr>
      </w:pPr>
      <w:r>
        <w:rPr>
          <w:color w:val="auto"/>
        </w:rPr>
        <w:t>电缆敷设</w:t>
      </w:r>
    </w:p>
    <w:p>
      <w:pPr>
        <w:pStyle w:val="29"/>
        <w:ind w:firstLine="472"/>
        <w:rPr>
          <w:b/>
          <w:bCs/>
          <w:color w:val="auto"/>
        </w:rPr>
      </w:pPr>
      <w:r>
        <w:rPr>
          <w:rFonts w:ascii="Calibri" w:hAnsi="Calibri" w:eastAsia="Calibri" w:cs="Calibri"/>
          <w:color w:val="auto"/>
        </w:rPr>
        <w:t>a</w:t>
      </w:r>
      <w:r>
        <w:rPr>
          <w:color w:val="auto"/>
        </w:rPr>
        <w:t>敷设要求：</w:t>
      </w:r>
    </w:p>
    <w:p>
      <w:pPr>
        <w:pStyle w:val="29"/>
        <w:ind w:firstLine="492"/>
        <w:rPr>
          <w:color w:val="auto"/>
          <w:spacing w:val="6"/>
        </w:rPr>
      </w:pPr>
      <w:r>
        <w:rPr>
          <w:color w:val="auto"/>
          <w:spacing w:val="6"/>
        </w:rPr>
        <w:t>（1）电缆在敷设前应进行检查，电缆的型号、规格符合设计图规定；电缆外表无破损，电缆长度符合要求。电缆支架、支撑、桥架、托盘应牢固可靠。</w:t>
      </w:r>
    </w:p>
    <w:p>
      <w:pPr>
        <w:pStyle w:val="29"/>
        <w:ind w:firstLine="492"/>
        <w:rPr>
          <w:color w:val="auto"/>
          <w:spacing w:val="6"/>
        </w:rPr>
      </w:pPr>
      <w:r>
        <w:rPr>
          <w:color w:val="auto"/>
          <w:spacing w:val="6"/>
        </w:rPr>
        <w:t>（2）按设计图进行敷设，不经项目经理批准，不得改变电缆的敷设方式和路径。</w:t>
      </w:r>
    </w:p>
    <w:p>
      <w:pPr>
        <w:pStyle w:val="29"/>
        <w:ind w:firstLine="492"/>
        <w:rPr>
          <w:color w:val="auto"/>
          <w:spacing w:val="6"/>
        </w:rPr>
      </w:pPr>
      <w:r>
        <w:rPr>
          <w:color w:val="auto"/>
          <w:spacing w:val="6"/>
        </w:rPr>
        <w:t>（3）室外直埋电缆应选用铠装型。直埋电缆埋地深度不小于700mm。在冻土地区敷设，其埋地深度应符合设计要求。直埋电缆时，沟槽底部应铺设100mm厚的细砂做衬垫，在电缆上面铺设100mm厚的细砂保护层，并按规范要求加盖保护板。直埋电缆应做好记录，经项目经理认可后，回填土方。</w:t>
      </w:r>
    </w:p>
    <w:p>
      <w:pPr>
        <w:pStyle w:val="29"/>
        <w:ind w:firstLine="492"/>
        <w:rPr>
          <w:color w:val="auto"/>
          <w:spacing w:val="6"/>
        </w:rPr>
      </w:pPr>
      <w:r>
        <w:rPr>
          <w:color w:val="auto"/>
          <w:spacing w:val="6"/>
        </w:rPr>
        <w:t>电缆进出构筑物、建筑物、沟槽、穿越道路时应加管保护。传感器电缆、信号电缆与仪表接线盒、仪表保护箱、现场电控箱采用防水型挠性连接管软连接，对于防爆回路，还应配置防爆密封管件。</w:t>
      </w:r>
    </w:p>
    <w:p>
      <w:pPr>
        <w:pStyle w:val="29"/>
        <w:ind w:firstLine="492"/>
        <w:rPr>
          <w:color w:val="auto"/>
          <w:spacing w:val="6"/>
        </w:rPr>
      </w:pPr>
      <w:r>
        <w:rPr>
          <w:color w:val="auto"/>
          <w:spacing w:val="6"/>
        </w:rPr>
        <w:t>（4）在桥架上敷设电缆时，应留有20%的余量，以备增加电缆的安装。</w:t>
      </w:r>
    </w:p>
    <w:p>
      <w:pPr>
        <w:pStyle w:val="29"/>
        <w:ind w:firstLine="492"/>
        <w:rPr>
          <w:color w:val="auto"/>
          <w:spacing w:val="6"/>
        </w:rPr>
      </w:pPr>
      <w:r>
        <w:rPr>
          <w:color w:val="auto"/>
          <w:spacing w:val="6"/>
        </w:rPr>
        <w:t>（5）明设电缆应符合规范要求。</w:t>
      </w:r>
    </w:p>
    <w:p>
      <w:pPr>
        <w:pStyle w:val="29"/>
        <w:ind w:firstLine="492"/>
        <w:rPr>
          <w:color w:val="auto"/>
          <w:spacing w:val="6"/>
        </w:rPr>
      </w:pPr>
      <w:r>
        <w:rPr>
          <w:color w:val="auto"/>
          <w:spacing w:val="6"/>
        </w:rPr>
        <w:t>（6）在缆沟或桥架上敷设电缆时，高压电缆和低压电缆、动力电缆和控制电缆，应分层架设，不得相互交叉。如因条件环境所限，不得不交叉时应采用隔板隔离。</w:t>
      </w:r>
    </w:p>
    <w:p>
      <w:pPr>
        <w:pStyle w:val="29"/>
        <w:ind w:firstLine="492"/>
        <w:rPr>
          <w:color w:val="auto"/>
          <w:spacing w:val="6"/>
        </w:rPr>
      </w:pPr>
      <w:r>
        <w:rPr>
          <w:color w:val="auto"/>
          <w:spacing w:val="6"/>
        </w:rPr>
        <w:t>（7）电缆管线与其它管线的间距须符合规范要求。</w:t>
      </w:r>
    </w:p>
    <w:p>
      <w:pPr>
        <w:pStyle w:val="29"/>
        <w:ind w:firstLine="472"/>
        <w:rPr>
          <w:color w:val="auto"/>
          <w:spacing w:val="6"/>
        </w:rPr>
      </w:pPr>
      <w:r>
        <w:rPr>
          <w:rFonts w:ascii="Calibri" w:hAnsi="Calibri" w:eastAsia="Calibri" w:cs="Calibri"/>
          <w:color w:val="auto"/>
        </w:rPr>
        <w:t>b</w:t>
      </w:r>
      <w:r>
        <w:rPr>
          <w:color w:val="auto"/>
        </w:rPr>
        <w:t>电缆的交工验收</w:t>
      </w:r>
    </w:p>
    <w:p>
      <w:pPr>
        <w:pStyle w:val="29"/>
        <w:ind w:firstLine="492"/>
        <w:rPr>
          <w:color w:val="auto"/>
          <w:spacing w:val="6"/>
        </w:rPr>
      </w:pPr>
      <w:r>
        <w:rPr>
          <w:color w:val="auto"/>
          <w:spacing w:val="6"/>
        </w:rPr>
        <w:t>电缆的安装验收应按下列要求进行：</w:t>
      </w:r>
    </w:p>
    <w:p>
      <w:pPr>
        <w:pStyle w:val="29"/>
        <w:ind w:firstLine="492"/>
        <w:rPr>
          <w:color w:val="auto"/>
          <w:spacing w:val="6"/>
        </w:rPr>
      </w:pPr>
      <w:r>
        <w:rPr>
          <w:color w:val="auto"/>
          <w:spacing w:val="6"/>
        </w:rPr>
        <w:t>（1）电缆规格应符合规定，排列整齐，无机械损伤，标志牌应装设齐全</w:t>
      </w:r>
      <w:r>
        <w:rPr>
          <w:rFonts w:hint="eastAsia"/>
          <w:color w:val="auto"/>
          <w:spacing w:val="6"/>
        </w:rPr>
        <w:t>、</w:t>
      </w:r>
      <w:r>
        <w:rPr>
          <w:color w:val="auto"/>
          <w:spacing w:val="6"/>
        </w:rPr>
        <w:t>正确</w:t>
      </w:r>
      <w:r>
        <w:rPr>
          <w:rFonts w:hint="eastAsia"/>
          <w:color w:val="auto"/>
          <w:spacing w:val="6"/>
        </w:rPr>
        <w:t>、</w:t>
      </w:r>
      <w:r>
        <w:rPr>
          <w:color w:val="auto"/>
          <w:spacing w:val="6"/>
        </w:rPr>
        <w:t>清晰</w:t>
      </w:r>
      <w:r>
        <w:rPr>
          <w:rFonts w:hint="eastAsia"/>
          <w:color w:val="auto"/>
          <w:spacing w:val="6"/>
        </w:rPr>
        <w:t>。</w:t>
      </w:r>
    </w:p>
    <w:p>
      <w:pPr>
        <w:pStyle w:val="29"/>
        <w:ind w:firstLine="492"/>
        <w:rPr>
          <w:color w:val="auto"/>
          <w:spacing w:val="6"/>
        </w:rPr>
      </w:pPr>
      <w:r>
        <w:rPr>
          <w:color w:val="auto"/>
          <w:spacing w:val="6"/>
        </w:rPr>
        <w:t>（2）电缆的固定，弯曲半径，有关距离及相序排列等应符合要求</w:t>
      </w:r>
      <w:r>
        <w:rPr>
          <w:rFonts w:hint="eastAsia"/>
          <w:color w:val="auto"/>
          <w:spacing w:val="6"/>
        </w:rPr>
        <w:t>。</w:t>
      </w:r>
    </w:p>
    <w:p>
      <w:pPr>
        <w:pStyle w:val="29"/>
        <w:ind w:firstLine="492"/>
        <w:rPr>
          <w:color w:val="auto"/>
          <w:spacing w:val="6"/>
        </w:rPr>
      </w:pPr>
      <w:r>
        <w:rPr>
          <w:color w:val="auto"/>
          <w:spacing w:val="6"/>
        </w:rPr>
        <w:t>（3）电缆终端及电缆接头应安装牢固</w:t>
      </w:r>
      <w:r>
        <w:rPr>
          <w:rFonts w:hint="eastAsia"/>
          <w:color w:val="auto"/>
          <w:spacing w:val="6"/>
        </w:rPr>
        <w:t>。</w:t>
      </w:r>
    </w:p>
    <w:p>
      <w:pPr>
        <w:pStyle w:val="29"/>
        <w:ind w:firstLine="492"/>
        <w:rPr>
          <w:color w:val="auto"/>
          <w:spacing w:val="6"/>
        </w:rPr>
      </w:pPr>
      <w:r>
        <w:rPr>
          <w:color w:val="auto"/>
          <w:spacing w:val="6"/>
        </w:rPr>
        <w:t>（4）电缆终端相色应正确，电缆支架金属部件防腐层应完好，接地应良好</w:t>
      </w:r>
      <w:r>
        <w:rPr>
          <w:rFonts w:hint="eastAsia"/>
          <w:color w:val="auto"/>
          <w:spacing w:val="6"/>
        </w:rPr>
        <w:t>。</w:t>
      </w:r>
    </w:p>
    <w:p>
      <w:pPr>
        <w:pStyle w:val="29"/>
        <w:ind w:firstLine="492"/>
        <w:rPr>
          <w:color w:val="auto"/>
          <w:spacing w:val="6"/>
        </w:rPr>
      </w:pPr>
      <w:r>
        <w:rPr>
          <w:color w:val="auto"/>
          <w:spacing w:val="6"/>
        </w:rPr>
        <w:t>（5）电缆沟内无杂物，盖板齐全</w:t>
      </w:r>
      <w:r>
        <w:rPr>
          <w:rFonts w:hint="eastAsia"/>
          <w:color w:val="auto"/>
          <w:spacing w:val="6"/>
        </w:rPr>
        <w:t>。</w:t>
      </w:r>
    </w:p>
    <w:p>
      <w:pPr>
        <w:pStyle w:val="29"/>
        <w:ind w:firstLine="492"/>
        <w:rPr>
          <w:color w:val="auto"/>
          <w:spacing w:val="6"/>
        </w:rPr>
      </w:pPr>
      <w:r>
        <w:rPr>
          <w:color w:val="auto"/>
          <w:spacing w:val="6"/>
        </w:rPr>
        <w:t>（6）直埋电缆路径标志，应与实际路径相符，路径标志应清晰牢固，间距适当，且应符合标书要求</w:t>
      </w:r>
      <w:r>
        <w:rPr>
          <w:rFonts w:hint="eastAsia"/>
          <w:color w:val="auto"/>
          <w:spacing w:val="6"/>
        </w:rPr>
        <w:t>。</w:t>
      </w:r>
    </w:p>
    <w:p>
      <w:pPr>
        <w:pStyle w:val="29"/>
        <w:ind w:firstLine="492"/>
        <w:rPr>
          <w:color w:val="auto"/>
          <w:spacing w:val="6"/>
        </w:rPr>
      </w:pPr>
      <w:r>
        <w:rPr>
          <w:color w:val="auto"/>
          <w:spacing w:val="6"/>
        </w:rPr>
        <w:t>（7）隐蔽工程应在施工过程中进行中间验收，并作好签证</w:t>
      </w:r>
      <w:r>
        <w:rPr>
          <w:rFonts w:hint="eastAsia"/>
          <w:color w:val="auto"/>
          <w:spacing w:val="6"/>
        </w:rPr>
        <w:t>。</w:t>
      </w:r>
    </w:p>
    <w:p>
      <w:pPr>
        <w:pStyle w:val="31"/>
        <w:rPr>
          <w:b w:val="0"/>
          <w:bCs/>
          <w:color w:val="auto"/>
        </w:rPr>
      </w:pPr>
      <w:r>
        <w:rPr>
          <w:color w:val="auto"/>
        </w:rPr>
        <w:t>接地</w:t>
      </w:r>
    </w:p>
    <w:p>
      <w:pPr>
        <w:pStyle w:val="29"/>
        <w:ind w:firstLine="472"/>
        <w:rPr>
          <w:color w:val="auto"/>
        </w:rPr>
      </w:pPr>
      <w:r>
        <w:rPr>
          <w:color w:val="auto"/>
        </w:rPr>
        <w:t>接地装置按照国家标准，根据系统接地要求分别接地。</w:t>
      </w:r>
    </w:p>
    <w:p>
      <w:pPr>
        <w:pStyle w:val="29"/>
        <w:ind w:firstLine="472"/>
        <w:rPr>
          <w:color w:val="auto"/>
        </w:rPr>
      </w:pPr>
      <w:r>
        <w:rPr>
          <w:color w:val="auto"/>
        </w:rPr>
        <w:t>（1）自控系统接地</w:t>
      </w:r>
    </w:p>
    <w:p>
      <w:pPr>
        <w:pStyle w:val="29"/>
        <w:ind w:firstLine="472"/>
        <w:rPr>
          <w:color w:val="auto"/>
        </w:rPr>
      </w:pPr>
      <w:r>
        <w:rPr>
          <w:color w:val="auto"/>
        </w:rPr>
        <w:t>接地系统由接地联结和接地装置两部分组成，自控系统的接地联结采用分类汇总，最终与总接地板联结的方式。本工程的接地最终与电气总接地板联结，并实现等电位联结，与电气装置合用接地装置与大地连接。根据系统要求，确定需要的接地电阻值不大于1欧姆。</w:t>
      </w:r>
    </w:p>
    <w:p>
      <w:pPr>
        <w:pStyle w:val="29"/>
        <w:ind w:firstLine="472"/>
        <w:rPr>
          <w:color w:val="auto"/>
        </w:rPr>
      </w:pPr>
      <w:r>
        <w:rPr>
          <w:color w:val="auto"/>
        </w:rPr>
        <w:t>自控系统的接地在末端处应与电气接地分开。</w:t>
      </w:r>
    </w:p>
    <w:p>
      <w:pPr>
        <w:pStyle w:val="29"/>
        <w:ind w:firstLine="472"/>
        <w:rPr>
          <w:color w:val="auto"/>
        </w:rPr>
      </w:pPr>
      <w:r>
        <w:rPr>
          <w:color w:val="auto"/>
        </w:rPr>
        <w:t>（2）仪表接地</w:t>
      </w:r>
    </w:p>
    <w:p>
      <w:pPr>
        <w:pStyle w:val="29"/>
        <w:ind w:firstLine="472"/>
        <w:rPr>
          <w:color w:val="auto"/>
        </w:rPr>
      </w:pPr>
      <w:r>
        <w:rPr>
          <w:color w:val="auto"/>
        </w:rPr>
        <w:t>a）在正常情况下不带电但有可能接触到危险电压的裸露金属部件,均应做保护接地。本质安全型仪表金属外壳当仪表使用说明书无接地规定时，不做保护接地，当规定接地时，应直接与其关联设备接地的接地极连接。</w:t>
      </w:r>
    </w:p>
    <w:p>
      <w:pPr>
        <w:pStyle w:val="29"/>
        <w:ind w:firstLine="472"/>
        <w:rPr>
          <w:color w:val="auto"/>
        </w:rPr>
      </w:pPr>
      <w:r>
        <w:rPr>
          <w:color w:val="auto"/>
        </w:rPr>
        <w:t>b）保护接地可接到电气工程低压电气设备的保护接地网上，连接应牢固可靠，不应串联接地。</w:t>
      </w:r>
    </w:p>
    <w:p>
      <w:pPr>
        <w:pStyle w:val="29"/>
        <w:ind w:firstLine="472"/>
        <w:rPr>
          <w:color w:val="auto"/>
        </w:rPr>
      </w:pPr>
      <w:r>
        <w:rPr>
          <w:color w:val="auto"/>
        </w:rPr>
        <w:t>c）保护接地的接地电阻值应符合设计规定。</w:t>
      </w:r>
    </w:p>
    <w:p>
      <w:pPr>
        <w:pStyle w:val="29"/>
        <w:ind w:firstLine="472"/>
        <w:rPr>
          <w:color w:val="auto"/>
        </w:rPr>
      </w:pPr>
      <w:r>
        <w:rPr>
          <w:color w:val="auto"/>
        </w:rPr>
        <w:t>d）信号回路的接地点应在显示仪表侧，当采用接地型热电偶和检测部分已接地的仪表时，不应再在显示仪表侧接地。</w:t>
      </w:r>
    </w:p>
    <w:p>
      <w:pPr>
        <w:pStyle w:val="28"/>
        <w:spacing w:before="120" w:after="120"/>
        <w:rPr>
          <w:b/>
          <w:color w:val="auto"/>
        </w:rPr>
      </w:pPr>
      <w:bookmarkStart w:id="51" w:name="_Toc117181357"/>
      <w:r>
        <w:rPr>
          <w:b/>
          <w:color w:val="auto"/>
        </w:rPr>
        <w:t>仪表自控设计的相关要求</w:t>
      </w:r>
      <w:bookmarkEnd w:id="51"/>
    </w:p>
    <w:p>
      <w:pPr>
        <w:pStyle w:val="30"/>
        <w:spacing w:before="120" w:after="120"/>
        <w:rPr>
          <w:b w:val="0"/>
          <w:bCs/>
          <w:color w:val="auto"/>
        </w:rPr>
      </w:pPr>
      <w:bookmarkStart w:id="52" w:name="_Toc117181358"/>
      <w:r>
        <w:rPr>
          <w:rFonts w:hint="eastAsia"/>
          <w:color w:val="auto"/>
        </w:rPr>
        <w:t>自动化监控系统技术要求</w:t>
      </w:r>
      <w:bookmarkEnd w:id="52"/>
    </w:p>
    <w:p>
      <w:pPr>
        <w:pStyle w:val="31"/>
        <w:rPr>
          <w:color w:val="auto"/>
        </w:rPr>
      </w:pPr>
      <w:r>
        <w:rPr>
          <w:rFonts w:hint="eastAsia"/>
          <w:color w:val="auto"/>
        </w:rPr>
        <w:t>概述</w:t>
      </w:r>
    </w:p>
    <w:p>
      <w:pPr>
        <w:pStyle w:val="29"/>
        <w:ind w:firstLine="472"/>
        <w:rPr>
          <w:color w:val="auto"/>
        </w:rPr>
      </w:pPr>
      <w:bookmarkStart w:id="53" w:name="_Hlk49588371"/>
      <w:r>
        <w:rPr>
          <w:rFonts w:hint="eastAsia"/>
          <w:color w:val="auto"/>
        </w:rPr>
        <w:t>为了确保再生水厂工艺过程安全、可靠、稳定、高效地运行，使出厂水质达标的同时又能降低成本，减轻劳动强度，提高生产效率及管理水平，根据工艺过程的特点及对自控系统的要求，采用分布式自动控制系统，实现对水厂的流量、水质和压力等数据进行统-监控，对水厂工艺流程、水厂/泵站运行工况、异常告警信息、能耗状态等进行在线监测，充分体现自动控制的技术和自动化管理水平。系统构成能适应计算机、网络发展的趋势，实现全厂生产、管理自动化，保障自来水厂运行安全、可靠、出水水质安全稳定，达到“无人值班，少人值守”运行。</w:t>
      </w:r>
    </w:p>
    <w:bookmarkEnd w:id="53"/>
    <w:p>
      <w:pPr>
        <w:pStyle w:val="11"/>
        <w:numPr>
          <w:ilvl w:val="0"/>
          <w:numId w:val="10"/>
        </w:numPr>
        <w:spacing w:line="360" w:lineRule="auto"/>
        <w:ind w:left="0" w:firstLine="464" w:firstLineChars="200"/>
        <w:rPr>
          <w:rFonts w:ascii="Times New Roman" w:hAnsi="Times New Roman" w:eastAsiaTheme="minorEastAsia"/>
          <w:color w:val="auto"/>
          <w:spacing w:val="-4"/>
          <w:sz w:val="24"/>
          <w:szCs w:val="22"/>
          <w:lang w:eastAsia="zh-CN"/>
        </w:rPr>
      </w:pPr>
      <w:bookmarkStart w:id="54" w:name="_Toc7024"/>
      <w:bookmarkStart w:id="55" w:name="_Toc105750055"/>
      <w:bookmarkStart w:id="56" w:name="_Toc2439_WPSOffice_Level2"/>
      <w:r>
        <w:rPr>
          <w:rFonts w:hint="eastAsia" w:ascii="Times New Roman" w:hAnsi="Times New Roman" w:eastAsiaTheme="minorEastAsia"/>
          <w:color w:val="auto"/>
          <w:spacing w:val="-4"/>
          <w:sz w:val="24"/>
          <w:szCs w:val="22"/>
          <w:lang w:eastAsia="zh-CN"/>
        </w:rPr>
        <w:t>设计原则及目标</w:t>
      </w:r>
      <w:bookmarkEnd w:id="54"/>
      <w:bookmarkEnd w:id="55"/>
      <w:bookmarkEnd w:id="56"/>
    </w:p>
    <w:p>
      <w:pPr>
        <w:pStyle w:val="29"/>
        <w:ind w:firstLine="472"/>
        <w:rPr>
          <w:color w:val="auto"/>
        </w:rPr>
      </w:pPr>
      <w:bookmarkStart w:id="57" w:name="_Hlk49588419"/>
      <w:r>
        <w:rPr>
          <w:rFonts w:hint="eastAsia"/>
          <w:color w:val="auto"/>
        </w:rPr>
        <w:t>1）先进性：自动化设备及仪表系统设计先进，功能完善，达到“无人值班，少人值守”运行模式；</w:t>
      </w:r>
    </w:p>
    <w:p>
      <w:pPr>
        <w:pStyle w:val="29"/>
        <w:ind w:firstLine="472"/>
        <w:rPr>
          <w:color w:val="auto"/>
        </w:rPr>
      </w:pPr>
      <w:r>
        <w:rPr>
          <w:rFonts w:hint="eastAsia"/>
          <w:color w:val="auto"/>
        </w:rPr>
        <w:t>2）可靠性：核心设备采用国际一流品牌，关键设备冗余配置，任一控制设备故障不影响整体控制；</w:t>
      </w:r>
    </w:p>
    <w:p>
      <w:pPr>
        <w:pStyle w:val="29"/>
        <w:ind w:firstLine="472"/>
        <w:rPr>
          <w:color w:val="auto"/>
        </w:rPr>
      </w:pPr>
      <w:r>
        <w:rPr>
          <w:rFonts w:hint="eastAsia"/>
          <w:color w:val="auto"/>
        </w:rPr>
        <w:t>3）安全性：保证系统事故预警与响应能力，保障安全生产，降低设备故障和损害风险；</w:t>
      </w:r>
    </w:p>
    <w:p>
      <w:pPr>
        <w:pStyle w:val="29"/>
        <w:ind w:firstLine="472"/>
        <w:rPr>
          <w:color w:val="auto"/>
        </w:rPr>
      </w:pPr>
      <w:r>
        <w:rPr>
          <w:rFonts w:hint="eastAsia"/>
          <w:color w:val="auto"/>
        </w:rPr>
        <w:t>4）扩展性：自动化设备及仪表系统统一管理，接口可扩展；</w:t>
      </w:r>
    </w:p>
    <w:p>
      <w:pPr>
        <w:pStyle w:val="29"/>
        <w:ind w:firstLine="472"/>
        <w:rPr>
          <w:color w:val="auto"/>
        </w:rPr>
      </w:pPr>
      <w:r>
        <w:rPr>
          <w:rFonts w:hint="eastAsia"/>
          <w:color w:val="auto"/>
        </w:rPr>
        <w:t>5）经济性：在满足安全、可靠、稳定的前提下，选择高性价比的产品。若手册中材料设备推荐品牌与清单不一致，以清单推荐品牌为准。</w:t>
      </w:r>
    </w:p>
    <w:p>
      <w:pPr>
        <w:pStyle w:val="31"/>
        <w:rPr>
          <w:color w:val="auto"/>
        </w:rPr>
      </w:pPr>
      <w:bookmarkStart w:id="58" w:name="_Toc25219"/>
      <w:bookmarkStart w:id="59" w:name="_Toc105750067"/>
      <w:r>
        <w:rPr>
          <w:rFonts w:hint="eastAsia"/>
          <w:color w:val="auto"/>
        </w:rPr>
        <w:t>系统结构</w:t>
      </w:r>
      <w:bookmarkEnd w:id="58"/>
      <w:bookmarkEnd w:id="59"/>
    </w:p>
    <w:p>
      <w:pPr>
        <w:pStyle w:val="29"/>
        <w:ind w:firstLine="472"/>
        <w:rPr>
          <w:color w:val="auto"/>
        </w:rPr>
      </w:pPr>
      <w:r>
        <w:rPr>
          <w:rFonts w:hint="eastAsia"/>
          <w:color w:val="auto"/>
        </w:rPr>
        <w:t>根据水厂的生产规模和生产工艺要求，以及生产构筑物的分布情况，水厂自控系统采用集中监控管理、分散控制和就地控制相结合的分布式智能监控方式。整个控制系统由三个层次构成，即就地设备层，现场控制层，监控管理层。</w:t>
      </w:r>
    </w:p>
    <w:p>
      <w:pPr>
        <w:pStyle w:val="29"/>
        <w:ind w:firstLine="472"/>
        <w:rPr>
          <w:color w:val="auto"/>
        </w:rPr>
      </w:pPr>
      <w:r>
        <w:rPr>
          <w:rFonts w:hint="eastAsia"/>
          <w:color w:val="auto"/>
        </w:rPr>
        <w:t>（1）就地设备层</w:t>
      </w:r>
    </w:p>
    <w:p>
      <w:pPr>
        <w:pStyle w:val="29"/>
        <w:ind w:firstLine="472"/>
        <w:rPr>
          <w:color w:val="auto"/>
        </w:rPr>
      </w:pPr>
      <w:r>
        <w:rPr>
          <w:rFonts w:hint="eastAsia"/>
          <w:color w:val="auto"/>
        </w:rPr>
        <w:t>就地控制层由仪表、阀门、水泵等设备的就地控制系统构成，如阀岛箱、变频控制柜等。控制单元通过标准工业现场总线或硬接线接入PLC控制站，实现对生产过程、仪表、设备的监视与控制。</w:t>
      </w:r>
    </w:p>
    <w:p>
      <w:pPr>
        <w:pStyle w:val="29"/>
        <w:ind w:firstLine="474"/>
        <w:rPr>
          <w:b/>
          <w:bCs/>
          <w:color w:val="auto"/>
        </w:rPr>
      </w:pPr>
      <w:r>
        <w:rPr>
          <w:rFonts w:hint="eastAsia"/>
          <w:b/>
          <w:bCs/>
          <w:color w:val="auto"/>
        </w:rPr>
        <w:t>★流量计和水质分析仪表采用MODBUS 485通讯的方式传输信号。</w:t>
      </w:r>
    </w:p>
    <w:p>
      <w:pPr>
        <w:pStyle w:val="29"/>
        <w:ind w:firstLine="472"/>
        <w:rPr>
          <w:color w:val="auto"/>
        </w:rPr>
      </w:pPr>
      <w:r>
        <w:rPr>
          <w:rFonts w:hint="eastAsia"/>
          <w:color w:val="auto"/>
        </w:rPr>
        <w:t>（2）现场控制层</w:t>
      </w:r>
    </w:p>
    <w:p>
      <w:pPr>
        <w:pStyle w:val="29"/>
        <w:ind w:firstLine="472"/>
        <w:rPr>
          <w:color w:val="auto"/>
        </w:rPr>
      </w:pPr>
      <w:r>
        <w:rPr>
          <w:rFonts w:hint="eastAsia"/>
          <w:color w:val="auto"/>
        </w:rPr>
        <w:t>控制层控制网络，要求为工业以太网的光纤环网，通讯速度≥1000Mbps。工业控制网通过工业交换机连接到厂级局域网。</w:t>
      </w:r>
    </w:p>
    <w:p>
      <w:pPr>
        <w:pStyle w:val="29"/>
        <w:ind w:firstLine="472"/>
        <w:rPr>
          <w:color w:val="auto"/>
        </w:rPr>
      </w:pPr>
      <w:r>
        <w:rPr>
          <w:rFonts w:hint="eastAsia"/>
          <w:color w:val="auto"/>
        </w:rPr>
        <w:t xml:space="preserve">中控室与现场 </w:t>
      </w:r>
      <w:r>
        <w:rPr>
          <w:color w:val="auto"/>
        </w:rPr>
        <w:t>5</w:t>
      </w:r>
      <w:r>
        <w:rPr>
          <w:rFonts w:hint="eastAsia"/>
          <w:color w:val="auto"/>
        </w:rPr>
        <w:t xml:space="preserve"> 个现场控制站站（LCU）通过光纤环网进行数据交换。每个控制站均由可编程序控制器（PLC）、触摸屏、UPS 和工业交换机等组成。</w:t>
      </w:r>
    </w:p>
    <w:p>
      <w:pPr>
        <w:pStyle w:val="29"/>
        <w:ind w:firstLine="472"/>
        <w:rPr>
          <w:color w:val="auto"/>
        </w:rPr>
      </w:pPr>
      <w:r>
        <w:rPr>
          <w:rFonts w:hint="eastAsia"/>
          <w:color w:val="auto"/>
        </w:rPr>
        <w:t>现场控制站划分如下：</w:t>
      </w:r>
    </w:p>
    <w:p>
      <w:pPr>
        <w:pStyle w:val="29"/>
        <w:ind w:firstLine="472"/>
        <w:rPr>
          <w:color w:val="auto"/>
        </w:rPr>
      </w:pPr>
      <w:r>
        <w:rPr>
          <w:rFonts w:hint="eastAsia"/>
          <w:color w:val="auto"/>
        </w:rPr>
        <w:t>预处理控制站 LCU</w:t>
      </w:r>
      <w:r>
        <w:rPr>
          <w:color w:val="auto"/>
        </w:rPr>
        <w:t>0</w:t>
      </w:r>
      <w:r>
        <w:rPr>
          <w:rFonts w:hint="eastAsia"/>
          <w:color w:val="auto"/>
        </w:rPr>
        <w:t>1：位于预处理系统附近，负责进水闸门、粗格栅及进水泵房、细格栅站、曝气沉砂池、进水检测仪表等处理单元设备的数据采集传输，自动检测和自动控制。抓斗、恒压供水等设备配供的控制柜，通过网线接入LCU的交换机。</w:t>
      </w:r>
    </w:p>
    <w:p>
      <w:pPr>
        <w:pStyle w:val="29"/>
        <w:ind w:firstLine="472"/>
        <w:rPr>
          <w:color w:val="auto"/>
        </w:rPr>
      </w:pPr>
      <w:r>
        <w:rPr>
          <w:rFonts w:hint="eastAsia"/>
          <w:color w:val="auto"/>
        </w:rPr>
        <w:t>生化池控制站LCU</w:t>
      </w:r>
      <w:r>
        <w:rPr>
          <w:color w:val="auto"/>
        </w:rPr>
        <w:t>02</w:t>
      </w:r>
      <w:r>
        <w:rPr>
          <w:rFonts w:hint="eastAsia"/>
          <w:color w:val="auto"/>
        </w:rPr>
        <w:t>：位于生化池附近，负责鼓风机房、多级AO池等处理单元的数据采集传输，自动检测和自动控制。鼓风机和精准曝气等设备配供的控制站，通过网线接入LCU的交换机。</w:t>
      </w:r>
    </w:p>
    <w:p>
      <w:pPr>
        <w:pStyle w:val="29"/>
        <w:ind w:firstLine="472"/>
        <w:rPr>
          <w:color w:val="auto"/>
        </w:rPr>
      </w:pPr>
      <w:r>
        <w:rPr>
          <w:rFonts w:hint="eastAsia"/>
          <w:color w:val="auto"/>
        </w:rPr>
        <w:t>二沉池控制站LCU</w:t>
      </w:r>
      <w:r>
        <w:rPr>
          <w:color w:val="auto"/>
        </w:rPr>
        <w:t>03</w:t>
      </w:r>
      <w:r>
        <w:rPr>
          <w:rFonts w:hint="eastAsia"/>
          <w:color w:val="auto"/>
        </w:rPr>
        <w:t>：位于二沉池附近，负责二沉池设备的数据采集传输，自动检测和自动控制。刮泥刮渣机配供的控制站，通过网线接入LCU的交换机。</w:t>
      </w:r>
    </w:p>
    <w:p>
      <w:pPr>
        <w:pStyle w:val="29"/>
        <w:ind w:firstLine="472"/>
        <w:rPr>
          <w:color w:val="auto"/>
        </w:rPr>
      </w:pPr>
      <w:r>
        <w:rPr>
          <w:rFonts w:hint="eastAsia"/>
          <w:color w:val="auto"/>
        </w:rPr>
        <w:t>深化处理控制站LCU</w:t>
      </w:r>
      <w:r>
        <w:rPr>
          <w:color w:val="auto"/>
        </w:rPr>
        <w:t>04</w:t>
      </w:r>
      <w:r>
        <w:rPr>
          <w:rFonts w:hint="eastAsia"/>
          <w:color w:val="auto"/>
        </w:rPr>
        <w:t>：位于低压配电间内，负责中间提升泵房、反硝化滤池、、加氯接触池、尾水提升泵房、中水送水泵房、加药间、出水检测仪表等处理单元的数据采集传输，自动检测和自动控制。反硝化滤池、加药系统等设备配供的控制站，通过网线接入LCU的交换机。</w:t>
      </w:r>
    </w:p>
    <w:p>
      <w:pPr>
        <w:pStyle w:val="29"/>
        <w:ind w:firstLine="472"/>
        <w:rPr>
          <w:color w:val="auto"/>
        </w:rPr>
      </w:pPr>
      <w:r>
        <w:rPr>
          <w:rFonts w:hint="eastAsia"/>
          <w:color w:val="auto"/>
        </w:rPr>
        <w:t>污泥处理控制站LCU</w:t>
      </w:r>
      <w:r>
        <w:rPr>
          <w:color w:val="auto"/>
        </w:rPr>
        <w:t>0</w:t>
      </w:r>
      <w:r>
        <w:rPr>
          <w:rFonts w:hint="eastAsia"/>
          <w:color w:val="auto"/>
        </w:rPr>
        <w:t>5：位于脱水机房控制室，负责污泥浓缩池、调理池、污泥干化、污泥碳化等污泥工段内 的数据采集传输，自动检测和自动控制。污泥干化系统和污泥碳化系统配供的控制站，通过网线接入LCU的交换机。</w:t>
      </w:r>
    </w:p>
    <w:p>
      <w:pPr>
        <w:pStyle w:val="29"/>
        <w:ind w:firstLine="472"/>
        <w:rPr>
          <w:color w:val="auto"/>
        </w:rPr>
      </w:pPr>
      <w:r>
        <w:rPr>
          <w:rFonts w:hint="eastAsia"/>
          <w:color w:val="auto"/>
        </w:rPr>
        <w:t>具体详见自控系统配置图</w:t>
      </w:r>
    </w:p>
    <w:p>
      <w:pPr>
        <w:pStyle w:val="29"/>
        <w:ind w:firstLine="472"/>
        <w:rPr>
          <w:color w:val="auto"/>
        </w:rPr>
      </w:pPr>
      <w:r>
        <w:rPr>
          <w:rFonts w:hint="eastAsia"/>
          <w:color w:val="auto"/>
        </w:rPr>
        <w:t>（3）监控管理层</w:t>
      </w:r>
    </w:p>
    <w:p>
      <w:pPr>
        <w:pStyle w:val="29"/>
        <w:ind w:firstLine="472"/>
        <w:rPr>
          <w:b/>
          <w:bCs/>
          <w:color w:val="auto"/>
        </w:rPr>
      </w:pPr>
      <w:r>
        <w:rPr>
          <w:rFonts w:hint="eastAsia"/>
          <w:color w:val="auto"/>
        </w:rPr>
        <w:t>监控管理层即水厂中心控制室，由服务器、交换机、工作站、打印机、大屏显示系统、不间断电源、卫星同步时钟等设备组成。</w:t>
      </w:r>
    </w:p>
    <w:p>
      <w:pPr>
        <w:pStyle w:val="29"/>
        <w:ind w:firstLine="472"/>
        <w:rPr>
          <w:color w:val="auto"/>
        </w:rPr>
      </w:pPr>
      <w:r>
        <w:rPr>
          <w:rFonts w:hint="eastAsia"/>
          <w:color w:val="auto"/>
        </w:rPr>
        <w:t>其主要负责把过程监测参数、现场工艺过程状态的信息集中化，采集各个现场控制站的数据，通过简单的操作进行工艺过程的显示、各种图形的显示、趋势曲线的显示，并进行系统组态和控制系统生成等工作，同时对现场控制层传达各种指令。</w:t>
      </w:r>
    </w:p>
    <w:p>
      <w:pPr>
        <w:pStyle w:val="29"/>
        <w:ind w:firstLine="472"/>
        <w:rPr>
          <w:color w:val="auto"/>
        </w:rPr>
      </w:pPr>
      <w:r>
        <w:rPr>
          <w:rFonts w:hint="eastAsia"/>
          <w:color w:val="auto"/>
        </w:rPr>
        <w:t>（4）通讯网络</w:t>
      </w:r>
    </w:p>
    <w:p>
      <w:pPr>
        <w:pStyle w:val="29"/>
        <w:ind w:firstLine="472"/>
        <w:rPr>
          <w:color w:val="auto"/>
        </w:rPr>
      </w:pPr>
      <w:r>
        <w:rPr>
          <w:rFonts w:hint="eastAsia"/>
          <w:color w:val="auto"/>
        </w:rPr>
        <w:t>监控管理层与现场控制层之间采用以单模光纤为主干的环形工业以太网通讯，保证网络的可靠性、安全性。监控管理层可通过网络接入上级调度系统。</w:t>
      </w:r>
    </w:p>
    <w:p>
      <w:pPr>
        <w:pStyle w:val="31"/>
        <w:rPr>
          <w:color w:val="auto"/>
        </w:rPr>
      </w:pPr>
      <w:r>
        <w:rPr>
          <w:rFonts w:hint="eastAsia"/>
          <w:color w:val="auto"/>
        </w:rPr>
        <w:t>控制方式和控制模式</w:t>
      </w:r>
    </w:p>
    <w:p>
      <w:pPr>
        <w:pStyle w:val="29"/>
        <w:ind w:firstLine="474"/>
        <w:rPr>
          <w:b/>
          <w:bCs/>
          <w:color w:val="auto"/>
        </w:rPr>
      </w:pPr>
      <w:r>
        <w:rPr>
          <w:rFonts w:hint="eastAsia"/>
          <w:b/>
          <w:bCs/>
          <w:color w:val="auto"/>
        </w:rPr>
        <w:t>1）控制方式</w:t>
      </w:r>
    </w:p>
    <w:p>
      <w:pPr>
        <w:pStyle w:val="29"/>
        <w:ind w:firstLine="472"/>
        <w:rPr>
          <w:color w:val="auto"/>
        </w:rPr>
      </w:pPr>
      <w:r>
        <w:rPr>
          <w:rFonts w:hint="eastAsia"/>
          <w:color w:val="auto"/>
        </w:rPr>
        <w:t>本工程设备的控制方式设三级控制：就地控制、就地控制站控制、中心控制室控制。</w:t>
      </w:r>
    </w:p>
    <w:p>
      <w:pPr>
        <w:pStyle w:val="29"/>
        <w:ind w:firstLine="472"/>
        <w:rPr>
          <w:color w:val="auto"/>
        </w:rPr>
      </w:pPr>
      <w:r>
        <w:rPr>
          <w:rFonts w:hint="eastAsia"/>
          <w:color w:val="auto"/>
        </w:rPr>
        <w:t>上、下控制级之间，下级控制的优先权高于上级，即就地现场手动控制优先权高于控制站控制，以保证现场操作维修安全。</w:t>
      </w:r>
    </w:p>
    <w:p>
      <w:pPr>
        <w:pStyle w:val="29"/>
        <w:ind w:firstLine="472"/>
        <w:rPr>
          <w:color w:val="auto"/>
        </w:rPr>
      </w:pPr>
      <w:r>
        <w:rPr>
          <w:rFonts w:hint="eastAsia"/>
          <w:color w:val="auto"/>
        </w:rPr>
        <w:t>每一级均设有“手动/自动”两种控制方式。就地控制级设有“就地/遥控”两种方式，各设备均可通过“就地/遥控”选择开关切换实现手动操作。</w:t>
      </w:r>
    </w:p>
    <w:p>
      <w:pPr>
        <w:pStyle w:val="29"/>
        <w:ind w:firstLine="472"/>
        <w:rPr>
          <w:color w:val="auto"/>
        </w:rPr>
      </w:pPr>
      <w:r>
        <w:rPr>
          <w:rFonts w:hint="eastAsia"/>
          <w:color w:val="auto"/>
        </w:rPr>
        <w:t>当中心控制室监控设备或通信网络发生故障时，不影响水厂各构筑物的正常运行。各现场控制站可按预先设置的运行模式来监控各工艺流程的运行。操作人员也可通过柜面设置的触摸屏调整运行参数及手动控制。</w:t>
      </w:r>
    </w:p>
    <w:p>
      <w:pPr>
        <w:pStyle w:val="29"/>
        <w:ind w:firstLine="472"/>
        <w:rPr>
          <w:color w:val="auto"/>
        </w:rPr>
      </w:pPr>
      <w:r>
        <w:rPr>
          <w:rFonts w:hint="eastAsia"/>
          <w:color w:val="auto"/>
        </w:rPr>
        <w:t>当现场控制站发生故障时，可通过就地控制级上的“就地/遥控”选择开关切换实现设备的就地手动操作。</w:t>
      </w:r>
    </w:p>
    <w:p>
      <w:pPr>
        <w:pStyle w:val="29"/>
        <w:ind w:firstLine="474"/>
        <w:rPr>
          <w:b/>
          <w:bCs/>
          <w:color w:val="auto"/>
        </w:rPr>
      </w:pPr>
      <w:r>
        <w:rPr>
          <w:b/>
          <w:bCs/>
          <w:color w:val="auto"/>
        </w:rPr>
        <w:t>2</w:t>
      </w:r>
      <w:r>
        <w:rPr>
          <w:rFonts w:hint="eastAsia"/>
          <w:b/>
          <w:bCs/>
          <w:color w:val="auto"/>
        </w:rPr>
        <w:t>）控制模式</w:t>
      </w:r>
    </w:p>
    <w:p>
      <w:pPr>
        <w:pStyle w:val="29"/>
        <w:ind w:firstLine="472"/>
        <w:rPr>
          <w:color w:val="auto"/>
        </w:rPr>
      </w:pPr>
      <w:r>
        <w:rPr>
          <w:rFonts w:hint="eastAsia"/>
          <w:color w:val="auto"/>
        </w:rPr>
        <w:t>手动模式：通过就地现场控制箱或低压动力配电柜上的按钮由人工完成对设备的启停操作。</w:t>
      </w:r>
    </w:p>
    <w:p>
      <w:pPr>
        <w:pStyle w:val="29"/>
        <w:ind w:firstLine="472"/>
        <w:rPr>
          <w:color w:val="auto"/>
        </w:rPr>
      </w:pPr>
      <w:r>
        <w:rPr>
          <w:rFonts w:hint="eastAsia"/>
          <w:color w:val="auto"/>
        </w:rPr>
        <w:t>遥控模式：即远程手动控制方式。操作人员通过触摸屏操作面板或中控系统操作站的监控画面用鼠标或键盘来控制现场设备。</w:t>
      </w:r>
    </w:p>
    <w:p>
      <w:pPr>
        <w:pStyle w:val="29"/>
        <w:ind w:firstLine="472"/>
        <w:rPr>
          <w:color w:val="auto"/>
        </w:rPr>
      </w:pPr>
      <w:r>
        <w:rPr>
          <w:rFonts w:hint="eastAsia"/>
          <w:color w:val="auto"/>
        </w:rPr>
        <w:t>自动模式：设备的运行完全由各PLC根据水厂的工况及工艺参数按预定的顺控流程自主完成对设备的启/停控制，而不需要人工干预。</w:t>
      </w:r>
    </w:p>
    <w:p>
      <w:pPr>
        <w:pStyle w:val="31"/>
        <w:rPr>
          <w:color w:val="auto"/>
        </w:rPr>
      </w:pPr>
      <w:bookmarkStart w:id="60" w:name="_Toc3492"/>
      <w:bookmarkStart w:id="61" w:name="_Toc105750069"/>
      <w:r>
        <w:rPr>
          <w:rFonts w:hint="eastAsia"/>
          <w:color w:val="auto"/>
        </w:rPr>
        <w:t>系统性能指标</w:t>
      </w:r>
      <w:bookmarkEnd w:id="60"/>
      <w:bookmarkEnd w:id="61"/>
    </w:p>
    <w:p>
      <w:pPr>
        <w:pStyle w:val="29"/>
        <w:ind w:firstLine="472"/>
        <w:rPr>
          <w:color w:val="auto"/>
        </w:rPr>
      </w:pPr>
      <w:r>
        <w:rPr>
          <w:rFonts w:hint="eastAsia"/>
          <w:color w:val="auto"/>
        </w:rPr>
        <w:t>（1）实时性</w:t>
      </w:r>
    </w:p>
    <w:p>
      <w:pPr>
        <w:pStyle w:val="29"/>
        <w:ind w:firstLine="472"/>
        <w:rPr>
          <w:color w:val="auto"/>
        </w:rPr>
      </w:pPr>
      <w:r>
        <w:rPr>
          <w:rFonts w:hint="eastAsia"/>
          <w:color w:val="auto"/>
        </w:rPr>
        <w:t>1）数据采集时间：</w:t>
      </w:r>
    </w:p>
    <w:p>
      <w:pPr>
        <w:pStyle w:val="29"/>
        <w:ind w:firstLine="472"/>
        <w:rPr>
          <w:color w:val="auto"/>
        </w:rPr>
      </w:pPr>
      <w:r>
        <w:rPr>
          <w:rFonts w:hint="eastAsia"/>
          <w:color w:val="auto"/>
        </w:rPr>
        <w:t>电气模拟量采集周期：≤1s</w:t>
      </w:r>
    </w:p>
    <w:p>
      <w:pPr>
        <w:pStyle w:val="29"/>
        <w:ind w:firstLine="472"/>
        <w:rPr>
          <w:color w:val="auto"/>
        </w:rPr>
      </w:pPr>
      <w:r>
        <w:rPr>
          <w:rFonts w:hint="eastAsia"/>
          <w:color w:val="auto"/>
        </w:rPr>
        <w:t>非电气量的采集周期：≤1s</w:t>
      </w:r>
    </w:p>
    <w:p>
      <w:pPr>
        <w:pStyle w:val="29"/>
        <w:ind w:firstLine="472"/>
        <w:rPr>
          <w:color w:val="auto"/>
        </w:rPr>
      </w:pPr>
      <w:r>
        <w:rPr>
          <w:rFonts w:hint="eastAsia"/>
          <w:color w:val="auto"/>
        </w:rPr>
        <w:t>温度量巡检周期：≤2s</w:t>
      </w:r>
    </w:p>
    <w:p>
      <w:pPr>
        <w:pStyle w:val="29"/>
        <w:ind w:firstLine="472"/>
        <w:rPr>
          <w:color w:val="auto"/>
        </w:rPr>
      </w:pPr>
      <w:r>
        <w:rPr>
          <w:rFonts w:hint="eastAsia"/>
          <w:color w:val="auto"/>
        </w:rPr>
        <w:t>开关量采集周期：≤1s</w:t>
      </w:r>
    </w:p>
    <w:p>
      <w:pPr>
        <w:pStyle w:val="29"/>
        <w:ind w:firstLine="472"/>
        <w:rPr>
          <w:color w:val="auto"/>
        </w:rPr>
      </w:pPr>
      <w:r>
        <w:rPr>
          <w:rFonts w:hint="eastAsia"/>
          <w:color w:val="auto"/>
        </w:rPr>
        <w:t>中断开入按中断级别随时响应</w:t>
      </w:r>
    </w:p>
    <w:p>
      <w:pPr>
        <w:pStyle w:val="29"/>
        <w:ind w:firstLine="472"/>
        <w:rPr>
          <w:color w:val="auto"/>
        </w:rPr>
      </w:pPr>
      <w:r>
        <w:rPr>
          <w:rFonts w:hint="eastAsia"/>
          <w:color w:val="auto"/>
        </w:rPr>
        <w:t>报警量采样时间:≤1s</w:t>
      </w:r>
    </w:p>
    <w:p>
      <w:pPr>
        <w:pStyle w:val="29"/>
        <w:ind w:firstLine="472"/>
        <w:rPr>
          <w:color w:val="auto"/>
        </w:rPr>
      </w:pPr>
      <w:r>
        <w:rPr>
          <w:rFonts w:hint="eastAsia"/>
          <w:color w:val="auto"/>
        </w:rPr>
        <w:t>事故追忆：事故前后各20个点以上，1点/s</w:t>
      </w:r>
    </w:p>
    <w:p>
      <w:pPr>
        <w:pStyle w:val="29"/>
        <w:ind w:firstLine="472"/>
        <w:rPr>
          <w:color w:val="auto"/>
        </w:rPr>
      </w:pPr>
      <w:r>
        <w:rPr>
          <w:rFonts w:hint="eastAsia"/>
          <w:color w:val="auto"/>
        </w:rPr>
        <w:t>站间数据采集时间：＜1s</w:t>
      </w:r>
    </w:p>
    <w:p>
      <w:pPr>
        <w:pStyle w:val="29"/>
        <w:ind w:firstLine="472"/>
        <w:rPr>
          <w:color w:val="auto"/>
        </w:rPr>
      </w:pPr>
      <w:r>
        <w:rPr>
          <w:rFonts w:hint="eastAsia"/>
          <w:color w:val="auto"/>
        </w:rPr>
        <w:t>对具有分辨率要求的事件顺序点（SOE），其分辨率：≤10ms</w:t>
      </w:r>
    </w:p>
    <w:p>
      <w:pPr>
        <w:pStyle w:val="29"/>
        <w:ind w:firstLine="472"/>
        <w:rPr>
          <w:color w:val="auto"/>
        </w:rPr>
      </w:pPr>
      <w:r>
        <w:rPr>
          <w:rFonts w:hint="eastAsia"/>
          <w:color w:val="auto"/>
        </w:rPr>
        <w:t>2）远动指标</w:t>
      </w:r>
    </w:p>
    <w:p>
      <w:pPr>
        <w:pStyle w:val="29"/>
        <w:ind w:firstLine="472"/>
        <w:rPr>
          <w:color w:val="auto"/>
        </w:rPr>
      </w:pPr>
      <w:r>
        <w:rPr>
          <w:rFonts w:hint="eastAsia"/>
          <w:color w:val="auto"/>
        </w:rPr>
        <w:t>综合遥测误差：≤±1.0%（包括温度巡检仪、智能低压配电仪、电气综合保护装置和PLC）</w:t>
      </w:r>
    </w:p>
    <w:p>
      <w:pPr>
        <w:pStyle w:val="29"/>
        <w:ind w:firstLine="472"/>
        <w:rPr>
          <w:color w:val="auto"/>
        </w:rPr>
      </w:pPr>
      <w:r>
        <w:rPr>
          <w:rFonts w:hint="eastAsia"/>
          <w:color w:val="auto"/>
        </w:rPr>
        <w:t>遥信正确率：≥99.9%</w:t>
      </w:r>
    </w:p>
    <w:p>
      <w:pPr>
        <w:pStyle w:val="29"/>
        <w:ind w:firstLine="472"/>
        <w:rPr>
          <w:color w:val="auto"/>
        </w:rPr>
      </w:pPr>
      <w:r>
        <w:rPr>
          <w:rFonts w:hint="eastAsia"/>
          <w:color w:val="auto"/>
        </w:rPr>
        <w:t>遥控正确率：≥99.9%</w:t>
      </w:r>
    </w:p>
    <w:p>
      <w:pPr>
        <w:pStyle w:val="29"/>
        <w:ind w:firstLine="472"/>
        <w:rPr>
          <w:color w:val="auto"/>
        </w:rPr>
      </w:pPr>
      <w:r>
        <w:rPr>
          <w:rFonts w:hint="eastAsia"/>
          <w:color w:val="auto"/>
        </w:rPr>
        <w:t>遥测数据刷新及反应时间：≤3S</w:t>
      </w:r>
    </w:p>
    <w:p>
      <w:pPr>
        <w:pStyle w:val="29"/>
        <w:ind w:firstLine="472"/>
        <w:rPr>
          <w:color w:val="auto"/>
        </w:rPr>
      </w:pPr>
      <w:r>
        <w:rPr>
          <w:rFonts w:hint="eastAsia"/>
          <w:color w:val="auto"/>
        </w:rPr>
        <w:t>遥控执行时间：≤5S</w:t>
      </w:r>
    </w:p>
    <w:p>
      <w:pPr>
        <w:pStyle w:val="29"/>
        <w:ind w:firstLine="472"/>
        <w:rPr>
          <w:color w:val="auto"/>
        </w:rPr>
      </w:pPr>
      <w:r>
        <w:rPr>
          <w:rFonts w:hint="eastAsia"/>
          <w:color w:val="auto"/>
        </w:rPr>
        <w:t>3）中控层控制命令响应时间：</w:t>
      </w:r>
    </w:p>
    <w:p>
      <w:pPr>
        <w:pStyle w:val="29"/>
        <w:ind w:firstLine="472"/>
        <w:rPr>
          <w:color w:val="auto"/>
        </w:rPr>
      </w:pPr>
      <w:r>
        <w:rPr>
          <w:rFonts w:hint="eastAsia"/>
          <w:color w:val="auto"/>
        </w:rPr>
        <w:t>命令发出到执行机构接收并执行该命今的响应时间：＜1s</w:t>
      </w:r>
    </w:p>
    <w:p>
      <w:pPr>
        <w:pStyle w:val="29"/>
        <w:ind w:firstLine="472"/>
        <w:rPr>
          <w:color w:val="auto"/>
        </w:rPr>
      </w:pPr>
      <w:r>
        <w:rPr>
          <w:rFonts w:hint="eastAsia"/>
          <w:color w:val="auto"/>
        </w:rPr>
        <w:t>主机数据库响应所有PLC变化数据时间：≤2s</w:t>
      </w:r>
    </w:p>
    <w:p>
      <w:pPr>
        <w:pStyle w:val="29"/>
        <w:ind w:firstLine="472"/>
        <w:rPr>
          <w:color w:val="auto"/>
        </w:rPr>
      </w:pPr>
      <w:r>
        <w:rPr>
          <w:rFonts w:hint="eastAsia"/>
          <w:color w:val="auto"/>
        </w:rPr>
        <w:t>调度命令给定至执行周期:8～10可调</w:t>
      </w:r>
    </w:p>
    <w:p>
      <w:pPr>
        <w:pStyle w:val="29"/>
        <w:ind w:firstLine="472"/>
        <w:rPr>
          <w:color w:val="auto"/>
        </w:rPr>
      </w:pPr>
      <w:r>
        <w:rPr>
          <w:rFonts w:hint="eastAsia"/>
          <w:color w:val="auto"/>
        </w:rPr>
        <w:t>4）卫星时钟同步精度±1ms</w:t>
      </w:r>
    </w:p>
    <w:p>
      <w:pPr>
        <w:pStyle w:val="29"/>
        <w:ind w:firstLine="472"/>
        <w:rPr>
          <w:color w:val="auto"/>
        </w:rPr>
      </w:pPr>
      <w:r>
        <w:rPr>
          <w:rFonts w:hint="eastAsia"/>
          <w:color w:val="auto"/>
        </w:rPr>
        <w:t>5）冗余设备故障切换无扰动</w:t>
      </w:r>
    </w:p>
    <w:p>
      <w:pPr>
        <w:pStyle w:val="29"/>
        <w:ind w:firstLine="472"/>
        <w:rPr>
          <w:color w:val="auto"/>
        </w:rPr>
      </w:pPr>
      <w:r>
        <w:rPr>
          <w:rFonts w:hint="eastAsia"/>
          <w:color w:val="auto"/>
        </w:rPr>
        <w:t>6）人机接口响应：</w:t>
      </w:r>
    </w:p>
    <w:p>
      <w:pPr>
        <w:pStyle w:val="29"/>
        <w:ind w:firstLine="472"/>
        <w:rPr>
          <w:color w:val="auto"/>
        </w:rPr>
      </w:pPr>
      <w:r>
        <w:rPr>
          <w:rFonts w:hint="eastAsia"/>
          <w:color w:val="auto"/>
        </w:rPr>
        <w:t>调用新画面的响应时间：从调用指令开始到图像完全显示时间，站级≤1S</w:t>
      </w:r>
    </w:p>
    <w:p>
      <w:pPr>
        <w:pStyle w:val="29"/>
        <w:ind w:firstLine="472"/>
        <w:rPr>
          <w:color w:val="auto"/>
        </w:rPr>
      </w:pPr>
      <w:r>
        <w:rPr>
          <w:rFonts w:hint="eastAsia"/>
          <w:color w:val="auto"/>
        </w:rPr>
        <w:t>动态画面数据刷新时间：≤1s</w:t>
      </w:r>
    </w:p>
    <w:p>
      <w:pPr>
        <w:pStyle w:val="29"/>
        <w:ind w:firstLine="472"/>
        <w:rPr>
          <w:color w:val="auto"/>
        </w:rPr>
      </w:pPr>
      <w:r>
        <w:rPr>
          <w:rFonts w:hint="eastAsia"/>
          <w:color w:val="auto"/>
        </w:rPr>
        <w:t>操作人员令发出到回答显示时间：≤2s</w:t>
      </w:r>
    </w:p>
    <w:p>
      <w:pPr>
        <w:pStyle w:val="29"/>
        <w:ind w:firstLine="472"/>
        <w:rPr>
          <w:color w:val="auto"/>
        </w:rPr>
      </w:pPr>
      <w:r>
        <w:rPr>
          <w:rFonts w:hint="eastAsia"/>
          <w:color w:val="auto"/>
        </w:rPr>
        <w:t>报警时间产生到画面字符显示和发出语音的时间：≤2s</w:t>
      </w:r>
    </w:p>
    <w:p>
      <w:pPr>
        <w:pStyle w:val="29"/>
        <w:ind w:firstLine="472"/>
        <w:rPr>
          <w:color w:val="auto"/>
        </w:rPr>
      </w:pPr>
      <w:r>
        <w:rPr>
          <w:rFonts w:hint="eastAsia"/>
          <w:color w:val="auto"/>
        </w:rPr>
        <w:t>7）PLC对上级命令响应速度≤1s</w:t>
      </w:r>
    </w:p>
    <w:p>
      <w:pPr>
        <w:pStyle w:val="29"/>
        <w:ind w:firstLine="472"/>
        <w:rPr>
          <w:color w:val="auto"/>
        </w:rPr>
      </w:pPr>
      <w:r>
        <w:rPr>
          <w:rFonts w:hint="eastAsia"/>
          <w:color w:val="auto"/>
        </w:rPr>
        <w:t>（2）可靠性</w:t>
      </w:r>
    </w:p>
    <w:p>
      <w:pPr>
        <w:pStyle w:val="29"/>
        <w:ind w:firstLine="472"/>
        <w:rPr>
          <w:rFonts w:ascii="新宋体" w:hAnsi="新宋体" w:eastAsia="新宋体" w:cs="新宋体"/>
          <w:color w:val="auto"/>
        </w:rPr>
      </w:pPr>
      <w:r>
        <w:rPr>
          <w:rFonts w:hint="eastAsia" w:ascii="新宋体" w:hAnsi="新宋体" w:eastAsia="新宋体" w:cs="新宋体"/>
          <w:color w:val="auto"/>
        </w:rPr>
        <w:t>生产监控系统及其设备将能完全适应水厂的工作环境，具有足够的抗干扰性，能长期可靠稳定运行。生产监控系统及设备将从设计、制造和装配等方面保证其产品完全满足技术条款的可靠性要求。系统中任意单个器件故障不会导致关键功能损坏。</w:t>
      </w:r>
    </w:p>
    <w:p>
      <w:pPr>
        <w:pStyle w:val="29"/>
        <w:ind w:firstLine="472"/>
        <w:rPr>
          <w:rFonts w:ascii="新宋体" w:hAnsi="新宋体" w:eastAsia="新宋体" w:cs="新宋体"/>
          <w:color w:val="auto"/>
        </w:rPr>
      </w:pPr>
      <w:r>
        <w:rPr>
          <w:rFonts w:hint="eastAsia" w:ascii="新宋体" w:hAnsi="新宋体" w:eastAsia="新宋体" w:cs="新宋体"/>
          <w:color w:val="auto"/>
        </w:rPr>
        <w:t>系统主计算机设备MTBF≥20000h</w:t>
      </w:r>
    </w:p>
    <w:p>
      <w:pPr>
        <w:pStyle w:val="29"/>
        <w:ind w:firstLine="472"/>
        <w:rPr>
          <w:rFonts w:ascii="新宋体" w:hAnsi="新宋体" w:eastAsia="新宋体" w:cs="新宋体"/>
          <w:color w:val="auto"/>
        </w:rPr>
      </w:pPr>
      <w:r>
        <w:rPr>
          <w:rFonts w:hint="eastAsia" w:ascii="新宋体" w:hAnsi="新宋体" w:eastAsia="新宋体" w:cs="新宋体"/>
          <w:color w:val="auto"/>
        </w:rPr>
        <w:t>系统网络设备MTBF≥50000h</w:t>
      </w:r>
    </w:p>
    <w:p>
      <w:pPr>
        <w:pStyle w:val="29"/>
        <w:ind w:firstLine="472"/>
        <w:rPr>
          <w:rFonts w:ascii="新宋体" w:hAnsi="新宋体" w:eastAsia="新宋体" w:cs="新宋体"/>
          <w:color w:val="auto"/>
        </w:rPr>
      </w:pPr>
      <w:r>
        <w:rPr>
          <w:rFonts w:hint="eastAsia" w:ascii="新宋体" w:hAnsi="新宋体" w:eastAsia="新宋体" w:cs="新宋体"/>
          <w:color w:val="auto"/>
        </w:rPr>
        <w:t>系统外围及人机接口设备MTBF：≥20000h</w:t>
      </w:r>
    </w:p>
    <w:p>
      <w:pPr>
        <w:pStyle w:val="29"/>
        <w:ind w:firstLine="472"/>
        <w:rPr>
          <w:rFonts w:ascii="新宋体" w:hAnsi="新宋体" w:eastAsia="新宋体" w:cs="新宋体"/>
          <w:color w:val="auto"/>
        </w:rPr>
      </w:pPr>
      <w:r>
        <w:rPr>
          <w:rFonts w:hint="eastAsia" w:ascii="新宋体" w:hAnsi="新宋体" w:eastAsia="新宋体" w:cs="新宋体"/>
          <w:color w:val="auto"/>
        </w:rPr>
        <w:t>现地控制单元MTBF：≥50000h</w:t>
      </w:r>
    </w:p>
    <w:p>
      <w:pPr>
        <w:pStyle w:val="29"/>
        <w:ind w:firstLine="472"/>
        <w:rPr>
          <w:rFonts w:ascii="新宋体" w:hAnsi="新宋体" w:eastAsia="新宋体" w:cs="新宋体"/>
          <w:color w:val="auto"/>
        </w:rPr>
      </w:pPr>
      <w:r>
        <w:rPr>
          <w:rFonts w:hint="eastAsia" w:ascii="新宋体" w:hAnsi="新宋体" w:eastAsia="新宋体" w:cs="新宋体"/>
          <w:color w:val="auto"/>
        </w:rPr>
        <w:t>（3）可利用率</w:t>
      </w:r>
    </w:p>
    <w:p>
      <w:pPr>
        <w:pStyle w:val="29"/>
        <w:ind w:firstLine="472"/>
        <w:rPr>
          <w:rFonts w:ascii="新宋体" w:hAnsi="新宋体" w:eastAsia="新宋体" w:cs="新宋体"/>
          <w:color w:val="auto"/>
        </w:rPr>
      </w:pPr>
      <w:r>
        <w:rPr>
          <w:rFonts w:hint="eastAsia" w:ascii="新宋体" w:hAnsi="新宋体" w:eastAsia="新宋体" w:cs="新宋体"/>
          <w:color w:val="auto"/>
        </w:rPr>
        <w:t>生产监控系统可利用率：＞99.96％</w:t>
      </w:r>
    </w:p>
    <w:p>
      <w:pPr>
        <w:pStyle w:val="29"/>
        <w:ind w:firstLine="472"/>
        <w:rPr>
          <w:rFonts w:ascii="新宋体" w:hAnsi="新宋体" w:eastAsia="新宋体" w:cs="新宋体"/>
          <w:color w:val="auto"/>
        </w:rPr>
      </w:pPr>
      <w:r>
        <w:rPr>
          <w:rFonts w:hint="eastAsia" w:ascii="新宋体" w:hAnsi="新宋体" w:eastAsia="新宋体" w:cs="新宋体"/>
          <w:color w:val="auto"/>
        </w:rPr>
        <w:t>（4）可维护性</w:t>
      </w:r>
    </w:p>
    <w:p>
      <w:pPr>
        <w:pStyle w:val="29"/>
        <w:ind w:firstLine="472"/>
        <w:rPr>
          <w:rFonts w:ascii="新宋体" w:hAnsi="新宋体" w:eastAsia="新宋体" w:cs="新宋体"/>
          <w:color w:val="auto"/>
        </w:rPr>
      </w:pPr>
      <w:r>
        <w:rPr>
          <w:rFonts w:hint="eastAsia" w:ascii="新宋体" w:hAnsi="新宋体" w:eastAsia="新宋体" w:cs="新宋体"/>
          <w:color w:val="auto"/>
        </w:rPr>
        <w:t>生产监控系统的硬件和软件便于维护、测试和检修。</w:t>
      </w:r>
    </w:p>
    <w:p>
      <w:pPr>
        <w:pStyle w:val="29"/>
        <w:ind w:firstLine="472"/>
        <w:rPr>
          <w:rFonts w:ascii="新宋体" w:hAnsi="新宋体" w:eastAsia="新宋体" w:cs="新宋体"/>
          <w:color w:val="auto"/>
        </w:rPr>
      </w:pPr>
      <w:r>
        <w:rPr>
          <w:rFonts w:hint="eastAsia" w:ascii="新宋体" w:hAnsi="新宋体" w:eastAsia="新宋体" w:cs="新宋体"/>
          <w:color w:val="auto"/>
        </w:rPr>
        <w:t>系统具有自诊断和寻找故障功能，指出具体故障部位，在现场更换故障部件后即恢复正常工作。</w:t>
      </w:r>
    </w:p>
    <w:p>
      <w:pPr>
        <w:pStyle w:val="29"/>
        <w:ind w:firstLine="472"/>
        <w:rPr>
          <w:rFonts w:ascii="新宋体" w:hAnsi="新宋体" w:eastAsia="新宋体" w:cs="新宋体"/>
          <w:color w:val="auto"/>
        </w:rPr>
      </w:pPr>
      <w:r>
        <w:rPr>
          <w:rFonts w:hint="eastAsia" w:ascii="新宋体" w:hAnsi="新宋体" w:eastAsia="新宋体" w:cs="新宋体"/>
          <w:color w:val="auto"/>
        </w:rPr>
        <w:t>软件故障检测可准确到功能模块，有便于试验和隔离故障的断开点，以便隔离和检查故障。</w:t>
      </w:r>
    </w:p>
    <w:p>
      <w:pPr>
        <w:pStyle w:val="29"/>
        <w:ind w:firstLine="472"/>
        <w:rPr>
          <w:rFonts w:ascii="新宋体" w:hAnsi="新宋体" w:eastAsia="新宋体" w:cs="新宋体"/>
          <w:color w:val="auto"/>
        </w:rPr>
      </w:pPr>
      <w:r>
        <w:rPr>
          <w:rFonts w:hint="eastAsia" w:ascii="新宋体" w:hAnsi="新宋体" w:eastAsia="新宋体" w:cs="新宋体"/>
          <w:color w:val="auto"/>
        </w:rPr>
        <w:t>尽量使用模块化结构，使硬件设备、元器件、模件板有较高的替代能力。</w:t>
      </w:r>
    </w:p>
    <w:p>
      <w:pPr>
        <w:pStyle w:val="29"/>
        <w:ind w:firstLine="472"/>
        <w:rPr>
          <w:rFonts w:ascii="新宋体" w:hAnsi="新宋体" w:eastAsia="新宋体" w:cs="新宋体"/>
          <w:color w:val="auto"/>
        </w:rPr>
      </w:pPr>
      <w:r>
        <w:rPr>
          <w:rFonts w:hint="eastAsia" w:ascii="新宋体" w:hAnsi="新宋体" w:eastAsia="新宋体" w:cs="新宋体"/>
          <w:color w:val="auto"/>
        </w:rPr>
        <w:t>将配备合适的专用安装拆卸工具，便于元器件和模件板的更换。</w:t>
      </w:r>
    </w:p>
    <w:p>
      <w:pPr>
        <w:pStyle w:val="29"/>
        <w:ind w:firstLine="472"/>
        <w:rPr>
          <w:rFonts w:ascii="新宋体" w:hAnsi="新宋体" w:eastAsia="新宋体" w:cs="新宋体"/>
          <w:color w:val="auto"/>
        </w:rPr>
      </w:pPr>
      <w:r>
        <w:rPr>
          <w:rFonts w:hint="eastAsia" w:ascii="新宋体" w:hAnsi="新宋体" w:eastAsia="新宋体" w:cs="新宋体"/>
          <w:color w:val="auto"/>
        </w:rPr>
        <w:t>系统平均修复时间（MTTR）（有备件）:≤0.5h</w:t>
      </w:r>
    </w:p>
    <w:p>
      <w:pPr>
        <w:pStyle w:val="29"/>
        <w:ind w:firstLine="472"/>
        <w:rPr>
          <w:rFonts w:ascii="新宋体" w:hAnsi="新宋体" w:eastAsia="新宋体" w:cs="新宋体"/>
          <w:color w:val="auto"/>
        </w:rPr>
      </w:pPr>
      <w:r>
        <w:rPr>
          <w:rFonts w:hint="eastAsia" w:ascii="新宋体" w:hAnsi="新宋体" w:eastAsia="新宋体" w:cs="新宋体"/>
          <w:color w:val="auto"/>
        </w:rPr>
        <w:t>（5）系统可扩充性</w:t>
      </w:r>
    </w:p>
    <w:p>
      <w:pPr>
        <w:pStyle w:val="29"/>
        <w:ind w:firstLine="472"/>
        <w:rPr>
          <w:rFonts w:ascii="新宋体" w:hAnsi="新宋体" w:eastAsia="新宋体" w:cs="新宋体"/>
          <w:color w:val="auto"/>
        </w:rPr>
      </w:pPr>
      <w:r>
        <w:rPr>
          <w:rFonts w:hint="eastAsia" w:ascii="新宋体" w:hAnsi="新宋体" w:eastAsia="新宋体" w:cs="新宋体"/>
          <w:color w:val="auto"/>
        </w:rPr>
        <w:t>系统具有很强的开放功能，通过简单连接实现系统扩充。</w:t>
      </w:r>
    </w:p>
    <w:p>
      <w:pPr>
        <w:pStyle w:val="29"/>
        <w:ind w:firstLine="472"/>
        <w:rPr>
          <w:rFonts w:ascii="新宋体" w:hAnsi="新宋体" w:eastAsia="新宋体" w:cs="新宋体"/>
          <w:color w:val="auto"/>
        </w:rPr>
      </w:pPr>
      <w:r>
        <w:rPr>
          <w:rFonts w:hint="eastAsia" w:ascii="新宋体" w:hAnsi="新宋体" w:eastAsia="新宋体" w:cs="新宋体"/>
          <w:color w:val="auto"/>
        </w:rPr>
        <w:t>1）CPU负载率：</w:t>
      </w:r>
    </w:p>
    <w:p>
      <w:pPr>
        <w:pStyle w:val="29"/>
        <w:ind w:firstLine="472"/>
        <w:rPr>
          <w:rFonts w:ascii="新宋体" w:hAnsi="新宋体" w:eastAsia="新宋体" w:cs="新宋体"/>
          <w:color w:val="auto"/>
        </w:rPr>
      </w:pPr>
      <w:r>
        <w:rPr>
          <w:rFonts w:hint="eastAsia" w:ascii="新宋体" w:hAnsi="新宋体" w:eastAsia="新宋体" w:cs="新宋体"/>
          <w:color w:val="auto"/>
        </w:rPr>
        <w:t>工作站的CPU负载率：＜30％</w:t>
      </w:r>
    </w:p>
    <w:p>
      <w:pPr>
        <w:pStyle w:val="29"/>
        <w:ind w:firstLine="472"/>
        <w:rPr>
          <w:rFonts w:ascii="新宋体" w:hAnsi="新宋体" w:eastAsia="新宋体" w:cs="新宋体"/>
          <w:color w:val="auto"/>
        </w:rPr>
      </w:pPr>
      <w:r>
        <w:rPr>
          <w:rFonts w:hint="eastAsia" w:ascii="新宋体" w:hAnsi="新宋体" w:eastAsia="新宋体" w:cs="新宋体"/>
          <w:color w:val="auto"/>
        </w:rPr>
        <w:t>PLC层的CPU负载率：＜50％。</w:t>
      </w:r>
    </w:p>
    <w:p>
      <w:pPr>
        <w:pStyle w:val="29"/>
        <w:ind w:firstLine="472"/>
        <w:rPr>
          <w:rFonts w:ascii="新宋体" w:hAnsi="新宋体" w:eastAsia="新宋体" w:cs="新宋体"/>
          <w:color w:val="auto"/>
        </w:rPr>
      </w:pPr>
      <w:r>
        <w:rPr>
          <w:rFonts w:hint="eastAsia" w:ascii="新宋体" w:hAnsi="新宋体" w:eastAsia="新宋体" w:cs="新宋体"/>
          <w:color w:val="auto"/>
        </w:rPr>
        <w:t>2）系统使用裕度：</w:t>
      </w:r>
    </w:p>
    <w:p>
      <w:pPr>
        <w:pStyle w:val="29"/>
        <w:ind w:firstLine="472"/>
        <w:rPr>
          <w:rFonts w:ascii="新宋体" w:hAnsi="新宋体" w:eastAsia="新宋体" w:cs="新宋体"/>
          <w:color w:val="auto"/>
        </w:rPr>
      </w:pPr>
      <w:r>
        <w:rPr>
          <w:rFonts w:hint="eastAsia" w:ascii="新宋体" w:hAnsi="新宋体" w:eastAsia="新宋体" w:cs="新宋体"/>
          <w:color w:val="auto"/>
        </w:rPr>
        <w:t>服务器、工作站和显示操作终端的内存裕度：＞70%</w:t>
      </w:r>
    </w:p>
    <w:p>
      <w:pPr>
        <w:pStyle w:val="29"/>
        <w:ind w:firstLine="472"/>
        <w:rPr>
          <w:rFonts w:ascii="新宋体" w:hAnsi="新宋体" w:eastAsia="新宋体" w:cs="新宋体"/>
          <w:color w:val="auto"/>
        </w:rPr>
      </w:pPr>
      <w:r>
        <w:rPr>
          <w:rFonts w:hint="eastAsia" w:ascii="新宋体" w:hAnsi="新宋体" w:eastAsia="新宋体" w:cs="新宋体"/>
          <w:color w:val="auto"/>
        </w:rPr>
        <w:t>工作站的硬盘使用率：＜40%</w:t>
      </w:r>
    </w:p>
    <w:p>
      <w:pPr>
        <w:pStyle w:val="29"/>
        <w:ind w:firstLine="472"/>
        <w:rPr>
          <w:rFonts w:ascii="新宋体" w:hAnsi="新宋体" w:eastAsia="新宋体" w:cs="新宋体"/>
          <w:color w:val="auto"/>
        </w:rPr>
      </w:pPr>
      <w:r>
        <w:rPr>
          <w:rFonts w:hint="eastAsia" w:ascii="新宋体" w:hAnsi="新宋体" w:eastAsia="新宋体" w:cs="新宋体"/>
          <w:color w:val="auto"/>
        </w:rPr>
        <w:t>各I/O量裕度：＞30%</w:t>
      </w:r>
    </w:p>
    <w:p>
      <w:pPr>
        <w:pStyle w:val="29"/>
        <w:ind w:firstLine="472"/>
        <w:rPr>
          <w:rFonts w:ascii="新宋体" w:hAnsi="新宋体" w:eastAsia="新宋体" w:cs="新宋体"/>
          <w:color w:val="auto"/>
        </w:rPr>
      </w:pPr>
      <w:r>
        <w:rPr>
          <w:rFonts w:hint="eastAsia" w:ascii="新宋体" w:hAnsi="新宋体" w:eastAsia="新宋体" w:cs="新宋体"/>
          <w:color w:val="auto"/>
        </w:rPr>
        <w:t>网络通信负载率：＜20%</w:t>
      </w:r>
    </w:p>
    <w:p>
      <w:pPr>
        <w:pStyle w:val="29"/>
        <w:ind w:firstLine="472"/>
        <w:rPr>
          <w:rFonts w:ascii="新宋体" w:hAnsi="新宋体" w:eastAsia="新宋体" w:cs="新宋体"/>
          <w:color w:val="auto"/>
        </w:rPr>
      </w:pPr>
      <w:r>
        <w:rPr>
          <w:rFonts w:hint="eastAsia" w:ascii="新宋体" w:hAnsi="新宋体" w:eastAsia="新宋体" w:cs="新宋体"/>
          <w:color w:val="auto"/>
        </w:rPr>
        <w:t>（6）系统可变性</w:t>
      </w:r>
    </w:p>
    <w:p>
      <w:pPr>
        <w:pStyle w:val="29"/>
        <w:ind w:firstLine="472"/>
        <w:rPr>
          <w:rFonts w:ascii="新宋体" w:hAnsi="新宋体" w:eastAsia="新宋体" w:cs="新宋体"/>
          <w:color w:val="auto"/>
        </w:rPr>
      </w:pPr>
      <w:r>
        <w:rPr>
          <w:rFonts w:hint="eastAsia" w:ascii="新宋体" w:hAnsi="新宋体" w:eastAsia="新宋体" w:cs="新宋体"/>
          <w:color w:val="auto"/>
        </w:rPr>
        <w:t>可在线进行参数修改及限值修改；</w:t>
      </w:r>
    </w:p>
    <w:p>
      <w:pPr>
        <w:pStyle w:val="29"/>
        <w:ind w:firstLine="472"/>
        <w:rPr>
          <w:rFonts w:ascii="新宋体" w:hAnsi="新宋体" w:eastAsia="新宋体" w:cs="新宋体"/>
          <w:color w:val="auto"/>
        </w:rPr>
      </w:pPr>
      <w:r>
        <w:rPr>
          <w:rFonts w:hint="eastAsia" w:ascii="新宋体" w:hAnsi="新宋体" w:eastAsia="新宋体" w:cs="新宋体"/>
          <w:color w:val="auto"/>
        </w:rPr>
        <w:t>备品备件更换可在线插拨；</w:t>
      </w:r>
    </w:p>
    <w:p>
      <w:pPr>
        <w:pStyle w:val="29"/>
        <w:ind w:firstLine="472"/>
        <w:rPr>
          <w:rFonts w:ascii="新宋体" w:hAnsi="新宋体" w:eastAsia="新宋体" w:cs="新宋体"/>
          <w:color w:val="auto"/>
        </w:rPr>
      </w:pPr>
      <w:r>
        <w:rPr>
          <w:rFonts w:hint="eastAsia" w:ascii="新宋体" w:hAnsi="新宋体" w:eastAsia="新宋体" w:cs="新宋体"/>
          <w:color w:val="auto"/>
        </w:rPr>
        <w:t>可在线补充、修改被测点的定义、定值、单位、标度及其它数据特征；</w:t>
      </w:r>
    </w:p>
    <w:p>
      <w:pPr>
        <w:pStyle w:val="29"/>
        <w:ind w:firstLine="472"/>
        <w:rPr>
          <w:rFonts w:ascii="新宋体" w:hAnsi="新宋体" w:eastAsia="新宋体" w:cs="新宋体"/>
          <w:color w:val="auto"/>
        </w:rPr>
      </w:pPr>
      <w:r>
        <w:rPr>
          <w:rFonts w:hint="eastAsia" w:ascii="新宋体" w:hAnsi="新宋体" w:eastAsia="新宋体" w:cs="新宋体"/>
          <w:color w:val="auto"/>
        </w:rPr>
        <w:t>PLC或终端可重新编址和重新布置；</w:t>
      </w:r>
    </w:p>
    <w:p>
      <w:pPr>
        <w:pStyle w:val="29"/>
        <w:ind w:firstLine="472"/>
        <w:rPr>
          <w:rFonts w:ascii="新宋体" w:hAnsi="新宋体" w:eastAsia="新宋体" w:cs="新宋体"/>
          <w:color w:val="auto"/>
        </w:rPr>
      </w:pPr>
      <w:r>
        <w:rPr>
          <w:rFonts w:hint="eastAsia" w:ascii="新宋体" w:hAnsi="新宋体" w:eastAsia="新宋体" w:cs="新宋体"/>
          <w:color w:val="auto"/>
        </w:rPr>
        <w:t>可自行生成画面、打印报表格式及其它功能。</w:t>
      </w:r>
    </w:p>
    <w:p>
      <w:pPr>
        <w:pStyle w:val="31"/>
        <w:rPr>
          <w:color w:val="auto"/>
        </w:rPr>
      </w:pPr>
      <w:bookmarkStart w:id="62" w:name="_Toc17599"/>
      <w:bookmarkStart w:id="63" w:name="_Toc105750070"/>
      <w:r>
        <w:rPr>
          <w:rFonts w:hint="eastAsia"/>
          <w:color w:val="auto"/>
        </w:rPr>
        <w:t>现地控制单元功能</w:t>
      </w:r>
      <w:bookmarkEnd w:id="62"/>
      <w:bookmarkEnd w:id="63"/>
    </w:p>
    <w:p>
      <w:pPr>
        <w:pStyle w:val="29"/>
        <w:ind w:firstLine="472"/>
        <w:rPr>
          <w:color w:val="auto"/>
        </w:rPr>
      </w:pPr>
      <w:r>
        <w:rPr>
          <w:rFonts w:hint="eastAsia"/>
          <w:color w:val="auto"/>
        </w:rPr>
        <w:t>现场控制站由PLC设备、控制柜、触摸屏、监控交换机、控制附件（包括端子、中间继电器、防雷器、开关电源等）、不间断电源等组成。</w:t>
      </w:r>
    </w:p>
    <w:p>
      <w:pPr>
        <w:pStyle w:val="29"/>
        <w:ind w:firstLine="472"/>
        <w:rPr>
          <w:color w:val="auto"/>
        </w:rPr>
      </w:pPr>
      <w:r>
        <w:rPr>
          <w:rFonts w:hint="eastAsia"/>
          <w:color w:val="auto"/>
        </w:rPr>
        <w:t>（1）可编程逻辑控制器PLC</w:t>
      </w:r>
    </w:p>
    <w:p>
      <w:pPr>
        <w:pStyle w:val="29"/>
        <w:ind w:firstLine="472"/>
        <w:rPr>
          <w:color w:val="auto"/>
        </w:rPr>
      </w:pPr>
      <w:bookmarkStart w:id="64" w:name="_Hlk49593171"/>
      <w:r>
        <w:rPr>
          <w:rFonts w:hint="eastAsia"/>
          <w:color w:val="auto"/>
        </w:rPr>
        <w:t>各现场PLC站应具有下列功能：</w:t>
      </w:r>
    </w:p>
    <w:p>
      <w:pPr>
        <w:pStyle w:val="29"/>
        <w:ind w:firstLine="472"/>
        <w:rPr>
          <w:color w:val="auto"/>
        </w:rPr>
      </w:pPr>
      <w:r>
        <w:rPr>
          <w:rFonts w:hint="eastAsia"/>
          <w:color w:val="auto"/>
        </w:rPr>
        <w:t>a）具有实时监测所属监控工艺流程范围内的水处理过程参数和水质参数，并对采集的上述参数进行处理同时供上位机储存、显示。</w:t>
      </w:r>
    </w:p>
    <w:p>
      <w:pPr>
        <w:pStyle w:val="29"/>
        <w:ind w:firstLine="472"/>
        <w:rPr>
          <w:color w:val="auto"/>
        </w:rPr>
      </w:pPr>
      <w:r>
        <w:rPr>
          <w:rFonts w:hint="eastAsia"/>
          <w:color w:val="auto"/>
        </w:rPr>
        <w:t>b）具有实时监测所属监控工艺流程范围内主要设备的运行状态，并对其进行采集、处理同时供上位机储存、显示。</w:t>
      </w:r>
    </w:p>
    <w:p>
      <w:pPr>
        <w:pStyle w:val="29"/>
        <w:ind w:firstLine="472"/>
        <w:rPr>
          <w:color w:val="auto"/>
        </w:rPr>
      </w:pPr>
      <w:r>
        <w:rPr>
          <w:rFonts w:hint="eastAsia"/>
          <w:color w:val="auto"/>
        </w:rPr>
        <w:t>c）具有全自动控制或调节水泵、搅拌器、鼓风机、阀门等设备。</w:t>
      </w:r>
    </w:p>
    <w:p>
      <w:pPr>
        <w:pStyle w:val="29"/>
        <w:ind w:firstLine="472"/>
        <w:rPr>
          <w:color w:val="auto"/>
        </w:rPr>
      </w:pPr>
      <w:r>
        <w:rPr>
          <w:rFonts w:hint="eastAsia"/>
          <w:color w:val="auto"/>
        </w:rPr>
        <w:t>d）具有自动进行越限保护处理和设备故障自动进行保护。</w:t>
      </w:r>
    </w:p>
    <w:p>
      <w:pPr>
        <w:pStyle w:val="29"/>
        <w:ind w:firstLine="472"/>
        <w:rPr>
          <w:color w:val="auto"/>
        </w:rPr>
      </w:pPr>
      <w:r>
        <w:rPr>
          <w:rFonts w:hint="eastAsia"/>
          <w:color w:val="auto"/>
        </w:rPr>
        <w:t>e）对监控软件的错误指令进行屏蔽处理。</w:t>
      </w:r>
    </w:p>
    <w:p>
      <w:pPr>
        <w:pStyle w:val="29"/>
        <w:ind w:firstLine="472"/>
        <w:rPr>
          <w:color w:val="auto"/>
        </w:rPr>
      </w:pPr>
      <w:r>
        <w:rPr>
          <w:rFonts w:hint="eastAsia"/>
          <w:color w:val="auto"/>
        </w:rPr>
        <w:t>f）用户能自行根据工艺或其它因素的变化进行系统组态。</w:t>
      </w:r>
    </w:p>
    <w:p>
      <w:pPr>
        <w:pStyle w:val="29"/>
        <w:ind w:firstLine="472"/>
        <w:rPr>
          <w:color w:val="auto"/>
        </w:rPr>
      </w:pPr>
      <w:r>
        <w:rPr>
          <w:rFonts w:hint="eastAsia"/>
          <w:color w:val="auto"/>
        </w:rPr>
        <w:t>g）具有可靠的安全措施，具有保护口令，防止越权修改程序。</w:t>
      </w:r>
    </w:p>
    <w:p>
      <w:pPr>
        <w:pStyle w:val="29"/>
        <w:ind w:firstLine="472"/>
        <w:rPr>
          <w:color w:val="auto"/>
        </w:rPr>
      </w:pPr>
      <w:r>
        <w:rPr>
          <w:rFonts w:hint="eastAsia"/>
          <w:color w:val="auto"/>
        </w:rPr>
        <w:t>h）系统具有较强的自检功能和故障自恢复功能，能够承受运行中的各种干扰。</w:t>
      </w:r>
    </w:p>
    <w:bookmarkEnd w:id="64"/>
    <w:p>
      <w:pPr>
        <w:pStyle w:val="29"/>
        <w:ind w:firstLine="472"/>
        <w:rPr>
          <w:color w:val="auto"/>
        </w:rPr>
      </w:pPr>
      <w:r>
        <w:rPr>
          <w:rFonts w:hint="eastAsia"/>
          <w:color w:val="auto"/>
        </w:rPr>
        <w:t>（2）触摸屏人机界面</w:t>
      </w:r>
    </w:p>
    <w:p>
      <w:pPr>
        <w:pStyle w:val="29"/>
        <w:ind w:firstLine="472"/>
        <w:rPr>
          <w:color w:val="auto"/>
        </w:rPr>
      </w:pPr>
      <w:bookmarkStart w:id="65" w:name="_Hlk49593214"/>
      <w:r>
        <w:rPr>
          <w:rFonts w:hint="eastAsia"/>
          <w:color w:val="auto"/>
        </w:rPr>
        <w:t>由于现场控制站较中央控制室环境条件差，PLC现场控制站的人机对话终端采用触摸屏终端。减少操作人员对各种功能键的记忆。采用以图形为主的LCD显示，辅以文字和数字，实时反映现场工作站的生产工况，用来完成以下的工作任务：</w:t>
      </w:r>
    </w:p>
    <w:p>
      <w:pPr>
        <w:pStyle w:val="29"/>
        <w:ind w:firstLine="472"/>
        <w:rPr>
          <w:color w:val="auto"/>
        </w:rPr>
      </w:pPr>
      <w:r>
        <w:rPr>
          <w:rFonts w:hint="eastAsia"/>
          <w:color w:val="auto"/>
        </w:rPr>
        <w:t>a）显示人机监控界面工艺图</w:t>
      </w:r>
    </w:p>
    <w:p>
      <w:pPr>
        <w:pStyle w:val="29"/>
        <w:ind w:firstLine="472"/>
        <w:rPr>
          <w:color w:val="auto"/>
        </w:rPr>
      </w:pPr>
      <w:r>
        <w:rPr>
          <w:rFonts w:hint="eastAsia"/>
          <w:color w:val="auto"/>
        </w:rPr>
        <w:t>显示本工作站整个系统的工艺流程；</w:t>
      </w:r>
    </w:p>
    <w:p>
      <w:pPr>
        <w:pStyle w:val="29"/>
        <w:ind w:firstLine="472"/>
        <w:rPr>
          <w:color w:val="auto"/>
        </w:rPr>
      </w:pPr>
      <w:r>
        <w:rPr>
          <w:rFonts w:hint="eastAsia"/>
          <w:color w:val="auto"/>
        </w:rPr>
        <w:t>显示实时数据和设备运行工况：</w:t>
      </w:r>
    </w:p>
    <w:p>
      <w:pPr>
        <w:pStyle w:val="29"/>
        <w:ind w:firstLine="472"/>
        <w:rPr>
          <w:color w:val="auto"/>
        </w:rPr>
      </w:pPr>
      <w:r>
        <w:rPr>
          <w:rFonts w:hint="eastAsia"/>
          <w:color w:val="auto"/>
        </w:rPr>
        <w:t>水处理实时数据：水质参数、流量、液位、压力、频率、电流、电压等；</w:t>
      </w:r>
    </w:p>
    <w:p>
      <w:pPr>
        <w:pStyle w:val="29"/>
        <w:ind w:firstLine="472"/>
        <w:rPr>
          <w:color w:val="auto"/>
        </w:rPr>
      </w:pPr>
      <w:r>
        <w:rPr>
          <w:rFonts w:hint="eastAsia"/>
          <w:color w:val="auto"/>
        </w:rPr>
        <w:t>累计值的显示：累计流量、累计药量、设备运行台数及运行时间、设备电量（且可以查询某个时间段的电量）；</w:t>
      </w:r>
    </w:p>
    <w:p>
      <w:pPr>
        <w:pStyle w:val="29"/>
        <w:ind w:firstLine="472"/>
        <w:rPr>
          <w:color w:val="auto"/>
        </w:rPr>
      </w:pPr>
      <w:r>
        <w:rPr>
          <w:rFonts w:hint="eastAsia"/>
          <w:color w:val="auto"/>
        </w:rPr>
        <w:t>设备运行工况：运行、停止、故障及潜水泵过载、泄漏等；</w:t>
      </w:r>
    </w:p>
    <w:p>
      <w:pPr>
        <w:pStyle w:val="29"/>
        <w:ind w:firstLine="472"/>
        <w:rPr>
          <w:color w:val="auto"/>
        </w:rPr>
      </w:pPr>
      <w:r>
        <w:rPr>
          <w:rFonts w:hint="eastAsia"/>
          <w:color w:val="auto"/>
        </w:rPr>
        <w:t>设备故障信息：电气故障等。</w:t>
      </w:r>
    </w:p>
    <w:p>
      <w:pPr>
        <w:pStyle w:val="29"/>
        <w:ind w:firstLine="472"/>
        <w:rPr>
          <w:color w:val="auto"/>
        </w:rPr>
      </w:pPr>
      <w:r>
        <w:rPr>
          <w:rFonts w:hint="eastAsia"/>
          <w:color w:val="auto"/>
        </w:rPr>
        <w:t>b）操作终端的操作功能</w:t>
      </w:r>
    </w:p>
    <w:p>
      <w:pPr>
        <w:pStyle w:val="29"/>
        <w:ind w:firstLine="472"/>
        <w:rPr>
          <w:color w:val="auto"/>
        </w:rPr>
      </w:pPr>
      <w:r>
        <w:rPr>
          <w:rFonts w:hint="eastAsia"/>
          <w:color w:val="auto"/>
        </w:rPr>
        <w:t>工艺参数设定调整操作功能；</w:t>
      </w:r>
    </w:p>
    <w:p>
      <w:pPr>
        <w:pStyle w:val="29"/>
        <w:ind w:firstLine="472"/>
        <w:rPr>
          <w:color w:val="auto"/>
        </w:rPr>
      </w:pPr>
      <w:r>
        <w:rPr>
          <w:rFonts w:hint="eastAsia"/>
          <w:color w:val="auto"/>
        </w:rPr>
        <w:t>报警限值设定调整操作功能；</w:t>
      </w:r>
    </w:p>
    <w:p>
      <w:pPr>
        <w:pStyle w:val="29"/>
        <w:ind w:firstLine="472"/>
        <w:rPr>
          <w:color w:val="auto"/>
        </w:rPr>
      </w:pPr>
      <w:r>
        <w:rPr>
          <w:rFonts w:hint="eastAsia"/>
          <w:color w:val="auto"/>
        </w:rPr>
        <w:t>现场键控指令操作功能：可通过键盘或者LCD屏幕上的图形按钮、功能按钮，开启或关停设备，进行参数设定；</w:t>
      </w:r>
    </w:p>
    <w:p>
      <w:pPr>
        <w:pStyle w:val="29"/>
        <w:ind w:firstLine="472"/>
        <w:rPr>
          <w:color w:val="auto"/>
        </w:rPr>
      </w:pPr>
      <w:r>
        <w:rPr>
          <w:rFonts w:hint="eastAsia"/>
          <w:color w:val="auto"/>
        </w:rPr>
        <w:t>操作设置有密码和权限：保证具有操作权限的操作员才能进入操作，避免误操作的产生；</w:t>
      </w:r>
    </w:p>
    <w:p>
      <w:pPr>
        <w:pStyle w:val="29"/>
        <w:ind w:firstLine="472"/>
        <w:rPr>
          <w:color w:val="auto"/>
        </w:rPr>
      </w:pPr>
      <w:r>
        <w:rPr>
          <w:rFonts w:hint="eastAsia"/>
          <w:color w:val="auto"/>
        </w:rPr>
        <w:t>操作必须“申请获准”：有些操作必须得到中控室的批准才能够实施。</w:t>
      </w:r>
    </w:p>
    <w:p>
      <w:pPr>
        <w:pStyle w:val="29"/>
        <w:ind w:firstLine="472"/>
        <w:rPr>
          <w:color w:val="auto"/>
        </w:rPr>
      </w:pPr>
      <w:r>
        <w:rPr>
          <w:rFonts w:hint="eastAsia"/>
          <w:color w:val="auto"/>
        </w:rPr>
        <w:t>c）设备故障信息显示报警功能</w:t>
      </w:r>
    </w:p>
    <w:p>
      <w:pPr>
        <w:pStyle w:val="29"/>
        <w:ind w:firstLine="472"/>
        <w:rPr>
          <w:color w:val="auto"/>
        </w:rPr>
      </w:pPr>
      <w:r>
        <w:rPr>
          <w:rFonts w:hint="eastAsia"/>
          <w:color w:val="auto"/>
        </w:rPr>
        <w:t>所有的故障信息均能实时显示；</w:t>
      </w:r>
    </w:p>
    <w:p>
      <w:pPr>
        <w:pStyle w:val="29"/>
        <w:ind w:firstLine="472"/>
        <w:rPr>
          <w:color w:val="auto"/>
        </w:rPr>
      </w:pPr>
      <w:r>
        <w:rPr>
          <w:rFonts w:hint="eastAsia"/>
          <w:color w:val="auto"/>
        </w:rPr>
        <w:t>故障信息用“红色”+闪光报警；</w:t>
      </w:r>
    </w:p>
    <w:p>
      <w:pPr>
        <w:pStyle w:val="29"/>
        <w:ind w:firstLine="472"/>
        <w:rPr>
          <w:color w:val="auto"/>
        </w:rPr>
      </w:pPr>
      <w:r>
        <w:rPr>
          <w:rFonts w:hint="eastAsia"/>
          <w:color w:val="auto"/>
        </w:rPr>
        <w:t>工艺设备故障预判断系统，并在面板上用“黄色”+闪光报警。</w:t>
      </w:r>
    </w:p>
    <w:bookmarkEnd w:id="65"/>
    <w:p>
      <w:pPr>
        <w:pStyle w:val="31"/>
        <w:rPr>
          <w:color w:val="auto"/>
        </w:rPr>
      </w:pPr>
      <w:bookmarkStart w:id="66" w:name="_Toc27460"/>
      <w:bookmarkStart w:id="67" w:name="_Toc105750072"/>
      <w:r>
        <w:rPr>
          <w:rFonts w:hint="eastAsia"/>
          <w:color w:val="auto"/>
        </w:rPr>
        <w:t>主要设备技术参数及要求</w:t>
      </w:r>
      <w:bookmarkEnd w:id="66"/>
      <w:bookmarkEnd w:id="67"/>
    </w:p>
    <w:p>
      <w:pPr>
        <w:pStyle w:val="49"/>
        <w:ind w:firstLine="429" w:firstLineChars="184"/>
        <w:rPr>
          <w:rFonts w:eastAsiaTheme="minorEastAsia" w:cstheme="minorBidi"/>
          <w:b/>
          <w:bCs/>
          <w:color w:val="auto"/>
          <w:spacing w:val="-4"/>
          <w:szCs w:val="22"/>
        </w:rPr>
      </w:pPr>
      <w:bookmarkStart w:id="68" w:name="_Hlk27765561"/>
      <w:r>
        <w:rPr>
          <w:rFonts w:hint="eastAsia" w:eastAsiaTheme="minorEastAsia" w:cstheme="minorBidi"/>
          <w:b/>
          <w:bCs/>
          <w:color w:val="auto"/>
          <w:spacing w:val="-4"/>
          <w:szCs w:val="22"/>
        </w:rPr>
        <w:t>a）容错服务器</w:t>
      </w:r>
    </w:p>
    <w:p>
      <w:pPr>
        <w:pStyle w:val="29"/>
        <w:ind w:firstLine="472"/>
        <w:rPr>
          <w:color w:val="auto"/>
        </w:rPr>
      </w:pPr>
      <w:r>
        <w:rPr>
          <w:rFonts w:hint="eastAsia"/>
          <w:color w:val="auto"/>
        </w:rPr>
        <w:t>全硬件级冗余的工业标准容错服务器，可靠性达到99.999</w:t>
      </w:r>
      <w:r>
        <w:rPr>
          <w:color w:val="auto"/>
        </w:rPr>
        <w:t>8</w:t>
      </w:r>
      <w:r>
        <w:rPr>
          <w:rFonts w:hint="eastAsia"/>
          <w:color w:val="auto"/>
        </w:rPr>
        <w:t>%以上</w:t>
      </w:r>
    </w:p>
    <w:p>
      <w:pPr>
        <w:pStyle w:val="29"/>
        <w:ind w:firstLine="472"/>
        <w:rPr>
          <w:color w:val="auto"/>
        </w:rPr>
      </w:pPr>
      <w:r>
        <w:rPr>
          <w:rFonts w:hint="eastAsia"/>
          <w:color w:val="auto"/>
        </w:rPr>
        <w:t>电源、CPU、内存、I/O控制组件采用冗余配置；</w:t>
      </w:r>
    </w:p>
    <w:p>
      <w:pPr>
        <w:pStyle w:val="29"/>
        <w:ind w:firstLine="472"/>
        <w:rPr>
          <w:color w:val="auto"/>
        </w:rPr>
      </w:pPr>
      <w:r>
        <w:rPr>
          <w:rFonts w:hint="eastAsia"/>
          <w:color w:val="auto"/>
        </w:rPr>
        <w:t>集成锁步（LOCK-STEP）技术，同步芯片应可在不占用CPU资源及增加内存负担的前提下实现系统的同步。</w:t>
      </w:r>
    </w:p>
    <w:p>
      <w:pPr>
        <w:pStyle w:val="29"/>
        <w:ind w:firstLine="472"/>
        <w:rPr>
          <w:color w:val="auto"/>
        </w:rPr>
      </w:pPr>
      <w:r>
        <w:rPr>
          <w:rFonts w:hint="eastAsia"/>
          <w:color w:val="auto"/>
        </w:rPr>
        <w:t>服务器具体指标不低于以下配置：双模块冗余机架式容错服务器（4U），整机含有2个或以上服务器模块；</w:t>
      </w:r>
    </w:p>
    <w:p>
      <w:pPr>
        <w:pStyle w:val="29"/>
        <w:ind w:firstLine="472"/>
        <w:rPr>
          <w:color w:val="auto"/>
        </w:rPr>
      </w:pPr>
      <w:r>
        <w:rPr>
          <w:rFonts w:hint="eastAsia"/>
          <w:color w:val="auto"/>
        </w:rPr>
        <w:t>每模块：一个IntelXeonSilver4</w:t>
      </w:r>
      <w:r>
        <w:rPr>
          <w:color w:val="auto"/>
        </w:rPr>
        <w:t>114</w:t>
      </w:r>
      <w:r>
        <w:rPr>
          <w:rFonts w:hint="eastAsia"/>
          <w:color w:val="auto"/>
        </w:rPr>
        <w:t>处理器，10核2.2GHz，1</w:t>
      </w:r>
      <w:r>
        <w:rPr>
          <w:color w:val="auto"/>
        </w:rPr>
        <w:t>3.75</w:t>
      </w:r>
      <w:r>
        <w:rPr>
          <w:rFonts w:hint="eastAsia"/>
          <w:color w:val="auto"/>
        </w:rPr>
        <w:t>MHz高速缓存；配置物理内存配置为</w:t>
      </w:r>
      <w:r>
        <w:rPr>
          <w:color w:val="auto"/>
        </w:rPr>
        <w:t>16</w:t>
      </w:r>
      <w:r>
        <w:rPr>
          <w:rFonts w:hint="eastAsia"/>
          <w:color w:val="auto"/>
        </w:rPr>
        <w:t>GBDDR4；</w:t>
      </w:r>
    </w:p>
    <w:p>
      <w:pPr>
        <w:pStyle w:val="29"/>
        <w:ind w:firstLine="472"/>
        <w:rPr>
          <w:color w:val="auto"/>
        </w:rPr>
      </w:pPr>
      <w:r>
        <w:rPr>
          <w:rFonts w:hint="eastAsia"/>
          <w:color w:val="auto"/>
        </w:rPr>
        <w:t>包含2个100M/1000M自适应以太网口，采用工业标准热插拔内置硬盘并作RAID1保护，系统盘设置为1块</w:t>
      </w:r>
      <w:r>
        <w:rPr>
          <w:color w:val="auto"/>
        </w:rPr>
        <w:t>6</w:t>
      </w:r>
      <w:r>
        <w:rPr>
          <w:rFonts w:hint="eastAsia"/>
          <w:color w:val="auto"/>
        </w:rPr>
        <w:t>00GSSD硬盘，数据盘设置为1块1.2T硬盘，并可根据需求扩展磁盘阵列；</w:t>
      </w:r>
    </w:p>
    <w:p>
      <w:pPr>
        <w:pStyle w:val="29"/>
        <w:ind w:firstLine="472"/>
        <w:rPr>
          <w:color w:val="auto"/>
        </w:rPr>
      </w:pPr>
      <w:r>
        <w:rPr>
          <w:rFonts w:hint="eastAsia"/>
          <w:color w:val="auto"/>
        </w:rPr>
        <w:t>必须配置相应的ftSever服务器驱动管理软件AUL。</w:t>
      </w:r>
    </w:p>
    <w:p>
      <w:pPr>
        <w:pStyle w:val="29"/>
        <w:ind w:firstLine="472"/>
        <w:rPr>
          <w:color w:val="auto"/>
        </w:rPr>
      </w:pPr>
      <w:r>
        <w:rPr>
          <w:rFonts w:hint="eastAsia"/>
          <w:color w:val="auto"/>
        </w:rPr>
        <w:t>冗余部件在同一时钟周期做同样的指令，部件故障时不产生切换，动态数据得到可靠保护；</w:t>
      </w:r>
    </w:p>
    <w:p>
      <w:pPr>
        <w:pStyle w:val="29"/>
        <w:ind w:firstLine="472"/>
        <w:rPr>
          <w:color w:val="auto"/>
        </w:rPr>
      </w:pPr>
      <w:r>
        <w:rPr>
          <w:rFonts w:hint="eastAsia"/>
          <w:color w:val="auto"/>
        </w:rPr>
        <w:t>所有部件均可以模块化的方式进行热插拔，即CPU、内存、电源、风扇、硬盘、网卡、所有I/O设备、甚至主板出现故障时，均可不停机进行更换，能把硬件故障导致的平均非计划停机时间控制在每年2分钟之内。</w:t>
      </w:r>
    </w:p>
    <w:p>
      <w:pPr>
        <w:pStyle w:val="29"/>
        <w:ind w:firstLine="472"/>
        <w:rPr>
          <w:color w:val="auto"/>
        </w:rPr>
      </w:pPr>
      <w:r>
        <w:rPr>
          <w:rFonts w:hint="eastAsia"/>
          <w:color w:val="auto"/>
        </w:rPr>
        <w:t>配置正版操作系统软件和系统管理软件。</w:t>
      </w:r>
    </w:p>
    <w:p>
      <w:pPr>
        <w:pStyle w:val="29"/>
        <w:ind w:firstLine="472"/>
        <w:rPr>
          <w:color w:val="auto"/>
        </w:rPr>
      </w:pPr>
      <w:r>
        <w:rPr>
          <w:rFonts w:hint="eastAsia"/>
          <w:color w:val="auto"/>
        </w:rPr>
        <w:t>提供原厂授权书，原厂家针对本项目的三年原厂质保服务承诺函;所提供货物必须是原厂原装正品，并在交货时提供原制造厂商针对本项目出具的《原厂质保证明》（内含产品序列号S/N编码）；</w:t>
      </w:r>
    </w:p>
    <w:p>
      <w:pPr>
        <w:pStyle w:val="49"/>
        <w:ind w:firstLine="429" w:firstLineChars="184"/>
        <w:rPr>
          <w:rFonts w:eastAsiaTheme="minorEastAsia" w:cstheme="minorBidi"/>
          <w:b/>
          <w:bCs/>
          <w:color w:val="auto"/>
          <w:spacing w:val="-4"/>
          <w:szCs w:val="22"/>
        </w:rPr>
      </w:pPr>
      <w:r>
        <w:rPr>
          <w:rFonts w:hint="eastAsia" w:eastAsiaTheme="minorEastAsia" w:cstheme="minorBidi"/>
          <w:b/>
          <w:bCs/>
          <w:color w:val="auto"/>
          <w:spacing w:val="-4"/>
          <w:szCs w:val="22"/>
        </w:rPr>
        <w:t>b）数据库服务器</w:t>
      </w:r>
    </w:p>
    <w:p>
      <w:pPr>
        <w:pStyle w:val="29"/>
        <w:ind w:firstLine="472"/>
        <w:rPr>
          <w:color w:val="auto"/>
        </w:rPr>
      </w:pPr>
      <w:r>
        <w:rPr>
          <w:rFonts w:hint="eastAsia"/>
          <w:color w:val="auto"/>
        </w:rPr>
        <w:t>CPU：英特尔至强银牌4210（2.2GHz/10-Core/13.75MB/85W）</w:t>
      </w:r>
    </w:p>
    <w:p>
      <w:pPr>
        <w:pStyle w:val="29"/>
        <w:ind w:firstLine="472"/>
        <w:rPr>
          <w:color w:val="auto"/>
        </w:rPr>
      </w:pPr>
      <w:r>
        <w:rPr>
          <w:rFonts w:hint="eastAsia"/>
          <w:color w:val="auto"/>
        </w:rPr>
        <w:t>RAM：32G</w:t>
      </w:r>
    </w:p>
    <w:p>
      <w:pPr>
        <w:pStyle w:val="29"/>
        <w:ind w:firstLine="472"/>
        <w:rPr>
          <w:color w:val="auto"/>
        </w:rPr>
      </w:pPr>
      <w:r>
        <w:rPr>
          <w:rFonts w:hint="eastAsia"/>
          <w:color w:val="auto"/>
        </w:rPr>
        <w:t>HDD：6*600GSAS硬盘（支持RAID1，5）</w:t>
      </w:r>
    </w:p>
    <w:p>
      <w:pPr>
        <w:pStyle w:val="29"/>
        <w:ind w:firstLine="472"/>
        <w:rPr>
          <w:color w:val="auto"/>
        </w:rPr>
      </w:pPr>
      <w:r>
        <w:rPr>
          <w:rFonts w:hint="eastAsia"/>
          <w:color w:val="auto"/>
        </w:rPr>
        <w:t>网卡：千兆网卡</w:t>
      </w:r>
    </w:p>
    <w:p>
      <w:pPr>
        <w:pStyle w:val="29"/>
        <w:ind w:firstLine="472"/>
        <w:rPr>
          <w:color w:val="auto"/>
        </w:rPr>
      </w:pPr>
      <w:r>
        <w:rPr>
          <w:rFonts w:hint="eastAsia"/>
          <w:color w:val="auto"/>
        </w:rPr>
        <w:t>操作系统：WindowsServer2019标准版，简体中文，10用户，64位</w:t>
      </w:r>
    </w:p>
    <w:p>
      <w:pPr>
        <w:pStyle w:val="29"/>
        <w:ind w:firstLine="472"/>
        <w:rPr>
          <w:color w:val="auto"/>
        </w:rPr>
      </w:pPr>
      <w:r>
        <w:rPr>
          <w:rFonts w:hint="eastAsia"/>
          <w:color w:val="auto"/>
        </w:rPr>
        <w:t>数据库：SQLServer2019,简体中文标准版，5用户</w:t>
      </w:r>
    </w:p>
    <w:p>
      <w:pPr>
        <w:pStyle w:val="29"/>
        <w:ind w:firstLine="472"/>
        <w:rPr>
          <w:color w:val="auto"/>
        </w:rPr>
      </w:pPr>
      <w:r>
        <w:rPr>
          <w:rFonts w:hint="eastAsia"/>
          <w:color w:val="auto"/>
        </w:rPr>
        <w:t>维保服务：3年专业支持</w:t>
      </w:r>
    </w:p>
    <w:p>
      <w:pPr>
        <w:pStyle w:val="49"/>
        <w:ind w:firstLine="429" w:firstLineChars="184"/>
        <w:rPr>
          <w:rFonts w:eastAsiaTheme="minorEastAsia" w:cstheme="minorBidi"/>
          <w:b/>
          <w:bCs/>
          <w:color w:val="auto"/>
          <w:spacing w:val="-4"/>
          <w:szCs w:val="22"/>
        </w:rPr>
      </w:pPr>
      <w:r>
        <w:rPr>
          <w:rFonts w:hint="eastAsia" w:eastAsiaTheme="minorEastAsia" w:cstheme="minorBidi"/>
          <w:b/>
          <w:bCs/>
          <w:color w:val="auto"/>
          <w:spacing w:val="-4"/>
          <w:szCs w:val="22"/>
        </w:rPr>
        <w:t>c）核心交换机</w:t>
      </w:r>
    </w:p>
    <w:p>
      <w:pPr>
        <w:pStyle w:val="29"/>
        <w:ind w:firstLine="472"/>
        <w:rPr>
          <w:color w:val="auto"/>
        </w:rPr>
      </w:pPr>
      <w:r>
        <w:rPr>
          <w:rFonts w:hint="eastAsia"/>
          <w:color w:val="auto"/>
        </w:rPr>
        <w:t>自控核心交换机选用</w:t>
      </w:r>
      <w:r>
        <w:rPr>
          <w:rFonts w:hint="eastAsia"/>
          <w:bCs/>
          <w:color w:val="auto"/>
        </w:rPr>
        <w:t>工业型交换机</w:t>
      </w:r>
    </w:p>
    <w:p>
      <w:pPr>
        <w:pStyle w:val="29"/>
        <w:ind w:firstLine="472"/>
        <w:rPr>
          <w:color w:val="auto"/>
        </w:rPr>
      </w:pPr>
      <w:r>
        <w:rPr>
          <w:rFonts w:hint="eastAsia"/>
          <w:color w:val="auto"/>
        </w:rPr>
        <w:t>（1）三层工业级以太网交换机，19英寸机架式安装，采用无风扇散热设计。</w:t>
      </w:r>
    </w:p>
    <w:p>
      <w:pPr>
        <w:pStyle w:val="29"/>
        <w:ind w:firstLine="472"/>
        <w:rPr>
          <w:color w:val="auto"/>
        </w:rPr>
      </w:pPr>
      <w:r>
        <w:rPr>
          <w:rFonts w:hint="eastAsia"/>
          <w:color w:val="auto"/>
        </w:rPr>
        <w:t>（2）电源模块支持交直流供电，可选AC220V或DC24V/48V，并支持上下20%的浮动。</w:t>
      </w:r>
    </w:p>
    <w:p>
      <w:pPr>
        <w:pStyle w:val="29"/>
        <w:ind w:firstLine="472"/>
        <w:rPr>
          <w:color w:val="auto"/>
        </w:rPr>
      </w:pPr>
      <w:r>
        <w:rPr>
          <w:rFonts w:hint="eastAsia"/>
          <w:color w:val="auto"/>
        </w:rPr>
        <w:t>（3）背板带宽不小于144Gbps，包转发率不小于107Mpps。</w:t>
      </w:r>
    </w:p>
    <w:p>
      <w:pPr>
        <w:pStyle w:val="29"/>
        <w:ind w:firstLine="472"/>
        <w:rPr>
          <w:color w:val="auto"/>
        </w:rPr>
      </w:pPr>
      <w:r>
        <w:rPr>
          <w:rFonts w:hint="eastAsia"/>
          <w:color w:val="auto"/>
        </w:rPr>
        <w:t>（4）封包缓冲区不低于32Mbit。</w:t>
      </w:r>
    </w:p>
    <w:p>
      <w:pPr>
        <w:pStyle w:val="29"/>
        <w:ind w:firstLine="472"/>
        <w:rPr>
          <w:color w:val="auto"/>
        </w:rPr>
      </w:pPr>
      <w:r>
        <w:rPr>
          <w:rFonts w:hint="eastAsia"/>
          <w:color w:val="auto"/>
        </w:rPr>
        <w:t>（5）支持OSFPv2，静态路由，RIPv1/v2，IGMP，PIM-SM,PIM-DM。</w:t>
      </w:r>
    </w:p>
    <w:p>
      <w:pPr>
        <w:pStyle w:val="29"/>
        <w:ind w:firstLine="472"/>
        <w:rPr>
          <w:color w:val="auto"/>
        </w:rPr>
      </w:pPr>
      <w:r>
        <w:rPr>
          <w:rFonts w:hint="eastAsia"/>
          <w:color w:val="auto"/>
        </w:rPr>
        <w:t>（6）支持IEEE802.1QVLAN和GVRP。</w:t>
      </w:r>
    </w:p>
    <w:p>
      <w:pPr>
        <w:pStyle w:val="29"/>
        <w:ind w:firstLine="472"/>
        <w:rPr>
          <w:color w:val="auto"/>
        </w:rPr>
      </w:pPr>
      <w:r>
        <w:rPr>
          <w:rFonts w:hint="eastAsia"/>
          <w:color w:val="auto"/>
        </w:rPr>
        <w:t>（7）支持QoS-IEEE802.1p/1Q和TOS/DiffServ，支持802.3ad，LACP，优化网络带宽。</w:t>
      </w:r>
    </w:p>
    <w:p>
      <w:pPr>
        <w:pStyle w:val="29"/>
        <w:ind w:firstLine="472"/>
        <w:rPr>
          <w:color w:val="auto"/>
        </w:rPr>
      </w:pPr>
      <w:r>
        <w:rPr>
          <w:rFonts w:hint="eastAsia"/>
          <w:color w:val="auto"/>
        </w:rPr>
        <w:t>（8）支持IEEE802.1x、HTTPs/SSL、SFTPClient、SSH、RADIUS、用户分级，增加网络安全性。</w:t>
      </w:r>
    </w:p>
    <w:p>
      <w:pPr>
        <w:pStyle w:val="29"/>
        <w:ind w:firstLine="472"/>
        <w:rPr>
          <w:color w:val="auto"/>
        </w:rPr>
      </w:pPr>
      <w:r>
        <w:rPr>
          <w:rFonts w:hint="eastAsia"/>
          <w:color w:val="auto"/>
        </w:rPr>
        <w:t>（9）支持网络风暴抑制，支持广播风暴抑制、组播风暴抑制和未知单播风暴抑制功能，网络风暴抑制最小粒度宜不超过64kbits/s或者1pps。</w:t>
      </w:r>
    </w:p>
    <w:p>
      <w:pPr>
        <w:pStyle w:val="29"/>
        <w:ind w:firstLine="472"/>
        <w:rPr>
          <w:color w:val="auto"/>
        </w:rPr>
      </w:pPr>
      <w:r>
        <w:rPr>
          <w:rFonts w:hint="eastAsia"/>
          <w:color w:val="auto"/>
        </w:rPr>
        <w:t>（10）支持SNMPv1/v2c/v3、Syslog用于不同级别的网络管理；支持RMON，有效监控网络。</w:t>
      </w:r>
    </w:p>
    <w:p>
      <w:pPr>
        <w:pStyle w:val="29"/>
        <w:ind w:firstLine="472"/>
        <w:rPr>
          <w:color w:val="auto"/>
        </w:rPr>
      </w:pPr>
      <w:r>
        <w:rPr>
          <w:rFonts w:hint="eastAsia"/>
          <w:color w:val="auto"/>
        </w:rPr>
        <w:t>（11）支持基于MAC地址的端口锁定，防止非法入侵。</w:t>
      </w:r>
    </w:p>
    <w:p>
      <w:pPr>
        <w:pStyle w:val="29"/>
        <w:ind w:firstLine="472"/>
        <w:rPr>
          <w:color w:val="auto"/>
        </w:rPr>
      </w:pPr>
      <w:r>
        <w:rPr>
          <w:rFonts w:hint="eastAsia"/>
          <w:color w:val="auto"/>
        </w:rPr>
        <w:t>（12）支持端口镜像功能，便于在线调试。</w:t>
      </w:r>
    </w:p>
    <w:p>
      <w:pPr>
        <w:pStyle w:val="29"/>
        <w:ind w:firstLine="472"/>
        <w:rPr>
          <w:color w:val="auto"/>
        </w:rPr>
      </w:pPr>
      <w:r>
        <w:rPr>
          <w:rFonts w:hint="eastAsia"/>
          <w:color w:val="auto"/>
        </w:rPr>
        <w:t>（13）支持符合IEC62439标准的冗余环网功能，冗余环网自愈时间低于20ms。</w:t>
      </w:r>
    </w:p>
    <w:p>
      <w:pPr>
        <w:pStyle w:val="29"/>
        <w:ind w:firstLine="472"/>
        <w:rPr>
          <w:color w:val="auto"/>
        </w:rPr>
      </w:pPr>
      <w:r>
        <w:rPr>
          <w:rFonts w:hint="eastAsia"/>
          <w:color w:val="auto"/>
        </w:rPr>
        <w:t>（14）可通过Web浏览器，Telnet/SerialConsole，进行配置；支持配置备份和还原，以便运营维护人员方便、快速地备份和恢复设备配置。</w:t>
      </w:r>
    </w:p>
    <w:p>
      <w:pPr>
        <w:pStyle w:val="29"/>
        <w:ind w:firstLine="472"/>
        <w:rPr>
          <w:color w:val="auto"/>
        </w:rPr>
      </w:pPr>
      <w:r>
        <w:rPr>
          <w:rFonts w:hint="eastAsia"/>
          <w:color w:val="auto"/>
        </w:rPr>
        <w:t>（15）配置不少于4个千兆SFP光口，24个千兆/百兆自适应以太网电口。</w:t>
      </w:r>
    </w:p>
    <w:p>
      <w:pPr>
        <w:pStyle w:val="29"/>
        <w:ind w:firstLine="472"/>
        <w:rPr>
          <w:color w:val="auto"/>
        </w:rPr>
      </w:pPr>
      <w:r>
        <w:rPr>
          <w:rFonts w:hint="eastAsia"/>
          <w:color w:val="auto"/>
        </w:rPr>
        <w:t>（16）支持巨型帧传输。</w:t>
      </w:r>
    </w:p>
    <w:p>
      <w:pPr>
        <w:pStyle w:val="29"/>
        <w:ind w:firstLine="472"/>
        <w:rPr>
          <w:color w:val="auto"/>
        </w:rPr>
      </w:pPr>
      <w:r>
        <w:rPr>
          <w:rFonts w:hint="eastAsia"/>
          <w:color w:val="auto"/>
        </w:rPr>
        <w:t>（17）支持硬件路由缓存功能，路由表缓存数量不低于4K。</w:t>
      </w:r>
    </w:p>
    <w:p>
      <w:pPr>
        <w:pStyle w:val="29"/>
        <w:ind w:firstLine="472"/>
        <w:rPr>
          <w:color w:val="auto"/>
        </w:rPr>
      </w:pPr>
      <w:r>
        <w:rPr>
          <w:rFonts w:hint="eastAsia"/>
          <w:color w:val="auto"/>
        </w:rPr>
        <w:t>（18）支持光功率检测功能。</w:t>
      </w:r>
    </w:p>
    <w:p>
      <w:pPr>
        <w:pStyle w:val="29"/>
        <w:ind w:firstLine="472"/>
        <w:rPr>
          <w:color w:val="auto"/>
        </w:rPr>
      </w:pPr>
      <w:r>
        <w:rPr>
          <w:rFonts w:hint="eastAsia"/>
          <w:color w:val="auto"/>
        </w:rPr>
        <w:t>（19）支持基于硬件的1588对时协议，对时精度±200ns。</w:t>
      </w:r>
    </w:p>
    <w:p>
      <w:pPr>
        <w:pStyle w:val="29"/>
        <w:ind w:firstLine="472"/>
        <w:rPr>
          <w:color w:val="auto"/>
        </w:rPr>
      </w:pPr>
      <w:r>
        <w:rPr>
          <w:rFonts w:hint="eastAsia"/>
          <w:color w:val="auto"/>
        </w:rPr>
        <w:t>（20）支持基于NAT的IP转换功能。</w:t>
      </w:r>
    </w:p>
    <w:p>
      <w:pPr>
        <w:pStyle w:val="29"/>
        <w:ind w:firstLine="472"/>
        <w:rPr>
          <w:color w:val="auto"/>
        </w:rPr>
      </w:pPr>
      <w:r>
        <w:rPr>
          <w:rFonts w:hint="eastAsia"/>
          <w:color w:val="auto"/>
        </w:rPr>
        <w:t>（21）可靠性：MTBF≥35年。</w:t>
      </w:r>
    </w:p>
    <w:p>
      <w:pPr>
        <w:pStyle w:val="29"/>
        <w:ind w:firstLine="472"/>
        <w:rPr>
          <w:color w:val="auto"/>
        </w:rPr>
      </w:pPr>
      <w:r>
        <w:rPr>
          <w:rFonts w:hint="eastAsia"/>
          <w:color w:val="auto"/>
        </w:rPr>
        <w:t>（22）工作温度-40℃～+75℃。</w:t>
      </w:r>
    </w:p>
    <w:p>
      <w:pPr>
        <w:pStyle w:val="29"/>
        <w:ind w:firstLine="472"/>
        <w:rPr>
          <w:color w:val="auto"/>
        </w:rPr>
      </w:pPr>
      <w:r>
        <w:rPr>
          <w:rFonts w:hint="eastAsia"/>
          <w:color w:val="auto"/>
        </w:rPr>
        <w:t>（23）满足工业三级电磁兼容标准。</w:t>
      </w:r>
    </w:p>
    <w:p>
      <w:pPr>
        <w:pStyle w:val="29"/>
        <w:ind w:firstLine="472"/>
        <w:rPr>
          <w:color w:val="auto"/>
        </w:rPr>
      </w:pPr>
      <w:r>
        <w:rPr>
          <w:rFonts w:hint="eastAsia"/>
          <w:color w:val="auto"/>
        </w:rPr>
        <w:t>（24）防护等级：IP30及以上。</w:t>
      </w:r>
    </w:p>
    <w:p>
      <w:pPr>
        <w:pStyle w:val="29"/>
        <w:ind w:firstLine="472"/>
        <w:rPr>
          <w:color w:val="auto"/>
        </w:rPr>
      </w:pPr>
      <w:r>
        <w:rPr>
          <w:rFonts w:hint="eastAsia"/>
          <w:color w:val="auto"/>
        </w:rPr>
        <w:t>（25）通过CE、FCC认证。</w:t>
      </w:r>
    </w:p>
    <w:p>
      <w:pPr>
        <w:pStyle w:val="29"/>
        <w:ind w:firstLine="472"/>
        <w:rPr>
          <w:color w:val="auto"/>
        </w:rPr>
      </w:pPr>
      <w:r>
        <w:rPr>
          <w:rFonts w:hint="eastAsia"/>
          <w:color w:val="auto"/>
        </w:rPr>
        <w:t>（26）取得提供工信部入网许可证。</w:t>
      </w:r>
    </w:p>
    <w:p>
      <w:pPr>
        <w:pStyle w:val="49"/>
        <w:ind w:firstLine="429" w:firstLineChars="184"/>
        <w:rPr>
          <w:rFonts w:eastAsiaTheme="minorEastAsia" w:cstheme="minorBidi"/>
          <w:b/>
          <w:bCs/>
          <w:color w:val="auto"/>
          <w:spacing w:val="-4"/>
          <w:szCs w:val="22"/>
        </w:rPr>
      </w:pPr>
      <w:r>
        <w:rPr>
          <w:rFonts w:eastAsiaTheme="minorEastAsia" w:cstheme="minorBidi"/>
          <w:b/>
          <w:bCs/>
          <w:color w:val="auto"/>
          <w:spacing w:val="-4"/>
          <w:szCs w:val="22"/>
        </w:rPr>
        <w:t>d</w:t>
      </w:r>
      <w:r>
        <w:rPr>
          <w:rFonts w:hint="eastAsia" w:eastAsiaTheme="minorEastAsia" w:cstheme="minorBidi"/>
          <w:b/>
          <w:bCs/>
          <w:color w:val="auto"/>
          <w:spacing w:val="-4"/>
          <w:szCs w:val="22"/>
        </w:rPr>
        <w:t>）控制站接入交换机</w:t>
      </w:r>
    </w:p>
    <w:p>
      <w:pPr>
        <w:pStyle w:val="29"/>
        <w:ind w:firstLine="472"/>
        <w:rPr>
          <w:color w:val="auto"/>
        </w:rPr>
      </w:pPr>
      <w:r>
        <w:rPr>
          <w:rFonts w:hint="eastAsia"/>
          <w:color w:val="auto"/>
        </w:rPr>
        <w:t>自控接入交换机选用</w:t>
      </w:r>
      <w:r>
        <w:rPr>
          <w:rFonts w:hint="eastAsia"/>
          <w:bCs/>
          <w:color w:val="auto"/>
        </w:rPr>
        <w:t>工业型交换机</w:t>
      </w:r>
    </w:p>
    <w:p>
      <w:pPr>
        <w:pStyle w:val="29"/>
        <w:ind w:firstLine="472"/>
        <w:rPr>
          <w:color w:val="auto"/>
        </w:rPr>
      </w:pPr>
      <w:r>
        <w:rPr>
          <w:rFonts w:hint="eastAsia"/>
          <w:color w:val="auto"/>
        </w:rPr>
        <w:t>（1）二层以太网交换机，网管型，卡轨式安装，采用无风扇散热设计。</w:t>
      </w:r>
    </w:p>
    <w:p>
      <w:pPr>
        <w:pStyle w:val="29"/>
        <w:ind w:firstLine="472"/>
        <w:rPr>
          <w:color w:val="auto"/>
        </w:rPr>
      </w:pPr>
      <w:r>
        <w:rPr>
          <w:rFonts w:hint="eastAsia"/>
          <w:color w:val="auto"/>
        </w:rPr>
        <w:t>（2）电源模块支持交直流供电，可选AC220V或DC24V/48V，并支持上下20%的浮动。</w:t>
      </w:r>
    </w:p>
    <w:p>
      <w:pPr>
        <w:pStyle w:val="29"/>
        <w:ind w:firstLine="472"/>
        <w:rPr>
          <w:color w:val="auto"/>
        </w:rPr>
      </w:pPr>
      <w:r>
        <w:rPr>
          <w:rFonts w:hint="eastAsia"/>
          <w:color w:val="auto"/>
        </w:rPr>
        <w:t>（3）至少提供4个千兆SFP光口，16个百兆电口。</w:t>
      </w:r>
    </w:p>
    <w:p>
      <w:pPr>
        <w:pStyle w:val="29"/>
        <w:ind w:firstLine="472"/>
        <w:rPr>
          <w:color w:val="auto"/>
        </w:rPr>
      </w:pPr>
      <w:r>
        <w:rPr>
          <w:rFonts w:hint="eastAsia"/>
          <w:color w:val="auto"/>
        </w:rPr>
        <w:t>（4）背板带宽不小于40Gbps，包转发率不小于29.8Mpps。</w:t>
      </w:r>
    </w:p>
    <w:p>
      <w:pPr>
        <w:pStyle w:val="29"/>
        <w:ind w:firstLine="472"/>
        <w:rPr>
          <w:color w:val="auto"/>
        </w:rPr>
      </w:pPr>
      <w:r>
        <w:rPr>
          <w:rFonts w:hint="eastAsia"/>
          <w:color w:val="auto"/>
        </w:rPr>
        <w:t>（5）封包缓冲区不低于4Mbit。</w:t>
      </w:r>
    </w:p>
    <w:p>
      <w:pPr>
        <w:pStyle w:val="29"/>
        <w:ind w:firstLine="472"/>
        <w:rPr>
          <w:color w:val="auto"/>
        </w:rPr>
      </w:pPr>
      <w:r>
        <w:rPr>
          <w:rFonts w:hint="eastAsia"/>
          <w:color w:val="auto"/>
        </w:rPr>
        <w:t>（6）支持IEEE802.1QVLAN和GVRP。</w:t>
      </w:r>
    </w:p>
    <w:p>
      <w:pPr>
        <w:pStyle w:val="29"/>
        <w:ind w:firstLine="472"/>
        <w:rPr>
          <w:color w:val="auto"/>
        </w:rPr>
      </w:pPr>
      <w:r>
        <w:rPr>
          <w:rFonts w:hint="eastAsia"/>
          <w:color w:val="auto"/>
        </w:rPr>
        <w:t>（7）支持QoS-IEEE802.1p/1Q和TOS/DiffServ，支持802.3ad，LACP，优化网络带宽。</w:t>
      </w:r>
    </w:p>
    <w:p>
      <w:pPr>
        <w:pStyle w:val="29"/>
        <w:ind w:firstLine="472"/>
        <w:rPr>
          <w:color w:val="auto"/>
        </w:rPr>
      </w:pPr>
      <w:r>
        <w:rPr>
          <w:rFonts w:hint="eastAsia"/>
          <w:color w:val="auto"/>
        </w:rPr>
        <w:t>（8）支持IEEE802.1x、HTTPs/SSL、SFTPClient、SSH、RADIUS、用户分级，增加网络安全性。</w:t>
      </w:r>
    </w:p>
    <w:p>
      <w:pPr>
        <w:pStyle w:val="29"/>
        <w:ind w:firstLine="472"/>
        <w:rPr>
          <w:color w:val="auto"/>
        </w:rPr>
      </w:pPr>
      <w:r>
        <w:rPr>
          <w:rFonts w:hint="eastAsia"/>
          <w:color w:val="auto"/>
        </w:rPr>
        <w:t>（9）支持网络风暴抑制，支持广播风暴抑制、组播风暴抑制和未知单播风暴抑制功能，网络风暴抑制最小粒度宜不超过64kbits/s或者1pps。</w:t>
      </w:r>
    </w:p>
    <w:p>
      <w:pPr>
        <w:pStyle w:val="29"/>
        <w:ind w:firstLine="472"/>
        <w:rPr>
          <w:color w:val="auto"/>
        </w:rPr>
      </w:pPr>
      <w:r>
        <w:rPr>
          <w:rFonts w:hint="eastAsia"/>
          <w:color w:val="auto"/>
        </w:rPr>
        <w:t>（10）支持SNMPv1/v2c/v3、Syslog用于不同级别的网络管理。支持RMON，有效监控网络。</w:t>
      </w:r>
    </w:p>
    <w:p>
      <w:pPr>
        <w:pStyle w:val="29"/>
        <w:ind w:firstLine="472"/>
        <w:rPr>
          <w:color w:val="auto"/>
        </w:rPr>
      </w:pPr>
      <w:r>
        <w:rPr>
          <w:rFonts w:hint="eastAsia"/>
          <w:color w:val="auto"/>
        </w:rPr>
        <w:t>（11）支持基于MAC地址的端口锁定，防止非法入侵。</w:t>
      </w:r>
    </w:p>
    <w:p>
      <w:pPr>
        <w:pStyle w:val="29"/>
        <w:ind w:firstLine="472"/>
        <w:rPr>
          <w:color w:val="auto"/>
        </w:rPr>
      </w:pPr>
      <w:r>
        <w:rPr>
          <w:rFonts w:hint="eastAsia"/>
          <w:color w:val="auto"/>
        </w:rPr>
        <w:t>（12）支持端口镜像功能，便于在线调试。</w:t>
      </w:r>
    </w:p>
    <w:p>
      <w:pPr>
        <w:pStyle w:val="29"/>
        <w:ind w:firstLine="472"/>
        <w:rPr>
          <w:color w:val="auto"/>
        </w:rPr>
      </w:pPr>
      <w:r>
        <w:rPr>
          <w:rFonts w:hint="eastAsia"/>
          <w:color w:val="auto"/>
        </w:rPr>
        <w:t>（13）支持符合IEC62439-2/3/6标准的冗余环网功能，冗余环网自愈时间低于20ms。</w:t>
      </w:r>
    </w:p>
    <w:p>
      <w:pPr>
        <w:pStyle w:val="29"/>
        <w:ind w:firstLine="472"/>
        <w:rPr>
          <w:color w:val="auto"/>
        </w:rPr>
      </w:pPr>
      <w:r>
        <w:rPr>
          <w:rFonts w:hint="eastAsia"/>
          <w:color w:val="auto"/>
        </w:rPr>
        <w:t>（14）支持IEEE1588V2对时功能。</w:t>
      </w:r>
    </w:p>
    <w:p>
      <w:pPr>
        <w:pStyle w:val="29"/>
        <w:ind w:firstLine="472"/>
        <w:rPr>
          <w:color w:val="auto"/>
        </w:rPr>
      </w:pPr>
      <w:r>
        <w:rPr>
          <w:rFonts w:hint="eastAsia"/>
          <w:color w:val="auto"/>
        </w:rPr>
        <w:t>（15）支持光功率检测功能。</w:t>
      </w:r>
    </w:p>
    <w:p>
      <w:pPr>
        <w:pStyle w:val="29"/>
        <w:ind w:firstLine="472"/>
        <w:rPr>
          <w:color w:val="auto"/>
        </w:rPr>
      </w:pPr>
      <w:r>
        <w:rPr>
          <w:rFonts w:hint="eastAsia"/>
          <w:color w:val="auto"/>
        </w:rPr>
        <w:t>（16）可靠性：MTBF≥35年。</w:t>
      </w:r>
    </w:p>
    <w:p>
      <w:pPr>
        <w:pStyle w:val="29"/>
        <w:ind w:firstLine="472"/>
        <w:rPr>
          <w:color w:val="auto"/>
        </w:rPr>
      </w:pPr>
      <w:r>
        <w:rPr>
          <w:rFonts w:hint="eastAsia"/>
          <w:color w:val="auto"/>
        </w:rPr>
        <w:t>（17）工作温度-40℃～+75℃。</w:t>
      </w:r>
    </w:p>
    <w:p>
      <w:pPr>
        <w:pStyle w:val="29"/>
        <w:ind w:firstLine="472"/>
        <w:rPr>
          <w:color w:val="auto"/>
        </w:rPr>
      </w:pPr>
      <w:r>
        <w:rPr>
          <w:rFonts w:hint="eastAsia"/>
          <w:color w:val="auto"/>
        </w:rPr>
        <w:t>（18）满足工业三级电磁兼容标准。</w:t>
      </w:r>
    </w:p>
    <w:p>
      <w:pPr>
        <w:pStyle w:val="29"/>
        <w:ind w:firstLine="472"/>
        <w:rPr>
          <w:color w:val="auto"/>
        </w:rPr>
      </w:pPr>
      <w:r>
        <w:rPr>
          <w:rFonts w:hint="eastAsia"/>
          <w:color w:val="auto"/>
        </w:rPr>
        <w:t>（19）防护等级：IP30及以上。</w:t>
      </w:r>
    </w:p>
    <w:p>
      <w:pPr>
        <w:pStyle w:val="29"/>
        <w:ind w:firstLine="472"/>
        <w:rPr>
          <w:color w:val="auto"/>
        </w:rPr>
      </w:pPr>
      <w:r>
        <w:rPr>
          <w:rFonts w:hint="eastAsia"/>
          <w:color w:val="auto"/>
        </w:rPr>
        <w:t>（20）通过CE、FCC认证。</w:t>
      </w:r>
    </w:p>
    <w:p>
      <w:pPr>
        <w:pStyle w:val="29"/>
        <w:ind w:firstLine="472"/>
        <w:rPr>
          <w:color w:val="auto"/>
        </w:rPr>
      </w:pPr>
      <w:r>
        <w:rPr>
          <w:rFonts w:hint="eastAsia"/>
          <w:color w:val="auto"/>
        </w:rPr>
        <w:t>（21）通过UL工业级产品安规认证，提供相关认证证书。</w:t>
      </w:r>
    </w:p>
    <w:bookmarkEnd w:id="68"/>
    <w:p>
      <w:pPr>
        <w:pStyle w:val="29"/>
        <w:ind w:firstLine="474"/>
        <w:rPr>
          <w:b/>
          <w:bCs/>
          <w:color w:val="auto"/>
        </w:rPr>
      </w:pPr>
      <w:r>
        <w:rPr>
          <w:b/>
          <w:bCs/>
          <w:color w:val="auto"/>
        </w:rPr>
        <w:t>e</w:t>
      </w:r>
      <w:r>
        <w:rPr>
          <w:rFonts w:hint="eastAsia"/>
          <w:b/>
          <w:bCs/>
          <w:color w:val="auto"/>
        </w:rPr>
        <w:t>）可编程逻辑控制器（PLC）</w:t>
      </w:r>
    </w:p>
    <w:p>
      <w:pPr>
        <w:pStyle w:val="29"/>
        <w:ind w:firstLine="472"/>
        <w:rPr>
          <w:color w:val="auto"/>
        </w:rPr>
      </w:pPr>
      <w:r>
        <w:rPr>
          <w:rFonts w:hint="eastAsia"/>
          <w:color w:val="auto"/>
        </w:rPr>
        <w:t>每套现场PLC控制站由冗余大型可编程序控制器、触模屏、工业以太网交换机等组成。主控制系统内部采用32位的高性能工业级微处理器，支持以任务为单位的结构化的编程环境。</w:t>
      </w:r>
    </w:p>
    <w:p>
      <w:pPr>
        <w:pStyle w:val="29"/>
        <w:ind w:firstLine="472"/>
        <w:rPr>
          <w:color w:val="auto"/>
        </w:rPr>
      </w:pPr>
      <w:r>
        <w:rPr>
          <w:rFonts w:hint="eastAsia"/>
          <w:color w:val="auto"/>
        </w:rPr>
        <w:t>可编程序控制器（PLC）应选用模块化的分布式控制系统，且支持符合国际标准的开放现场总线协议PLC的选型应充分考虑其可靠性、先进性、可扩充性，应能满足中高控制性能的要求，能承受工业环境的严格要求。</w:t>
      </w:r>
    </w:p>
    <w:p>
      <w:pPr>
        <w:pStyle w:val="29"/>
        <w:ind w:firstLine="472"/>
        <w:rPr>
          <w:color w:val="auto"/>
        </w:rPr>
      </w:pPr>
      <w:r>
        <w:rPr>
          <w:rFonts w:hint="eastAsia"/>
          <w:color w:val="auto"/>
        </w:rPr>
        <w:t>★PLC作为主要系统控制设备，其选择应遵守这份技术要求中的所有相关要求，如：CPU、IO、电源、认证标准等，并本着技术先进、性能优越、安全可靠、完全开放的原则，保证用户在选型、设计、施工、运行、维护、升级等各个阶段上的成本控制。PLC品牌选用用参照（或等同于）国外知名品牌AB、施耐德、西门子等品牌产品，且其供应商具有较强的本地技术支持和服务能力，并需提供PLC制造商针对本项目的原厂授权文件、原产地证明函，出具PLC制造商的产品出厂合格证明及售后服务承诺函。</w:t>
      </w:r>
    </w:p>
    <w:p>
      <w:pPr>
        <w:pStyle w:val="29"/>
        <w:ind w:firstLine="472"/>
        <w:rPr>
          <w:color w:val="auto"/>
        </w:rPr>
      </w:pPr>
      <w:r>
        <w:rPr>
          <w:rFonts w:hint="eastAsia"/>
          <w:color w:val="auto"/>
        </w:rPr>
        <w:t>控制系统I/O模块、通讯模块、特殊模块等均应与CPU模块保持同等的档次及规格等，应为原厂同一系列的产品。必须支持热插拔，禁止使用低端I/O模块，CPU与远程IO站之间采用环网架构。</w:t>
      </w:r>
    </w:p>
    <w:p>
      <w:pPr>
        <w:pStyle w:val="29"/>
        <w:ind w:firstLine="472"/>
        <w:rPr>
          <w:color w:val="auto"/>
        </w:rPr>
      </w:pPr>
      <w:r>
        <w:rPr>
          <w:rFonts w:hint="eastAsia"/>
          <w:color w:val="auto"/>
        </w:rPr>
        <w:t>PLC 控制系统采用双机热备的硬件冗余配 置方案，即机架、主处理器、电源、通讯网络均采用硬件完全冗余方式，保证在异常情况下能够自动切换 到备用系统。</w:t>
      </w:r>
      <w:r>
        <w:rPr>
          <w:color w:val="auto"/>
        </w:rPr>
        <w:t>电源、CPU、通讯模板分别配置在2个独立的机架中（每个机架使用专用的电源模块供电），冗余模块间通过1G高速</w:t>
      </w:r>
      <w:r>
        <w:rPr>
          <w:rFonts w:hint="eastAsia"/>
          <w:color w:val="auto"/>
        </w:rPr>
        <w:t>链路</w:t>
      </w:r>
      <w:r>
        <w:rPr>
          <w:color w:val="auto"/>
        </w:rPr>
        <w:t>进行同步</w:t>
      </w:r>
      <w:r>
        <w:rPr>
          <w:rFonts w:hint="eastAsia"/>
          <w:color w:val="auto"/>
        </w:rPr>
        <w:t>，严禁同步链路与IO链路混用</w:t>
      </w:r>
      <w:r>
        <w:rPr>
          <w:color w:val="auto"/>
        </w:rPr>
        <w:t>，切换的完成无需软件编程及干预，确保关键任务实现完全无扰自动切换。</w:t>
      </w:r>
    </w:p>
    <w:p>
      <w:pPr>
        <w:pStyle w:val="29"/>
        <w:ind w:firstLine="472"/>
        <w:rPr>
          <w:color w:val="auto"/>
        </w:rPr>
      </w:pPr>
      <w:r>
        <w:rPr>
          <w:rFonts w:hint="eastAsia"/>
          <w:color w:val="auto"/>
        </w:rPr>
        <w:t>I/O映像表（物理I/O地址）：DI不少于32Kbits，DO不少于32Kbits，AI不少于32Kwords，AO不少于32Kwords。</w:t>
      </w:r>
    </w:p>
    <w:p>
      <w:pPr>
        <w:pStyle w:val="29"/>
        <w:ind w:firstLine="472"/>
        <w:rPr>
          <w:color w:val="auto"/>
        </w:rPr>
      </w:pPr>
      <w:r>
        <w:rPr>
          <w:rFonts w:hint="eastAsia"/>
          <w:color w:val="auto"/>
        </w:rPr>
        <w:t>▲具有国家网络与信息系统安全产品质量监督检验中心颁发的《信息技术产品安全测试证书》，具备Achilles（阿基里斯）2级安全认证，各模板还应具备权威机构的相关产品认证，包括CE，UL，CC</w:t>
      </w:r>
      <w:r>
        <w:rPr>
          <w:color w:val="auto"/>
        </w:rPr>
        <w:t>C</w:t>
      </w:r>
      <w:r>
        <w:rPr>
          <w:rFonts w:hint="eastAsia"/>
          <w:color w:val="auto"/>
        </w:rPr>
        <w:t>等。</w:t>
      </w:r>
    </w:p>
    <w:p>
      <w:pPr>
        <w:pStyle w:val="29"/>
        <w:ind w:firstLine="472"/>
        <w:rPr>
          <w:color w:val="auto"/>
        </w:rPr>
      </w:pPr>
      <w:r>
        <w:rPr>
          <w:rFonts w:hint="eastAsia"/>
          <w:color w:val="auto"/>
        </w:rPr>
        <w:t>每个控制站站IO点数应至少有实际使用量</w:t>
      </w:r>
      <w:r>
        <w:rPr>
          <w:color w:val="auto"/>
        </w:rPr>
        <w:t>2</w:t>
      </w:r>
      <w:r>
        <w:rPr>
          <w:rFonts w:hint="eastAsia"/>
          <w:color w:val="auto"/>
        </w:rPr>
        <w:t>0％的备用点数空间。</w:t>
      </w:r>
    </w:p>
    <w:p>
      <w:pPr>
        <w:pStyle w:val="29"/>
        <w:ind w:firstLine="472"/>
        <w:rPr>
          <w:color w:val="auto"/>
        </w:rPr>
      </w:pPr>
      <w:r>
        <w:rPr>
          <w:rFonts w:hint="eastAsia"/>
          <w:color w:val="auto"/>
        </w:rPr>
        <w:t>所有的PLC现场控制主站应装备相同的CPU模块型号，应根据整个厂内所有PLC站的最高要求来决定其型号。</w:t>
      </w:r>
    </w:p>
    <w:p>
      <w:pPr>
        <w:pStyle w:val="29"/>
        <w:ind w:firstLine="472"/>
        <w:rPr>
          <w:color w:val="auto"/>
        </w:rPr>
      </w:pPr>
      <w:r>
        <w:rPr>
          <w:rFonts w:hint="eastAsia"/>
          <w:color w:val="auto"/>
        </w:rPr>
        <w:t>在背板电源和用户端电源不断开的情况下，CPU、I/O模块、通讯模块及可拆卸端子排等必须能够支持带电插拔。</w:t>
      </w:r>
    </w:p>
    <w:p>
      <w:pPr>
        <w:pStyle w:val="29"/>
        <w:ind w:firstLine="472"/>
        <w:rPr>
          <w:color w:val="auto"/>
        </w:rPr>
      </w:pPr>
      <w:r>
        <w:rPr>
          <w:rFonts w:hint="eastAsia"/>
          <w:color w:val="auto"/>
        </w:rPr>
        <w:t>串口通讯：提供RS232和RS485至少各一个，串口支持控制器的监控以及组态，程序上下传。同时应该支持自由定义协议方式，允许用户在程序中自由定义串口的应用层协议以及相应波特率，奇偶校验，数据位等串口设置。</w:t>
      </w:r>
    </w:p>
    <w:p>
      <w:pPr>
        <w:pStyle w:val="29"/>
        <w:ind w:firstLine="472"/>
        <w:rPr>
          <w:color w:val="auto"/>
        </w:rPr>
      </w:pPr>
      <w:r>
        <w:rPr>
          <w:rFonts w:hint="eastAsia"/>
          <w:color w:val="auto"/>
        </w:rPr>
        <w:t>系统机架为完全金属机架式设计，保证良好的机械物理性能，I/O插槽为滑轨式设计，并具备模块机械锁定装置，模块的安装、拆卸无需螺丝刀等任何的特殊工具，控制系统系统，包括机架，各种插槽式模块都符合完全的无风扇设计要求。</w:t>
      </w:r>
    </w:p>
    <w:p>
      <w:pPr>
        <w:pStyle w:val="29"/>
        <w:ind w:firstLine="472"/>
        <w:rPr>
          <w:color w:val="auto"/>
        </w:rPr>
      </w:pPr>
      <w:r>
        <w:rPr>
          <w:rFonts w:hint="eastAsia"/>
          <w:color w:val="auto"/>
        </w:rPr>
        <w:t>系统要求高度的可靠性，是免维护型的系统。CPU、I/O模块、通讯模块、电源等在正常工况下平均无故障时间（MTBF）均不低于50万小时。</w:t>
      </w:r>
    </w:p>
    <w:p>
      <w:pPr>
        <w:pStyle w:val="29"/>
        <w:ind w:firstLine="472"/>
        <w:rPr>
          <w:color w:val="auto"/>
        </w:rPr>
      </w:pPr>
      <w:r>
        <w:rPr>
          <w:rFonts w:hint="eastAsia"/>
          <w:color w:val="auto"/>
        </w:rPr>
        <w:t>模块的环境条件要求如下：工作温度：0～60℃；相对湿度：5～95%（无冷凝）</w:t>
      </w:r>
    </w:p>
    <w:p>
      <w:pPr>
        <w:pStyle w:val="29"/>
        <w:ind w:firstLine="472"/>
        <w:rPr>
          <w:color w:val="auto"/>
        </w:rPr>
      </w:pPr>
      <w:bookmarkStart w:id="69" w:name="_Toc440471768"/>
      <w:bookmarkStart w:id="70" w:name="_Toc395798291"/>
      <w:r>
        <w:rPr>
          <w:rFonts w:hint="eastAsia"/>
          <w:color w:val="auto"/>
        </w:rPr>
        <w:t>（1）CPU模块</w:t>
      </w:r>
      <w:bookmarkEnd w:id="69"/>
      <w:bookmarkEnd w:id="70"/>
    </w:p>
    <w:p>
      <w:pPr>
        <w:pStyle w:val="29"/>
        <w:ind w:firstLine="472"/>
        <w:rPr>
          <w:color w:val="auto"/>
        </w:rPr>
      </w:pPr>
      <w:r>
        <w:rPr>
          <w:rFonts w:hint="eastAsia"/>
          <w:color w:val="auto"/>
        </w:rPr>
        <w:t>CPU采用高性能工业级别微处理器，负责通讯任务和程序运行及逻辑运行。</w:t>
      </w:r>
    </w:p>
    <w:p>
      <w:pPr>
        <w:pStyle w:val="29"/>
        <w:ind w:firstLine="472"/>
        <w:rPr>
          <w:color w:val="auto"/>
        </w:rPr>
      </w:pPr>
      <w:r>
        <w:rPr>
          <w:rFonts w:hint="eastAsia"/>
          <w:color w:val="auto"/>
        </w:rPr>
        <w:t>具备高速程序及数据处理能力，1K指令不超过0.05毫秒。</w:t>
      </w:r>
    </w:p>
    <w:p>
      <w:pPr>
        <w:pStyle w:val="29"/>
        <w:ind w:firstLine="472"/>
        <w:rPr>
          <w:color w:val="auto"/>
        </w:rPr>
      </w:pPr>
      <w:r>
        <w:rPr>
          <w:rFonts w:hint="eastAsia"/>
          <w:color w:val="auto"/>
        </w:rPr>
        <w:t>I/O模块必须与CPU模块为同一品牌同一系列且同一尺寸规格的产品。</w:t>
      </w:r>
    </w:p>
    <w:p>
      <w:pPr>
        <w:pStyle w:val="29"/>
        <w:ind w:firstLine="472"/>
        <w:rPr>
          <w:color w:val="auto"/>
        </w:rPr>
      </w:pPr>
      <w:r>
        <w:rPr>
          <w:rFonts w:hint="eastAsia"/>
          <w:color w:val="auto"/>
        </w:rPr>
        <w:t>在背板电源和用户端电源不断开的情况下，CPU、I/O模块、通讯模块及可拆卸端子排等必须能够支持带电插拔。</w:t>
      </w:r>
    </w:p>
    <w:p>
      <w:pPr>
        <w:pStyle w:val="29"/>
        <w:ind w:firstLine="472"/>
        <w:rPr>
          <w:color w:val="auto"/>
        </w:rPr>
      </w:pPr>
      <w:r>
        <w:rPr>
          <w:rFonts w:hint="eastAsia"/>
          <w:color w:val="auto"/>
        </w:rPr>
        <w:t>控制器整体平均故障间隔时间（MTBF）≥500,000h</w:t>
      </w:r>
    </w:p>
    <w:p>
      <w:pPr>
        <w:pStyle w:val="29"/>
        <w:ind w:firstLine="472"/>
        <w:rPr>
          <w:color w:val="auto"/>
        </w:rPr>
      </w:pPr>
      <w:r>
        <w:rPr>
          <w:rFonts w:hint="eastAsia"/>
          <w:color w:val="auto"/>
        </w:rPr>
        <w:t>控制系统为基于标签的控制系统，数据的标记和引用方式是具有自说明性质的标签。要求程序下载过程中标签本身的信息不能丢失，从而保证用户程序良好的可读性和可维护性。</w:t>
      </w:r>
    </w:p>
    <w:p>
      <w:pPr>
        <w:pStyle w:val="29"/>
        <w:ind w:firstLine="472"/>
        <w:rPr>
          <w:color w:val="auto"/>
        </w:rPr>
      </w:pPr>
      <w:r>
        <w:rPr>
          <w:rFonts w:hint="eastAsia"/>
          <w:color w:val="auto"/>
        </w:rPr>
        <w:t>PLC编程软件符合IEC61131-3标准，同时提供CFC（连续功能图）,SFC（顺序功能流程图）,LD（梯形图），FBD（功能块图），ST（结构化文本），IL（指令表语言）等编程语言。</w:t>
      </w:r>
    </w:p>
    <w:p>
      <w:pPr>
        <w:pStyle w:val="29"/>
        <w:ind w:firstLine="472"/>
        <w:rPr>
          <w:color w:val="auto"/>
        </w:rPr>
      </w:pPr>
      <w:r>
        <w:rPr>
          <w:rFonts w:hint="eastAsia"/>
          <w:color w:val="auto"/>
        </w:rPr>
        <w:t>▲CPU提供充足的内存以满足应用本身和未来扩充的需要，内置RAM内存和非易失性存储器不小于</w:t>
      </w:r>
      <w:r>
        <w:rPr>
          <w:color w:val="auto"/>
        </w:rPr>
        <w:t>4</w:t>
      </w:r>
      <w:r>
        <w:rPr>
          <w:rFonts w:hint="eastAsia"/>
          <w:color w:val="auto"/>
        </w:rPr>
        <w:t>MB。</w:t>
      </w:r>
    </w:p>
    <w:p>
      <w:pPr>
        <w:pStyle w:val="29"/>
        <w:ind w:firstLine="472"/>
        <w:rPr>
          <w:color w:val="auto"/>
        </w:rPr>
      </w:pPr>
      <w:r>
        <w:rPr>
          <w:rFonts w:hint="eastAsia"/>
          <w:color w:val="auto"/>
        </w:rPr>
        <w:t>免电池设计。使用储能模块和Flash保存程序和内存，无需更换电池。程序、变量及所有设定的参数值在PLC掉电后不丢失。</w:t>
      </w:r>
    </w:p>
    <w:p>
      <w:pPr>
        <w:pStyle w:val="29"/>
        <w:ind w:firstLine="472"/>
        <w:rPr>
          <w:color w:val="auto"/>
        </w:rPr>
      </w:pPr>
      <w:r>
        <w:rPr>
          <w:rFonts w:hint="eastAsia"/>
          <w:color w:val="auto"/>
        </w:rPr>
        <w:t>I/O映像表（物理I/O地址）：DI不少于32Kbits，DO不少于32Kbits，AI不少于32Kwords，AO不少于32Kwords。</w:t>
      </w:r>
    </w:p>
    <w:p>
      <w:pPr>
        <w:pStyle w:val="29"/>
        <w:ind w:firstLine="472"/>
        <w:rPr>
          <w:color w:val="auto"/>
        </w:rPr>
      </w:pPr>
      <w:r>
        <w:rPr>
          <w:rFonts w:hint="eastAsia"/>
          <w:color w:val="auto"/>
        </w:rPr>
        <w:t>串口通讯：提供RS232和MODBUS至少各一个，串口支持控制器的监控以及组态，程序上下传。同时应该支持自由定义协议方式，允许用户在程序中自由定义串口的应用层协议以及相应波特率，奇偶校验，数据位等串口设置。</w:t>
      </w:r>
    </w:p>
    <w:p>
      <w:pPr>
        <w:pStyle w:val="29"/>
        <w:ind w:firstLine="472"/>
        <w:rPr>
          <w:color w:val="auto"/>
        </w:rPr>
      </w:pPr>
      <w:r>
        <w:rPr>
          <w:rFonts w:hint="eastAsia"/>
          <w:color w:val="auto"/>
        </w:rPr>
        <w:t>支持快速内存升级技术，处理器、I/O模块、网络模块都能够在现场通过软件升级至最新版本</w:t>
      </w:r>
    </w:p>
    <w:p>
      <w:pPr>
        <w:pStyle w:val="29"/>
        <w:ind w:firstLine="472"/>
        <w:rPr>
          <w:color w:val="auto"/>
        </w:rPr>
      </w:pPr>
      <w:r>
        <w:rPr>
          <w:rFonts w:hint="eastAsia"/>
          <w:color w:val="auto"/>
        </w:rPr>
        <w:t>I/O容量≥各控制站PLC所需的200％</w:t>
      </w:r>
    </w:p>
    <w:p>
      <w:pPr>
        <w:pStyle w:val="29"/>
        <w:ind w:firstLine="472"/>
        <w:rPr>
          <w:color w:val="auto"/>
        </w:rPr>
      </w:pPr>
      <w:r>
        <w:rPr>
          <w:rFonts w:hint="eastAsia"/>
          <w:color w:val="auto"/>
        </w:rPr>
        <w:t>▲支持多处理器结构，并能在机架内根据需要随意布置处理器模块、输入输出模块和通讯模块，而没有任何的数量和类型限制。</w:t>
      </w:r>
    </w:p>
    <w:p>
      <w:pPr>
        <w:pStyle w:val="29"/>
        <w:ind w:firstLine="472"/>
        <w:rPr>
          <w:color w:val="auto"/>
        </w:rPr>
      </w:pPr>
      <w:r>
        <w:rPr>
          <w:rFonts w:hint="eastAsia"/>
          <w:color w:val="auto"/>
        </w:rPr>
        <w:t>支持灵活的网络结构，无需任何编程或者处理器干预，即可实现不同网络之间的通讯桥接和数据交换；。</w:t>
      </w:r>
    </w:p>
    <w:p>
      <w:pPr>
        <w:pStyle w:val="29"/>
        <w:ind w:firstLine="472"/>
        <w:rPr>
          <w:color w:val="auto"/>
        </w:rPr>
      </w:pPr>
      <w:bookmarkStart w:id="71" w:name="_Toc395798292"/>
      <w:bookmarkStart w:id="72" w:name="_Toc440471769"/>
      <w:r>
        <w:rPr>
          <w:rFonts w:hint="eastAsia"/>
          <w:color w:val="auto"/>
        </w:rPr>
        <w:t>（2）</w:t>
      </w:r>
      <w:bookmarkEnd w:id="71"/>
      <w:bookmarkEnd w:id="72"/>
      <w:r>
        <w:rPr>
          <w:rFonts w:hint="eastAsia"/>
          <w:color w:val="auto"/>
        </w:rPr>
        <w:t>电源模块</w:t>
      </w:r>
    </w:p>
    <w:p>
      <w:pPr>
        <w:pStyle w:val="29"/>
        <w:ind w:firstLine="472"/>
        <w:rPr>
          <w:color w:val="auto"/>
        </w:rPr>
      </w:pPr>
      <w:bookmarkStart w:id="73" w:name="_Toc440471770"/>
      <w:bookmarkStart w:id="74" w:name="_Toc395798293"/>
      <w:r>
        <w:rPr>
          <w:rFonts w:hint="eastAsia"/>
          <w:color w:val="auto"/>
        </w:rPr>
        <w:t>交流电源：100-120V/200-240V（与机架和模块相配）；</w:t>
      </w:r>
    </w:p>
    <w:p>
      <w:pPr>
        <w:pStyle w:val="29"/>
        <w:ind w:firstLine="472"/>
        <w:rPr>
          <w:color w:val="auto"/>
        </w:rPr>
      </w:pPr>
      <w:r>
        <w:rPr>
          <w:rFonts w:hint="eastAsia"/>
          <w:color w:val="auto"/>
        </w:rPr>
        <w:t>电压范围：85-264V；</w:t>
      </w:r>
    </w:p>
    <w:p>
      <w:pPr>
        <w:pStyle w:val="29"/>
        <w:ind w:firstLine="472"/>
        <w:rPr>
          <w:color w:val="auto"/>
        </w:rPr>
      </w:pPr>
      <w:r>
        <w:rPr>
          <w:rFonts w:hint="eastAsia"/>
          <w:color w:val="auto"/>
        </w:rPr>
        <w:t>频率范围：47-63Hz；</w:t>
      </w:r>
    </w:p>
    <w:p>
      <w:pPr>
        <w:pStyle w:val="29"/>
        <w:ind w:firstLine="472"/>
        <w:rPr>
          <w:color w:val="auto"/>
        </w:rPr>
      </w:pPr>
      <w:r>
        <w:rPr>
          <w:rFonts w:hint="eastAsia"/>
          <w:color w:val="auto"/>
        </w:rPr>
        <w:t>工作温度：0-60℃；</w:t>
      </w:r>
    </w:p>
    <w:p>
      <w:pPr>
        <w:pStyle w:val="29"/>
        <w:ind w:firstLine="472"/>
        <w:rPr>
          <w:color w:val="auto"/>
        </w:rPr>
      </w:pPr>
      <w:r>
        <w:rPr>
          <w:rFonts w:hint="eastAsia"/>
          <w:color w:val="auto"/>
        </w:rPr>
        <w:t>存储温度：-40-85℃；</w:t>
      </w:r>
    </w:p>
    <w:p>
      <w:pPr>
        <w:pStyle w:val="29"/>
        <w:ind w:firstLine="472"/>
        <w:rPr>
          <w:color w:val="auto"/>
        </w:rPr>
      </w:pPr>
      <w:r>
        <w:rPr>
          <w:rFonts w:hint="eastAsia"/>
          <w:color w:val="auto"/>
        </w:rPr>
        <w:t>相对湿度：5-95%；</w:t>
      </w:r>
    </w:p>
    <w:p>
      <w:pPr>
        <w:pStyle w:val="29"/>
        <w:ind w:firstLine="472"/>
        <w:rPr>
          <w:color w:val="auto"/>
        </w:rPr>
      </w:pPr>
      <w:r>
        <w:rPr>
          <w:rFonts w:hint="eastAsia"/>
          <w:color w:val="auto"/>
        </w:rPr>
        <w:t>内置过电流保护；</w:t>
      </w:r>
    </w:p>
    <w:p>
      <w:pPr>
        <w:pStyle w:val="29"/>
        <w:ind w:firstLine="472"/>
        <w:rPr>
          <w:color w:val="auto"/>
        </w:rPr>
      </w:pPr>
      <w:r>
        <w:rPr>
          <w:rFonts w:hint="eastAsia"/>
          <w:color w:val="auto"/>
        </w:rPr>
        <w:t>掉电延迟：≤10ms；</w:t>
      </w:r>
    </w:p>
    <w:p>
      <w:pPr>
        <w:pStyle w:val="29"/>
        <w:ind w:firstLine="472"/>
        <w:rPr>
          <w:color w:val="auto"/>
        </w:rPr>
      </w:pPr>
      <w:r>
        <w:rPr>
          <w:rFonts w:hint="eastAsia"/>
          <w:color w:val="auto"/>
        </w:rPr>
        <w:t>（3）数字输入模块（DI）</w:t>
      </w:r>
      <w:bookmarkEnd w:id="73"/>
      <w:bookmarkEnd w:id="74"/>
    </w:p>
    <w:p>
      <w:pPr>
        <w:pStyle w:val="29"/>
        <w:ind w:firstLine="472"/>
        <w:rPr>
          <w:color w:val="auto"/>
        </w:rPr>
      </w:pPr>
      <w:r>
        <w:rPr>
          <w:rFonts w:hint="eastAsia"/>
          <w:color w:val="auto"/>
        </w:rPr>
        <w:t>符合IEC国际电气标准。</w:t>
      </w:r>
    </w:p>
    <w:p>
      <w:pPr>
        <w:pStyle w:val="29"/>
        <w:ind w:firstLine="472"/>
        <w:rPr>
          <w:color w:val="auto"/>
        </w:rPr>
      </w:pPr>
      <w:r>
        <w:rPr>
          <w:rFonts w:hint="eastAsia"/>
          <w:color w:val="auto"/>
        </w:rPr>
        <w:t>输入点数：16/32通道</w:t>
      </w:r>
    </w:p>
    <w:p>
      <w:pPr>
        <w:pStyle w:val="29"/>
        <w:ind w:firstLine="472"/>
        <w:rPr>
          <w:color w:val="auto"/>
        </w:rPr>
      </w:pPr>
      <w:r>
        <w:rPr>
          <w:rFonts w:hint="eastAsia"/>
          <w:color w:val="auto"/>
        </w:rPr>
        <w:t>工作电压：24VDC，正逻辑输入，允许电压范围：11.5～30VDC</w:t>
      </w:r>
    </w:p>
    <w:p>
      <w:pPr>
        <w:pStyle w:val="29"/>
        <w:ind w:firstLine="472"/>
        <w:rPr>
          <w:color w:val="auto"/>
        </w:rPr>
      </w:pPr>
      <w:r>
        <w:rPr>
          <w:rFonts w:hint="eastAsia"/>
          <w:color w:val="auto"/>
        </w:rPr>
        <w:t>典型响应时间：≤4ms；</w:t>
      </w:r>
    </w:p>
    <w:p>
      <w:pPr>
        <w:pStyle w:val="29"/>
        <w:ind w:firstLine="472"/>
        <w:rPr>
          <w:color w:val="auto"/>
        </w:rPr>
      </w:pPr>
      <w:r>
        <w:rPr>
          <w:rFonts w:hint="eastAsia"/>
          <w:color w:val="auto"/>
        </w:rPr>
        <w:t>输入保护：光电隔离</w:t>
      </w:r>
    </w:p>
    <w:p>
      <w:pPr>
        <w:pStyle w:val="29"/>
        <w:ind w:firstLine="472"/>
        <w:rPr>
          <w:color w:val="auto"/>
        </w:rPr>
      </w:pPr>
      <w:r>
        <w:rPr>
          <w:rFonts w:hint="eastAsia"/>
          <w:color w:val="auto"/>
        </w:rPr>
        <w:t>每个输入点都具有状态指示</w:t>
      </w:r>
    </w:p>
    <w:p>
      <w:pPr>
        <w:pStyle w:val="29"/>
        <w:ind w:firstLine="472"/>
        <w:rPr>
          <w:color w:val="auto"/>
        </w:rPr>
      </w:pPr>
      <w:r>
        <w:rPr>
          <w:rFonts w:hint="eastAsia"/>
          <w:color w:val="auto"/>
        </w:rPr>
        <w:t>连接方式：拆卸式端子排（块）</w:t>
      </w:r>
    </w:p>
    <w:p>
      <w:pPr>
        <w:pStyle w:val="29"/>
        <w:ind w:firstLine="472"/>
        <w:rPr>
          <w:color w:val="auto"/>
        </w:rPr>
      </w:pPr>
      <w:r>
        <w:rPr>
          <w:rFonts w:hint="eastAsia"/>
          <w:color w:val="auto"/>
        </w:rPr>
        <w:t>支持带电插拔</w:t>
      </w:r>
    </w:p>
    <w:p>
      <w:pPr>
        <w:pStyle w:val="29"/>
        <w:ind w:firstLine="472"/>
        <w:rPr>
          <w:color w:val="auto"/>
        </w:rPr>
      </w:pPr>
      <w:r>
        <w:rPr>
          <w:rFonts w:hint="eastAsia"/>
          <w:color w:val="auto"/>
        </w:rPr>
        <w:t>完全软件可配置</w:t>
      </w:r>
    </w:p>
    <w:p>
      <w:pPr>
        <w:pStyle w:val="29"/>
        <w:ind w:firstLine="472"/>
        <w:rPr>
          <w:color w:val="auto"/>
        </w:rPr>
      </w:pPr>
      <w:r>
        <w:rPr>
          <w:rFonts w:hint="eastAsia"/>
          <w:color w:val="auto"/>
        </w:rPr>
        <w:t>故障锁定功能</w:t>
      </w:r>
    </w:p>
    <w:p>
      <w:pPr>
        <w:pStyle w:val="29"/>
        <w:ind w:firstLine="472"/>
        <w:rPr>
          <w:color w:val="auto"/>
        </w:rPr>
      </w:pPr>
      <w:r>
        <w:rPr>
          <w:rFonts w:hint="eastAsia"/>
          <w:color w:val="auto"/>
        </w:rPr>
        <w:t>开路检测功能</w:t>
      </w:r>
    </w:p>
    <w:p>
      <w:pPr>
        <w:pStyle w:val="29"/>
        <w:ind w:firstLine="472"/>
        <w:rPr>
          <w:color w:val="auto"/>
        </w:rPr>
      </w:pPr>
      <w:bookmarkStart w:id="75" w:name="_Toc440471771"/>
      <w:bookmarkStart w:id="76" w:name="_Toc395798294"/>
      <w:r>
        <w:rPr>
          <w:rFonts w:hint="eastAsia"/>
          <w:color w:val="auto"/>
        </w:rPr>
        <w:t>（4）数字输出模块（DO）</w:t>
      </w:r>
      <w:bookmarkEnd w:id="75"/>
      <w:bookmarkEnd w:id="76"/>
    </w:p>
    <w:p>
      <w:pPr>
        <w:pStyle w:val="29"/>
        <w:ind w:firstLine="472"/>
        <w:rPr>
          <w:color w:val="auto"/>
        </w:rPr>
      </w:pPr>
      <w:r>
        <w:rPr>
          <w:rFonts w:hint="eastAsia"/>
          <w:color w:val="auto"/>
        </w:rPr>
        <w:t>输出点数：32/16通道；</w:t>
      </w:r>
    </w:p>
    <w:p>
      <w:pPr>
        <w:pStyle w:val="29"/>
        <w:ind w:firstLine="472"/>
        <w:rPr>
          <w:color w:val="auto"/>
        </w:rPr>
      </w:pPr>
      <w:r>
        <w:rPr>
          <w:rFonts w:hint="eastAsia"/>
          <w:color w:val="auto"/>
        </w:rPr>
        <w:t>输出电压：24VDC，正逻辑输出；</w:t>
      </w:r>
    </w:p>
    <w:p>
      <w:pPr>
        <w:pStyle w:val="29"/>
        <w:ind w:firstLine="472"/>
        <w:rPr>
          <w:color w:val="auto"/>
        </w:rPr>
      </w:pPr>
      <w:r>
        <w:rPr>
          <w:rFonts w:hint="eastAsia"/>
          <w:color w:val="auto"/>
        </w:rPr>
        <w:t>驱动电流：0.1/0.5A；</w:t>
      </w:r>
    </w:p>
    <w:p>
      <w:pPr>
        <w:pStyle w:val="29"/>
        <w:ind w:firstLine="472"/>
        <w:rPr>
          <w:color w:val="auto"/>
        </w:rPr>
      </w:pPr>
      <w:r>
        <w:rPr>
          <w:rFonts w:hint="eastAsia"/>
          <w:color w:val="auto"/>
        </w:rPr>
        <w:t>典型响应时间：≤1.5ms；</w:t>
      </w:r>
    </w:p>
    <w:p>
      <w:pPr>
        <w:pStyle w:val="29"/>
        <w:ind w:firstLine="472"/>
        <w:rPr>
          <w:color w:val="auto"/>
        </w:rPr>
      </w:pPr>
      <w:r>
        <w:rPr>
          <w:rFonts w:hint="eastAsia"/>
          <w:color w:val="auto"/>
        </w:rPr>
        <w:t>输出保护：光电隔离，每个输入点都具有状态指示</w:t>
      </w:r>
    </w:p>
    <w:p>
      <w:pPr>
        <w:pStyle w:val="29"/>
        <w:ind w:firstLine="472"/>
        <w:rPr>
          <w:color w:val="auto"/>
        </w:rPr>
      </w:pPr>
      <w:r>
        <w:rPr>
          <w:rFonts w:hint="eastAsia"/>
          <w:color w:val="auto"/>
        </w:rPr>
        <w:t>每个输出点都具有状态指示</w:t>
      </w:r>
    </w:p>
    <w:p>
      <w:pPr>
        <w:pStyle w:val="29"/>
        <w:ind w:firstLine="472"/>
        <w:rPr>
          <w:color w:val="auto"/>
        </w:rPr>
      </w:pPr>
      <w:r>
        <w:rPr>
          <w:rFonts w:hint="eastAsia"/>
          <w:color w:val="auto"/>
        </w:rPr>
        <w:t>连接方式：拆卸式端子排（块）</w:t>
      </w:r>
    </w:p>
    <w:p>
      <w:pPr>
        <w:pStyle w:val="29"/>
        <w:ind w:firstLine="472"/>
        <w:rPr>
          <w:color w:val="auto"/>
        </w:rPr>
      </w:pPr>
      <w:r>
        <w:rPr>
          <w:rFonts w:hint="eastAsia"/>
          <w:color w:val="auto"/>
        </w:rPr>
        <w:t>支持带电插拨</w:t>
      </w:r>
    </w:p>
    <w:p>
      <w:pPr>
        <w:pStyle w:val="29"/>
        <w:ind w:firstLine="472"/>
        <w:rPr>
          <w:color w:val="auto"/>
        </w:rPr>
      </w:pPr>
      <w:r>
        <w:rPr>
          <w:rFonts w:hint="eastAsia"/>
          <w:color w:val="auto"/>
        </w:rPr>
        <w:t>故障锁定功能</w:t>
      </w:r>
    </w:p>
    <w:p>
      <w:pPr>
        <w:pStyle w:val="29"/>
        <w:ind w:firstLine="472"/>
        <w:rPr>
          <w:color w:val="auto"/>
        </w:rPr>
      </w:pPr>
      <w:r>
        <w:rPr>
          <w:rFonts w:hint="eastAsia"/>
          <w:color w:val="auto"/>
        </w:rPr>
        <w:t>完全软件可配置</w:t>
      </w:r>
    </w:p>
    <w:p>
      <w:pPr>
        <w:pStyle w:val="29"/>
        <w:ind w:firstLine="472"/>
        <w:rPr>
          <w:color w:val="auto"/>
        </w:rPr>
      </w:pPr>
      <w:bookmarkStart w:id="77" w:name="_Toc395798295"/>
      <w:bookmarkStart w:id="78" w:name="_Toc440471772"/>
      <w:r>
        <w:rPr>
          <w:rFonts w:hint="eastAsia"/>
          <w:color w:val="auto"/>
        </w:rPr>
        <w:t>（5）模拟输入模块（AI）</w:t>
      </w:r>
      <w:bookmarkEnd w:id="77"/>
      <w:bookmarkEnd w:id="78"/>
    </w:p>
    <w:p>
      <w:pPr>
        <w:pStyle w:val="29"/>
        <w:ind w:firstLine="472"/>
        <w:rPr>
          <w:color w:val="auto"/>
        </w:rPr>
      </w:pPr>
      <w:r>
        <w:rPr>
          <w:rFonts w:hint="eastAsia"/>
          <w:color w:val="auto"/>
        </w:rPr>
        <w:t>输入点数：8通道</w:t>
      </w:r>
    </w:p>
    <w:p>
      <w:pPr>
        <w:pStyle w:val="29"/>
        <w:ind w:firstLine="472"/>
        <w:rPr>
          <w:color w:val="auto"/>
        </w:rPr>
      </w:pPr>
      <w:r>
        <w:rPr>
          <w:rFonts w:hint="eastAsia"/>
          <w:color w:val="auto"/>
        </w:rPr>
        <w:t>输入范围：±20mA，0-20mA，4-20mA；</w:t>
      </w:r>
    </w:p>
    <w:p>
      <w:pPr>
        <w:pStyle w:val="29"/>
        <w:ind w:firstLine="472"/>
        <w:rPr>
          <w:color w:val="auto"/>
        </w:rPr>
      </w:pPr>
      <w:r>
        <w:rPr>
          <w:rFonts w:hint="eastAsia"/>
          <w:color w:val="auto"/>
        </w:rPr>
        <w:t>分辨率：≥15位；</w:t>
      </w:r>
    </w:p>
    <w:p>
      <w:pPr>
        <w:pStyle w:val="29"/>
        <w:ind w:firstLine="472"/>
        <w:rPr>
          <w:color w:val="auto"/>
        </w:rPr>
      </w:pPr>
      <w:r>
        <w:rPr>
          <w:rFonts w:hint="eastAsia"/>
          <w:color w:val="auto"/>
        </w:rPr>
        <w:t>循环采集时间：≤9ms；</w:t>
      </w:r>
    </w:p>
    <w:p>
      <w:pPr>
        <w:pStyle w:val="29"/>
        <w:ind w:firstLine="472"/>
        <w:rPr>
          <w:color w:val="auto"/>
        </w:rPr>
      </w:pPr>
      <w:r>
        <w:rPr>
          <w:rFonts w:hint="eastAsia"/>
          <w:color w:val="auto"/>
        </w:rPr>
        <w:t>最大过载：±30mA；</w:t>
      </w:r>
    </w:p>
    <w:p>
      <w:pPr>
        <w:pStyle w:val="29"/>
        <w:ind w:firstLine="472"/>
        <w:rPr>
          <w:color w:val="auto"/>
        </w:rPr>
      </w:pPr>
      <w:r>
        <w:rPr>
          <w:rFonts w:hint="eastAsia"/>
          <w:color w:val="auto"/>
        </w:rPr>
        <w:t>每个输入点都具有状态指示</w:t>
      </w:r>
    </w:p>
    <w:p>
      <w:pPr>
        <w:pStyle w:val="29"/>
        <w:ind w:firstLine="472"/>
        <w:rPr>
          <w:color w:val="auto"/>
        </w:rPr>
      </w:pPr>
      <w:r>
        <w:rPr>
          <w:rFonts w:hint="eastAsia"/>
          <w:color w:val="auto"/>
        </w:rPr>
        <w:t>连接方式：拆卸式端子排（块）</w:t>
      </w:r>
    </w:p>
    <w:p>
      <w:pPr>
        <w:pStyle w:val="29"/>
        <w:ind w:firstLine="472"/>
        <w:rPr>
          <w:color w:val="auto"/>
        </w:rPr>
      </w:pPr>
      <w:r>
        <w:rPr>
          <w:rFonts w:hint="eastAsia"/>
          <w:color w:val="auto"/>
        </w:rPr>
        <w:t>支持带电插拨</w:t>
      </w:r>
    </w:p>
    <w:p>
      <w:pPr>
        <w:pStyle w:val="29"/>
        <w:ind w:firstLine="472"/>
        <w:rPr>
          <w:color w:val="auto"/>
        </w:rPr>
      </w:pPr>
      <w:r>
        <w:rPr>
          <w:rFonts w:hint="eastAsia"/>
          <w:color w:val="auto"/>
        </w:rPr>
        <w:t>故障锁定功能</w:t>
      </w:r>
    </w:p>
    <w:p>
      <w:pPr>
        <w:pStyle w:val="29"/>
        <w:ind w:firstLine="472"/>
        <w:rPr>
          <w:color w:val="auto"/>
        </w:rPr>
      </w:pPr>
      <w:r>
        <w:rPr>
          <w:rFonts w:hint="eastAsia"/>
          <w:color w:val="auto"/>
        </w:rPr>
        <w:t>完全软件可配置</w:t>
      </w:r>
    </w:p>
    <w:p>
      <w:pPr>
        <w:pStyle w:val="29"/>
        <w:ind w:firstLine="472"/>
        <w:rPr>
          <w:color w:val="auto"/>
        </w:rPr>
      </w:pPr>
      <w:r>
        <w:rPr>
          <w:rFonts w:hint="eastAsia"/>
          <w:color w:val="auto"/>
        </w:rPr>
        <w:t>开路检测功能</w:t>
      </w:r>
    </w:p>
    <w:p>
      <w:pPr>
        <w:pStyle w:val="29"/>
        <w:ind w:firstLine="472"/>
        <w:rPr>
          <w:color w:val="auto"/>
        </w:rPr>
      </w:pPr>
      <w:r>
        <w:rPr>
          <w:rFonts w:hint="eastAsia"/>
          <w:color w:val="auto"/>
        </w:rPr>
        <w:t>输入过载保护功能</w:t>
      </w:r>
    </w:p>
    <w:p>
      <w:pPr>
        <w:pStyle w:val="29"/>
        <w:ind w:firstLine="472"/>
        <w:rPr>
          <w:color w:val="auto"/>
        </w:rPr>
      </w:pPr>
      <w:r>
        <w:rPr>
          <w:rFonts w:hint="eastAsia"/>
          <w:color w:val="auto"/>
        </w:rPr>
        <w:t>共模抑制比：100db</w:t>
      </w:r>
    </w:p>
    <w:p>
      <w:pPr>
        <w:pStyle w:val="29"/>
        <w:ind w:firstLine="472"/>
        <w:rPr>
          <w:color w:val="auto"/>
        </w:rPr>
      </w:pPr>
      <w:r>
        <w:rPr>
          <w:rFonts w:hint="eastAsia"/>
          <w:color w:val="auto"/>
        </w:rPr>
        <w:t>常模抑制比：80db</w:t>
      </w:r>
    </w:p>
    <w:p>
      <w:pPr>
        <w:pStyle w:val="29"/>
        <w:ind w:firstLine="472"/>
        <w:rPr>
          <w:color w:val="auto"/>
        </w:rPr>
      </w:pPr>
      <w:bookmarkStart w:id="79" w:name="_Toc440471773"/>
      <w:bookmarkStart w:id="80" w:name="_Toc395798296"/>
      <w:r>
        <w:rPr>
          <w:rFonts w:hint="eastAsia"/>
          <w:color w:val="auto"/>
        </w:rPr>
        <w:t>（6）模拟输出模块（AO）</w:t>
      </w:r>
      <w:bookmarkEnd w:id="79"/>
      <w:bookmarkEnd w:id="80"/>
    </w:p>
    <w:p>
      <w:pPr>
        <w:pStyle w:val="29"/>
        <w:ind w:firstLine="472"/>
        <w:rPr>
          <w:color w:val="auto"/>
        </w:rPr>
      </w:pPr>
      <w:r>
        <w:rPr>
          <w:rFonts w:hint="eastAsia"/>
          <w:color w:val="auto"/>
        </w:rPr>
        <w:t>输出点数：8点</w:t>
      </w:r>
    </w:p>
    <w:p>
      <w:pPr>
        <w:pStyle w:val="29"/>
        <w:ind w:firstLine="472"/>
        <w:rPr>
          <w:color w:val="auto"/>
        </w:rPr>
      </w:pPr>
      <w:r>
        <w:rPr>
          <w:rFonts w:hint="eastAsia"/>
          <w:color w:val="auto"/>
        </w:rPr>
        <w:t>输出范围：1～5V，0～10V，4～20mA</w:t>
      </w:r>
    </w:p>
    <w:p>
      <w:pPr>
        <w:pStyle w:val="29"/>
        <w:ind w:firstLine="472"/>
        <w:rPr>
          <w:color w:val="auto"/>
        </w:rPr>
      </w:pPr>
      <w:r>
        <w:rPr>
          <w:rFonts w:hint="eastAsia"/>
          <w:color w:val="auto"/>
        </w:rPr>
        <w:t>分辨率：≥15位；</w:t>
      </w:r>
    </w:p>
    <w:p>
      <w:pPr>
        <w:pStyle w:val="29"/>
        <w:ind w:firstLine="472"/>
        <w:rPr>
          <w:color w:val="auto"/>
        </w:rPr>
      </w:pPr>
      <w:r>
        <w:rPr>
          <w:rFonts w:hint="eastAsia"/>
          <w:color w:val="auto"/>
        </w:rPr>
        <w:t>输出电流：0</w:t>
      </w:r>
      <w:r>
        <w:rPr>
          <w:color w:val="auto"/>
        </w:rPr>
        <w:t>~</w:t>
      </w:r>
      <w:r>
        <w:rPr>
          <w:rFonts w:hint="eastAsia"/>
          <w:color w:val="auto"/>
        </w:rPr>
        <w:t>20mA，4</w:t>
      </w:r>
      <w:r>
        <w:rPr>
          <w:color w:val="auto"/>
        </w:rPr>
        <w:t>~</w:t>
      </w:r>
      <w:r>
        <w:rPr>
          <w:rFonts w:hint="eastAsia"/>
          <w:color w:val="auto"/>
        </w:rPr>
        <w:t>20mA；</w:t>
      </w:r>
    </w:p>
    <w:p>
      <w:pPr>
        <w:pStyle w:val="29"/>
        <w:ind w:firstLine="472"/>
        <w:rPr>
          <w:color w:val="auto"/>
        </w:rPr>
      </w:pPr>
      <w:r>
        <w:rPr>
          <w:rFonts w:hint="eastAsia"/>
          <w:color w:val="auto"/>
        </w:rPr>
        <w:t>输出刷新时间：≤5ms；</w:t>
      </w:r>
    </w:p>
    <w:p>
      <w:pPr>
        <w:pStyle w:val="29"/>
        <w:ind w:firstLine="472"/>
        <w:rPr>
          <w:color w:val="auto"/>
        </w:rPr>
      </w:pPr>
      <w:r>
        <w:rPr>
          <w:rFonts w:hint="eastAsia"/>
          <w:color w:val="auto"/>
        </w:rPr>
        <w:t>每个输出点都具有状态指示</w:t>
      </w:r>
    </w:p>
    <w:p>
      <w:pPr>
        <w:pStyle w:val="29"/>
        <w:ind w:firstLine="472"/>
        <w:rPr>
          <w:color w:val="auto"/>
        </w:rPr>
      </w:pPr>
      <w:r>
        <w:rPr>
          <w:rFonts w:hint="eastAsia"/>
          <w:color w:val="auto"/>
        </w:rPr>
        <w:t>连接方式：拆卸式端子排（块）</w:t>
      </w:r>
    </w:p>
    <w:p>
      <w:pPr>
        <w:pStyle w:val="29"/>
        <w:ind w:firstLine="472"/>
        <w:rPr>
          <w:color w:val="auto"/>
        </w:rPr>
      </w:pPr>
      <w:r>
        <w:rPr>
          <w:rFonts w:hint="eastAsia"/>
          <w:color w:val="auto"/>
        </w:rPr>
        <w:t>支持带电插拨</w:t>
      </w:r>
    </w:p>
    <w:p>
      <w:pPr>
        <w:pStyle w:val="29"/>
        <w:ind w:firstLine="472"/>
        <w:rPr>
          <w:color w:val="auto"/>
        </w:rPr>
      </w:pPr>
      <w:r>
        <w:rPr>
          <w:rFonts w:hint="eastAsia"/>
          <w:color w:val="auto"/>
        </w:rPr>
        <w:t>故障锁定功能</w:t>
      </w:r>
    </w:p>
    <w:p>
      <w:pPr>
        <w:pStyle w:val="29"/>
        <w:ind w:firstLine="472"/>
        <w:rPr>
          <w:color w:val="auto"/>
        </w:rPr>
      </w:pPr>
      <w:r>
        <w:rPr>
          <w:rFonts w:hint="eastAsia"/>
          <w:color w:val="auto"/>
        </w:rPr>
        <w:t>完全软件可配置</w:t>
      </w:r>
    </w:p>
    <w:p>
      <w:pPr>
        <w:pStyle w:val="29"/>
        <w:ind w:firstLine="472"/>
        <w:rPr>
          <w:color w:val="auto"/>
        </w:rPr>
      </w:pPr>
      <w:r>
        <w:rPr>
          <w:rFonts w:hint="eastAsia"/>
          <w:color w:val="auto"/>
        </w:rPr>
        <w:t>（7）以太网通讯模块</w:t>
      </w:r>
    </w:p>
    <w:p>
      <w:pPr>
        <w:pStyle w:val="29"/>
        <w:ind w:firstLine="472"/>
        <w:rPr>
          <w:color w:val="auto"/>
        </w:rPr>
      </w:pPr>
      <w:r>
        <w:rPr>
          <w:rFonts w:hint="eastAsia"/>
          <w:color w:val="auto"/>
        </w:rPr>
        <w:t>以太网接口模块提供 2 个 10BASET/100BASETX（RJ45）接口，并通过内置交换机连接到模块。 支持 TCP/IP。要求满足全双工/半双工；通道数不少于 8 个。</w:t>
      </w:r>
    </w:p>
    <w:p>
      <w:pPr>
        <w:pStyle w:val="29"/>
        <w:ind w:firstLine="472"/>
        <w:rPr>
          <w:color w:val="auto"/>
        </w:rPr>
      </w:pPr>
      <w:bookmarkStart w:id="81" w:name="_Toc395798298"/>
      <w:bookmarkStart w:id="82" w:name="_Toc440471775"/>
      <w:r>
        <w:rPr>
          <w:rFonts w:hint="eastAsia"/>
          <w:color w:val="auto"/>
        </w:rPr>
        <w:t>（</w:t>
      </w:r>
      <w:r>
        <w:rPr>
          <w:color w:val="auto"/>
        </w:rPr>
        <w:t>8</w:t>
      </w:r>
      <w:r>
        <w:rPr>
          <w:rFonts w:hint="eastAsia"/>
          <w:color w:val="auto"/>
        </w:rPr>
        <w:t>）串口通讯模块</w:t>
      </w:r>
      <w:bookmarkEnd w:id="81"/>
      <w:bookmarkEnd w:id="82"/>
    </w:p>
    <w:p>
      <w:pPr>
        <w:pStyle w:val="29"/>
        <w:ind w:firstLine="472"/>
        <w:rPr>
          <w:color w:val="auto"/>
        </w:rPr>
      </w:pPr>
      <w:r>
        <w:rPr>
          <w:rFonts w:hint="eastAsia"/>
          <w:color w:val="auto"/>
        </w:rPr>
        <w:t>串口通讯设备可采用 PLC 模块或第三方串口通讯设备实现，为了保证通讯速度，一个串口主站最 多只能连接 4~6 个串口从站，串口的数量依据这一原则选取，串口必须支持 MODBUS 和自定义协 议，以满足和第三方产品通讯的要求。</w:t>
      </w:r>
    </w:p>
    <w:p>
      <w:pPr>
        <w:pStyle w:val="29"/>
        <w:ind w:firstLine="472"/>
        <w:rPr>
          <w:color w:val="auto"/>
        </w:rPr>
      </w:pPr>
      <w:r>
        <w:rPr>
          <w:rFonts w:hint="eastAsia"/>
          <w:color w:val="auto"/>
        </w:rPr>
        <w:t>（</w:t>
      </w:r>
      <w:r>
        <w:rPr>
          <w:color w:val="auto"/>
        </w:rPr>
        <w:t>9</w:t>
      </w:r>
      <w:r>
        <w:rPr>
          <w:rFonts w:hint="eastAsia"/>
          <w:color w:val="auto"/>
        </w:rPr>
        <w:t>）IO模块配置要求</w:t>
      </w:r>
    </w:p>
    <w:p>
      <w:pPr>
        <w:pStyle w:val="29"/>
        <w:ind w:firstLine="472"/>
        <w:rPr>
          <w:color w:val="auto"/>
        </w:rPr>
      </w:pPr>
      <w:r>
        <w:rPr>
          <w:rFonts w:hint="eastAsia"/>
          <w:color w:val="auto"/>
        </w:rPr>
        <w:t>1）输入/输出模块的配置</w:t>
      </w:r>
    </w:p>
    <w:p>
      <w:pPr>
        <w:pStyle w:val="29"/>
        <w:ind w:firstLine="472"/>
        <w:rPr>
          <w:color w:val="auto"/>
        </w:rPr>
      </w:pPr>
      <w:r>
        <w:rPr>
          <w:rFonts w:hint="eastAsia"/>
          <w:color w:val="auto"/>
        </w:rPr>
        <w:t>输入/输出模块应按系统控制逻辑配置，单个受控装置的输入/输出应配置在同一机架上，并且尽量配置在同一模块上。以保证当单个模块故障时，不会引起所有设备的停运。</w:t>
      </w:r>
    </w:p>
    <w:p>
      <w:pPr>
        <w:pStyle w:val="29"/>
        <w:ind w:firstLine="472"/>
        <w:rPr>
          <w:color w:val="auto"/>
        </w:rPr>
      </w:pPr>
      <w:r>
        <w:rPr>
          <w:rFonts w:hint="eastAsia"/>
          <w:color w:val="auto"/>
        </w:rPr>
        <w:t>每种输入/输出模块必须提供至</w:t>
      </w:r>
      <w:r>
        <w:rPr>
          <w:color w:val="auto"/>
        </w:rPr>
        <w:t>2</w:t>
      </w:r>
      <w:r>
        <w:rPr>
          <w:rFonts w:hint="eastAsia"/>
          <w:color w:val="auto"/>
        </w:rPr>
        <w:t>0%的备用信道容量，并作好端子配线。该备用容量必须是按最大的设计使用容量的比例计算出的，并将该备用容量维持到系统交工验收。</w:t>
      </w:r>
    </w:p>
    <w:p>
      <w:pPr>
        <w:pStyle w:val="29"/>
        <w:ind w:firstLine="472"/>
        <w:rPr>
          <w:color w:val="auto"/>
        </w:rPr>
      </w:pPr>
      <w:r>
        <w:rPr>
          <w:rFonts w:hint="eastAsia"/>
          <w:color w:val="auto"/>
        </w:rPr>
        <w:t>所有输入/输出模块与过程的连接应是光电隔离的，并可进行软件配置和故障诊断。I/O模块必须可带电插拔。</w:t>
      </w:r>
    </w:p>
    <w:p>
      <w:pPr>
        <w:pStyle w:val="29"/>
        <w:ind w:firstLine="472"/>
        <w:rPr>
          <w:color w:val="auto"/>
        </w:rPr>
      </w:pPr>
      <w:r>
        <w:rPr>
          <w:rFonts w:hint="eastAsia"/>
          <w:color w:val="auto"/>
        </w:rPr>
        <w:t>模块与过程信号端子的连接必须采用端子块形式，并尽量采用插接方式，以便于模块的快速简捷拆装。端子块应采用统一的规格，不应有点数或模块类型的区别。</w:t>
      </w:r>
    </w:p>
    <w:p>
      <w:pPr>
        <w:pStyle w:val="29"/>
        <w:ind w:firstLine="472"/>
        <w:rPr>
          <w:color w:val="auto"/>
        </w:rPr>
      </w:pPr>
      <w:r>
        <w:rPr>
          <w:rFonts w:hint="eastAsia"/>
          <w:color w:val="auto"/>
        </w:rPr>
        <w:t>2）输入/输出端子块</w:t>
      </w:r>
    </w:p>
    <w:p>
      <w:pPr>
        <w:pStyle w:val="29"/>
        <w:ind w:firstLine="472"/>
        <w:rPr>
          <w:color w:val="auto"/>
        </w:rPr>
      </w:pPr>
      <w:r>
        <w:rPr>
          <w:rFonts w:hint="eastAsia"/>
          <w:color w:val="auto"/>
        </w:rPr>
        <w:t>输入/输出端子块用于过程信号电缆与输入/输出模块的连接，具有但不限于以下功能：</w:t>
      </w:r>
    </w:p>
    <w:p>
      <w:pPr>
        <w:pStyle w:val="29"/>
        <w:ind w:firstLine="472"/>
        <w:rPr>
          <w:color w:val="auto"/>
        </w:rPr>
      </w:pPr>
      <w:r>
        <w:rPr>
          <w:rFonts w:hint="eastAsia"/>
          <w:color w:val="auto"/>
        </w:rPr>
        <w:t>无源的输入/输出信号回路配电和线路保护；</w:t>
      </w:r>
    </w:p>
    <w:p>
      <w:pPr>
        <w:pStyle w:val="29"/>
        <w:ind w:firstLine="472"/>
        <w:rPr>
          <w:color w:val="auto"/>
        </w:rPr>
      </w:pPr>
      <w:r>
        <w:rPr>
          <w:rFonts w:hint="eastAsia"/>
          <w:color w:val="auto"/>
        </w:rPr>
        <w:t>给二线制仪表配电和线路保护；</w:t>
      </w:r>
    </w:p>
    <w:p>
      <w:pPr>
        <w:pStyle w:val="29"/>
        <w:ind w:firstLine="472"/>
        <w:rPr>
          <w:color w:val="auto"/>
        </w:rPr>
      </w:pPr>
      <w:r>
        <w:rPr>
          <w:rFonts w:hint="eastAsia"/>
          <w:color w:val="auto"/>
        </w:rPr>
        <w:t>提供接地点。</w:t>
      </w:r>
    </w:p>
    <w:p>
      <w:pPr>
        <w:pStyle w:val="29"/>
        <w:ind w:firstLine="474"/>
        <w:rPr>
          <w:b/>
          <w:bCs/>
          <w:color w:val="auto"/>
        </w:rPr>
      </w:pPr>
      <w:r>
        <w:rPr>
          <w:rFonts w:hint="eastAsia"/>
          <w:b/>
          <w:bCs/>
          <w:color w:val="auto"/>
        </w:rPr>
        <w:t>f）监控组态软件</w:t>
      </w:r>
    </w:p>
    <w:p>
      <w:pPr>
        <w:pStyle w:val="29"/>
        <w:ind w:firstLine="472"/>
        <w:rPr>
          <w:color w:val="auto"/>
        </w:rPr>
      </w:pPr>
      <w:r>
        <w:rPr>
          <w:rFonts w:hint="eastAsia"/>
          <w:color w:val="auto"/>
        </w:rPr>
        <w:t>▲</w:t>
      </w:r>
      <w:r>
        <w:rPr>
          <w:rFonts w:hint="eastAsia"/>
          <w:b/>
          <w:bCs/>
          <w:color w:val="auto"/>
        </w:rPr>
        <w:t>上位监控组态软件采用和PLC同一品牌的产品，并能够实现和PLC、HMI在同一软件下进行组态和编程，承包人在中标后提供设备采购方案时应出具软件厂家针对本项目的授权及售后服务承诺。</w:t>
      </w:r>
    </w:p>
    <w:p>
      <w:pPr>
        <w:pStyle w:val="29"/>
        <w:ind w:firstLine="472"/>
        <w:rPr>
          <w:color w:val="auto"/>
        </w:rPr>
      </w:pPr>
      <w:r>
        <w:rPr>
          <w:rFonts w:hint="eastAsia"/>
          <w:color w:val="auto"/>
        </w:rPr>
        <w:t>上位监控组态软件是面向SCADA系统的软件平台工具，采用不同的版本安装在操作员站和工程师站上，实现全厂的SCADA监控功能和开发功能。</w:t>
      </w:r>
    </w:p>
    <w:p>
      <w:pPr>
        <w:pStyle w:val="29"/>
        <w:ind w:firstLine="472"/>
        <w:rPr>
          <w:color w:val="auto"/>
        </w:rPr>
      </w:pPr>
      <w:r>
        <w:rPr>
          <w:rFonts w:hint="eastAsia"/>
          <w:color w:val="auto"/>
        </w:rPr>
        <w:t>系统监控组态软件本身及相关文档均为中文版本。应该具有全图形化界面、全集成、面向对象的开发方式，使得系统开发人员使用方便、简单易学。功能覆盖广，软件组合灵活，高效性、内在结构和机制的先进性应确保用户可快速开发出实用而有效的自动化监控系统。系统应支持在各种语言版本的操作系统上运行，可在画面中同时使用汉字及其他多国文字和符号，具备全中文的开发和运行环境。工程师／操作员站监控、组态必须的软件均基于Windows系列操作系统，且必须提供Windows下的在线帮助功能。使用该系列软件开发出的工程应具备项目文件备份功能，并且应支持工程文件口令保护。工程师站应可对整个系统设置安全管理。支持使用用户，权限，优先级，安全区的方式为用户提供安全验证。</w:t>
      </w:r>
    </w:p>
    <w:p>
      <w:pPr>
        <w:pStyle w:val="29"/>
        <w:ind w:firstLine="472"/>
        <w:rPr>
          <w:color w:val="auto"/>
        </w:rPr>
      </w:pPr>
      <w:r>
        <w:rPr>
          <w:rFonts w:hint="eastAsia"/>
          <w:color w:val="auto"/>
        </w:rPr>
        <w:t>上位机监控软件采用当前最先进的技术、系统的配置和画面的组态具有方便性，而且系统的体系结构完全灵活的和开放的，它运行在Windows工作平台,通过策略和画面组态在上位机上实现对工业控制系统的监测与控制,具有动态画面、事件触发、报警、趋势、报表输出、历史数据存储等功能，能体现良好的通用性，灵活性，开放性，可靠性和性能价格比，软件已经提供中文操作模式，能够组态中文显示画面。</w:t>
      </w:r>
    </w:p>
    <w:p>
      <w:pPr>
        <w:pStyle w:val="29"/>
        <w:ind w:firstLine="472"/>
        <w:rPr>
          <w:color w:val="auto"/>
        </w:rPr>
      </w:pPr>
      <w:r>
        <w:rPr>
          <w:rFonts w:hint="eastAsia"/>
          <w:color w:val="auto"/>
        </w:rPr>
        <w:t>系统采用了图形用户界面(GUI)为操作人员和系统开发人员提供监控环境，在这个环境中可以实现数据采集、数据处理、状态监视、远程控制、报警、趋势、数据登录和生成报表等基本功能。</w:t>
      </w:r>
    </w:p>
    <w:p>
      <w:pPr>
        <w:pStyle w:val="29"/>
        <w:ind w:firstLine="472"/>
        <w:rPr>
          <w:color w:val="auto"/>
        </w:rPr>
      </w:pPr>
      <w:r>
        <w:rPr>
          <w:rFonts w:hint="eastAsia"/>
          <w:color w:val="auto"/>
        </w:rPr>
        <w:t>监控组态软件需满足要求：</w:t>
      </w:r>
    </w:p>
    <w:p>
      <w:pPr>
        <w:pStyle w:val="29"/>
        <w:ind w:firstLine="474"/>
        <w:rPr>
          <w:b/>
          <w:bCs/>
          <w:color w:val="auto"/>
        </w:rPr>
      </w:pPr>
      <w:r>
        <w:rPr>
          <w:rFonts w:hint="eastAsia"/>
          <w:b/>
          <w:bCs/>
          <w:color w:val="auto"/>
        </w:rPr>
        <w:t>分布式系统架构</w:t>
      </w:r>
    </w:p>
    <w:p>
      <w:pPr>
        <w:pStyle w:val="29"/>
        <w:ind w:firstLine="472"/>
        <w:rPr>
          <w:color w:val="auto"/>
        </w:rPr>
      </w:pPr>
      <w:r>
        <w:rPr>
          <w:rFonts w:hint="eastAsia"/>
          <w:color w:val="auto"/>
        </w:rPr>
        <w:t>系统应完全基于C\S模式，应支持分布式的历史数据库和分布式报警系统，使各个功能可以分配在网络上不同的节点上。</w:t>
      </w:r>
    </w:p>
    <w:p>
      <w:pPr>
        <w:pStyle w:val="29"/>
        <w:ind w:firstLine="474"/>
        <w:rPr>
          <w:b/>
          <w:bCs/>
          <w:color w:val="auto"/>
        </w:rPr>
      </w:pPr>
      <w:r>
        <w:rPr>
          <w:rFonts w:hint="eastAsia"/>
          <w:b/>
          <w:bCs/>
          <w:color w:val="auto"/>
        </w:rPr>
        <w:t>数据采集要求</w:t>
      </w:r>
    </w:p>
    <w:p>
      <w:pPr>
        <w:pStyle w:val="29"/>
        <w:ind w:firstLine="472"/>
        <w:rPr>
          <w:color w:val="auto"/>
        </w:rPr>
      </w:pPr>
      <w:r>
        <w:rPr>
          <w:rFonts w:hint="eastAsia"/>
          <w:color w:val="auto"/>
        </w:rPr>
        <w:t>数据采集方面，必须同时支持与多个厂家多种型号PLC的通讯，应对全厂自动控制系统硬件产品完全、良好地支持，具有很强的兼容性，以方便项目硬件设备选型和以后硬件系统升级改造。</w:t>
      </w:r>
    </w:p>
    <w:p>
      <w:pPr>
        <w:pStyle w:val="29"/>
        <w:ind w:firstLine="472"/>
        <w:rPr>
          <w:color w:val="auto"/>
        </w:rPr>
      </w:pPr>
      <w:r>
        <w:rPr>
          <w:rFonts w:hint="eastAsia"/>
          <w:color w:val="auto"/>
        </w:rPr>
        <w:t>应支持同时采集各种PLC、仪表、变频器、板卡、RTU等设备的数据；应支持电话拨号、电台、GPRS、VPN等远程多种通讯方式。</w:t>
      </w:r>
    </w:p>
    <w:p>
      <w:pPr>
        <w:pStyle w:val="29"/>
        <w:ind w:firstLine="472"/>
        <w:rPr>
          <w:color w:val="auto"/>
        </w:rPr>
      </w:pPr>
      <w:r>
        <w:rPr>
          <w:rFonts w:hint="eastAsia"/>
          <w:color w:val="auto"/>
        </w:rPr>
        <w:t>应支持多种冗余方式。</w:t>
      </w:r>
    </w:p>
    <w:p>
      <w:pPr>
        <w:pStyle w:val="29"/>
        <w:ind w:firstLine="472"/>
        <w:rPr>
          <w:color w:val="auto"/>
        </w:rPr>
      </w:pPr>
      <w:r>
        <w:rPr>
          <w:rFonts w:hint="eastAsia"/>
          <w:color w:val="auto"/>
        </w:rPr>
        <w:t>数据控制与应用软件之间应采用双向（全双工）通讯方式。组态软件与现场的PLC设备之间不需要增加专门的硬件接口，组态软件应提供覆盖绝大多数专用PLC设备的软件接口。</w:t>
      </w:r>
    </w:p>
    <w:p>
      <w:pPr>
        <w:pStyle w:val="29"/>
        <w:ind w:firstLine="472"/>
        <w:rPr>
          <w:color w:val="auto"/>
        </w:rPr>
      </w:pPr>
      <w:r>
        <w:rPr>
          <w:rFonts w:hint="eastAsia"/>
          <w:color w:val="auto"/>
        </w:rPr>
        <w:t>当监控计算机与数据库服务器之间通讯发生故障或数据库服务器发生故障时，操作员站收集现场资料，并将所收集资料存储到本机上，同时监测数据库服务器，当通讯或数据库服务器正常工作后自动将本机上的新数据转发到数据库服务器上，自动补充因故障造成的数据丢失。对数据库的所有变更都应是可跟踪的，支持FDA21CFRPART11的电子签名。支持采集和存储两级压缩比自由设定，应能够使用“Browser”和批量添加数据点的方式配置数据库。数据库应支持与OLEDB，API（64bit），SDK的接口，完全支持标准开发语言VBA。</w:t>
      </w:r>
    </w:p>
    <w:p>
      <w:pPr>
        <w:pStyle w:val="29"/>
        <w:ind w:firstLine="474"/>
        <w:rPr>
          <w:b/>
          <w:bCs/>
          <w:color w:val="auto"/>
        </w:rPr>
      </w:pPr>
      <w:r>
        <w:rPr>
          <w:rFonts w:hint="eastAsia"/>
          <w:b/>
          <w:bCs/>
          <w:color w:val="auto"/>
        </w:rPr>
        <w:t>开放性接口</w:t>
      </w:r>
    </w:p>
    <w:p>
      <w:pPr>
        <w:pStyle w:val="29"/>
        <w:ind w:firstLine="472"/>
        <w:rPr>
          <w:color w:val="auto"/>
        </w:rPr>
      </w:pPr>
      <w:r>
        <w:rPr>
          <w:rFonts w:hint="eastAsia"/>
          <w:color w:val="auto"/>
        </w:rPr>
        <w:t>必须完全支持ActiveX技术，这包括ActiveX容器、ActiveX控件和ActiveX文本技术；支援SQL数据库软件，支持OPC、DDE，应提供丰富的API接口，支持自动化接口、.NET接口、OLE接口，支持访问历史数据和报警、事件，支持访问权限。</w:t>
      </w:r>
    </w:p>
    <w:p>
      <w:pPr>
        <w:pStyle w:val="29"/>
        <w:ind w:firstLine="472"/>
        <w:rPr>
          <w:color w:val="auto"/>
        </w:rPr>
      </w:pPr>
      <w:r>
        <w:rPr>
          <w:rFonts w:hint="eastAsia"/>
          <w:color w:val="auto"/>
        </w:rPr>
        <w:t>支持标准的软件接口的开放的系统便于功能扩展和与企业信息系统集成。带有标准数据库接口的实时数据库用于存放过程和组态数据，便于其他程序对其进行访问，并能与编程软件及其它的专业数据库软件共享数据库标准SQL/ODBCAPI接口，方便关系数据库集成。必须支持多种开放数据接口，包括API、DDE、OPC接口等，以便于以后进行二次开发，实现第三方程序对监控软件数据高效读写，可以作为OPCSERVER和OPCCLIENT。</w:t>
      </w:r>
    </w:p>
    <w:p>
      <w:pPr>
        <w:pStyle w:val="29"/>
        <w:ind w:firstLine="472"/>
        <w:rPr>
          <w:color w:val="auto"/>
        </w:rPr>
      </w:pPr>
      <w:r>
        <w:rPr>
          <w:rFonts w:hint="eastAsia"/>
          <w:color w:val="auto"/>
        </w:rPr>
        <w:t>支持卷标数据库在线配置，支持流程画面在线配置，在此期间系统正常工作不停机，应具备方便的卷标管理功能，详细说明卷标的导入、变更、应用的方法。</w:t>
      </w:r>
    </w:p>
    <w:p>
      <w:pPr>
        <w:pStyle w:val="29"/>
        <w:ind w:firstLine="474"/>
        <w:rPr>
          <w:b/>
          <w:bCs/>
          <w:color w:val="auto"/>
        </w:rPr>
      </w:pPr>
      <w:r>
        <w:rPr>
          <w:rFonts w:hint="eastAsia"/>
          <w:b/>
          <w:bCs/>
          <w:color w:val="auto"/>
        </w:rPr>
        <w:t>画面功能</w:t>
      </w:r>
    </w:p>
    <w:p>
      <w:pPr>
        <w:pStyle w:val="29"/>
        <w:ind w:firstLine="472"/>
        <w:rPr>
          <w:color w:val="auto"/>
        </w:rPr>
      </w:pPr>
      <w:r>
        <w:rPr>
          <w:rFonts w:hint="eastAsia"/>
          <w:color w:val="auto"/>
        </w:rPr>
        <w:t>支持屏幕的分辨率从640*480到4096*4096，可以根据应用的需要选择适当的分辨率的画面模板。</w:t>
      </w:r>
    </w:p>
    <w:p>
      <w:pPr>
        <w:pStyle w:val="29"/>
        <w:ind w:firstLine="472"/>
        <w:rPr>
          <w:color w:val="auto"/>
        </w:rPr>
      </w:pPr>
      <w:r>
        <w:rPr>
          <w:rFonts w:hint="eastAsia"/>
          <w:color w:val="auto"/>
        </w:rPr>
        <w:t>运行系统应支持画面无极缩放，能够无限的扩大或缩小可视空间并且缩放比例不失真。</w:t>
      </w:r>
    </w:p>
    <w:p>
      <w:pPr>
        <w:pStyle w:val="29"/>
        <w:ind w:firstLine="472"/>
        <w:rPr>
          <w:color w:val="auto"/>
        </w:rPr>
      </w:pPr>
      <w:r>
        <w:rPr>
          <w:rFonts w:hint="eastAsia"/>
          <w:color w:val="auto"/>
        </w:rPr>
        <w:t>画面应该支持GDI+，支持真彩色显示各种图形对象，支持过滤色和透明色。强大的图形画面显示功能。颜色大于65536色，用户可定义的动态工艺流程图＞100，能够使画面移动、整形、旋转、组合、分割、缩放等等，能够利用和编辑内部的动态符号库，拟使用外部软件做图库，并且可以模拟传统仪表进行画面设计，各画面之间可任意交换有关图形。动态图形。能模拟现场工艺流程，使画面处于动态显示状态，并可设置所有参数。系统的画面在设计使用时，以1920×1080的分辨率为基准。</w:t>
      </w:r>
    </w:p>
    <w:p>
      <w:pPr>
        <w:pStyle w:val="29"/>
        <w:ind w:firstLine="472"/>
        <w:rPr>
          <w:color w:val="auto"/>
        </w:rPr>
      </w:pPr>
      <w:r>
        <w:rPr>
          <w:rFonts w:hint="eastAsia"/>
          <w:color w:val="auto"/>
        </w:rPr>
        <w:t>系统应支持全集成的画面展示，设备的视频信息、实时数据、历史数据和报警数据可以在同一画面上进行显示。并且通过查找某一信息，即可得到与该信息相关联的其他信息。</w:t>
      </w:r>
    </w:p>
    <w:p>
      <w:pPr>
        <w:pStyle w:val="29"/>
        <w:ind w:firstLine="474"/>
        <w:rPr>
          <w:b/>
          <w:bCs/>
          <w:color w:val="auto"/>
        </w:rPr>
      </w:pPr>
      <w:r>
        <w:rPr>
          <w:rFonts w:hint="eastAsia"/>
          <w:b/>
          <w:bCs/>
          <w:color w:val="auto"/>
        </w:rPr>
        <w:t>冗余功能</w:t>
      </w:r>
    </w:p>
    <w:p>
      <w:pPr>
        <w:pStyle w:val="29"/>
        <w:ind w:firstLine="472"/>
        <w:rPr>
          <w:color w:val="auto"/>
        </w:rPr>
      </w:pPr>
      <w:r>
        <w:rPr>
          <w:rFonts w:hint="eastAsia"/>
          <w:color w:val="auto"/>
        </w:rPr>
        <w:t>软件应支持双机冗余功能。当发生故障时应能快速在冗余机之间进行无扰切换，切换时间应小于1秒。不需另外购置冗余组件。</w:t>
      </w:r>
    </w:p>
    <w:p>
      <w:pPr>
        <w:pStyle w:val="29"/>
        <w:ind w:firstLine="472"/>
        <w:rPr>
          <w:color w:val="auto"/>
        </w:rPr>
      </w:pPr>
      <w:r>
        <w:rPr>
          <w:rFonts w:hint="eastAsia"/>
          <w:color w:val="auto"/>
        </w:rPr>
        <w:t>冗余机之间应具备专用的冗余探测通道（如专用的网卡或者串口等）。</w:t>
      </w:r>
    </w:p>
    <w:p>
      <w:pPr>
        <w:pStyle w:val="29"/>
        <w:ind w:firstLine="474"/>
        <w:rPr>
          <w:b/>
          <w:bCs/>
          <w:color w:val="auto"/>
        </w:rPr>
      </w:pPr>
      <w:r>
        <w:rPr>
          <w:rFonts w:hint="eastAsia"/>
          <w:b/>
          <w:bCs/>
          <w:color w:val="auto"/>
        </w:rPr>
        <w:t>趋势曲线</w:t>
      </w:r>
    </w:p>
    <w:p>
      <w:pPr>
        <w:pStyle w:val="29"/>
        <w:ind w:firstLine="472"/>
        <w:rPr>
          <w:color w:val="auto"/>
        </w:rPr>
      </w:pPr>
      <w:r>
        <w:rPr>
          <w:rFonts w:hint="eastAsia"/>
          <w:color w:val="auto"/>
        </w:rPr>
        <w:t>趋势曲线应支持实时曲线和历史曲线的在线切换。</w:t>
      </w:r>
    </w:p>
    <w:p>
      <w:pPr>
        <w:pStyle w:val="29"/>
        <w:ind w:firstLine="472"/>
        <w:rPr>
          <w:color w:val="auto"/>
        </w:rPr>
      </w:pPr>
      <w:r>
        <w:rPr>
          <w:rFonts w:hint="eastAsia"/>
          <w:color w:val="auto"/>
        </w:rPr>
        <w:t>趋势曲线应可以任意自由放大或缩小时间轴（如跨度可大于一年，也可是1秒）。在一幅画面能至少显示一个月的数据。</w:t>
      </w:r>
    </w:p>
    <w:p>
      <w:pPr>
        <w:pStyle w:val="29"/>
        <w:ind w:firstLine="472"/>
        <w:rPr>
          <w:color w:val="auto"/>
        </w:rPr>
      </w:pPr>
      <w:r>
        <w:rPr>
          <w:rFonts w:hint="eastAsia"/>
          <w:color w:val="auto"/>
        </w:rPr>
        <w:t>应支持多曲线（8条或以上）同一时间的对比分析；支持单条、多条曲线的不同时间段的对比分析。</w:t>
      </w:r>
    </w:p>
    <w:p>
      <w:pPr>
        <w:pStyle w:val="29"/>
        <w:ind w:firstLine="472"/>
        <w:rPr>
          <w:color w:val="auto"/>
        </w:rPr>
      </w:pPr>
      <w:r>
        <w:rPr>
          <w:rFonts w:hint="eastAsia"/>
          <w:color w:val="auto"/>
        </w:rPr>
        <w:t>趋势曲线时间单位应支持毫秒精度。</w:t>
      </w:r>
    </w:p>
    <w:p>
      <w:pPr>
        <w:pStyle w:val="29"/>
        <w:ind w:firstLine="472"/>
        <w:rPr>
          <w:color w:val="auto"/>
        </w:rPr>
      </w:pPr>
      <w:r>
        <w:rPr>
          <w:rFonts w:hint="eastAsia"/>
          <w:color w:val="auto"/>
        </w:rPr>
        <w:t>趋势曲线应支持多纵轴多曲线展示，能为不同的曲线设置不同的纵轴，最多应可容纳64条曲线。</w:t>
      </w:r>
    </w:p>
    <w:p>
      <w:pPr>
        <w:pStyle w:val="29"/>
        <w:ind w:firstLine="472"/>
        <w:rPr>
          <w:color w:val="auto"/>
        </w:rPr>
      </w:pPr>
      <w:r>
        <w:rPr>
          <w:rFonts w:hint="eastAsia"/>
          <w:color w:val="auto"/>
        </w:rPr>
        <w:t>应支持多曲线同一时间的对比分析；支持单条、多条曲线的不同时间段的对比分析。</w:t>
      </w:r>
    </w:p>
    <w:p>
      <w:pPr>
        <w:pStyle w:val="29"/>
        <w:ind w:firstLine="472"/>
        <w:rPr>
          <w:color w:val="auto"/>
        </w:rPr>
      </w:pPr>
      <w:r>
        <w:rPr>
          <w:rFonts w:hint="eastAsia"/>
          <w:color w:val="auto"/>
        </w:rPr>
        <w:t>曲线画面要具有现实曲线的名称，并可以在打印的时候加入用户的注释内容。</w:t>
      </w:r>
    </w:p>
    <w:p>
      <w:pPr>
        <w:pStyle w:val="29"/>
        <w:ind w:firstLine="472"/>
        <w:rPr>
          <w:color w:val="auto"/>
        </w:rPr>
      </w:pPr>
      <w:r>
        <w:rPr>
          <w:rFonts w:hint="eastAsia"/>
          <w:color w:val="auto"/>
        </w:rPr>
        <w:t>趋势曲线的游标应具有备注功能，能够根据不同的时间区间显示不同的注释内容。</w:t>
      </w:r>
    </w:p>
    <w:p>
      <w:pPr>
        <w:pStyle w:val="29"/>
        <w:ind w:firstLine="472"/>
        <w:rPr>
          <w:color w:val="auto"/>
        </w:rPr>
      </w:pPr>
      <w:r>
        <w:rPr>
          <w:rFonts w:hint="eastAsia"/>
          <w:color w:val="auto"/>
        </w:rPr>
        <w:t>趋势曲线可根据用户需要点选在同一画面显示。</w:t>
      </w:r>
    </w:p>
    <w:p>
      <w:pPr>
        <w:pStyle w:val="29"/>
        <w:ind w:firstLine="472"/>
        <w:rPr>
          <w:color w:val="auto"/>
        </w:rPr>
      </w:pPr>
      <w:r>
        <w:rPr>
          <w:rFonts w:hint="eastAsia"/>
          <w:color w:val="auto"/>
        </w:rPr>
        <w:t>趋势曲线应能够具有良好的定制化功能，能够定制不同外观的趋势曲线，应支持曲线显示设置。</w:t>
      </w:r>
    </w:p>
    <w:p>
      <w:pPr>
        <w:pStyle w:val="29"/>
        <w:ind w:firstLine="472"/>
        <w:rPr>
          <w:color w:val="auto"/>
        </w:rPr>
      </w:pPr>
      <w:r>
        <w:rPr>
          <w:rFonts w:hint="eastAsia"/>
          <w:color w:val="auto"/>
        </w:rPr>
        <w:t>能够定义曲线组，将预先定义好的多条曲线在同一画面里同时显示出来。</w:t>
      </w:r>
    </w:p>
    <w:p>
      <w:pPr>
        <w:pStyle w:val="29"/>
        <w:ind w:firstLine="472"/>
        <w:rPr>
          <w:color w:val="auto"/>
        </w:rPr>
      </w:pPr>
      <w:r>
        <w:rPr>
          <w:rFonts w:hint="eastAsia"/>
          <w:color w:val="auto"/>
        </w:rPr>
        <w:t>原则上，全部运行变量的曲线都要求能够显示出来，包括了AI、AO、DI、DO以及所有的预先设定值，并且能够任意添加/减除各种曲线和曲线组。</w:t>
      </w:r>
    </w:p>
    <w:p>
      <w:pPr>
        <w:pStyle w:val="29"/>
        <w:ind w:firstLine="474"/>
        <w:rPr>
          <w:b/>
          <w:bCs/>
          <w:color w:val="auto"/>
        </w:rPr>
      </w:pPr>
      <w:r>
        <w:rPr>
          <w:rFonts w:hint="eastAsia"/>
          <w:b/>
          <w:bCs/>
          <w:color w:val="auto"/>
        </w:rPr>
        <w:t>报警功能</w:t>
      </w:r>
    </w:p>
    <w:p>
      <w:pPr>
        <w:pStyle w:val="29"/>
        <w:ind w:firstLine="472"/>
        <w:rPr>
          <w:color w:val="auto"/>
        </w:rPr>
      </w:pPr>
      <w:r>
        <w:rPr>
          <w:rFonts w:hint="eastAsia"/>
          <w:color w:val="auto"/>
        </w:rPr>
        <w:t>系统应具有强大的报警系统，能够对实时、历史的报警和事件进行显示、存储、查询等操作，并能够及时通知操作人员，以进行故障监控和决策制定。</w:t>
      </w:r>
    </w:p>
    <w:p>
      <w:pPr>
        <w:pStyle w:val="29"/>
        <w:ind w:firstLine="472"/>
        <w:rPr>
          <w:color w:val="auto"/>
        </w:rPr>
      </w:pPr>
      <w:r>
        <w:rPr>
          <w:rFonts w:hint="eastAsia"/>
          <w:color w:val="auto"/>
        </w:rPr>
        <w:t>报警信息的内容应清晰明白，使用中文解释，不能仅仅将报警内容的内部编码显示出来。</w:t>
      </w:r>
    </w:p>
    <w:p>
      <w:pPr>
        <w:pStyle w:val="29"/>
        <w:ind w:left="440" w:leftChars="200" w:firstLine="0" w:firstLineChars="0"/>
        <w:rPr>
          <w:color w:val="auto"/>
        </w:rPr>
      </w:pPr>
      <w:r>
        <w:rPr>
          <w:rFonts w:hint="eastAsia"/>
          <w:color w:val="auto"/>
        </w:rPr>
        <w:t>报警显示窗口应支持多种模式，包括实时报警窗口、历史报警窗口和查询窗口。实时报警窗口显示最新的报警信息，报警信息消失条件应可设置。</w:t>
      </w:r>
    </w:p>
    <w:p>
      <w:pPr>
        <w:pStyle w:val="29"/>
        <w:ind w:firstLine="472"/>
        <w:rPr>
          <w:color w:val="auto"/>
        </w:rPr>
      </w:pPr>
      <w:r>
        <w:rPr>
          <w:rFonts w:hint="eastAsia"/>
          <w:color w:val="auto"/>
        </w:rPr>
        <w:t>历史报警窗口显示历史报警事件，包括以往的历史报警信息、报警确认信息和恢复信息，报警事件的来源是报警缓存区。</w:t>
      </w:r>
    </w:p>
    <w:p>
      <w:pPr>
        <w:pStyle w:val="29"/>
        <w:ind w:firstLine="472"/>
        <w:rPr>
          <w:color w:val="auto"/>
        </w:rPr>
      </w:pPr>
      <w:r>
        <w:rPr>
          <w:rFonts w:hint="eastAsia"/>
          <w:color w:val="auto"/>
        </w:rPr>
        <w:t>查询窗口能够查询报警库中的报警事件，报警事件来源是报警库。应支持多种报警查询条件，对报警信息的查询，可以按报警时间查询、报警类型查询、按记录类型查询等等。应支持完全基于SQL的标准化查询语句。</w:t>
      </w:r>
    </w:p>
    <w:p>
      <w:pPr>
        <w:pStyle w:val="29"/>
        <w:ind w:firstLine="474"/>
        <w:rPr>
          <w:b/>
          <w:bCs/>
          <w:color w:val="auto"/>
        </w:rPr>
      </w:pPr>
      <w:r>
        <w:rPr>
          <w:rFonts w:hint="eastAsia"/>
          <w:b/>
          <w:bCs/>
          <w:color w:val="auto"/>
        </w:rPr>
        <w:t>报表功能</w:t>
      </w:r>
    </w:p>
    <w:p>
      <w:pPr>
        <w:pStyle w:val="29"/>
        <w:ind w:firstLine="472"/>
        <w:rPr>
          <w:color w:val="auto"/>
        </w:rPr>
      </w:pPr>
      <w:r>
        <w:rPr>
          <w:rFonts w:hint="eastAsia"/>
          <w:color w:val="auto"/>
        </w:rPr>
        <w:t>系统应具有独立的报表，能够实现为工程设计复杂的工程报表。应能自动生成各类日、月、年报表。</w:t>
      </w:r>
    </w:p>
    <w:p>
      <w:pPr>
        <w:pStyle w:val="29"/>
        <w:ind w:firstLine="472"/>
        <w:rPr>
          <w:color w:val="auto"/>
        </w:rPr>
      </w:pPr>
      <w:r>
        <w:rPr>
          <w:rFonts w:hint="eastAsia"/>
          <w:color w:val="auto"/>
        </w:rPr>
        <w:t>操作人员应可以在远程浏览查看全部的报表数据。</w:t>
      </w:r>
    </w:p>
    <w:p>
      <w:pPr>
        <w:pStyle w:val="29"/>
        <w:ind w:firstLine="472"/>
        <w:rPr>
          <w:color w:val="auto"/>
        </w:rPr>
      </w:pPr>
      <w:r>
        <w:rPr>
          <w:rFonts w:hint="eastAsia"/>
          <w:color w:val="auto"/>
        </w:rPr>
        <w:t>可产生、显示、预览、打印至少10种报表，如班报、日报、月报、年报、故障报告、所有状态信号报告、所有单元的维护状况报告等。</w:t>
      </w:r>
    </w:p>
    <w:p>
      <w:pPr>
        <w:pStyle w:val="29"/>
        <w:ind w:firstLine="472"/>
        <w:rPr>
          <w:color w:val="auto"/>
        </w:rPr>
      </w:pPr>
      <w:r>
        <w:rPr>
          <w:rFonts w:hint="eastAsia"/>
          <w:color w:val="auto"/>
        </w:rPr>
        <w:t>班报表以一个班工作时间8小时为准，一天三班（或者四班），班报表的形式包括正确的班次、日期、报表名称、采样点编号、计量单位以及每个采样点的平均值、最小值、最大值、累积值，班的处理水量、能耗、单耗或成本，进行打印机存储。日、月、年报表的形式与班报表形式类同，但报表的时段为日、月、年。报表的存储以月为单位存入光盘。</w:t>
      </w:r>
    </w:p>
    <w:p>
      <w:pPr>
        <w:pStyle w:val="29"/>
        <w:ind w:firstLine="472"/>
        <w:rPr>
          <w:color w:val="auto"/>
        </w:rPr>
      </w:pPr>
      <w:r>
        <w:rPr>
          <w:rFonts w:hint="eastAsia"/>
          <w:color w:val="auto"/>
        </w:rPr>
        <w:t>报表系统能够输出固定格式的报表及自由格式的报表，并且可以在开发的系统界面之下，由用户自行构造生成新的固定格式报表。</w:t>
      </w:r>
    </w:p>
    <w:p>
      <w:pPr>
        <w:pStyle w:val="29"/>
        <w:ind w:firstLine="472"/>
        <w:rPr>
          <w:color w:val="auto"/>
        </w:rPr>
      </w:pPr>
      <w:r>
        <w:rPr>
          <w:rFonts w:hint="eastAsia"/>
          <w:color w:val="auto"/>
        </w:rPr>
        <w:t>可以将数据库中的数据按照变量名称、按照时间段等要求，任意选择所需变量（可以是多个），输出到SQL的标准数据库中，并能够将数据输出到标准格式的Excel表格中，以供分析使用。</w:t>
      </w:r>
    </w:p>
    <w:p>
      <w:pPr>
        <w:pStyle w:val="29"/>
        <w:ind w:firstLine="472"/>
        <w:rPr>
          <w:color w:val="auto"/>
        </w:rPr>
      </w:pPr>
      <w:r>
        <w:rPr>
          <w:rFonts w:hint="eastAsia"/>
          <w:color w:val="auto"/>
        </w:rPr>
        <w:t>生产系统产生的数据，要求按照时间来划分存放的目录。数据库以日为最小单位。每个月产生的数据分成一个独立的子目录，12个月的数据目录放在年的子目录。不同的年份要放在不同的子目录中。其余依次类推。</w:t>
      </w:r>
    </w:p>
    <w:p>
      <w:pPr>
        <w:pStyle w:val="29"/>
        <w:ind w:firstLine="472"/>
        <w:rPr>
          <w:color w:val="auto"/>
        </w:rPr>
      </w:pPr>
      <w:r>
        <w:rPr>
          <w:rFonts w:hint="eastAsia"/>
          <w:color w:val="auto"/>
        </w:rPr>
        <w:t>所有的数据库名称要包含日期的字符串，以便日后区分查找。</w:t>
      </w:r>
    </w:p>
    <w:p>
      <w:pPr>
        <w:pStyle w:val="29"/>
        <w:ind w:firstLine="472"/>
        <w:rPr>
          <w:color w:val="auto"/>
        </w:rPr>
      </w:pPr>
      <w:r>
        <w:rPr>
          <w:rFonts w:hint="eastAsia"/>
          <w:color w:val="auto"/>
        </w:rPr>
        <w:t>应能够对数据进行压缩存储以节省磁盘空间，应能够避免因为系统异常而丢失数据的可能。</w:t>
      </w:r>
    </w:p>
    <w:p>
      <w:pPr>
        <w:pStyle w:val="29"/>
        <w:ind w:firstLine="472"/>
        <w:rPr>
          <w:color w:val="auto"/>
        </w:rPr>
      </w:pPr>
      <w:r>
        <w:rPr>
          <w:rFonts w:hint="eastAsia"/>
          <w:color w:val="auto"/>
        </w:rPr>
        <w:t>为保证数据的完整性，网络间历史数据的传输应采用数据流的形式。</w:t>
      </w:r>
    </w:p>
    <w:p>
      <w:pPr>
        <w:pStyle w:val="29"/>
        <w:ind w:firstLine="474"/>
        <w:rPr>
          <w:b/>
          <w:bCs/>
          <w:color w:val="auto"/>
        </w:rPr>
      </w:pPr>
      <w:r>
        <w:rPr>
          <w:rFonts w:hint="eastAsia"/>
          <w:b/>
          <w:bCs/>
          <w:color w:val="auto"/>
        </w:rPr>
        <w:t>数据模型和图形模型</w:t>
      </w:r>
    </w:p>
    <w:p>
      <w:pPr>
        <w:pStyle w:val="29"/>
        <w:ind w:firstLine="472"/>
        <w:rPr>
          <w:color w:val="auto"/>
        </w:rPr>
      </w:pPr>
      <w:r>
        <w:rPr>
          <w:rFonts w:hint="eastAsia"/>
          <w:color w:val="auto"/>
        </w:rPr>
        <w:t>开发环境中应使用数据模型和图形模型的概念。通过数据数据模型实现快速创建变量和逻辑计算处理。通过图形模型实现快速组态已经制作好的带有动画和逻辑脚本的图形对象。修改模型的属性应具备属性传播到实例化对象中的功能。</w:t>
      </w:r>
    </w:p>
    <w:p>
      <w:pPr>
        <w:pStyle w:val="29"/>
        <w:ind w:firstLine="474"/>
        <w:rPr>
          <w:b/>
          <w:bCs/>
          <w:color w:val="auto"/>
        </w:rPr>
      </w:pPr>
      <w:r>
        <w:rPr>
          <w:rFonts w:hint="eastAsia"/>
          <w:b/>
          <w:bCs/>
          <w:color w:val="auto"/>
        </w:rPr>
        <w:t>画图工具和图库</w:t>
      </w:r>
    </w:p>
    <w:p>
      <w:pPr>
        <w:pStyle w:val="29"/>
        <w:ind w:firstLine="472"/>
        <w:rPr>
          <w:color w:val="auto"/>
        </w:rPr>
      </w:pPr>
      <w:r>
        <w:rPr>
          <w:rFonts w:hint="eastAsia"/>
          <w:color w:val="auto"/>
        </w:rPr>
        <w:t>软件应提供方便的画图工具和丰富的动画连接。</w:t>
      </w:r>
    </w:p>
    <w:p>
      <w:pPr>
        <w:pStyle w:val="29"/>
        <w:ind w:firstLine="472"/>
        <w:rPr>
          <w:color w:val="auto"/>
        </w:rPr>
      </w:pPr>
      <w:r>
        <w:rPr>
          <w:rFonts w:hint="eastAsia"/>
          <w:color w:val="auto"/>
        </w:rPr>
        <w:t>软件应具有专门图库（如闸门，水泵，管道等），图库必须内嵌动画链接和逻辑控制，为工程开发提供强大的资源。</w:t>
      </w:r>
    </w:p>
    <w:p>
      <w:pPr>
        <w:pStyle w:val="29"/>
        <w:ind w:firstLine="472"/>
        <w:rPr>
          <w:color w:val="auto"/>
        </w:rPr>
      </w:pPr>
      <w:r>
        <w:rPr>
          <w:rFonts w:hint="eastAsia"/>
          <w:color w:val="auto"/>
        </w:rPr>
        <w:t>软件应支持用户对现有图库进行编辑、修改、保存，并且应支持用户自己开发新图。图库的图形支持矢量的线性缩放。</w:t>
      </w:r>
    </w:p>
    <w:p>
      <w:pPr>
        <w:pStyle w:val="29"/>
        <w:ind w:firstLine="472"/>
        <w:rPr>
          <w:color w:val="auto"/>
        </w:rPr>
      </w:pPr>
      <w:r>
        <w:rPr>
          <w:rFonts w:hint="eastAsia"/>
          <w:color w:val="auto"/>
        </w:rPr>
        <w:t>图形能够支持流行的BMP、JPG、GIF和GIF动画等的多种格式。</w:t>
      </w:r>
    </w:p>
    <w:p>
      <w:pPr>
        <w:pStyle w:val="29"/>
        <w:ind w:firstLine="474"/>
        <w:rPr>
          <w:b/>
          <w:bCs/>
          <w:color w:val="auto"/>
        </w:rPr>
      </w:pPr>
      <w:r>
        <w:rPr>
          <w:rFonts w:hint="eastAsia"/>
          <w:b/>
          <w:bCs/>
          <w:color w:val="auto"/>
        </w:rPr>
        <w:t>工程管理</w:t>
      </w:r>
    </w:p>
    <w:p>
      <w:pPr>
        <w:pStyle w:val="29"/>
        <w:ind w:firstLine="472"/>
        <w:rPr>
          <w:color w:val="auto"/>
        </w:rPr>
      </w:pPr>
      <w:r>
        <w:rPr>
          <w:rFonts w:hint="eastAsia"/>
          <w:color w:val="auto"/>
        </w:rPr>
        <w:t>开发环境应该采用项目树，使程序生成灵活，程序组织清晰明了。</w:t>
      </w:r>
    </w:p>
    <w:p>
      <w:pPr>
        <w:pStyle w:val="29"/>
        <w:ind w:firstLine="472"/>
        <w:rPr>
          <w:color w:val="auto"/>
        </w:rPr>
      </w:pPr>
      <w:r>
        <w:rPr>
          <w:rFonts w:hint="eastAsia"/>
          <w:color w:val="auto"/>
        </w:rPr>
        <w:t>应支持多个工程同时进行开发组态，开发过程中可以在工程之间任意切换，工程应支持导入</w:t>
      </w:r>
      <w:r>
        <w:rPr>
          <w:rFonts w:hint="eastAsia" w:ascii="新宋体" w:hAnsi="新宋体" w:eastAsia="新宋体"/>
          <w:color w:val="auto"/>
        </w:rPr>
        <w:t>/</w:t>
      </w:r>
      <w:r>
        <w:rPr>
          <w:rFonts w:hint="eastAsia"/>
          <w:color w:val="auto"/>
        </w:rPr>
        <w:t>导出功能。应支持多工程之间资源共享（如画面拷贝、变量拷贝等）。</w:t>
      </w:r>
    </w:p>
    <w:p>
      <w:pPr>
        <w:pStyle w:val="29"/>
        <w:ind w:firstLine="472"/>
        <w:rPr>
          <w:color w:val="auto"/>
        </w:rPr>
      </w:pPr>
      <w:r>
        <w:rPr>
          <w:rFonts w:hint="eastAsia"/>
          <w:color w:val="auto"/>
        </w:rPr>
        <w:t>根据应用场景不同，工程应能够直接进行多语言切换。开发环境生成的工程，应该支持口令保护。应具有项目文件备份功能。</w:t>
      </w:r>
    </w:p>
    <w:p>
      <w:pPr>
        <w:pStyle w:val="29"/>
        <w:ind w:firstLine="474"/>
        <w:rPr>
          <w:b/>
          <w:bCs/>
          <w:color w:val="auto"/>
        </w:rPr>
      </w:pPr>
      <w:r>
        <w:rPr>
          <w:rFonts w:hint="eastAsia"/>
          <w:b/>
          <w:bCs/>
          <w:color w:val="auto"/>
        </w:rPr>
        <w:t>脚本语言和变量</w:t>
      </w:r>
    </w:p>
    <w:p>
      <w:pPr>
        <w:pStyle w:val="29"/>
        <w:ind w:firstLine="472"/>
        <w:rPr>
          <w:color w:val="auto"/>
        </w:rPr>
      </w:pPr>
      <w:r>
        <w:rPr>
          <w:rFonts w:hint="eastAsia"/>
          <w:color w:val="auto"/>
        </w:rPr>
        <w:t>软件应支持全中文的脚本开发语言。</w:t>
      </w:r>
    </w:p>
    <w:p>
      <w:pPr>
        <w:pStyle w:val="29"/>
        <w:ind w:firstLine="472"/>
        <w:rPr>
          <w:color w:val="auto"/>
        </w:rPr>
      </w:pPr>
      <w:r>
        <w:rPr>
          <w:rFonts w:hint="eastAsia"/>
          <w:color w:val="auto"/>
        </w:rPr>
        <w:t>开发环境应支持类C语言基础语言作为内置编程语言，支持对象的脚本提示帮助功能，能够将对象的属性和方法列举出来方便选择。脚本环境应能够便利的进行注释、缩进以及提供语法提亮功能。</w:t>
      </w:r>
    </w:p>
    <w:p>
      <w:pPr>
        <w:pStyle w:val="29"/>
        <w:ind w:firstLine="472"/>
        <w:rPr>
          <w:color w:val="auto"/>
        </w:rPr>
      </w:pPr>
      <w:r>
        <w:rPr>
          <w:rFonts w:hint="eastAsia"/>
          <w:color w:val="auto"/>
        </w:rPr>
        <w:t>系统应具有系统事件和自定义事件，为用户提供方便的开发平台。开发环境应具有算术运算和逻辑运算函数。</w:t>
      </w:r>
    </w:p>
    <w:p>
      <w:pPr>
        <w:pStyle w:val="29"/>
        <w:ind w:firstLine="472"/>
        <w:rPr>
          <w:color w:val="auto"/>
        </w:rPr>
      </w:pPr>
      <w:r>
        <w:rPr>
          <w:rFonts w:hint="eastAsia"/>
          <w:color w:val="auto"/>
        </w:rPr>
        <w:t>开发环境应支持变量的快速搜索，并且为方便用户二次开发，组态软件必须支持全中文变量名和函数名及结构变量和引用变量。应支持变量的批量生成、修改、合并、导入、导出等功能。</w:t>
      </w:r>
    </w:p>
    <w:p>
      <w:pPr>
        <w:pStyle w:val="29"/>
        <w:ind w:firstLine="474"/>
        <w:rPr>
          <w:b/>
          <w:bCs/>
          <w:color w:val="auto"/>
        </w:rPr>
      </w:pPr>
      <w:r>
        <w:rPr>
          <w:rFonts w:hint="eastAsia"/>
          <w:b/>
          <w:bCs/>
          <w:color w:val="auto"/>
        </w:rPr>
        <w:t>用户安全</w:t>
      </w:r>
    </w:p>
    <w:p>
      <w:pPr>
        <w:pStyle w:val="29"/>
        <w:ind w:firstLine="472"/>
        <w:rPr>
          <w:color w:val="auto"/>
        </w:rPr>
      </w:pPr>
      <w:r>
        <w:rPr>
          <w:rFonts w:hint="eastAsia"/>
          <w:color w:val="auto"/>
        </w:rPr>
        <w:t>系统支持用户可配置为与指定PC机的IP或MAC地址建立绑定用户可配置同一用户同时登录的数量，实现用户访问的安全</w:t>
      </w:r>
    </w:p>
    <w:p>
      <w:pPr>
        <w:pStyle w:val="29"/>
        <w:ind w:firstLine="472"/>
        <w:rPr>
          <w:color w:val="auto"/>
        </w:rPr>
      </w:pPr>
      <w:r>
        <w:rPr>
          <w:rFonts w:hint="eastAsia"/>
          <w:color w:val="auto"/>
        </w:rPr>
        <w:t>提供系统所有登录用户及相关信息（登录用户名、登录时间、登录时长、联系方式、邮件地址等）的总体浏览、管理功能，尤其支持系统管理员可强制登出某用户，方便管理者对系统用户的有效管理</w:t>
      </w:r>
    </w:p>
    <w:p>
      <w:pPr>
        <w:pStyle w:val="29"/>
        <w:ind w:firstLine="474"/>
        <w:rPr>
          <w:b/>
          <w:bCs/>
          <w:color w:val="auto"/>
        </w:rPr>
      </w:pPr>
      <w:r>
        <w:rPr>
          <w:rFonts w:hint="eastAsia"/>
          <w:b/>
          <w:bCs/>
          <w:color w:val="auto"/>
        </w:rPr>
        <w:t>查找定位</w:t>
      </w:r>
    </w:p>
    <w:p>
      <w:pPr>
        <w:pStyle w:val="29"/>
        <w:ind w:firstLine="472"/>
        <w:rPr>
          <w:color w:val="auto"/>
        </w:rPr>
      </w:pPr>
      <w:r>
        <w:rPr>
          <w:rFonts w:hint="eastAsia"/>
          <w:color w:val="auto"/>
        </w:rPr>
        <w:t>软件应支持对变量、文本、资源等使用情况进行查找并快速定义到其使用位置。软件应支持根据工程编译过程中出现的错误信息直接定位到故障所在位置。</w:t>
      </w:r>
    </w:p>
    <w:p>
      <w:pPr>
        <w:pStyle w:val="29"/>
        <w:ind w:firstLine="474"/>
        <w:rPr>
          <w:b/>
          <w:bCs/>
          <w:color w:val="auto"/>
        </w:rPr>
      </w:pPr>
      <w:r>
        <w:rPr>
          <w:rFonts w:hint="eastAsia"/>
          <w:b/>
          <w:bCs/>
          <w:color w:val="auto"/>
        </w:rPr>
        <w:t>易用性</w:t>
      </w:r>
    </w:p>
    <w:p>
      <w:pPr>
        <w:pStyle w:val="29"/>
        <w:ind w:firstLine="472"/>
        <w:rPr>
          <w:color w:val="auto"/>
        </w:rPr>
      </w:pPr>
      <w:r>
        <w:rPr>
          <w:rFonts w:hint="eastAsia"/>
          <w:color w:val="auto"/>
        </w:rPr>
        <w:t>从基础自动化控制系统（PLC）到上位机系统（HMI），信息管理系统，整个系统共享一个全局的实时的数据库，即一个数据的定义改变以后，在其他系统中不需要重新定义，而是自动集成，能更好的保持系统定义的统一性，更便于系统的开发和系统运行时的维护。在HMI系统的画面上应能够直接定义来自于在PLC中的标签。在PLC中新添加或删除的标签，应能够直接在HMI软件中自动体现，即不需要定义HMI数据库就可在画面上直接定义PLC中新添加的标签。上位机数据库应支持在数据库内创建目录结构。</w:t>
      </w:r>
    </w:p>
    <w:p>
      <w:pPr>
        <w:pStyle w:val="29"/>
        <w:ind w:firstLine="472"/>
        <w:rPr>
          <w:color w:val="auto"/>
        </w:rPr>
      </w:pPr>
      <w:r>
        <w:rPr>
          <w:rFonts w:hint="eastAsia"/>
          <w:color w:val="auto"/>
        </w:rPr>
        <w:t>用户可以只开发一次画面，在一个HMI上保存，就可以从网络上的任何操作站读取HMI上的画面，无需拷贝、导入、转换或重建标签或重新输入命令。由于画面是在一个地方创建，也不用在多处复制，所以所有的更新都自动在全系统生效。客户端可以读取任意HMI的画面，实现真正的企业浏览。监控系统画面应支持输出成XML文件，并可将XML文件内容输入进画面中，这样用户可通过标准的XML编辑器来快速编辑画面。</w:t>
      </w:r>
    </w:p>
    <w:p>
      <w:pPr>
        <w:pStyle w:val="29"/>
        <w:ind w:firstLine="472"/>
        <w:rPr>
          <w:color w:val="auto"/>
        </w:rPr>
      </w:pPr>
      <w:r>
        <w:rPr>
          <w:rFonts w:hint="eastAsia"/>
          <w:color w:val="auto"/>
        </w:rPr>
        <w:t>采用通用的开发工具，整个现场级的应用（运行在触摸屏或PLC机柜内的工控机上）可以被整个移植到中央监控级应用（中控室中的上位机）中，也可将单个的现场级应用组件直接地拖拽到中央监控级应用项目中。</w:t>
      </w:r>
    </w:p>
    <w:p>
      <w:pPr>
        <w:pStyle w:val="29"/>
        <w:ind w:firstLine="474"/>
        <w:rPr>
          <w:b/>
          <w:bCs/>
          <w:color w:val="auto"/>
        </w:rPr>
      </w:pPr>
      <w:r>
        <w:rPr>
          <w:rFonts w:hint="eastAsia"/>
          <w:b/>
          <w:bCs/>
          <w:color w:val="auto"/>
        </w:rPr>
        <w:t>g）触摸屏</w:t>
      </w:r>
    </w:p>
    <w:p>
      <w:pPr>
        <w:pStyle w:val="29"/>
        <w:ind w:firstLine="472"/>
        <w:rPr>
          <w:color w:val="auto"/>
        </w:rPr>
      </w:pPr>
      <w:r>
        <w:rPr>
          <w:rFonts w:hint="eastAsia"/>
          <w:color w:val="auto"/>
        </w:rPr>
        <w:t>品牌：选择与PLC同品牌产品。</w:t>
      </w:r>
    </w:p>
    <w:p>
      <w:pPr>
        <w:pStyle w:val="29"/>
        <w:ind w:firstLine="472"/>
        <w:rPr>
          <w:color w:val="auto"/>
        </w:rPr>
      </w:pPr>
      <w:r>
        <w:rPr>
          <w:rFonts w:hint="eastAsia"/>
          <w:color w:val="auto"/>
        </w:rPr>
        <w:t>采用ARMRISC32Bit芯片</w:t>
      </w:r>
    </w:p>
    <w:p>
      <w:pPr>
        <w:pStyle w:val="29"/>
        <w:ind w:firstLine="472"/>
        <w:rPr>
          <w:color w:val="auto"/>
        </w:rPr>
      </w:pPr>
      <w:r>
        <w:rPr>
          <w:rFonts w:hint="eastAsia"/>
          <w:color w:val="auto"/>
        </w:rPr>
        <w:t>背光形式：LED背光</w:t>
      </w:r>
    </w:p>
    <w:p>
      <w:pPr>
        <w:pStyle w:val="29"/>
        <w:ind w:firstLine="472"/>
        <w:rPr>
          <w:color w:val="auto"/>
        </w:rPr>
      </w:pPr>
      <w:r>
        <w:rPr>
          <w:rFonts w:hint="eastAsia"/>
          <w:color w:val="auto"/>
        </w:rPr>
        <w:t>显示器件：TFT彩色液晶屏</w:t>
      </w:r>
    </w:p>
    <w:p>
      <w:pPr>
        <w:pStyle w:val="29"/>
        <w:ind w:firstLine="472"/>
        <w:rPr>
          <w:color w:val="auto"/>
        </w:rPr>
      </w:pPr>
      <w:r>
        <w:rPr>
          <w:rFonts w:hint="eastAsia"/>
          <w:color w:val="auto"/>
        </w:rPr>
        <w:t>有效显示区域：12英寸及以上</w:t>
      </w:r>
    </w:p>
    <w:p>
      <w:pPr>
        <w:pStyle w:val="29"/>
        <w:ind w:firstLine="472"/>
        <w:rPr>
          <w:color w:val="auto"/>
        </w:rPr>
      </w:pPr>
      <w:r>
        <w:rPr>
          <w:rFonts w:hint="eastAsia"/>
          <w:color w:val="auto"/>
        </w:rPr>
        <w:t>显示分辨率：1024*600像素</w:t>
      </w:r>
    </w:p>
    <w:p>
      <w:pPr>
        <w:pStyle w:val="29"/>
        <w:ind w:firstLine="472"/>
        <w:rPr>
          <w:color w:val="auto"/>
        </w:rPr>
      </w:pPr>
      <w:r>
        <w:rPr>
          <w:rFonts w:hint="eastAsia"/>
          <w:color w:val="auto"/>
        </w:rPr>
        <w:t>容量：128MBNAND闪存+128MBDDR3内存</w:t>
      </w:r>
    </w:p>
    <w:p>
      <w:pPr>
        <w:pStyle w:val="29"/>
        <w:ind w:firstLine="472"/>
        <w:rPr>
          <w:color w:val="auto"/>
        </w:rPr>
      </w:pPr>
      <w:r>
        <w:rPr>
          <w:rFonts w:hint="eastAsia"/>
          <w:color w:val="auto"/>
        </w:rPr>
        <w:t>工作温度：0～50℃</w:t>
      </w:r>
    </w:p>
    <w:p>
      <w:pPr>
        <w:pStyle w:val="29"/>
        <w:ind w:firstLine="472"/>
        <w:rPr>
          <w:color w:val="auto"/>
        </w:rPr>
      </w:pPr>
      <w:r>
        <w:rPr>
          <w:rFonts w:hint="eastAsia"/>
          <w:color w:val="auto"/>
        </w:rPr>
        <w:t>接口类型：10/100M以太网接口、串口</w:t>
      </w:r>
    </w:p>
    <w:p>
      <w:pPr>
        <w:pStyle w:val="29"/>
        <w:ind w:firstLine="472"/>
        <w:rPr>
          <w:color w:val="auto"/>
        </w:rPr>
      </w:pPr>
      <w:r>
        <w:rPr>
          <w:rFonts w:hint="eastAsia"/>
          <w:color w:val="auto"/>
        </w:rPr>
        <w:t>电源电压范围：24VDC</w:t>
      </w:r>
    </w:p>
    <w:p>
      <w:pPr>
        <w:pStyle w:val="29"/>
        <w:ind w:firstLine="474"/>
        <w:rPr>
          <w:b/>
          <w:bCs/>
          <w:color w:val="auto"/>
        </w:rPr>
      </w:pPr>
      <w:bookmarkStart w:id="83" w:name="_Toc482796522"/>
      <w:r>
        <w:rPr>
          <w:rFonts w:hint="eastAsia"/>
          <w:b/>
          <w:bCs/>
          <w:color w:val="auto"/>
        </w:rPr>
        <w:t>h）不间断电源</w:t>
      </w:r>
      <w:bookmarkEnd w:id="83"/>
    </w:p>
    <w:p>
      <w:pPr>
        <w:pStyle w:val="29"/>
        <w:ind w:firstLine="472"/>
        <w:rPr>
          <w:color w:val="auto"/>
        </w:rPr>
      </w:pPr>
      <w:r>
        <w:rPr>
          <w:rFonts w:hint="eastAsia"/>
          <w:color w:val="auto"/>
        </w:rPr>
        <w:t>中控室和各单体控制主站单独配置UPS，选用知名品牌产品。</w:t>
      </w:r>
    </w:p>
    <w:p>
      <w:pPr>
        <w:pStyle w:val="29"/>
        <w:ind w:firstLine="472"/>
        <w:rPr>
          <w:color w:val="auto"/>
        </w:rPr>
      </w:pPr>
      <w:r>
        <w:rPr>
          <w:rFonts w:hint="eastAsia"/>
          <w:color w:val="auto"/>
        </w:rPr>
        <w:t>（1）主要技术参数：</w:t>
      </w:r>
    </w:p>
    <w:p>
      <w:pPr>
        <w:pStyle w:val="29"/>
        <w:ind w:firstLine="472"/>
        <w:rPr>
          <w:color w:val="auto"/>
        </w:rPr>
      </w:pPr>
      <w:r>
        <w:rPr>
          <w:rFonts w:hint="eastAsia"/>
          <w:color w:val="auto"/>
        </w:rPr>
        <w:t>工作温度：额定负载时0°到40°C。40°C到45°C线性降额到最大负载容量的85%。45°C到50°C线性降额到最大负载容量的75%</w:t>
      </w:r>
    </w:p>
    <w:p>
      <w:pPr>
        <w:pStyle w:val="29"/>
        <w:ind w:firstLine="472"/>
        <w:rPr>
          <w:color w:val="auto"/>
        </w:rPr>
      </w:pPr>
      <w:r>
        <w:rPr>
          <w:rFonts w:hint="eastAsia"/>
          <w:color w:val="auto"/>
        </w:rPr>
        <w:t>海拔高度：0-1000m:正常操作1000-3000m:高度每增加100m负载减小1%</w:t>
      </w:r>
    </w:p>
    <w:p>
      <w:pPr>
        <w:pStyle w:val="29"/>
        <w:ind w:firstLine="472"/>
        <w:rPr>
          <w:color w:val="auto"/>
        </w:rPr>
      </w:pPr>
      <w:r>
        <w:rPr>
          <w:rFonts w:hint="eastAsia"/>
          <w:color w:val="auto"/>
        </w:rPr>
        <w:t>湿度：0到95%相对湿度，非冷凝</w:t>
      </w:r>
    </w:p>
    <w:p>
      <w:pPr>
        <w:pStyle w:val="29"/>
        <w:ind w:firstLine="472"/>
        <w:rPr>
          <w:color w:val="auto"/>
        </w:rPr>
      </w:pPr>
      <w:r>
        <w:rPr>
          <w:rFonts w:hint="eastAsia"/>
          <w:color w:val="auto"/>
        </w:rPr>
        <w:t>（2）主机输入要求</w:t>
      </w:r>
    </w:p>
    <w:p>
      <w:pPr>
        <w:pStyle w:val="29"/>
        <w:ind w:firstLine="472"/>
        <w:rPr>
          <w:color w:val="auto"/>
        </w:rPr>
      </w:pPr>
      <w:r>
        <w:rPr>
          <w:rFonts w:hint="eastAsia"/>
          <w:color w:val="auto"/>
        </w:rPr>
        <w:t>电压：3</w:t>
      </w:r>
      <w:r>
        <w:rPr>
          <w:color w:val="auto"/>
        </w:rPr>
        <w:t>80/</w:t>
      </w:r>
      <w:r>
        <w:rPr>
          <w:rFonts w:hint="eastAsia"/>
          <w:color w:val="auto"/>
        </w:rPr>
        <w:t>220VAC标称</w:t>
      </w:r>
    </w:p>
    <w:p>
      <w:pPr>
        <w:pStyle w:val="29"/>
        <w:ind w:firstLine="472"/>
        <w:rPr>
          <w:color w:val="auto"/>
        </w:rPr>
      </w:pPr>
      <w:r>
        <w:rPr>
          <w:rFonts w:hint="eastAsia"/>
          <w:color w:val="auto"/>
        </w:rPr>
        <w:t>频率：50Hz/60Hz</w:t>
      </w:r>
    </w:p>
    <w:p>
      <w:pPr>
        <w:pStyle w:val="29"/>
        <w:ind w:firstLine="472"/>
        <w:rPr>
          <w:color w:val="auto"/>
        </w:rPr>
      </w:pPr>
      <w:r>
        <w:rPr>
          <w:rFonts w:hint="eastAsia"/>
          <w:color w:val="auto"/>
        </w:rPr>
        <w:t>输入电压范围（100%RCD负载）：176Vac–300Vac±3%</w:t>
      </w:r>
    </w:p>
    <w:p>
      <w:pPr>
        <w:pStyle w:val="29"/>
        <w:ind w:firstLine="472"/>
        <w:rPr>
          <w:color w:val="auto"/>
        </w:rPr>
      </w:pPr>
      <w:r>
        <w:rPr>
          <w:rFonts w:hint="eastAsia"/>
          <w:color w:val="auto"/>
        </w:rPr>
        <w:t>输入功率因数：≥0.99</w:t>
      </w:r>
    </w:p>
    <w:p>
      <w:pPr>
        <w:pStyle w:val="29"/>
        <w:ind w:firstLine="472"/>
        <w:rPr>
          <w:color w:val="auto"/>
        </w:rPr>
      </w:pPr>
      <w:r>
        <w:rPr>
          <w:rFonts w:hint="eastAsia"/>
          <w:color w:val="auto"/>
        </w:rPr>
        <w:t>输入保护：输入断路器</w:t>
      </w:r>
    </w:p>
    <w:p>
      <w:pPr>
        <w:pStyle w:val="29"/>
        <w:ind w:firstLine="472"/>
        <w:rPr>
          <w:color w:val="auto"/>
        </w:rPr>
      </w:pPr>
      <w:r>
        <w:rPr>
          <w:rFonts w:hint="eastAsia"/>
          <w:color w:val="auto"/>
        </w:rPr>
        <w:t>（3）主机输出要求</w:t>
      </w:r>
    </w:p>
    <w:p>
      <w:pPr>
        <w:pStyle w:val="29"/>
        <w:ind w:firstLine="472"/>
        <w:rPr>
          <w:color w:val="auto"/>
        </w:rPr>
      </w:pPr>
      <w:r>
        <w:rPr>
          <w:rFonts w:hint="eastAsia"/>
          <w:color w:val="auto"/>
        </w:rPr>
        <w:t>额定输出电压：220Vac</w:t>
      </w:r>
    </w:p>
    <w:p>
      <w:pPr>
        <w:pStyle w:val="29"/>
        <w:ind w:firstLine="472"/>
        <w:rPr>
          <w:color w:val="auto"/>
        </w:rPr>
      </w:pPr>
      <w:r>
        <w:rPr>
          <w:rFonts w:hint="eastAsia"/>
          <w:color w:val="auto"/>
        </w:rPr>
        <w:t>其它可编程电压：230Vac、240Vac</w:t>
      </w:r>
    </w:p>
    <w:p>
      <w:pPr>
        <w:pStyle w:val="29"/>
        <w:ind w:firstLine="472"/>
        <w:rPr>
          <w:color w:val="auto"/>
        </w:rPr>
      </w:pPr>
      <w:r>
        <w:rPr>
          <w:rFonts w:hint="eastAsia"/>
          <w:color w:val="auto"/>
        </w:rPr>
        <w:t>额定负载时效率：最大94%</w:t>
      </w:r>
    </w:p>
    <w:p>
      <w:pPr>
        <w:pStyle w:val="29"/>
        <w:ind w:firstLine="472"/>
        <w:rPr>
          <w:color w:val="auto"/>
        </w:rPr>
      </w:pPr>
      <w:r>
        <w:rPr>
          <w:rFonts w:hint="eastAsia"/>
          <w:color w:val="auto"/>
        </w:rPr>
        <w:t>输出电压失真：完全线性负载时最大1%，完全RCD负载时最大4%（100%VA,0.8PF）</w:t>
      </w:r>
    </w:p>
    <w:p>
      <w:pPr>
        <w:pStyle w:val="29"/>
        <w:ind w:firstLine="472"/>
        <w:rPr>
          <w:color w:val="auto"/>
        </w:rPr>
      </w:pPr>
      <w:r>
        <w:rPr>
          <w:rFonts w:hint="eastAsia"/>
          <w:color w:val="auto"/>
        </w:rPr>
        <w:t>频率：电池模式，50Hz±0.1Hz/60Hz±0.1Hz；交流模式：50Hz±4Hz/60Hz±4Hz</w:t>
      </w:r>
    </w:p>
    <w:p>
      <w:pPr>
        <w:pStyle w:val="29"/>
        <w:ind w:firstLine="472"/>
        <w:rPr>
          <w:color w:val="auto"/>
        </w:rPr>
      </w:pPr>
      <w:r>
        <w:rPr>
          <w:rFonts w:hint="eastAsia"/>
          <w:color w:val="auto"/>
        </w:rPr>
        <w:t>波峰因数：3:1Max</w:t>
      </w:r>
    </w:p>
    <w:p>
      <w:pPr>
        <w:pStyle w:val="29"/>
        <w:ind w:firstLine="472"/>
        <w:rPr>
          <w:color w:val="auto"/>
        </w:rPr>
      </w:pPr>
      <w:r>
        <w:rPr>
          <w:rFonts w:hint="eastAsia"/>
          <w:color w:val="auto"/>
        </w:rPr>
        <w:t>波形：正弦波</w:t>
      </w:r>
    </w:p>
    <w:p>
      <w:pPr>
        <w:pStyle w:val="29"/>
        <w:ind w:firstLine="472"/>
        <w:rPr>
          <w:color w:val="auto"/>
        </w:rPr>
      </w:pPr>
      <w:r>
        <w:rPr>
          <w:rFonts w:hint="eastAsia"/>
          <w:color w:val="auto"/>
        </w:rPr>
        <w:t>输出连接：接线端子</w:t>
      </w:r>
    </w:p>
    <w:p>
      <w:pPr>
        <w:pStyle w:val="29"/>
        <w:ind w:firstLine="472"/>
        <w:rPr>
          <w:color w:val="auto"/>
        </w:rPr>
      </w:pPr>
      <w:r>
        <w:rPr>
          <w:rFonts w:hint="eastAsia"/>
          <w:color w:val="auto"/>
        </w:rPr>
        <w:t>旁路：内部旁路</w:t>
      </w:r>
    </w:p>
    <w:p>
      <w:pPr>
        <w:pStyle w:val="29"/>
        <w:ind w:firstLine="472"/>
        <w:rPr>
          <w:color w:val="auto"/>
        </w:rPr>
      </w:pPr>
      <w:r>
        <w:rPr>
          <w:rFonts w:hint="eastAsia"/>
          <w:color w:val="auto"/>
        </w:rPr>
        <w:t>旁路范围：187Vac-253Vac（默认）+/-1%</w:t>
      </w:r>
    </w:p>
    <w:bookmarkEnd w:id="57"/>
    <w:p>
      <w:pPr>
        <w:pStyle w:val="29"/>
        <w:ind w:firstLine="474"/>
        <w:rPr>
          <w:b/>
          <w:bCs/>
          <w:color w:val="auto"/>
        </w:rPr>
      </w:pPr>
      <w:r>
        <w:rPr>
          <w:rFonts w:hint="eastAsia"/>
          <w:b/>
          <w:bCs/>
          <w:color w:val="auto"/>
        </w:rPr>
        <w:t>i）工程师站/操作员站</w:t>
      </w:r>
    </w:p>
    <w:p>
      <w:pPr>
        <w:pStyle w:val="29"/>
        <w:ind w:firstLine="472"/>
        <w:rPr>
          <w:color w:val="auto"/>
        </w:rPr>
      </w:pPr>
      <w:r>
        <w:rPr>
          <w:rFonts w:hint="eastAsia"/>
          <w:color w:val="auto"/>
        </w:rPr>
        <w:t>知名品牌：DELL、联想、惠普或相同档次产品</w:t>
      </w:r>
    </w:p>
    <w:p>
      <w:pPr>
        <w:pStyle w:val="29"/>
        <w:ind w:firstLine="472"/>
        <w:rPr>
          <w:color w:val="auto"/>
        </w:rPr>
      </w:pPr>
      <w:r>
        <w:rPr>
          <w:rFonts w:hint="eastAsia"/>
          <w:color w:val="auto"/>
        </w:rPr>
        <w:t>CPU：英特尔至强处理器W-2102</w:t>
      </w:r>
    </w:p>
    <w:p>
      <w:pPr>
        <w:pStyle w:val="29"/>
        <w:ind w:firstLine="472"/>
        <w:rPr>
          <w:color w:val="auto"/>
        </w:rPr>
      </w:pPr>
      <w:r>
        <w:rPr>
          <w:rFonts w:hint="eastAsia"/>
          <w:color w:val="auto"/>
        </w:rPr>
        <w:t>RAM：16G</w:t>
      </w:r>
    </w:p>
    <w:p>
      <w:pPr>
        <w:pStyle w:val="29"/>
        <w:ind w:firstLine="472"/>
        <w:rPr>
          <w:color w:val="auto"/>
        </w:rPr>
      </w:pPr>
      <w:r>
        <w:rPr>
          <w:rFonts w:hint="eastAsia"/>
          <w:color w:val="auto"/>
        </w:rPr>
        <w:t>HDD：240GSSDMLC企业级固态硬盘+2TBSATA硬盘</w:t>
      </w:r>
    </w:p>
    <w:p>
      <w:pPr>
        <w:pStyle w:val="29"/>
        <w:ind w:firstLine="472"/>
        <w:rPr>
          <w:color w:val="auto"/>
        </w:rPr>
      </w:pPr>
      <w:r>
        <w:rPr>
          <w:rFonts w:hint="eastAsia"/>
          <w:color w:val="auto"/>
        </w:rPr>
        <w:t>网卡：千兆网卡×2</w:t>
      </w:r>
    </w:p>
    <w:p>
      <w:pPr>
        <w:pStyle w:val="29"/>
        <w:ind w:firstLine="472"/>
        <w:rPr>
          <w:color w:val="auto"/>
        </w:rPr>
      </w:pPr>
      <w:r>
        <w:rPr>
          <w:rFonts w:hint="eastAsia"/>
          <w:color w:val="auto"/>
        </w:rPr>
        <w:t>键盘鼠标：USB键盘鼠标</w:t>
      </w:r>
    </w:p>
    <w:p>
      <w:pPr>
        <w:pStyle w:val="29"/>
        <w:ind w:firstLine="472"/>
        <w:rPr>
          <w:color w:val="auto"/>
        </w:rPr>
      </w:pPr>
      <w:r>
        <w:rPr>
          <w:rFonts w:hint="eastAsia"/>
          <w:color w:val="auto"/>
        </w:rPr>
        <w:t>显示器：27英寸液晶显示器</w:t>
      </w:r>
    </w:p>
    <w:p>
      <w:pPr>
        <w:pStyle w:val="29"/>
        <w:ind w:firstLine="472"/>
        <w:rPr>
          <w:color w:val="auto"/>
        </w:rPr>
      </w:pPr>
      <w:r>
        <w:rPr>
          <w:rFonts w:hint="eastAsia"/>
          <w:color w:val="auto"/>
        </w:rPr>
        <w:t>操作系统：Windows10专业版（简体中文）64位</w:t>
      </w:r>
    </w:p>
    <w:p>
      <w:pPr>
        <w:pStyle w:val="29"/>
        <w:ind w:firstLine="472"/>
        <w:rPr>
          <w:color w:val="auto"/>
        </w:rPr>
      </w:pPr>
      <w:r>
        <w:rPr>
          <w:rFonts w:hint="eastAsia"/>
          <w:color w:val="auto"/>
        </w:rPr>
        <w:t>维保服务：3年专业支持</w:t>
      </w:r>
    </w:p>
    <w:p>
      <w:pPr>
        <w:pStyle w:val="29"/>
        <w:ind w:firstLine="472"/>
        <w:rPr>
          <w:color w:val="auto"/>
        </w:rPr>
      </w:pPr>
      <w:r>
        <w:rPr>
          <w:rFonts w:hint="eastAsia"/>
          <w:color w:val="auto"/>
        </w:rPr>
        <w:t>j）LCD</w:t>
      </w:r>
      <w:r>
        <w:rPr>
          <w:color w:val="auto"/>
        </w:rPr>
        <w:t>拼接显示屏技术要求</w:t>
      </w:r>
    </w:p>
    <w:p>
      <w:pPr>
        <w:pStyle w:val="29"/>
        <w:ind w:firstLine="472"/>
        <w:rPr>
          <w:color w:val="auto"/>
        </w:rPr>
      </w:pPr>
      <w:bookmarkStart w:id="84" w:name="_Toc28086"/>
      <w:r>
        <w:rPr>
          <w:rFonts w:hint="eastAsia"/>
          <w:color w:val="auto"/>
        </w:rPr>
        <w:t>1）功能要求</w:t>
      </w:r>
      <w:bookmarkEnd w:id="84"/>
    </w:p>
    <w:p>
      <w:pPr>
        <w:pStyle w:val="29"/>
        <w:ind w:firstLine="472"/>
        <w:rPr>
          <w:color w:val="auto"/>
        </w:rPr>
      </w:pPr>
      <w:r>
        <w:rPr>
          <w:rFonts w:hint="eastAsia"/>
          <w:color w:val="auto"/>
        </w:rPr>
        <w:t>LCD大屏采用工业级超窄边面板,屏幕之间拼缝为1.7mm。超高亮度，500cd/m²，直下式LED背光源，显示单元亮度更加均匀，无边界暗影现象。工业级设计，使用寿命超过60000小时。屏幕内置拼接控制器，可将同源信号实现屏幕的自拼接。选用的LCD液晶显示单元具有丰富的接口支持多种控制方式。</w:t>
      </w:r>
    </w:p>
    <w:p>
      <w:pPr>
        <w:pStyle w:val="29"/>
        <w:ind w:firstLine="472"/>
        <w:rPr>
          <w:color w:val="auto"/>
        </w:rPr>
      </w:pPr>
      <w:bookmarkStart w:id="85" w:name="_Toc8423"/>
      <w:r>
        <w:rPr>
          <w:rFonts w:hint="eastAsia"/>
          <w:color w:val="auto"/>
        </w:rPr>
        <w:t>2）系统组成</w:t>
      </w:r>
      <w:bookmarkEnd w:id="85"/>
    </w:p>
    <w:p>
      <w:pPr>
        <w:pStyle w:val="29"/>
        <w:ind w:firstLine="472"/>
        <w:rPr>
          <w:color w:val="auto"/>
        </w:rPr>
      </w:pPr>
      <w:r>
        <w:rPr>
          <w:rFonts w:hint="eastAsia"/>
          <w:color w:val="auto"/>
        </w:rPr>
        <w:t>本显示系统由LCD拼接屏、大屏拼接控制解码器、控制软件及专用电缆等安装附件组成。</w:t>
      </w:r>
    </w:p>
    <w:p>
      <w:pPr>
        <w:pStyle w:val="29"/>
        <w:ind w:firstLine="472"/>
        <w:rPr>
          <w:color w:val="auto"/>
        </w:rPr>
      </w:pPr>
      <w:bookmarkStart w:id="86" w:name="_Toc21031"/>
      <w:r>
        <w:rPr>
          <w:rFonts w:hint="eastAsia"/>
          <w:color w:val="auto"/>
        </w:rPr>
        <w:t>3）主要设备技术参数及要求</w:t>
      </w:r>
      <w:bookmarkEnd w:id="86"/>
    </w:p>
    <w:p>
      <w:pPr>
        <w:pStyle w:val="49"/>
        <w:numPr>
          <w:ilvl w:val="0"/>
          <w:numId w:val="11"/>
        </w:numPr>
        <w:ind w:left="440" w:firstLineChars="0"/>
        <w:rPr>
          <w:color w:val="auto"/>
          <w:szCs w:val="21"/>
        </w:rPr>
      </w:pPr>
      <w:r>
        <w:rPr>
          <w:rFonts w:hint="eastAsia"/>
          <w:color w:val="auto"/>
          <w:szCs w:val="21"/>
        </w:rPr>
        <w:t>大屏幕显示单元技术要求</w:t>
      </w:r>
    </w:p>
    <w:p>
      <w:pPr>
        <w:spacing w:line="360" w:lineRule="auto"/>
        <w:ind w:firstLine="480" w:firstLineChars="200"/>
        <w:rPr>
          <w:rFonts w:ascii="新宋体" w:hAnsi="新宋体" w:eastAsia="新宋体" w:cs="新宋体"/>
          <w:color w:val="auto"/>
          <w:sz w:val="24"/>
          <w:szCs w:val="21"/>
        </w:rPr>
      </w:pPr>
      <w:r>
        <w:rPr>
          <w:rFonts w:hint="eastAsia" w:ascii="新宋体" w:hAnsi="新宋体" w:eastAsia="新宋体" w:cs="新宋体"/>
          <w:color w:val="auto"/>
          <w:sz w:val="24"/>
          <w:szCs w:val="21"/>
        </w:rPr>
        <w:t>尺寸：55英寸；</w:t>
      </w:r>
    </w:p>
    <w:p>
      <w:pPr>
        <w:spacing w:line="360" w:lineRule="auto"/>
        <w:ind w:firstLine="480" w:firstLineChars="200"/>
        <w:rPr>
          <w:rFonts w:ascii="新宋体" w:hAnsi="新宋体" w:eastAsia="新宋体" w:cs="新宋体"/>
          <w:color w:val="auto"/>
          <w:sz w:val="24"/>
          <w:szCs w:val="21"/>
        </w:rPr>
      </w:pPr>
      <w:r>
        <w:rPr>
          <w:rFonts w:hint="eastAsia" w:ascii="新宋体" w:hAnsi="新宋体" w:eastAsia="新宋体" w:cs="新宋体"/>
          <w:color w:val="auto"/>
          <w:sz w:val="24"/>
          <w:szCs w:val="21"/>
        </w:rPr>
        <w:t>分辨率：1920x1080；</w:t>
      </w:r>
    </w:p>
    <w:p>
      <w:pPr>
        <w:spacing w:line="360" w:lineRule="auto"/>
        <w:ind w:firstLine="480" w:firstLineChars="200"/>
        <w:rPr>
          <w:rFonts w:ascii="新宋体" w:hAnsi="新宋体" w:eastAsia="新宋体" w:cs="新宋体"/>
          <w:color w:val="auto"/>
          <w:sz w:val="24"/>
          <w:szCs w:val="21"/>
          <w:lang w:eastAsia="zh-CN"/>
        </w:rPr>
      </w:pPr>
      <w:r>
        <w:rPr>
          <w:rFonts w:hint="eastAsia" w:ascii="新宋体" w:hAnsi="新宋体" w:eastAsia="新宋体" w:cs="新宋体"/>
          <w:color w:val="auto"/>
          <w:sz w:val="24"/>
          <w:szCs w:val="21"/>
          <w:lang w:eastAsia="zh-CN"/>
        </w:rPr>
        <w:t>视角：178°（水平）/178°（垂直）；</w:t>
      </w:r>
    </w:p>
    <w:p>
      <w:pPr>
        <w:spacing w:line="360" w:lineRule="auto"/>
        <w:ind w:firstLine="480" w:firstLineChars="200"/>
        <w:rPr>
          <w:rFonts w:ascii="新宋体" w:hAnsi="新宋体" w:eastAsia="新宋体" w:cs="新宋体"/>
          <w:color w:val="auto"/>
          <w:sz w:val="24"/>
          <w:szCs w:val="21"/>
          <w:lang w:eastAsia="zh-CN"/>
        </w:rPr>
      </w:pPr>
      <w:r>
        <w:rPr>
          <w:rFonts w:hint="eastAsia" w:ascii="新宋体" w:hAnsi="新宋体" w:eastAsia="新宋体" w:cs="新宋体"/>
          <w:color w:val="auto"/>
          <w:sz w:val="24"/>
          <w:szCs w:val="21"/>
          <w:lang w:eastAsia="zh-CN"/>
        </w:rPr>
        <w:t>响应时间：12ms（GtoG）；</w:t>
      </w:r>
    </w:p>
    <w:p>
      <w:pPr>
        <w:spacing w:line="360" w:lineRule="auto"/>
        <w:ind w:firstLine="480" w:firstLineChars="200"/>
        <w:rPr>
          <w:rFonts w:ascii="新宋体" w:hAnsi="新宋体" w:eastAsia="新宋体" w:cs="新宋体"/>
          <w:color w:val="auto"/>
          <w:sz w:val="24"/>
          <w:szCs w:val="21"/>
          <w:lang w:eastAsia="zh-CN"/>
        </w:rPr>
      </w:pPr>
      <w:r>
        <w:rPr>
          <w:rFonts w:hint="eastAsia" w:ascii="新宋体" w:hAnsi="新宋体" w:eastAsia="新宋体" w:cs="新宋体"/>
          <w:color w:val="auto"/>
          <w:sz w:val="24"/>
          <w:szCs w:val="21"/>
          <w:lang w:eastAsia="zh-CN"/>
        </w:rPr>
        <w:t>对比度：4000:1；</w:t>
      </w:r>
    </w:p>
    <w:p>
      <w:pPr>
        <w:spacing w:line="360" w:lineRule="auto"/>
        <w:ind w:firstLine="480" w:firstLineChars="200"/>
        <w:rPr>
          <w:rFonts w:ascii="新宋体" w:hAnsi="新宋体" w:eastAsia="新宋体" w:cs="新宋体"/>
          <w:color w:val="auto"/>
          <w:sz w:val="24"/>
          <w:szCs w:val="21"/>
          <w:lang w:eastAsia="zh-CN"/>
        </w:rPr>
      </w:pPr>
      <w:r>
        <w:rPr>
          <w:rFonts w:hint="eastAsia" w:ascii="新宋体" w:hAnsi="新宋体" w:eastAsia="新宋体" w:cs="新宋体"/>
          <w:color w:val="auto"/>
          <w:sz w:val="24"/>
          <w:szCs w:val="21"/>
          <w:lang w:eastAsia="zh-CN"/>
        </w:rPr>
        <w:t>亮度：500cd/㎡；</w:t>
      </w:r>
    </w:p>
    <w:p>
      <w:pPr>
        <w:spacing w:line="360" w:lineRule="auto"/>
        <w:ind w:firstLine="480" w:firstLineChars="200"/>
        <w:rPr>
          <w:rFonts w:ascii="新宋体" w:hAnsi="新宋体" w:eastAsia="新宋体" w:cs="新宋体"/>
          <w:color w:val="auto"/>
          <w:sz w:val="24"/>
          <w:szCs w:val="21"/>
        </w:rPr>
      </w:pPr>
      <w:r>
        <w:rPr>
          <w:rFonts w:hint="eastAsia" w:ascii="新宋体" w:hAnsi="新宋体" w:eastAsia="新宋体" w:cs="新宋体"/>
          <w:color w:val="auto"/>
          <w:sz w:val="24"/>
          <w:szCs w:val="21"/>
        </w:rPr>
        <w:t>物理拼缝：1.7mm；</w:t>
      </w:r>
    </w:p>
    <w:p>
      <w:pPr>
        <w:spacing w:line="360" w:lineRule="auto"/>
        <w:ind w:firstLine="480" w:firstLineChars="200"/>
        <w:rPr>
          <w:rFonts w:ascii="新宋体" w:hAnsi="新宋体" w:eastAsia="新宋体" w:cs="新宋体"/>
          <w:color w:val="auto"/>
          <w:sz w:val="24"/>
          <w:szCs w:val="21"/>
        </w:rPr>
      </w:pPr>
      <w:r>
        <w:rPr>
          <w:rFonts w:hint="eastAsia" w:ascii="新宋体" w:hAnsi="新宋体" w:eastAsia="新宋体" w:cs="新宋体"/>
          <w:color w:val="auto"/>
          <w:sz w:val="24"/>
          <w:szCs w:val="21"/>
        </w:rPr>
        <w:t>输入接口：VGA×1，DVI×1，HDMI×1</w:t>
      </w:r>
    </w:p>
    <w:p>
      <w:pPr>
        <w:spacing w:line="360" w:lineRule="auto"/>
        <w:ind w:firstLine="480" w:firstLineChars="200"/>
        <w:rPr>
          <w:rFonts w:ascii="新宋体" w:hAnsi="新宋体" w:eastAsia="新宋体" w:cs="新宋体"/>
          <w:color w:val="auto"/>
          <w:sz w:val="24"/>
          <w:szCs w:val="21"/>
        </w:rPr>
      </w:pPr>
      <w:r>
        <w:rPr>
          <w:rFonts w:hint="eastAsia" w:ascii="新宋体" w:hAnsi="新宋体" w:eastAsia="新宋体" w:cs="新宋体"/>
          <w:color w:val="auto"/>
          <w:sz w:val="24"/>
          <w:szCs w:val="21"/>
        </w:rPr>
        <w:t>功耗：≤150W；</w:t>
      </w:r>
    </w:p>
    <w:p>
      <w:pPr>
        <w:spacing w:line="360" w:lineRule="auto"/>
        <w:ind w:firstLine="480" w:firstLineChars="200"/>
        <w:rPr>
          <w:rFonts w:ascii="新宋体" w:hAnsi="新宋体" w:eastAsia="新宋体" w:cs="新宋体"/>
          <w:color w:val="auto"/>
          <w:sz w:val="24"/>
          <w:szCs w:val="21"/>
        </w:rPr>
      </w:pPr>
      <w:r>
        <w:rPr>
          <w:rFonts w:hint="eastAsia" w:ascii="新宋体" w:hAnsi="新宋体" w:eastAsia="新宋体" w:cs="新宋体"/>
          <w:color w:val="auto"/>
          <w:sz w:val="24"/>
          <w:szCs w:val="21"/>
        </w:rPr>
        <w:t>电源要求：AC100-240V,50/60Hz；</w:t>
      </w:r>
    </w:p>
    <w:p>
      <w:pPr>
        <w:spacing w:line="360" w:lineRule="auto"/>
        <w:ind w:firstLine="480" w:firstLineChars="200"/>
        <w:rPr>
          <w:rFonts w:ascii="新宋体" w:hAnsi="新宋体" w:eastAsia="新宋体" w:cs="新宋体"/>
          <w:color w:val="auto"/>
          <w:sz w:val="24"/>
          <w:szCs w:val="21"/>
          <w:lang w:eastAsia="zh-CN"/>
        </w:rPr>
      </w:pPr>
      <w:r>
        <w:rPr>
          <w:rFonts w:hint="eastAsia" w:ascii="新宋体" w:hAnsi="新宋体" w:eastAsia="新宋体" w:cs="新宋体"/>
          <w:color w:val="auto"/>
          <w:sz w:val="24"/>
          <w:szCs w:val="21"/>
          <w:lang w:eastAsia="zh-CN"/>
        </w:rPr>
        <w:t>寿命：≥60000小时；</w:t>
      </w:r>
    </w:p>
    <w:p>
      <w:pPr>
        <w:spacing w:line="360" w:lineRule="auto"/>
        <w:ind w:firstLine="480" w:firstLineChars="200"/>
        <w:rPr>
          <w:rFonts w:ascii="新宋体" w:hAnsi="新宋体" w:eastAsia="新宋体" w:cs="新宋体"/>
          <w:color w:val="auto"/>
          <w:sz w:val="24"/>
          <w:szCs w:val="21"/>
          <w:lang w:eastAsia="zh-CN"/>
        </w:rPr>
      </w:pPr>
      <w:r>
        <w:rPr>
          <w:rFonts w:hint="eastAsia" w:ascii="新宋体" w:hAnsi="新宋体" w:eastAsia="新宋体" w:cs="新宋体"/>
          <w:color w:val="auto"/>
          <w:sz w:val="24"/>
          <w:szCs w:val="21"/>
          <w:lang w:eastAsia="zh-CN"/>
        </w:rPr>
        <w:t>工作温度和湿度：0℃--50℃，10%--90%；</w:t>
      </w:r>
    </w:p>
    <w:p>
      <w:pPr>
        <w:pStyle w:val="49"/>
        <w:numPr>
          <w:ilvl w:val="0"/>
          <w:numId w:val="11"/>
        </w:numPr>
        <w:ind w:left="440" w:firstLineChars="0"/>
        <w:rPr>
          <w:color w:val="auto"/>
          <w:szCs w:val="21"/>
        </w:rPr>
      </w:pPr>
      <w:r>
        <w:rPr>
          <w:rFonts w:hint="eastAsia"/>
          <w:color w:val="auto"/>
          <w:szCs w:val="21"/>
        </w:rPr>
        <w:t>大屏拼接控制解码器要求</w:t>
      </w:r>
    </w:p>
    <w:p>
      <w:pPr>
        <w:spacing w:line="360" w:lineRule="auto"/>
        <w:ind w:firstLine="480" w:firstLineChars="200"/>
        <w:rPr>
          <w:rFonts w:ascii="新宋体" w:hAnsi="新宋体" w:eastAsia="新宋体" w:cs="新宋体"/>
          <w:color w:val="auto"/>
          <w:sz w:val="24"/>
          <w:szCs w:val="21"/>
          <w:lang w:eastAsia="zh-CN"/>
        </w:rPr>
      </w:pPr>
      <w:r>
        <w:rPr>
          <w:rFonts w:hint="eastAsia" w:ascii="新宋体" w:hAnsi="新宋体" w:eastAsia="新宋体" w:cs="新宋体"/>
          <w:color w:val="auto"/>
          <w:sz w:val="24"/>
          <w:szCs w:val="21"/>
          <w:lang w:eastAsia="zh-CN"/>
        </w:rPr>
        <w:t>综合平台一体机，高级电信计算架构设计，支持矩阵切换、视频编解码、集中管理、网络实时预览等功能。</w:t>
      </w:r>
    </w:p>
    <w:p>
      <w:pPr>
        <w:spacing w:line="360" w:lineRule="auto"/>
        <w:ind w:firstLine="480" w:firstLineChars="200"/>
        <w:rPr>
          <w:rFonts w:ascii="新宋体" w:hAnsi="新宋体" w:eastAsia="新宋体" w:cs="新宋体"/>
          <w:color w:val="auto"/>
          <w:sz w:val="24"/>
          <w:szCs w:val="21"/>
        </w:rPr>
      </w:pPr>
      <w:r>
        <w:rPr>
          <w:rFonts w:hint="eastAsia" w:ascii="新宋体" w:hAnsi="新宋体" w:eastAsia="新宋体" w:cs="新宋体"/>
          <w:color w:val="auto"/>
          <w:sz w:val="24"/>
          <w:szCs w:val="21"/>
        </w:rPr>
        <w:t>机箱：标准5U机箱；</w:t>
      </w:r>
    </w:p>
    <w:p>
      <w:pPr>
        <w:spacing w:line="360" w:lineRule="auto"/>
        <w:ind w:firstLine="480" w:firstLineChars="200"/>
        <w:rPr>
          <w:rFonts w:ascii="新宋体" w:hAnsi="新宋体" w:eastAsia="新宋体" w:cs="新宋体"/>
          <w:color w:val="auto"/>
          <w:sz w:val="24"/>
          <w:szCs w:val="21"/>
        </w:rPr>
      </w:pPr>
      <w:r>
        <w:rPr>
          <w:rFonts w:hint="eastAsia" w:ascii="新宋体" w:hAnsi="新宋体" w:eastAsia="新宋体" w:cs="新宋体"/>
          <w:color w:val="auto"/>
          <w:sz w:val="24"/>
          <w:szCs w:val="21"/>
        </w:rPr>
        <w:t>输出接口：12路HDMI输出，HDMI（奇数口）输出分辨率最高支持4K（3840*2160@30HZ）</w:t>
      </w:r>
    </w:p>
    <w:p>
      <w:pPr>
        <w:spacing w:line="360" w:lineRule="auto"/>
        <w:ind w:firstLine="480" w:firstLineChars="200"/>
        <w:rPr>
          <w:rFonts w:ascii="新宋体" w:hAnsi="新宋体" w:eastAsia="新宋体" w:cs="新宋体"/>
          <w:color w:val="auto"/>
          <w:sz w:val="24"/>
          <w:szCs w:val="21"/>
          <w:lang w:eastAsia="zh-CN"/>
        </w:rPr>
      </w:pPr>
      <w:r>
        <w:rPr>
          <w:rFonts w:hint="eastAsia" w:ascii="新宋体" w:hAnsi="新宋体" w:eastAsia="新宋体" w:cs="新宋体"/>
          <w:color w:val="auto"/>
          <w:sz w:val="24"/>
          <w:szCs w:val="21"/>
          <w:lang w:eastAsia="zh-CN"/>
        </w:rPr>
        <w:t>编码格式：支持H.265、H.264、MPEG4、MJPEG等主流的编码格式；</w:t>
      </w:r>
    </w:p>
    <w:p>
      <w:pPr>
        <w:spacing w:line="360" w:lineRule="auto"/>
        <w:ind w:firstLine="480" w:firstLineChars="200"/>
        <w:rPr>
          <w:rFonts w:ascii="新宋体" w:hAnsi="新宋体" w:eastAsia="新宋体" w:cs="新宋体"/>
          <w:color w:val="auto"/>
          <w:sz w:val="24"/>
          <w:szCs w:val="21"/>
          <w:lang w:eastAsia="zh-CN"/>
        </w:rPr>
      </w:pPr>
      <w:r>
        <w:rPr>
          <w:rFonts w:hint="eastAsia" w:ascii="新宋体" w:hAnsi="新宋体" w:eastAsia="新宋体" w:cs="新宋体"/>
          <w:color w:val="auto"/>
          <w:sz w:val="24"/>
          <w:szCs w:val="21"/>
          <w:lang w:eastAsia="zh-CN"/>
        </w:rPr>
        <w:t>封装格式：支持PS、TS、ES、RTP、HIK等主流的封装格式；</w:t>
      </w:r>
    </w:p>
    <w:p>
      <w:pPr>
        <w:spacing w:line="360" w:lineRule="auto"/>
        <w:ind w:firstLine="480" w:firstLineChars="200"/>
        <w:rPr>
          <w:rFonts w:ascii="新宋体" w:hAnsi="新宋体" w:eastAsia="新宋体" w:cs="新宋体"/>
          <w:color w:val="auto"/>
          <w:sz w:val="24"/>
          <w:szCs w:val="21"/>
          <w:lang w:eastAsia="zh-CN"/>
        </w:rPr>
      </w:pPr>
      <w:r>
        <w:rPr>
          <w:rFonts w:hint="eastAsia" w:ascii="新宋体" w:hAnsi="新宋体" w:eastAsia="新宋体" w:cs="新宋体"/>
          <w:color w:val="auto"/>
          <w:sz w:val="24"/>
          <w:szCs w:val="21"/>
          <w:lang w:eastAsia="zh-CN"/>
        </w:rPr>
        <w:t>解码能力：解码96路1080P，或192路720P，或384路4CIF以下分辨率解码；</w:t>
      </w:r>
    </w:p>
    <w:p>
      <w:pPr>
        <w:spacing w:line="360" w:lineRule="auto"/>
        <w:ind w:firstLine="480" w:firstLineChars="200"/>
        <w:rPr>
          <w:rFonts w:ascii="新宋体" w:hAnsi="新宋体" w:eastAsia="新宋体" w:cs="新宋体"/>
          <w:color w:val="auto"/>
          <w:sz w:val="24"/>
          <w:szCs w:val="21"/>
          <w:lang w:eastAsia="zh-CN"/>
        </w:rPr>
      </w:pPr>
      <w:r>
        <w:rPr>
          <w:rFonts w:hint="eastAsia" w:ascii="新宋体" w:hAnsi="新宋体" w:eastAsia="新宋体" w:cs="新宋体"/>
          <w:color w:val="auto"/>
          <w:sz w:val="24"/>
          <w:szCs w:val="21"/>
          <w:lang w:eastAsia="zh-CN"/>
        </w:rPr>
        <w:t>画面分割：支持1/4/6/8/9/12/16画面分割</w:t>
      </w:r>
    </w:p>
    <w:p>
      <w:pPr>
        <w:spacing w:line="360" w:lineRule="auto"/>
        <w:ind w:firstLine="480" w:firstLineChars="200"/>
        <w:rPr>
          <w:rFonts w:ascii="新宋体" w:hAnsi="新宋体" w:eastAsia="新宋体" w:cs="新宋体"/>
          <w:color w:val="auto"/>
          <w:sz w:val="24"/>
          <w:szCs w:val="21"/>
          <w:lang w:eastAsia="zh-CN"/>
        </w:rPr>
      </w:pPr>
      <w:r>
        <w:rPr>
          <w:rFonts w:hint="eastAsia" w:ascii="新宋体" w:hAnsi="新宋体" w:eastAsia="新宋体" w:cs="新宋体"/>
          <w:color w:val="auto"/>
          <w:sz w:val="24"/>
          <w:szCs w:val="21"/>
          <w:lang w:eastAsia="zh-CN"/>
        </w:rPr>
        <w:t>网络接口：1个RJ4510M/100M/1000Mbps自适应管理网口</w:t>
      </w:r>
    </w:p>
    <w:p>
      <w:pPr>
        <w:spacing w:line="360" w:lineRule="auto"/>
        <w:ind w:firstLine="480" w:firstLineChars="200"/>
        <w:rPr>
          <w:rFonts w:ascii="新宋体" w:hAnsi="新宋体" w:eastAsia="新宋体" w:cs="新宋体"/>
          <w:color w:val="auto"/>
          <w:sz w:val="24"/>
          <w:szCs w:val="21"/>
          <w:lang w:eastAsia="zh-CN"/>
        </w:rPr>
      </w:pPr>
      <w:r>
        <w:rPr>
          <w:rFonts w:hint="eastAsia" w:ascii="新宋体" w:hAnsi="新宋体" w:eastAsia="新宋体" w:cs="新宋体"/>
          <w:color w:val="auto"/>
          <w:sz w:val="24"/>
          <w:szCs w:val="21"/>
          <w:lang w:eastAsia="zh-CN"/>
        </w:rPr>
        <w:t>4个RJ4510M/100M/1000Mbps自适应以太网接口</w:t>
      </w:r>
    </w:p>
    <w:p>
      <w:pPr>
        <w:spacing w:line="360" w:lineRule="auto"/>
        <w:ind w:firstLine="480" w:firstLineChars="200"/>
        <w:rPr>
          <w:rFonts w:ascii="新宋体" w:hAnsi="新宋体" w:eastAsia="新宋体" w:cs="新宋体"/>
          <w:color w:val="auto"/>
          <w:sz w:val="24"/>
          <w:szCs w:val="21"/>
        </w:rPr>
      </w:pPr>
      <w:r>
        <w:rPr>
          <w:rFonts w:hint="eastAsia" w:ascii="新宋体" w:hAnsi="新宋体" w:eastAsia="新宋体" w:cs="新宋体"/>
          <w:color w:val="auto"/>
          <w:sz w:val="24"/>
          <w:szCs w:val="21"/>
        </w:rPr>
        <w:t>串行接口：一个标准232接口（RJ45）console口、三个标准RS485/RS232复用口（RJ45接口）；</w:t>
      </w:r>
    </w:p>
    <w:p>
      <w:pPr>
        <w:spacing w:line="360" w:lineRule="auto"/>
        <w:ind w:firstLine="480" w:firstLineChars="200"/>
        <w:rPr>
          <w:rFonts w:ascii="新宋体" w:hAnsi="新宋体" w:eastAsia="新宋体" w:cs="新宋体"/>
          <w:color w:val="auto"/>
          <w:sz w:val="24"/>
          <w:szCs w:val="21"/>
        </w:rPr>
      </w:pPr>
      <w:r>
        <w:rPr>
          <w:rFonts w:hint="eastAsia" w:ascii="新宋体" w:hAnsi="新宋体" w:eastAsia="新宋体" w:cs="新宋体"/>
          <w:color w:val="auto"/>
          <w:sz w:val="24"/>
          <w:szCs w:val="21"/>
        </w:rPr>
        <w:t>输入接口：4路DVI-I或DVI-D接口（支持HDMI/VGA转接输入）；</w:t>
      </w:r>
    </w:p>
    <w:p>
      <w:pPr>
        <w:spacing w:line="360" w:lineRule="auto"/>
        <w:ind w:firstLine="480" w:firstLineChars="200"/>
        <w:rPr>
          <w:rFonts w:ascii="新宋体" w:hAnsi="新宋体" w:eastAsia="新宋体" w:cs="新宋体"/>
          <w:color w:val="auto"/>
          <w:sz w:val="24"/>
          <w:szCs w:val="21"/>
          <w:lang w:eastAsia="zh-CN"/>
        </w:rPr>
      </w:pPr>
      <w:r>
        <w:rPr>
          <w:rFonts w:hint="eastAsia" w:ascii="新宋体" w:hAnsi="新宋体" w:eastAsia="新宋体" w:cs="新宋体"/>
          <w:color w:val="auto"/>
          <w:sz w:val="24"/>
          <w:szCs w:val="21"/>
          <w:lang w:eastAsia="zh-CN"/>
        </w:rPr>
        <w:t>大屏功能：支持拼接、开窗、漫游、叠加、缩放；</w:t>
      </w:r>
    </w:p>
    <w:p>
      <w:pPr>
        <w:spacing w:line="360" w:lineRule="auto"/>
        <w:ind w:firstLine="480" w:firstLineChars="200"/>
        <w:rPr>
          <w:rFonts w:ascii="新宋体" w:hAnsi="新宋体" w:eastAsia="新宋体" w:cs="新宋体"/>
          <w:color w:val="auto"/>
          <w:sz w:val="24"/>
          <w:szCs w:val="21"/>
          <w:lang w:eastAsia="zh-CN"/>
        </w:rPr>
      </w:pPr>
      <w:r>
        <w:rPr>
          <w:rFonts w:hint="eastAsia" w:ascii="新宋体" w:hAnsi="新宋体" w:eastAsia="新宋体" w:cs="新宋体"/>
          <w:color w:val="auto"/>
          <w:sz w:val="24"/>
          <w:szCs w:val="21"/>
          <w:lang w:eastAsia="zh-CN"/>
        </w:rPr>
        <w:t>电源：AC106~240V，50/60Hz,内置，1+1冗余</w:t>
      </w:r>
    </w:p>
    <w:p>
      <w:pPr>
        <w:pStyle w:val="49"/>
        <w:numPr>
          <w:ilvl w:val="0"/>
          <w:numId w:val="11"/>
        </w:numPr>
        <w:ind w:left="440" w:firstLineChars="0"/>
        <w:rPr>
          <w:rFonts w:ascii="新宋体" w:hAnsi="新宋体" w:eastAsia="新宋体" w:cs="新宋体"/>
          <w:color w:val="auto"/>
          <w:szCs w:val="21"/>
        </w:rPr>
      </w:pPr>
      <w:r>
        <w:rPr>
          <w:rFonts w:hint="eastAsia"/>
          <w:color w:val="auto"/>
          <w:szCs w:val="21"/>
        </w:rPr>
        <w:t>拼接屏控制软件</w:t>
      </w:r>
    </w:p>
    <w:p>
      <w:pPr>
        <w:pStyle w:val="11"/>
        <w:spacing w:line="360" w:lineRule="auto"/>
        <w:ind w:left="0" w:firstLine="480" w:firstLineChars="200"/>
        <w:rPr>
          <w:rFonts w:ascii="新宋体" w:hAnsi="新宋体" w:eastAsia="新宋体" w:cs="新宋体"/>
          <w:color w:val="auto"/>
          <w:sz w:val="24"/>
          <w:lang w:eastAsia="zh-CN"/>
        </w:rPr>
      </w:pPr>
      <w:r>
        <w:rPr>
          <w:rFonts w:hint="eastAsia" w:ascii="新宋体" w:hAnsi="新宋体" w:eastAsia="新宋体" w:cs="新宋体"/>
          <w:color w:val="auto"/>
          <w:sz w:val="24"/>
          <w:lang w:eastAsia="zh-CN"/>
        </w:rPr>
        <w:t>控制管理软件应包括拼接处理软件、控制软件等，实现窗口管理、运行模式管理、信号源管理、预案管理等功能，且所有操作应能在一个软件和控制界面上完成。用户可以在任意位置打开多个活动窗口显示不同的输入信号，所有窗口能在整个大屏幕显示墙上任意移动、缩放，同时具有足够的响应速度。</w:t>
      </w:r>
    </w:p>
    <w:p>
      <w:pPr>
        <w:pStyle w:val="30"/>
        <w:spacing w:before="120" w:after="120"/>
        <w:rPr>
          <w:b w:val="0"/>
          <w:bCs/>
          <w:color w:val="auto"/>
        </w:rPr>
      </w:pPr>
      <w:bookmarkStart w:id="87" w:name="_Toc117181359"/>
      <w:r>
        <w:rPr>
          <w:rFonts w:hint="eastAsia"/>
          <w:bCs/>
          <w:color w:val="auto"/>
        </w:rPr>
        <w:t>生产辅助系统技术要求</w:t>
      </w:r>
      <w:bookmarkEnd w:id="87"/>
    </w:p>
    <w:p>
      <w:pPr>
        <w:pStyle w:val="31"/>
        <w:rPr>
          <w:color w:val="auto"/>
        </w:rPr>
      </w:pPr>
      <w:r>
        <w:rPr>
          <w:rFonts w:hint="eastAsia"/>
          <w:color w:val="auto"/>
        </w:rPr>
        <w:t>概述</w:t>
      </w:r>
    </w:p>
    <w:p>
      <w:pPr>
        <w:pStyle w:val="29"/>
        <w:ind w:firstLine="472"/>
        <w:rPr>
          <w:color w:val="auto"/>
        </w:rPr>
      </w:pPr>
      <w:r>
        <w:rPr>
          <w:rFonts w:hint="eastAsia"/>
          <w:color w:val="auto"/>
        </w:rPr>
        <w:t>本项目生产辅助系统主要包括视频监控系统、空气质量控制系统、人员定位系统、无线网络系统和智能照明系统等。</w:t>
      </w:r>
    </w:p>
    <w:p>
      <w:pPr>
        <w:pStyle w:val="31"/>
        <w:rPr>
          <w:color w:val="auto"/>
        </w:rPr>
      </w:pPr>
      <w:r>
        <w:rPr>
          <w:rFonts w:hint="eastAsia"/>
          <w:color w:val="auto"/>
        </w:rPr>
        <w:t>生产辅助网络</w:t>
      </w:r>
    </w:p>
    <w:p>
      <w:pPr>
        <w:pStyle w:val="29"/>
        <w:ind w:firstLine="472"/>
        <w:rPr>
          <w:color w:val="auto"/>
        </w:rPr>
      </w:pPr>
      <w:r>
        <w:rPr>
          <w:rFonts w:hint="eastAsia"/>
          <w:color w:val="auto"/>
        </w:rPr>
        <w:t>生产辅助系统单独组网，由核心交换机、汇聚交换机和光纤等组成，采用环形工业以太网。</w:t>
      </w:r>
    </w:p>
    <w:p>
      <w:pPr>
        <w:pStyle w:val="29"/>
        <w:ind w:firstLine="472"/>
        <w:rPr>
          <w:color w:val="auto"/>
        </w:rPr>
      </w:pPr>
      <w:r>
        <w:rPr>
          <w:rFonts w:hint="eastAsia"/>
          <w:color w:val="auto"/>
        </w:rPr>
        <w:t>1.核心交换机</w:t>
      </w:r>
    </w:p>
    <w:p>
      <w:pPr>
        <w:pStyle w:val="29"/>
        <w:ind w:firstLine="472"/>
        <w:rPr>
          <w:color w:val="auto"/>
        </w:rPr>
      </w:pPr>
      <w:r>
        <w:rPr>
          <w:rFonts w:hint="eastAsia"/>
          <w:color w:val="auto"/>
        </w:rPr>
        <w:t>（1）三层工业级以太网交换机，19英寸机架式安装，采用无风扇散热设计。</w:t>
      </w:r>
    </w:p>
    <w:p>
      <w:pPr>
        <w:pStyle w:val="29"/>
        <w:ind w:firstLine="472"/>
        <w:rPr>
          <w:color w:val="auto"/>
        </w:rPr>
      </w:pPr>
      <w:r>
        <w:rPr>
          <w:rFonts w:hint="eastAsia"/>
          <w:color w:val="auto"/>
        </w:rPr>
        <w:t>（2）采用双独立冗余电源模块。</w:t>
      </w:r>
    </w:p>
    <w:p>
      <w:pPr>
        <w:pStyle w:val="29"/>
        <w:ind w:firstLine="472"/>
        <w:rPr>
          <w:color w:val="auto"/>
        </w:rPr>
      </w:pPr>
      <w:r>
        <w:rPr>
          <w:rFonts w:hint="eastAsia"/>
          <w:color w:val="auto"/>
        </w:rPr>
        <w:t>（3）背板带宽不小于160Gbps，包转发率不小于130Mpps。</w:t>
      </w:r>
    </w:p>
    <w:p>
      <w:pPr>
        <w:pStyle w:val="29"/>
        <w:ind w:firstLine="472"/>
        <w:rPr>
          <w:color w:val="auto"/>
        </w:rPr>
      </w:pPr>
      <w:r>
        <w:rPr>
          <w:rFonts w:hint="eastAsia"/>
          <w:color w:val="auto"/>
        </w:rPr>
        <w:t>（4）支持OSFPv2，静态路由，RIPv1/v2，IGMP，PIM-SM,PIM-DM。</w:t>
      </w:r>
    </w:p>
    <w:p>
      <w:pPr>
        <w:pStyle w:val="29"/>
        <w:ind w:firstLine="472"/>
        <w:rPr>
          <w:color w:val="auto"/>
        </w:rPr>
      </w:pPr>
      <w:r>
        <w:rPr>
          <w:rFonts w:hint="eastAsia"/>
          <w:color w:val="auto"/>
        </w:rPr>
        <w:t>（5）支持IEEE802.1QVLAN和GVRP。</w:t>
      </w:r>
    </w:p>
    <w:p>
      <w:pPr>
        <w:pStyle w:val="29"/>
        <w:ind w:firstLine="472"/>
        <w:rPr>
          <w:color w:val="auto"/>
        </w:rPr>
      </w:pPr>
      <w:r>
        <w:rPr>
          <w:rFonts w:hint="eastAsia"/>
          <w:color w:val="auto"/>
        </w:rPr>
        <w:t>（6）支持QoS-IEEE802.1p/1Q和TOS/DiffServ，支持802.3ad，LACP，优化网络带宽。</w:t>
      </w:r>
    </w:p>
    <w:p>
      <w:pPr>
        <w:pStyle w:val="29"/>
        <w:ind w:firstLine="472"/>
        <w:rPr>
          <w:color w:val="auto"/>
        </w:rPr>
      </w:pPr>
      <w:r>
        <w:rPr>
          <w:rFonts w:hint="eastAsia"/>
          <w:color w:val="auto"/>
        </w:rPr>
        <w:t>（7）支持IEEE802.1x、HTTPs/SSL、SFTPClient、SSH、RADIUS、用户分级，增加网络安全性。</w:t>
      </w:r>
    </w:p>
    <w:p>
      <w:pPr>
        <w:pStyle w:val="29"/>
        <w:ind w:firstLine="472"/>
        <w:rPr>
          <w:color w:val="auto"/>
        </w:rPr>
      </w:pPr>
      <w:r>
        <w:rPr>
          <w:rFonts w:hint="eastAsia"/>
          <w:color w:val="auto"/>
        </w:rPr>
        <w:t>（8）支持网络风暴抑制，支持广播风暴抑制、组播风暴抑制和未知单播风暴抑制功能，网络风暴抑制最小粒度宜不超过64kbits/s或者1pps。</w:t>
      </w:r>
    </w:p>
    <w:p>
      <w:pPr>
        <w:pStyle w:val="29"/>
        <w:ind w:firstLine="472"/>
        <w:rPr>
          <w:color w:val="auto"/>
        </w:rPr>
      </w:pPr>
      <w:r>
        <w:rPr>
          <w:rFonts w:hint="eastAsia"/>
          <w:color w:val="auto"/>
        </w:rPr>
        <w:t>（9）支持SNMPv1/v2c/v3、Syslog用于不同级别的网络管理。支持RMON，有效监控网络。</w:t>
      </w:r>
    </w:p>
    <w:p>
      <w:pPr>
        <w:pStyle w:val="29"/>
        <w:ind w:firstLine="472"/>
        <w:rPr>
          <w:color w:val="auto"/>
        </w:rPr>
      </w:pPr>
      <w:r>
        <w:rPr>
          <w:rFonts w:hint="eastAsia"/>
          <w:color w:val="auto"/>
        </w:rPr>
        <w:t>（10）支持基于MAC地址的端口锁定，防止非法入侵。</w:t>
      </w:r>
    </w:p>
    <w:p>
      <w:pPr>
        <w:pStyle w:val="29"/>
        <w:ind w:firstLine="472"/>
        <w:rPr>
          <w:color w:val="auto"/>
        </w:rPr>
      </w:pPr>
      <w:r>
        <w:rPr>
          <w:rFonts w:hint="eastAsia"/>
          <w:color w:val="auto"/>
        </w:rPr>
        <w:t>（11）支持端口镜像功能，便于在线调试。</w:t>
      </w:r>
    </w:p>
    <w:p>
      <w:pPr>
        <w:pStyle w:val="29"/>
        <w:ind w:firstLine="472"/>
        <w:rPr>
          <w:color w:val="auto"/>
        </w:rPr>
      </w:pPr>
      <w:r>
        <w:rPr>
          <w:rFonts w:hint="eastAsia"/>
          <w:color w:val="auto"/>
        </w:rPr>
        <w:t>（12）支持Telnet/SerialConsole/SSH和Web浏览器进行配置，支持配置备份和还原，以便运营维护人员方便、快速地备份和恢复设备配置。</w:t>
      </w:r>
    </w:p>
    <w:p>
      <w:pPr>
        <w:pStyle w:val="29"/>
        <w:ind w:firstLine="472"/>
        <w:rPr>
          <w:color w:val="auto"/>
        </w:rPr>
      </w:pPr>
      <w:r>
        <w:rPr>
          <w:rFonts w:hint="eastAsia"/>
          <w:color w:val="auto"/>
        </w:rPr>
        <w:t>（13）配置至少8个千兆光电复用接口，24个千兆/百兆自适应光口，16个千兆/百兆自适应电口。</w:t>
      </w:r>
    </w:p>
    <w:p>
      <w:pPr>
        <w:pStyle w:val="29"/>
        <w:ind w:firstLine="472"/>
        <w:rPr>
          <w:color w:val="auto"/>
        </w:rPr>
      </w:pPr>
      <w:r>
        <w:rPr>
          <w:rFonts w:hint="eastAsia"/>
          <w:color w:val="auto"/>
        </w:rPr>
        <w:t>（14）支持至少4个端口的链路聚合（FEX/GEC）。</w:t>
      </w:r>
    </w:p>
    <w:p>
      <w:pPr>
        <w:pStyle w:val="29"/>
        <w:ind w:firstLine="472"/>
        <w:rPr>
          <w:color w:val="auto"/>
        </w:rPr>
      </w:pPr>
      <w:r>
        <w:rPr>
          <w:rFonts w:hint="eastAsia"/>
          <w:color w:val="auto"/>
        </w:rPr>
        <w:t>（15）支持符合IEC62439标准的冗余环网功能，冗余环网自愈时间低于20ms。</w:t>
      </w:r>
    </w:p>
    <w:p>
      <w:pPr>
        <w:pStyle w:val="29"/>
        <w:ind w:firstLine="472"/>
        <w:rPr>
          <w:color w:val="auto"/>
        </w:rPr>
      </w:pPr>
      <w:r>
        <w:rPr>
          <w:rFonts w:hint="eastAsia"/>
          <w:color w:val="auto"/>
        </w:rPr>
        <w:t>（16）支持巨型帧传输。</w:t>
      </w:r>
    </w:p>
    <w:p>
      <w:pPr>
        <w:pStyle w:val="29"/>
        <w:ind w:firstLine="472"/>
        <w:rPr>
          <w:color w:val="auto"/>
        </w:rPr>
      </w:pPr>
      <w:r>
        <w:rPr>
          <w:rFonts w:hint="eastAsia"/>
          <w:color w:val="auto"/>
        </w:rPr>
        <w:t>（17）支持硬件路由缓存功能，路由表缓存数量不低于4K。</w:t>
      </w:r>
    </w:p>
    <w:p>
      <w:pPr>
        <w:pStyle w:val="29"/>
        <w:ind w:firstLine="472"/>
        <w:rPr>
          <w:color w:val="auto"/>
        </w:rPr>
      </w:pPr>
      <w:r>
        <w:rPr>
          <w:rFonts w:hint="eastAsia"/>
          <w:color w:val="auto"/>
        </w:rPr>
        <w:t>（18）支持光功率检测功能。</w:t>
      </w:r>
    </w:p>
    <w:p>
      <w:pPr>
        <w:pStyle w:val="29"/>
        <w:ind w:firstLine="472"/>
        <w:rPr>
          <w:color w:val="auto"/>
        </w:rPr>
      </w:pPr>
      <w:r>
        <w:rPr>
          <w:rFonts w:hint="eastAsia"/>
          <w:color w:val="auto"/>
        </w:rPr>
        <w:t>（19）可靠性：MTBF≥35年。</w:t>
      </w:r>
    </w:p>
    <w:p>
      <w:pPr>
        <w:pStyle w:val="29"/>
        <w:ind w:firstLine="472"/>
        <w:rPr>
          <w:color w:val="auto"/>
        </w:rPr>
      </w:pPr>
      <w:r>
        <w:rPr>
          <w:rFonts w:hint="eastAsia"/>
          <w:color w:val="auto"/>
        </w:rPr>
        <w:t>（20）工作温度-40℃～+75℃。</w:t>
      </w:r>
    </w:p>
    <w:p>
      <w:pPr>
        <w:pStyle w:val="29"/>
        <w:ind w:firstLine="472"/>
        <w:rPr>
          <w:color w:val="auto"/>
        </w:rPr>
      </w:pPr>
      <w:r>
        <w:rPr>
          <w:rFonts w:hint="eastAsia"/>
          <w:color w:val="auto"/>
        </w:rPr>
        <w:t>（21）满足工业三级电磁兼容标准。</w:t>
      </w:r>
    </w:p>
    <w:p>
      <w:pPr>
        <w:pStyle w:val="29"/>
        <w:ind w:firstLine="472"/>
        <w:rPr>
          <w:color w:val="auto"/>
        </w:rPr>
      </w:pPr>
      <w:r>
        <w:rPr>
          <w:rFonts w:hint="eastAsia"/>
          <w:color w:val="auto"/>
        </w:rPr>
        <w:t>（22）防护等级：IP30及以上。</w:t>
      </w:r>
    </w:p>
    <w:p>
      <w:pPr>
        <w:pStyle w:val="29"/>
        <w:ind w:firstLine="472"/>
        <w:rPr>
          <w:color w:val="auto"/>
        </w:rPr>
      </w:pPr>
      <w:r>
        <w:rPr>
          <w:rFonts w:hint="eastAsia"/>
          <w:color w:val="auto"/>
        </w:rPr>
        <w:t>（23）提供CE、FCC、KEMA、公安部检测报告、工信部入网许可证。并提供认证文件。</w:t>
      </w:r>
    </w:p>
    <w:p>
      <w:pPr>
        <w:pStyle w:val="29"/>
        <w:ind w:firstLine="472"/>
        <w:rPr>
          <w:color w:val="auto"/>
        </w:rPr>
      </w:pPr>
      <w:r>
        <w:rPr>
          <w:rFonts w:hint="eastAsia"/>
          <w:color w:val="auto"/>
        </w:rPr>
        <w:t>2</w:t>
      </w:r>
      <w:r>
        <w:rPr>
          <w:color w:val="auto"/>
        </w:rPr>
        <w:t>.</w:t>
      </w:r>
      <w:r>
        <w:rPr>
          <w:rFonts w:hint="eastAsia"/>
          <w:color w:val="auto"/>
        </w:rPr>
        <w:t>汇聚交换机</w:t>
      </w:r>
    </w:p>
    <w:p>
      <w:pPr>
        <w:pStyle w:val="29"/>
        <w:ind w:firstLine="472"/>
        <w:rPr>
          <w:color w:val="auto"/>
        </w:rPr>
      </w:pPr>
      <w:r>
        <w:rPr>
          <w:rFonts w:hint="eastAsia"/>
          <w:color w:val="auto"/>
        </w:rPr>
        <w:t>（1）二层工业级以太网交换机，19英寸机架式安装，采用无风扇散热设计。</w:t>
      </w:r>
    </w:p>
    <w:p>
      <w:pPr>
        <w:pStyle w:val="29"/>
        <w:ind w:firstLine="472"/>
        <w:rPr>
          <w:color w:val="auto"/>
        </w:rPr>
      </w:pPr>
      <w:r>
        <w:rPr>
          <w:rFonts w:hint="eastAsia"/>
          <w:color w:val="auto"/>
        </w:rPr>
        <w:t>（2）采用双独立冗余电源模块。</w:t>
      </w:r>
    </w:p>
    <w:p>
      <w:pPr>
        <w:pStyle w:val="29"/>
        <w:ind w:firstLine="472"/>
        <w:rPr>
          <w:color w:val="auto"/>
        </w:rPr>
      </w:pPr>
      <w:r>
        <w:rPr>
          <w:rFonts w:hint="eastAsia"/>
          <w:color w:val="auto"/>
        </w:rPr>
        <w:t>（3）背板带宽不小于160Gbps，包转发率不小于130Mpps。</w:t>
      </w:r>
    </w:p>
    <w:p>
      <w:pPr>
        <w:pStyle w:val="29"/>
        <w:ind w:firstLine="472"/>
        <w:rPr>
          <w:color w:val="auto"/>
        </w:rPr>
      </w:pPr>
      <w:r>
        <w:rPr>
          <w:rFonts w:hint="eastAsia"/>
          <w:color w:val="auto"/>
        </w:rPr>
        <w:t>（4）支持OSFPv2，静态路由，RIPv1/v2，IGMP，PIM-SM,PIM-DM。</w:t>
      </w:r>
    </w:p>
    <w:p>
      <w:pPr>
        <w:pStyle w:val="29"/>
        <w:ind w:firstLine="472"/>
        <w:rPr>
          <w:color w:val="auto"/>
        </w:rPr>
      </w:pPr>
      <w:r>
        <w:rPr>
          <w:rFonts w:hint="eastAsia"/>
          <w:color w:val="auto"/>
        </w:rPr>
        <w:t>（5）支持IEEE802.1QVLAN和GVRP。</w:t>
      </w:r>
    </w:p>
    <w:p>
      <w:pPr>
        <w:pStyle w:val="29"/>
        <w:ind w:firstLine="472"/>
        <w:rPr>
          <w:color w:val="auto"/>
        </w:rPr>
      </w:pPr>
      <w:r>
        <w:rPr>
          <w:rFonts w:hint="eastAsia"/>
          <w:color w:val="auto"/>
        </w:rPr>
        <w:t>（6）支持QoS-IEEE802.1p/1Q和TOS/DiffServ，支持802.3ad，LACP，优化网络带宽。</w:t>
      </w:r>
    </w:p>
    <w:p>
      <w:pPr>
        <w:pStyle w:val="29"/>
        <w:ind w:firstLine="472"/>
        <w:rPr>
          <w:color w:val="auto"/>
        </w:rPr>
      </w:pPr>
      <w:r>
        <w:rPr>
          <w:rFonts w:hint="eastAsia"/>
          <w:color w:val="auto"/>
        </w:rPr>
        <w:t>（7）支持IEEE802.1x、HTTPs/SSL、SFTPClient、SSH、RADIUS、用户分级，增加网络安全性。</w:t>
      </w:r>
    </w:p>
    <w:p>
      <w:pPr>
        <w:pStyle w:val="29"/>
        <w:ind w:firstLine="472"/>
        <w:rPr>
          <w:color w:val="auto"/>
        </w:rPr>
      </w:pPr>
      <w:r>
        <w:rPr>
          <w:rFonts w:hint="eastAsia"/>
          <w:color w:val="auto"/>
        </w:rPr>
        <w:t>（8）支持网络风暴抑制，支持广播风暴抑制、组播风暴抑制和未知单播风暴抑制功能，网络风暴抑制最小粒度宜不超过64kbits/s或者1pps。</w:t>
      </w:r>
    </w:p>
    <w:p>
      <w:pPr>
        <w:pStyle w:val="29"/>
        <w:ind w:firstLine="472"/>
        <w:rPr>
          <w:color w:val="auto"/>
        </w:rPr>
      </w:pPr>
      <w:r>
        <w:rPr>
          <w:rFonts w:hint="eastAsia"/>
          <w:color w:val="auto"/>
        </w:rPr>
        <w:t>（9）支持SNMPv1/v2c/v3、Syslog用于不同级别的网络管理。支持RMON，有效监控网络。</w:t>
      </w:r>
    </w:p>
    <w:p>
      <w:pPr>
        <w:pStyle w:val="29"/>
        <w:ind w:firstLine="472"/>
        <w:rPr>
          <w:color w:val="auto"/>
        </w:rPr>
      </w:pPr>
      <w:r>
        <w:rPr>
          <w:rFonts w:hint="eastAsia"/>
          <w:color w:val="auto"/>
        </w:rPr>
        <w:t>（10）支持基于MAC地址的端口锁定，防止非法入侵。</w:t>
      </w:r>
    </w:p>
    <w:p>
      <w:pPr>
        <w:pStyle w:val="29"/>
        <w:ind w:firstLine="472"/>
        <w:rPr>
          <w:color w:val="auto"/>
        </w:rPr>
      </w:pPr>
      <w:r>
        <w:rPr>
          <w:rFonts w:hint="eastAsia"/>
          <w:color w:val="auto"/>
        </w:rPr>
        <w:t>（11）支持端口镜像功能，便于在线调试。</w:t>
      </w:r>
    </w:p>
    <w:p>
      <w:pPr>
        <w:pStyle w:val="29"/>
        <w:ind w:firstLine="472"/>
        <w:rPr>
          <w:color w:val="auto"/>
        </w:rPr>
      </w:pPr>
      <w:r>
        <w:rPr>
          <w:rFonts w:hint="eastAsia"/>
          <w:color w:val="auto"/>
        </w:rPr>
        <w:t>（12）支持Telnet/SerialConsole/SSH和Web浏览器进行配置，支持配置备份和还原，以便运营维护人员方便、快速地备份和恢复设备配置。</w:t>
      </w:r>
    </w:p>
    <w:p>
      <w:pPr>
        <w:pStyle w:val="29"/>
        <w:ind w:firstLine="472"/>
        <w:rPr>
          <w:color w:val="auto"/>
        </w:rPr>
      </w:pPr>
      <w:r>
        <w:rPr>
          <w:rFonts w:hint="eastAsia"/>
          <w:color w:val="auto"/>
        </w:rPr>
        <w:t>（13）配置至少8个千兆光电复用接口，24个千兆/百兆自适应光口，16个千兆/百兆自适应电口。</w:t>
      </w:r>
    </w:p>
    <w:p>
      <w:pPr>
        <w:pStyle w:val="29"/>
        <w:ind w:firstLine="472"/>
        <w:rPr>
          <w:color w:val="auto"/>
        </w:rPr>
      </w:pPr>
      <w:r>
        <w:rPr>
          <w:rFonts w:hint="eastAsia"/>
          <w:color w:val="auto"/>
        </w:rPr>
        <w:t>（14）支持至少4个端口的链路聚合（FEX/GEC）。</w:t>
      </w:r>
    </w:p>
    <w:p>
      <w:pPr>
        <w:pStyle w:val="29"/>
        <w:ind w:firstLine="472"/>
        <w:rPr>
          <w:color w:val="auto"/>
        </w:rPr>
      </w:pPr>
      <w:r>
        <w:rPr>
          <w:rFonts w:hint="eastAsia"/>
          <w:color w:val="auto"/>
        </w:rPr>
        <w:t>（15）支持符合IEC62439标准的冗余环网功能，冗余环网自愈时间低于20ms。</w:t>
      </w:r>
    </w:p>
    <w:p>
      <w:pPr>
        <w:pStyle w:val="29"/>
        <w:ind w:firstLine="472"/>
        <w:rPr>
          <w:color w:val="auto"/>
        </w:rPr>
      </w:pPr>
      <w:r>
        <w:rPr>
          <w:rFonts w:hint="eastAsia"/>
          <w:color w:val="auto"/>
        </w:rPr>
        <w:t>（16）支持巨型帧传输。</w:t>
      </w:r>
    </w:p>
    <w:p>
      <w:pPr>
        <w:pStyle w:val="29"/>
        <w:ind w:firstLine="472"/>
        <w:rPr>
          <w:color w:val="auto"/>
        </w:rPr>
      </w:pPr>
      <w:r>
        <w:rPr>
          <w:rFonts w:hint="eastAsia"/>
          <w:color w:val="auto"/>
        </w:rPr>
        <w:t>（17）支持硬件路由缓存功能，路由表缓存数量不低于4K。</w:t>
      </w:r>
    </w:p>
    <w:p>
      <w:pPr>
        <w:pStyle w:val="29"/>
        <w:ind w:firstLine="472"/>
        <w:rPr>
          <w:color w:val="auto"/>
        </w:rPr>
      </w:pPr>
      <w:r>
        <w:rPr>
          <w:rFonts w:hint="eastAsia"/>
          <w:color w:val="auto"/>
        </w:rPr>
        <w:t>（18）支持光功率检测功能。</w:t>
      </w:r>
    </w:p>
    <w:p>
      <w:pPr>
        <w:pStyle w:val="29"/>
        <w:ind w:firstLine="472"/>
        <w:rPr>
          <w:color w:val="auto"/>
        </w:rPr>
      </w:pPr>
      <w:r>
        <w:rPr>
          <w:rFonts w:hint="eastAsia"/>
          <w:color w:val="auto"/>
        </w:rPr>
        <w:t>（19）可靠性：MTBF≥35年。</w:t>
      </w:r>
    </w:p>
    <w:p>
      <w:pPr>
        <w:pStyle w:val="29"/>
        <w:ind w:firstLine="472"/>
        <w:rPr>
          <w:color w:val="auto"/>
        </w:rPr>
      </w:pPr>
      <w:r>
        <w:rPr>
          <w:rFonts w:hint="eastAsia"/>
          <w:color w:val="auto"/>
        </w:rPr>
        <w:t>（20）工作温度-40℃～+75℃。</w:t>
      </w:r>
    </w:p>
    <w:p>
      <w:pPr>
        <w:pStyle w:val="29"/>
        <w:ind w:firstLine="472"/>
        <w:rPr>
          <w:color w:val="auto"/>
        </w:rPr>
      </w:pPr>
      <w:r>
        <w:rPr>
          <w:rFonts w:hint="eastAsia"/>
          <w:color w:val="auto"/>
        </w:rPr>
        <w:t>（21）满足工业三级电磁兼容标准。</w:t>
      </w:r>
    </w:p>
    <w:p>
      <w:pPr>
        <w:pStyle w:val="29"/>
        <w:ind w:firstLine="472"/>
        <w:rPr>
          <w:color w:val="auto"/>
        </w:rPr>
      </w:pPr>
      <w:r>
        <w:rPr>
          <w:rFonts w:hint="eastAsia"/>
          <w:color w:val="auto"/>
        </w:rPr>
        <w:t>（22）防护等级：IP30及以上。</w:t>
      </w:r>
    </w:p>
    <w:p>
      <w:pPr>
        <w:pStyle w:val="29"/>
        <w:ind w:firstLine="472"/>
        <w:rPr>
          <w:color w:val="auto"/>
        </w:rPr>
      </w:pPr>
      <w:r>
        <w:rPr>
          <w:rFonts w:hint="eastAsia"/>
          <w:color w:val="auto"/>
        </w:rPr>
        <w:t>（23）提供CE、FCC认证。</w:t>
      </w:r>
    </w:p>
    <w:p>
      <w:pPr>
        <w:pStyle w:val="31"/>
        <w:rPr>
          <w:color w:val="auto"/>
        </w:rPr>
      </w:pPr>
      <w:r>
        <w:rPr>
          <w:rFonts w:hint="eastAsia"/>
          <w:color w:val="auto"/>
        </w:rPr>
        <w:t>视频监控系统</w:t>
      </w:r>
    </w:p>
    <w:p>
      <w:pPr>
        <w:pStyle w:val="29"/>
        <w:ind w:firstLine="472"/>
        <w:rPr>
          <w:color w:val="auto"/>
        </w:rPr>
      </w:pPr>
      <w:bookmarkStart w:id="88" w:name="_Hlk49605476"/>
      <w:r>
        <w:rPr>
          <w:rFonts w:hint="eastAsia"/>
          <w:color w:val="auto"/>
        </w:rPr>
        <w:t>本项目在厂区重要区域安装相应视频监控摄像机，中控室进行视频统一存储。视频监控可以对设备运行情况，周边环境以及人员操作情况进行远程监控，使中控室实时掌握厂区的情况。当切入视频监控播放窗口，可播放实时监控视频，视频监控还应具有如下功能：</w:t>
      </w:r>
    </w:p>
    <w:p>
      <w:pPr>
        <w:pStyle w:val="29"/>
        <w:ind w:firstLine="472"/>
        <w:rPr>
          <w:color w:val="auto"/>
        </w:rPr>
      </w:pPr>
      <w:r>
        <w:rPr>
          <w:rFonts w:hint="eastAsia"/>
          <w:color w:val="auto"/>
        </w:rPr>
        <w:t>（1）能全天监视目标场所，做到图像清晰，画面质量达到1080P的画质；</w:t>
      </w:r>
    </w:p>
    <w:p>
      <w:pPr>
        <w:pStyle w:val="29"/>
        <w:ind w:firstLine="472"/>
        <w:rPr>
          <w:color w:val="auto"/>
        </w:rPr>
      </w:pPr>
      <w:r>
        <w:rPr>
          <w:rFonts w:hint="eastAsia"/>
          <w:color w:val="auto"/>
        </w:rPr>
        <w:t>（2）所有图像可在平台主机进行录像记录，并可抓拍打印画面；</w:t>
      </w:r>
    </w:p>
    <w:p>
      <w:pPr>
        <w:pStyle w:val="29"/>
        <w:ind w:firstLine="472"/>
        <w:rPr>
          <w:color w:val="auto"/>
        </w:rPr>
      </w:pPr>
      <w:r>
        <w:rPr>
          <w:rFonts w:hint="eastAsia"/>
          <w:color w:val="auto"/>
        </w:rPr>
        <w:t>（3）视频监控系统能对全部监视点图像实时（不低于25帧/S）录像，录像分辨率应达到1080P。所存贮的图像资料能频繁回放，回放可单帧和连续；图像可长时间存贮，图像质量始终不变。系统具有长时间工作的全自动化能力，可实时监测视频图的变化，画面有变化立即进行录像，不变立刻停止（即差异存贮），不会丢失任何视频图信号，并根据设定的触发事件发出报警信号；</w:t>
      </w:r>
    </w:p>
    <w:bookmarkEnd w:id="88"/>
    <w:p>
      <w:pPr>
        <w:pStyle w:val="29"/>
        <w:ind w:firstLine="474"/>
        <w:rPr>
          <w:b/>
          <w:bCs/>
          <w:color w:val="auto"/>
          <w:szCs w:val="24"/>
        </w:rPr>
      </w:pPr>
      <w:bookmarkStart w:id="89" w:name="_Toc15239"/>
      <w:r>
        <w:rPr>
          <w:rFonts w:hint="eastAsia"/>
          <w:b/>
          <w:bCs/>
          <w:color w:val="auto"/>
          <w:szCs w:val="24"/>
        </w:rPr>
        <w:t>主要设备技术参数及要求</w:t>
      </w:r>
      <w:bookmarkEnd w:id="89"/>
    </w:p>
    <w:p>
      <w:pPr>
        <w:pStyle w:val="29"/>
        <w:ind w:firstLine="474"/>
        <w:rPr>
          <w:b/>
          <w:bCs/>
          <w:color w:val="auto"/>
          <w:szCs w:val="24"/>
        </w:rPr>
      </w:pPr>
      <w:r>
        <w:rPr>
          <w:rFonts w:hint="eastAsia"/>
          <w:b/>
          <w:bCs/>
          <w:color w:val="auto"/>
          <w:szCs w:val="24"/>
        </w:rPr>
        <w:t>安防工作站</w:t>
      </w:r>
    </w:p>
    <w:p>
      <w:pPr>
        <w:pStyle w:val="29"/>
        <w:ind w:firstLine="472"/>
        <w:rPr>
          <w:color w:val="auto"/>
          <w:szCs w:val="24"/>
        </w:rPr>
      </w:pPr>
      <w:r>
        <w:rPr>
          <w:rFonts w:hint="eastAsia"/>
          <w:color w:val="auto"/>
          <w:szCs w:val="24"/>
        </w:rPr>
        <w:t>CPU：英特尔至强处理器W-2102</w:t>
      </w:r>
    </w:p>
    <w:p>
      <w:pPr>
        <w:pStyle w:val="29"/>
        <w:ind w:firstLine="472"/>
        <w:rPr>
          <w:color w:val="auto"/>
          <w:szCs w:val="24"/>
        </w:rPr>
      </w:pPr>
      <w:r>
        <w:rPr>
          <w:rFonts w:hint="eastAsia"/>
          <w:color w:val="auto"/>
          <w:szCs w:val="24"/>
        </w:rPr>
        <w:t>RAM：16G</w:t>
      </w:r>
    </w:p>
    <w:p>
      <w:pPr>
        <w:pStyle w:val="29"/>
        <w:ind w:firstLine="472"/>
        <w:rPr>
          <w:color w:val="auto"/>
          <w:szCs w:val="24"/>
        </w:rPr>
      </w:pPr>
      <w:r>
        <w:rPr>
          <w:rFonts w:hint="eastAsia"/>
          <w:color w:val="auto"/>
          <w:szCs w:val="24"/>
        </w:rPr>
        <w:t>HDD：240GSSDMLC企业级固态硬盘+2TBSATA硬盘</w:t>
      </w:r>
    </w:p>
    <w:p>
      <w:pPr>
        <w:pStyle w:val="29"/>
        <w:ind w:firstLine="472"/>
        <w:rPr>
          <w:color w:val="auto"/>
          <w:szCs w:val="24"/>
        </w:rPr>
      </w:pPr>
      <w:r>
        <w:rPr>
          <w:rFonts w:hint="eastAsia"/>
          <w:color w:val="auto"/>
          <w:szCs w:val="24"/>
        </w:rPr>
        <w:t>网卡：千兆网卡</w:t>
      </w:r>
    </w:p>
    <w:p>
      <w:pPr>
        <w:pStyle w:val="29"/>
        <w:ind w:firstLine="472"/>
        <w:rPr>
          <w:color w:val="auto"/>
          <w:szCs w:val="24"/>
        </w:rPr>
      </w:pPr>
      <w:r>
        <w:rPr>
          <w:rFonts w:hint="eastAsia"/>
          <w:color w:val="auto"/>
          <w:szCs w:val="24"/>
        </w:rPr>
        <w:t>键盘鼠标：USB键盘鼠标</w:t>
      </w:r>
    </w:p>
    <w:p>
      <w:pPr>
        <w:pStyle w:val="29"/>
        <w:ind w:firstLine="472"/>
        <w:rPr>
          <w:color w:val="auto"/>
          <w:szCs w:val="24"/>
        </w:rPr>
      </w:pPr>
      <w:r>
        <w:rPr>
          <w:rFonts w:hint="eastAsia"/>
          <w:color w:val="auto"/>
          <w:szCs w:val="24"/>
        </w:rPr>
        <w:t>显示器：27英寸液晶显示器</w:t>
      </w:r>
    </w:p>
    <w:p>
      <w:pPr>
        <w:pStyle w:val="29"/>
        <w:ind w:firstLine="472"/>
        <w:rPr>
          <w:color w:val="auto"/>
          <w:szCs w:val="24"/>
        </w:rPr>
      </w:pPr>
      <w:r>
        <w:rPr>
          <w:rFonts w:hint="eastAsia"/>
          <w:color w:val="auto"/>
          <w:szCs w:val="24"/>
        </w:rPr>
        <w:t>操作系统：Windows10专业版（简体中文）64位</w:t>
      </w:r>
    </w:p>
    <w:p>
      <w:pPr>
        <w:pStyle w:val="29"/>
        <w:ind w:firstLine="472"/>
        <w:rPr>
          <w:color w:val="auto"/>
          <w:szCs w:val="24"/>
        </w:rPr>
      </w:pPr>
      <w:r>
        <w:rPr>
          <w:rFonts w:hint="eastAsia"/>
          <w:color w:val="auto"/>
          <w:szCs w:val="24"/>
        </w:rPr>
        <w:t>维保服务：3年专业支持</w:t>
      </w:r>
    </w:p>
    <w:p>
      <w:pPr>
        <w:pStyle w:val="29"/>
        <w:ind w:firstLine="474"/>
        <w:rPr>
          <w:b/>
          <w:bCs/>
          <w:color w:val="auto"/>
          <w:szCs w:val="24"/>
        </w:rPr>
      </w:pPr>
      <w:r>
        <w:rPr>
          <w:rFonts w:hint="eastAsia"/>
          <w:b/>
          <w:bCs/>
          <w:color w:val="auto"/>
          <w:szCs w:val="24"/>
        </w:rPr>
        <w:t>安防服务器</w:t>
      </w:r>
    </w:p>
    <w:p>
      <w:pPr>
        <w:pStyle w:val="29"/>
        <w:ind w:firstLine="472"/>
        <w:rPr>
          <w:color w:val="auto"/>
          <w:szCs w:val="24"/>
        </w:rPr>
      </w:pPr>
      <w:r>
        <w:rPr>
          <w:rFonts w:hint="eastAsia"/>
          <w:color w:val="auto"/>
          <w:szCs w:val="24"/>
        </w:rPr>
        <w:t>2U双路标准机架式服务器</w:t>
      </w:r>
    </w:p>
    <w:p>
      <w:pPr>
        <w:pStyle w:val="29"/>
        <w:ind w:firstLine="472"/>
        <w:rPr>
          <w:color w:val="auto"/>
          <w:szCs w:val="24"/>
        </w:rPr>
      </w:pPr>
      <w:r>
        <w:rPr>
          <w:rFonts w:hint="eastAsia"/>
          <w:color w:val="auto"/>
          <w:szCs w:val="24"/>
        </w:rPr>
        <w:t>CPU：1颗intel至强系列处理器，核数≥10核，主频≥2.2GHz</w:t>
      </w:r>
    </w:p>
    <w:p>
      <w:pPr>
        <w:pStyle w:val="29"/>
        <w:ind w:firstLine="472"/>
        <w:rPr>
          <w:color w:val="auto"/>
          <w:szCs w:val="24"/>
        </w:rPr>
      </w:pPr>
      <w:r>
        <w:rPr>
          <w:rFonts w:hint="eastAsia"/>
          <w:color w:val="auto"/>
          <w:szCs w:val="24"/>
        </w:rPr>
        <w:t>内存：16G*2DDR4，16根内存插槽，最大支持扩展至2TB内存</w:t>
      </w:r>
    </w:p>
    <w:p>
      <w:pPr>
        <w:pStyle w:val="29"/>
        <w:ind w:firstLine="472"/>
        <w:rPr>
          <w:color w:val="auto"/>
          <w:szCs w:val="24"/>
        </w:rPr>
      </w:pPr>
      <w:r>
        <w:rPr>
          <w:rFonts w:hint="eastAsia"/>
          <w:color w:val="auto"/>
          <w:szCs w:val="24"/>
        </w:rPr>
        <w:t>硬盘：2块1.2T10K2.5寸SAS硬盘</w:t>
      </w:r>
    </w:p>
    <w:p>
      <w:pPr>
        <w:pStyle w:val="29"/>
        <w:ind w:firstLine="472"/>
        <w:rPr>
          <w:color w:val="auto"/>
          <w:szCs w:val="24"/>
        </w:rPr>
      </w:pPr>
      <w:r>
        <w:rPr>
          <w:rFonts w:hint="eastAsia"/>
          <w:color w:val="auto"/>
          <w:szCs w:val="24"/>
        </w:rPr>
        <w:t>阵列卡：SAS_HBA卡,支持RAID0/1/10</w:t>
      </w:r>
    </w:p>
    <w:p>
      <w:pPr>
        <w:pStyle w:val="29"/>
        <w:ind w:firstLine="472"/>
        <w:rPr>
          <w:color w:val="auto"/>
          <w:szCs w:val="24"/>
        </w:rPr>
      </w:pPr>
      <w:r>
        <w:rPr>
          <w:rFonts w:hint="eastAsia"/>
          <w:color w:val="auto"/>
          <w:szCs w:val="24"/>
        </w:rPr>
        <w:t>PCIE扩展：最大可支持6个PCIE扩展插槽</w:t>
      </w:r>
    </w:p>
    <w:p>
      <w:pPr>
        <w:pStyle w:val="29"/>
        <w:ind w:firstLine="472"/>
        <w:rPr>
          <w:color w:val="auto"/>
          <w:szCs w:val="24"/>
        </w:rPr>
      </w:pPr>
      <w:r>
        <w:rPr>
          <w:rFonts w:hint="eastAsia"/>
          <w:color w:val="auto"/>
          <w:szCs w:val="24"/>
        </w:rPr>
        <w:t>网口：2个千兆电口</w:t>
      </w:r>
    </w:p>
    <w:p>
      <w:pPr>
        <w:pStyle w:val="29"/>
        <w:ind w:firstLine="472"/>
        <w:rPr>
          <w:color w:val="auto"/>
          <w:szCs w:val="24"/>
        </w:rPr>
      </w:pPr>
      <w:r>
        <w:rPr>
          <w:rFonts w:hint="eastAsia"/>
          <w:color w:val="auto"/>
          <w:szCs w:val="24"/>
        </w:rPr>
        <w:t>其他接口：1个RJ45管理接口，后置2个USB3.0接口，前置2个USB2.0接口，1个VGA接口</w:t>
      </w:r>
    </w:p>
    <w:p>
      <w:pPr>
        <w:pStyle w:val="29"/>
        <w:ind w:firstLine="472"/>
        <w:rPr>
          <w:color w:val="auto"/>
          <w:szCs w:val="24"/>
        </w:rPr>
      </w:pPr>
      <w:r>
        <w:rPr>
          <w:rFonts w:hint="eastAsia"/>
          <w:color w:val="auto"/>
          <w:szCs w:val="24"/>
        </w:rPr>
        <w:t>电源：标配550W（1+1）高效铂金CRPS冗余电源</w:t>
      </w:r>
    </w:p>
    <w:p>
      <w:pPr>
        <w:pStyle w:val="29"/>
        <w:ind w:firstLine="472"/>
        <w:rPr>
          <w:color w:val="auto"/>
          <w:szCs w:val="24"/>
        </w:rPr>
      </w:pPr>
      <w:r>
        <w:rPr>
          <w:rFonts w:hint="eastAsia"/>
          <w:color w:val="auto"/>
          <w:szCs w:val="24"/>
        </w:rPr>
        <w:t>机箱规格：87.8mm（高）x448mm（宽）x729.8mm（深）</w:t>
      </w:r>
    </w:p>
    <w:p>
      <w:pPr>
        <w:pStyle w:val="29"/>
        <w:ind w:firstLine="474"/>
        <w:rPr>
          <w:b/>
          <w:bCs/>
          <w:color w:val="auto"/>
          <w:szCs w:val="24"/>
        </w:rPr>
      </w:pPr>
      <w:r>
        <w:rPr>
          <w:rFonts w:hint="eastAsia"/>
          <w:b/>
          <w:bCs/>
          <w:color w:val="auto"/>
          <w:szCs w:val="24"/>
        </w:rPr>
        <w:t>综合安防管理平台（软件）</w:t>
      </w:r>
    </w:p>
    <w:p>
      <w:pPr>
        <w:pStyle w:val="29"/>
        <w:ind w:firstLine="472"/>
        <w:rPr>
          <w:color w:val="auto"/>
          <w:szCs w:val="24"/>
        </w:rPr>
      </w:pPr>
      <w:r>
        <w:rPr>
          <w:rFonts w:hint="eastAsia"/>
          <w:color w:val="auto"/>
          <w:szCs w:val="24"/>
        </w:rPr>
        <w:t>综合安防管理平台，含接入授权、级联模块、门禁、车辆出入、周界、基于人脸识别技术的重点人员识别、陌生人识别、高频人员识别、以脸搜脸、安全帽识别等功能。</w:t>
      </w:r>
    </w:p>
    <w:p>
      <w:pPr>
        <w:pStyle w:val="29"/>
        <w:ind w:firstLine="474"/>
        <w:rPr>
          <w:b/>
          <w:bCs/>
          <w:color w:val="auto"/>
          <w:szCs w:val="24"/>
        </w:rPr>
      </w:pPr>
      <w:r>
        <w:rPr>
          <w:rFonts w:hint="eastAsia"/>
          <w:b/>
          <w:bCs/>
          <w:color w:val="auto"/>
          <w:szCs w:val="24"/>
        </w:rPr>
        <w:t>智能NVR</w:t>
      </w:r>
    </w:p>
    <w:p>
      <w:pPr>
        <w:pStyle w:val="29"/>
        <w:ind w:firstLine="472"/>
        <w:rPr>
          <w:color w:val="auto"/>
          <w:szCs w:val="24"/>
        </w:rPr>
      </w:pPr>
      <w:r>
        <w:rPr>
          <w:rFonts w:hint="eastAsia"/>
          <w:color w:val="auto"/>
          <w:szCs w:val="24"/>
        </w:rPr>
        <w:t>支持人脸、周界、视频结构化三种模式切换，默认人脸模式</w:t>
      </w:r>
    </w:p>
    <w:p>
      <w:pPr>
        <w:pStyle w:val="29"/>
        <w:ind w:firstLine="472"/>
        <w:rPr>
          <w:color w:val="auto"/>
          <w:szCs w:val="24"/>
        </w:rPr>
      </w:pPr>
      <w:r>
        <w:rPr>
          <w:rFonts w:hint="eastAsia"/>
          <w:color w:val="auto"/>
          <w:szCs w:val="24"/>
        </w:rPr>
        <w:t>一、人脸模式性能：</w:t>
      </w:r>
    </w:p>
    <w:p>
      <w:pPr>
        <w:pStyle w:val="29"/>
        <w:ind w:firstLine="472"/>
        <w:rPr>
          <w:color w:val="auto"/>
          <w:szCs w:val="24"/>
        </w:rPr>
      </w:pPr>
      <w:r>
        <w:rPr>
          <w:rFonts w:hint="eastAsia"/>
          <w:color w:val="auto"/>
          <w:szCs w:val="24"/>
        </w:rPr>
        <w:t>名单库比对报警（16路图片流或8路视频流）</w:t>
      </w:r>
    </w:p>
    <w:p>
      <w:pPr>
        <w:pStyle w:val="29"/>
        <w:ind w:firstLine="472"/>
        <w:rPr>
          <w:color w:val="auto"/>
          <w:szCs w:val="24"/>
        </w:rPr>
      </w:pPr>
      <w:r>
        <w:rPr>
          <w:rFonts w:hint="eastAsia"/>
          <w:color w:val="auto"/>
          <w:szCs w:val="24"/>
        </w:rPr>
        <w:t>32个人脸名单库，总库容10万张</w:t>
      </w:r>
    </w:p>
    <w:p>
      <w:pPr>
        <w:pStyle w:val="29"/>
        <w:ind w:firstLine="472"/>
        <w:rPr>
          <w:color w:val="auto"/>
          <w:szCs w:val="24"/>
        </w:rPr>
      </w:pPr>
      <w:r>
        <w:rPr>
          <w:rFonts w:hint="eastAsia"/>
          <w:color w:val="auto"/>
          <w:szCs w:val="24"/>
        </w:rPr>
        <w:t>路人档案10万份</w:t>
      </w:r>
    </w:p>
    <w:p>
      <w:pPr>
        <w:pStyle w:val="29"/>
        <w:ind w:firstLine="472"/>
        <w:rPr>
          <w:color w:val="auto"/>
          <w:szCs w:val="24"/>
        </w:rPr>
      </w:pPr>
      <w:r>
        <w:rPr>
          <w:rFonts w:hint="eastAsia"/>
          <w:color w:val="auto"/>
          <w:szCs w:val="24"/>
        </w:rPr>
        <w:t>支持陌生人报警</w:t>
      </w:r>
    </w:p>
    <w:p>
      <w:pPr>
        <w:pStyle w:val="29"/>
        <w:ind w:firstLine="472"/>
        <w:rPr>
          <w:color w:val="auto"/>
          <w:szCs w:val="24"/>
        </w:rPr>
      </w:pPr>
      <w:r>
        <w:rPr>
          <w:rFonts w:hint="eastAsia"/>
          <w:color w:val="auto"/>
          <w:szCs w:val="24"/>
        </w:rPr>
        <w:t>支持人员频次统计</w:t>
      </w:r>
    </w:p>
    <w:p>
      <w:pPr>
        <w:pStyle w:val="29"/>
        <w:ind w:firstLine="472"/>
        <w:rPr>
          <w:color w:val="auto"/>
          <w:szCs w:val="24"/>
        </w:rPr>
      </w:pPr>
      <w:r>
        <w:rPr>
          <w:rFonts w:hint="eastAsia"/>
          <w:color w:val="auto"/>
          <w:szCs w:val="24"/>
        </w:rPr>
        <w:t>支持人脸签到和考勤</w:t>
      </w:r>
    </w:p>
    <w:p>
      <w:pPr>
        <w:pStyle w:val="29"/>
        <w:ind w:firstLine="472"/>
        <w:rPr>
          <w:color w:val="auto"/>
          <w:szCs w:val="24"/>
        </w:rPr>
      </w:pPr>
      <w:r>
        <w:rPr>
          <w:rFonts w:hint="eastAsia"/>
          <w:color w:val="auto"/>
          <w:szCs w:val="24"/>
        </w:rPr>
        <w:t>支持人脸1V1比对</w:t>
      </w:r>
    </w:p>
    <w:p>
      <w:pPr>
        <w:pStyle w:val="29"/>
        <w:ind w:firstLine="472"/>
        <w:rPr>
          <w:color w:val="auto"/>
          <w:szCs w:val="24"/>
        </w:rPr>
      </w:pPr>
      <w:r>
        <w:rPr>
          <w:rFonts w:hint="eastAsia"/>
          <w:color w:val="auto"/>
          <w:szCs w:val="24"/>
        </w:rPr>
        <w:t>支持以脸搜脸、按姓名检索、按属性检索</w:t>
      </w:r>
    </w:p>
    <w:p>
      <w:pPr>
        <w:pStyle w:val="29"/>
        <w:ind w:firstLine="472"/>
        <w:rPr>
          <w:color w:val="auto"/>
          <w:szCs w:val="24"/>
        </w:rPr>
      </w:pPr>
      <w:r>
        <w:rPr>
          <w:rFonts w:hint="eastAsia"/>
          <w:color w:val="auto"/>
          <w:szCs w:val="24"/>
        </w:rPr>
        <w:t>（说明：人脸模式最高支持800W分辨率）</w:t>
      </w:r>
    </w:p>
    <w:p>
      <w:pPr>
        <w:pStyle w:val="29"/>
        <w:ind w:firstLine="472"/>
        <w:rPr>
          <w:color w:val="auto"/>
          <w:szCs w:val="24"/>
        </w:rPr>
      </w:pPr>
      <w:r>
        <w:rPr>
          <w:rFonts w:hint="eastAsia"/>
          <w:color w:val="auto"/>
          <w:szCs w:val="24"/>
        </w:rPr>
        <w:t>二、视频结构化模式性能：</w:t>
      </w:r>
    </w:p>
    <w:p>
      <w:pPr>
        <w:pStyle w:val="29"/>
        <w:ind w:firstLine="472"/>
        <w:rPr>
          <w:color w:val="auto"/>
          <w:szCs w:val="24"/>
        </w:rPr>
      </w:pPr>
      <w:r>
        <w:rPr>
          <w:rFonts w:hint="eastAsia"/>
          <w:color w:val="auto"/>
          <w:szCs w:val="24"/>
        </w:rPr>
        <w:t>4路视频流实时人体、人脸、车辆结构化分析（200W），同时支持8路图片流人脸比对</w:t>
      </w:r>
    </w:p>
    <w:p>
      <w:pPr>
        <w:pStyle w:val="29"/>
        <w:ind w:firstLine="472"/>
        <w:rPr>
          <w:color w:val="auto"/>
          <w:szCs w:val="24"/>
        </w:rPr>
      </w:pPr>
      <w:r>
        <w:rPr>
          <w:rFonts w:hint="eastAsia"/>
          <w:color w:val="auto"/>
          <w:szCs w:val="24"/>
        </w:rPr>
        <w:t>1）支持人脸分析+比对，支持人脸以图搜图</w:t>
      </w:r>
    </w:p>
    <w:p>
      <w:pPr>
        <w:pStyle w:val="29"/>
        <w:ind w:firstLine="472"/>
        <w:rPr>
          <w:color w:val="auto"/>
          <w:szCs w:val="24"/>
        </w:rPr>
      </w:pPr>
      <w:r>
        <w:rPr>
          <w:rFonts w:hint="eastAsia"/>
          <w:color w:val="auto"/>
          <w:szCs w:val="24"/>
        </w:rPr>
        <w:t>2）支持人体分析</w:t>
      </w:r>
    </w:p>
    <w:p>
      <w:pPr>
        <w:pStyle w:val="29"/>
        <w:ind w:firstLine="472"/>
        <w:rPr>
          <w:color w:val="auto"/>
          <w:szCs w:val="24"/>
        </w:rPr>
      </w:pPr>
      <w:r>
        <w:rPr>
          <w:rFonts w:hint="eastAsia"/>
          <w:color w:val="auto"/>
          <w:szCs w:val="24"/>
        </w:rPr>
        <w:t>本地展示人体属性（性别、年龄段、上衣颜色、骑车、背包、戴眼镜）</w:t>
      </w:r>
    </w:p>
    <w:p>
      <w:pPr>
        <w:pStyle w:val="29"/>
        <w:ind w:firstLine="472"/>
        <w:rPr>
          <w:color w:val="auto"/>
          <w:szCs w:val="24"/>
        </w:rPr>
      </w:pPr>
      <w:r>
        <w:rPr>
          <w:rFonts w:hint="eastAsia"/>
          <w:color w:val="auto"/>
          <w:szCs w:val="24"/>
        </w:rPr>
        <w:t>可上传平台的人体属性（性别、年龄段、上衣颜色、骑车、背包、戴眼镜、下衣颜色、上衣类型、下衣类型、发型、戴帽子、戴口罩、拎东西、骑车人数、骑车类型）</w:t>
      </w:r>
    </w:p>
    <w:p>
      <w:pPr>
        <w:pStyle w:val="29"/>
        <w:ind w:firstLine="472"/>
        <w:rPr>
          <w:color w:val="auto"/>
          <w:szCs w:val="24"/>
        </w:rPr>
      </w:pPr>
      <w:r>
        <w:rPr>
          <w:rFonts w:hint="eastAsia"/>
          <w:color w:val="auto"/>
          <w:szCs w:val="24"/>
        </w:rPr>
        <w:t>支持人体建模，支持以人搜人</w:t>
      </w:r>
    </w:p>
    <w:p>
      <w:pPr>
        <w:pStyle w:val="29"/>
        <w:ind w:firstLine="472"/>
        <w:rPr>
          <w:color w:val="auto"/>
          <w:szCs w:val="24"/>
        </w:rPr>
      </w:pPr>
      <w:r>
        <w:rPr>
          <w:rFonts w:hint="eastAsia"/>
          <w:color w:val="auto"/>
          <w:szCs w:val="24"/>
        </w:rPr>
        <w:t>硬件规格：</w:t>
      </w:r>
    </w:p>
    <w:p>
      <w:pPr>
        <w:pStyle w:val="29"/>
        <w:ind w:firstLine="472"/>
        <w:rPr>
          <w:color w:val="auto"/>
          <w:szCs w:val="24"/>
        </w:rPr>
      </w:pPr>
      <w:r>
        <w:rPr>
          <w:rFonts w:hint="eastAsia"/>
          <w:color w:val="auto"/>
          <w:szCs w:val="24"/>
        </w:rPr>
        <w:t>2U标准机架式</w:t>
      </w:r>
    </w:p>
    <w:p>
      <w:pPr>
        <w:pStyle w:val="29"/>
        <w:ind w:firstLine="472"/>
        <w:rPr>
          <w:color w:val="auto"/>
          <w:szCs w:val="24"/>
        </w:rPr>
      </w:pPr>
      <w:r>
        <w:rPr>
          <w:rFonts w:hint="eastAsia"/>
          <w:color w:val="auto"/>
          <w:szCs w:val="24"/>
        </w:rPr>
        <w:t>2个HDMI，2个VGA,HDMI+VGA组内同源</w:t>
      </w:r>
    </w:p>
    <w:p>
      <w:pPr>
        <w:pStyle w:val="29"/>
        <w:ind w:firstLine="472"/>
        <w:rPr>
          <w:color w:val="auto"/>
          <w:szCs w:val="24"/>
        </w:rPr>
      </w:pPr>
      <w:r>
        <w:rPr>
          <w:rFonts w:hint="eastAsia"/>
          <w:color w:val="auto"/>
          <w:szCs w:val="24"/>
        </w:rPr>
        <w:t>8盘位，已搭载4块8TAI硬盘</w:t>
      </w:r>
    </w:p>
    <w:p>
      <w:pPr>
        <w:pStyle w:val="29"/>
        <w:ind w:firstLine="472"/>
        <w:rPr>
          <w:color w:val="auto"/>
          <w:szCs w:val="24"/>
        </w:rPr>
      </w:pPr>
      <w:r>
        <w:rPr>
          <w:rFonts w:hint="eastAsia"/>
          <w:color w:val="auto"/>
          <w:szCs w:val="24"/>
        </w:rPr>
        <w:t>2个千兆网口</w:t>
      </w:r>
    </w:p>
    <w:p>
      <w:pPr>
        <w:pStyle w:val="29"/>
        <w:ind w:firstLine="472"/>
        <w:rPr>
          <w:color w:val="auto"/>
          <w:szCs w:val="24"/>
        </w:rPr>
      </w:pPr>
      <w:r>
        <w:rPr>
          <w:rFonts w:hint="eastAsia"/>
          <w:color w:val="auto"/>
          <w:szCs w:val="24"/>
        </w:rPr>
        <w:t>2个USB2.0接口、1个USB3.0接口</w:t>
      </w:r>
    </w:p>
    <w:p>
      <w:pPr>
        <w:pStyle w:val="29"/>
        <w:ind w:firstLine="472"/>
        <w:rPr>
          <w:color w:val="auto"/>
          <w:szCs w:val="24"/>
        </w:rPr>
      </w:pPr>
      <w:r>
        <w:rPr>
          <w:rFonts w:hint="eastAsia"/>
          <w:color w:val="auto"/>
          <w:szCs w:val="24"/>
        </w:rPr>
        <w:t>1个eSATA接口</w:t>
      </w:r>
    </w:p>
    <w:p>
      <w:pPr>
        <w:pStyle w:val="29"/>
        <w:ind w:firstLine="472"/>
        <w:rPr>
          <w:color w:val="auto"/>
          <w:szCs w:val="24"/>
        </w:rPr>
      </w:pPr>
      <w:r>
        <w:rPr>
          <w:rFonts w:hint="eastAsia"/>
          <w:color w:val="auto"/>
          <w:szCs w:val="24"/>
        </w:rPr>
        <w:t>支持RAID0、1、5、10，支持全局热备盘</w:t>
      </w:r>
    </w:p>
    <w:p>
      <w:pPr>
        <w:pStyle w:val="29"/>
        <w:ind w:firstLine="472"/>
        <w:rPr>
          <w:color w:val="auto"/>
          <w:szCs w:val="24"/>
        </w:rPr>
      </w:pPr>
      <w:r>
        <w:rPr>
          <w:rFonts w:hint="eastAsia"/>
          <w:color w:val="auto"/>
          <w:szCs w:val="24"/>
        </w:rPr>
        <w:t>报警IO：16进4出（选配16进8出）</w:t>
      </w:r>
    </w:p>
    <w:p>
      <w:pPr>
        <w:pStyle w:val="29"/>
        <w:ind w:firstLine="472"/>
        <w:rPr>
          <w:color w:val="auto"/>
          <w:szCs w:val="24"/>
        </w:rPr>
      </w:pPr>
      <w:r>
        <w:rPr>
          <w:rFonts w:hint="eastAsia"/>
          <w:color w:val="auto"/>
          <w:szCs w:val="24"/>
        </w:rPr>
        <w:t>软件性能：</w:t>
      </w:r>
    </w:p>
    <w:p>
      <w:pPr>
        <w:pStyle w:val="29"/>
        <w:ind w:firstLine="472"/>
        <w:rPr>
          <w:color w:val="auto"/>
          <w:szCs w:val="24"/>
        </w:rPr>
      </w:pPr>
      <w:r>
        <w:rPr>
          <w:rFonts w:hint="eastAsia"/>
          <w:color w:val="auto"/>
          <w:szCs w:val="24"/>
        </w:rPr>
        <w:t>输入带宽：320M</w:t>
      </w:r>
    </w:p>
    <w:p>
      <w:pPr>
        <w:pStyle w:val="29"/>
        <w:ind w:firstLine="472"/>
        <w:rPr>
          <w:color w:val="auto"/>
          <w:szCs w:val="24"/>
        </w:rPr>
      </w:pPr>
      <w:r>
        <w:rPr>
          <w:rFonts w:hint="eastAsia"/>
          <w:color w:val="auto"/>
          <w:szCs w:val="24"/>
        </w:rPr>
        <w:t>64路H.264、H.265混合接入</w:t>
      </w:r>
    </w:p>
    <w:p>
      <w:pPr>
        <w:pStyle w:val="29"/>
        <w:ind w:firstLine="472"/>
        <w:rPr>
          <w:color w:val="auto"/>
          <w:szCs w:val="24"/>
        </w:rPr>
      </w:pPr>
      <w:r>
        <w:rPr>
          <w:rFonts w:hint="eastAsia"/>
          <w:color w:val="auto"/>
          <w:szCs w:val="24"/>
        </w:rPr>
        <w:t>最大支持16×1080P解码</w:t>
      </w:r>
    </w:p>
    <w:p>
      <w:pPr>
        <w:pStyle w:val="29"/>
        <w:ind w:firstLine="472"/>
        <w:rPr>
          <w:color w:val="auto"/>
          <w:szCs w:val="24"/>
        </w:rPr>
      </w:pPr>
      <w:r>
        <w:rPr>
          <w:rFonts w:hint="eastAsia"/>
          <w:color w:val="auto"/>
          <w:szCs w:val="24"/>
        </w:rPr>
        <w:t>支持H.265、H.264解码</w:t>
      </w:r>
    </w:p>
    <w:p>
      <w:pPr>
        <w:pStyle w:val="29"/>
        <w:ind w:firstLine="472"/>
        <w:rPr>
          <w:color w:val="auto"/>
          <w:szCs w:val="24"/>
        </w:rPr>
      </w:pPr>
      <w:r>
        <w:rPr>
          <w:rFonts w:hint="eastAsia"/>
          <w:color w:val="auto"/>
          <w:szCs w:val="24"/>
        </w:rPr>
        <w:t>硬盘录像机</w:t>
      </w:r>
    </w:p>
    <w:p>
      <w:pPr>
        <w:pStyle w:val="29"/>
        <w:ind w:firstLine="472"/>
        <w:rPr>
          <w:color w:val="auto"/>
          <w:szCs w:val="24"/>
        </w:rPr>
      </w:pPr>
      <w:bookmarkStart w:id="90" w:name="_Hlk49608503"/>
      <w:r>
        <w:rPr>
          <w:rFonts w:hint="eastAsia"/>
          <w:color w:val="auto"/>
          <w:szCs w:val="24"/>
        </w:rPr>
        <w:t>3U标准机架式</w:t>
      </w:r>
    </w:p>
    <w:p>
      <w:pPr>
        <w:pStyle w:val="29"/>
        <w:ind w:firstLine="472"/>
        <w:rPr>
          <w:color w:val="auto"/>
          <w:szCs w:val="24"/>
        </w:rPr>
      </w:pPr>
      <w:r>
        <w:rPr>
          <w:rFonts w:hint="eastAsia"/>
          <w:color w:val="auto"/>
          <w:szCs w:val="24"/>
        </w:rPr>
        <w:t>2个HDMI，2个VGA,HDMI+VGA组内同源；16盘位，可满配6TB硬盘</w:t>
      </w:r>
    </w:p>
    <w:p>
      <w:pPr>
        <w:pStyle w:val="29"/>
        <w:ind w:firstLine="472"/>
        <w:rPr>
          <w:color w:val="auto"/>
          <w:szCs w:val="24"/>
        </w:rPr>
      </w:pPr>
      <w:r>
        <w:rPr>
          <w:rFonts w:hint="eastAsia"/>
          <w:color w:val="auto"/>
          <w:szCs w:val="24"/>
        </w:rPr>
        <w:t>2个千兆网口，2个USB2.0接口、1个USB3.0接口，1个eSATA接口；支持RAID0、1、5、10，支持全局热备盘</w:t>
      </w:r>
    </w:p>
    <w:p>
      <w:pPr>
        <w:pStyle w:val="29"/>
        <w:ind w:firstLine="472"/>
        <w:rPr>
          <w:color w:val="auto"/>
          <w:szCs w:val="24"/>
        </w:rPr>
      </w:pPr>
      <w:r>
        <w:rPr>
          <w:rFonts w:hint="eastAsia"/>
          <w:color w:val="auto"/>
          <w:szCs w:val="24"/>
        </w:rPr>
        <w:t>输入带宽：320M，64路H.264、H.265混合接入，最大支持16×1080P解码，支持H.265、H.264解码</w:t>
      </w:r>
    </w:p>
    <w:p>
      <w:pPr>
        <w:pStyle w:val="29"/>
        <w:ind w:firstLine="472"/>
        <w:rPr>
          <w:color w:val="auto"/>
          <w:szCs w:val="24"/>
        </w:rPr>
      </w:pPr>
      <w:r>
        <w:rPr>
          <w:rFonts w:hint="eastAsia"/>
          <w:color w:val="auto"/>
          <w:szCs w:val="24"/>
        </w:rPr>
        <w:t>Smart2.0/整机热备/ANR/智能检索/智能回放/车牌检索/人脸检索/热度图/客流量统计/分时段回放/超高倍速回放/双系统备份</w:t>
      </w:r>
    </w:p>
    <w:bookmarkEnd w:id="90"/>
    <w:p>
      <w:pPr>
        <w:pStyle w:val="29"/>
        <w:ind w:firstLine="472"/>
        <w:rPr>
          <w:color w:val="auto"/>
          <w:szCs w:val="24"/>
        </w:rPr>
      </w:pPr>
      <w:r>
        <w:rPr>
          <w:rFonts w:hint="eastAsia"/>
          <w:color w:val="auto"/>
          <w:szCs w:val="24"/>
        </w:rPr>
        <w:t>智能球型摄像机</w:t>
      </w:r>
    </w:p>
    <w:p>
      <w:pPr>
        <w:pStyle w:val="29"/>
        <w:ind w:firstLine="472"/>
        <w:rPr>
          <w:color w:val="auto"/>
          <w:szCs w:val="24"/>
        </w:rPr>
      </w:pPr>
      <w:r>
        <w:rPr>
          <w:rFonts w:hint="eastAsia"/>
          <w:color w:val="auto"/>
          <w:szCs w:val="24"/>
        </w:rPr>
        <w:t>200万像素7寸混合补光网络高清智能球机</w:t>
      </w:r>
    </w:p>
    <w:p>
      <w:pPr>
        <w:pStyle w:val="29"/>
        <w:ind w:firstLine="472"/>
        <w:rPr>
          <w:color w:val="auto"/>
          <w:szCs w:val="24"/>
        </w:rPr>
      </w:pPr>
      <w:r>
        <w:rPr>
          <w:rFonts w:hint="eastAsia"/>
          <w:color w:val="auto"/>
          <w:szCs w:val="24"/>
        </w:rPr>
        <w:t>图像增强:120dB超宽动态、透雾、强光抑制、电子防抖、SmartIRP；</w:t>
      </w:r>
    </w:p>
    <w:p>
      <w:pPr>
        <w:pStyle w:val="29"/>
        <w:ind w:firstLine="472"/>
        <w:rPr>
          <w:color w:val="auto"/>
          <w:szCs w:val="24"/>
        </w:rPr>
      </w:pPr>
      <w:r>
        <w:rPr>
          <w:rFonts w:hint="eastAsia"/>
          <w:color w:val="auto"/>
          <w:szCs w:val="24"/>
        </w:rPr>
        <w:t>水平及垂直范围:水平360°；垂直-15°-90°（自动翻转）支持萤石协议接入；</w:t>
      </w:r>
    </w:p>
    <w:p>
      <w:pPr>
        <w:pStyle w:val="29"/>
        <w:ind w:firstLine="472"/>
        <w:rPr>
          <w:color w:val="auto"/>
          <w:szCs w:val="24"/>
        </w:rPr>
      </w:pPr>
      <w:r>
        <w:rPr>
          <w:rFonts w:hint="eastAsia"/>
          <w:color w:val="auto"/>
          <w:szCs w:val="24"/>
        </w:rPr>
        <w:t>网络接口:RJ45网口，自适应10M/100M网络；</w:t>
      </w:r>
    </w:p>
    <w:p>
      <w:pPr>
        <w:pStyle w:val="29"/>
        <w:ind w:firstLine="472"/>
        <w:rPr>
          <w:color w:val="auto"/>
          <w:szCs w:val="24"/>
        </w:rPr>
      </w:pPr>
      <w:r>
        <w:rPr>
          <w:rFonts w:hint="eastAsia"/>
          <w:color w:val="auto"/>
          <w:szCs w:val="24"/>
        </w:rPr>
        <w:t>音频输入/输出:1路音频输入；1路音频输出；</w:t>
      </w:r>
    </w:p>
    <w:p>
      <w:pPr>
        <w:pStyle w:val="29"/>
        <w:ind w:firstLine="472"/>
        <w:rPr>
          <w:color w:val="auto"/>
          <w:szCs w:val="24"/>
        </w:rPr>
      </w:pPr>
      <w:r>
        <w:rPr>
          <w:rFonts w:hint="eastAsia"/>
          <w:color w:val="auto"/>
          <w:szCs w:val="24"/>
        </w:rPr>
        <w:t>报警输入/输出:2路报警输入；1路报警输出；</w:t>
      </w:r>
    </w:p>
    <w:p>
      <w:pPr>
        <w:pStyle w:val="29"/>
        <w:ind w:firstLine="472"/>
        <w:rPr>
          <w:color w:val="auto"/>
          <w:szCs w:val="24"/>
        </w:rPr>
      </w:pPr>
      <w:r>
        <w:rPr>
          <w:rFonts w:hint="eastAsia"/>
          <w:color w:val="auto"/>
          <w:szCs w:val="24"/>
        </w:rPr>
        <w:t>防护等级:IP66</w:t>
      </w:r>
    </w:p>
    <w:p>
      <w:pPr>
        <w:pStyle w:val="29"/>
        <w:ind w:firstLine="472"/>
        <w:rPr>
          <w:color w:val="auto"/>
          <w:szCs w:val="24"/>
        </w:rPr>
      </w:pPr>
      <w:r>
        <w:rPr>
          <w:rFonts w:hint="eastAsia"/>
          <w:color w:val="auto"/>
          <w:szCs w:val="24"/>
        </w:rPr>
        <w:t>网络枪机</w:t>
      </w:r>
    </w:p>
    <w:p>
      <w:pPr>
        <w:pStyle w:val="29"/>
        <w:ind w:firstLine="472"/>
        <w:rPr>
          <w:color w:val="auto"/>
          <w:szCs w:val="24"/>
        </w:rPr>
      </w:pPr>
      <w:r>
        <w:rPr>
          <w:rFonts w:hint="eastAsia"/>
          <w:color w:val="auto"/>
          <w:szCs w:val="24"/>
        </w:rPr>
        <w:t>200万星光级1/2.7"CMOS智能筒型网络摄像机</w:t>
      </w:r>
    </w:p>
    <w:p>
      <w:pPr>
        <w:pStyle w:val="29"/>
        <w:ind w:firstLine="472"/>
        <w:rPr>
          <w:color w:val="auto"/>
          <w:szCs w:val="24"/>
        </w:rPr>
      </w:pPr>
      <w:r>
        <w:rPr>
          <w:rFonts w:hint="eastAsia"/>
          <w:color w:val="auto"/>
          <w:szCs w:val="24"/>
        </w:rPr>
        <w:t>智能侦测，支持联动白光报警，支持联动声音报警；</w:t>
      </w:r>
    </w:p>
    <w:p>
      <w:pPr>
        <w:pStyle w:val="29"/>
        <w:ind w:firstLine="472"/>
        <w:rPr>
          <w:color w:val="auto"/>
          <w:szCs w:val="24"/>
        </w:rPr>
      </w:pPr>
      <w:r>
        <w:rPr>
          <w:rFonts w:hint="eastAsia"/>
          <w:color w:val="auto"/>
          <w:szCs w:val="24"/>
        </w:rPr>
        <w:t>最小照度:0.002Lux@（F1.2,AGCON）,0LuxwithIR；</w:t>
      </w:r>
    </w:p>
    <w:p>
      <w:pPr>
        <w:pStyle w:val="29"/>
        <w:ind w:firstLine="472"/>
        <w:rPr>
          <w:color w:val="auto"/>
          <w:szCs w:val="24"/>
        </w:rPr>
      </w:pPr>
      <w:r>
        <w:rPr>
          <w:rFonts w:hint="eastAsia"/>
          <w:color w:val="auto"/>
          <w:szCs w:val="24"/>
        </w:rPr>
        <w:t>宽动态范围:120dB；</w:t>
      </w:r>
    </w:p>
    <w:p>
      <w:pPr>
        <w:pStyle w:val="29"/>
        <w:ind w:firstLine="472"/>
        <w:rPr>
          <w:color w:val="auto"/>
          <w:szCs w:val="24"/>
        </w:rPr>
      </w:pPr>
      <w:r>
        <w:rPr>
          <w:rFonts w:hint="eastAsia"/>
          <w:color w:val="auto"/>
          <w:szCs w:val="24"/>
        </w:rPr>
        <w:t>通讯接口:1个RJ4510M/100M自适应以太网口；</w:t>
      </w:r>
    </w:p>
    <w:p>
      <w:pPr>
        <w:pStyle w:val="29"/>
        <w:ind w:firstLine="472"/>
        <w:rPr>
          <w:color w:val="auto"/>
          <w:szCs w:val="24"/>
        </w:rPr>
      </w:pPr>
      <w:r>
        <w:rPr>
          <w:rFonts w:hint="eastAsia"/>
          <w:color w:val="auto"/>
          <w:szCs w:val="24"/>
        </w:rPr>
        <w:t>报警输入:1路；</w:t>
      </w:r>
    </w:p>
    <w:p>
      <w:pPr>
        <w:pStyle w:val="29"/>
        <w:ind w:firstLine="472"/>
        <w:rPr>
          <w:color w:val="auto"/>
          <w:szCs w:val="24"/>
        </w:rPr>
      </w:pPr>
      <w:r>
        <w:rPr>
          <w:rFonts w:hint="eastAsia"/>
          <w:color w:val="auto"/>
          <w:szCs w:val="24"/>
        </w:rPr>
        <w:t>工作温度和湿度:-30℃~60℃,湿度小于95%（无凝结）；</w:t>
      </w:r>
    </w:p>
    <w:p>
      <w:pPr>
        <w:pStyle w:val="29"/>
        <w:ind w:firstLine="472"/>
        <w:rPr>
          <w:color w:val="auto"/>
          <w:szCs w:val="24"/>
        </w:rPr>
      </w:pPr>
      <w:r>
        <w:rPr>
          <w:rFonts w:hint="eastAsia"/>
          <w:color w:val="auto"/>
          <w:szCs w:val="24"/>
        </w:rPr>
        <w:t>红外照射距离:最远可达50米；</w:t>
      </w:r>
    </w:p>
    <w:p>
      <w:pPr>
        <w:pStyle w:val="29"/>
        <w:ind w:firstLine="472"/>
        <w:rPr>
          <w:rFonts w:ascii="新宋体" w:hAnsi="新宋体" w:eastAsia="新宋体" w:cs="新宋体"/>
          <w:color w:val="auto"/>
          <w:szCs w:val="24"/>
        </w:rPr>
      </w:pPr>
      <w:r>
        <w:rPr>
          <w:rFonts w:hint="eastAsia"/>
          <w:color w:val="auto"/>
          <w:szCs w:val="24"/>
        </w:rPr>
        <w:t>防护等级:IP67。</w:t>
      </w:r>
    </w:p>
    <w:p>
      <w:pPr>
        <w:pStyle w:val="30"/>
        <w:spacing w:before="120" w:after="120"/>
        <w:rPr>
          <w:b w:val="0"/>
          <w:bCs/>
          <w:color w:val="auto"/>
        </w:rPr>
      </w:pPr>
      <w:bookmarkStart w:id="91" w:name="_Toc117181360"/>
      <w:r>
        <w:rPr>
          <w:rFonts w:hint="eastAsia"/>
          <w:bCs/>
          <w:color w:val="auto"/>
        </w:rPr>
        <w:t>在线仪表技术要求</w:t>
      </w:r>
      <w:bookmarkEnd w:id="91"/>
    </w:p>
    <w:p>
      <w:pPr>
        <w:pStyle w:val="31"/>
        <w:rPr>
          <w:color w:val="auto"/>
        </w:rPr>
      </w:pPr>
      <w:bookmarkStart w:id="92" w:name="_Toc105750074"/>
      <w:bookmarkStart w:id="93" w:name="_Toc7859"/>
      <w:bookmarkStart w:id="94" w:name="_Toc12409_WPSOffice_Level2"/>
      <w:r>
        <w:rPr>
          <w:rFonts w:hint="eastAsia"/>
          <w:color w:val="auto"/>
        </w:rPr>
        <w:t>概述</w:t>
      </w:r>
      <w:bookmarkEnd w:id="92"/>
      <w:bookmarkEnd w:id="93"/>
      <w:bookmarkEnd w:id="94"/>
    </w:p>
    <w:p>
      <w:pPr>
        <w:pStyle w:val="29"/>
        <w:ind w:firstLine="472"/>
        <w:rPr>
          <w:color w:val="auto"/>
          <w:szCs w:val="24"/>
        </w:rPr>
      </w:pPr>
      <w:r>
        <w:rPr>
          <w:rFonts w:hint="eastAsia"/>
          <w:color w:val="auto"/>
          <w:szCs w:val="24"/>
        </w:rPr>
        <w:t>本项目在线监测仪表包括电磁流量计、静压式液位计、超声波液位计、压力传感器、</w:t>
      </w:r>
      <w:bookmarkStart w:id="95" w:name="_Hlk53224442"/>
      <w:r>
        <w:rPr>
          <w:rFonts w:hint="eastAsia"/>
          <w:color w:val="auto"/>
          <w:szCs w:val="24"/>
        </w:rPr>
        <w:t>余氯计、低量程浊度仪、高量程浊度仪、PH/温度检测仪</w:t>
      </w:r>
      <w:bookmarkEnd w:id="95"/>
      <w:r>
        <w:rPr>
          <w:rFonts w:hint="eastAsia"/>
          <w:color w:val="auto"/>
          <w:szCs w:val="24"/>
        </w:rPr>
        <w:t>、ORP检测仪、污泥浓度计等。</w:t>
      </w:r>
    </w:p>
    <w:p>
      <w:pPr>
        <w:pStyle w:val="29"/>
        <w:ind w:firstLine="472"/>
        <w:rPr>
          <w:color w:val="auto"/>
          <w:szCs w:val="24"/>
        </w:rPr>
      </w:pPr>
      <w:bookmarkStart w:id="96" w:name="_Hlk116839848"/>
      <w:r>
        <w:rPr>
          <w:rFonts w:hint="eastAsia"/>
          <w:color w:val="auto"/>
          <w:szCs w:val="24"/>
        </w:rPr>
        <w:t>★承包人在中标后应提供水质仪表的使用授权，供水质仪表厂家针对本项目的原厂授权、原厂产品出厂检测报告、原厂产品原产地证明函、制造商资格声明函、原厂产品出厂合格证。</w:t>
      </w:r>
    </w:p>
    <w:p>
      <w:pPr>
        <w:pStyle w:val="31"/>
        <w:rPr>
          <w:color w:val="auto"/>
        </w:rPr>
      </w:pPr>
      <w:r>
        <w:rPr>
          <w:rFonts w:hint="eastAsia"/>
          <w:color w:val="auto"/>
        </w:rPr>
        <w:t>总体要求</w:t>
      </w:r>
    </w:p>
    <w:p>
      <w:pPr>
        <w:pStyle w:val="29"/>
        <w:ind w:firstLine="472"/>
        <w:rPr>
          <w:color w:val="auto"/>
          <w:szCs w:val="24"/>
        </w:rPr>
      </w:pPr>
      <w:r>
        <w:rPr>
          <w:rFonts w:hint="eastAsia"/>
          <w:color w:val="auto"/>
          <w:szCs w:val="24"/>
        </w:rPr>
        <w:t>（1）现场安装仪表的环境温度为-5～+40℃，相对环境湿度≤90％。</w:t>
      </w:r>
    </w:p>
    <w:p>
      <w:pPr>
        <w:pStyle w:val="29"/>
        <w:ind w:firstLine="472"/>
        <w:rPr>
          <w:color w:val="auto"/>
          <w:szCs w:val="24"/>
        </w:rPr>
      </w:pPr>
      <w:r>
        <w:rPr>
          <w:rFonts w:hint="eastAsia"/>
          <w:color w:val="auto"/>
          <w:szCs w:val="24"/>
        </w:rPr>
        <w:t>（2）所有仪表的防护等级要满足所在环境的要求，防护等级应不低于IP68。</w:t>
      </w:r>
    </w:p>
    <w:p>
      <w:pPr>
        <w:pStyle w:val="29"/>
        <w:ind w:firstLine="472"/>
        <w:rPr>
          <w:color w:val="auto"/>
          <w:szCs w:val="24"/>
        </w:rPr>
      </w:pPr>
      <w:r>
        <w:rPr>
          <w:rFonts w:hint="eastAsia"/>
          <w:color w:val="auto"/>
          <w:szCs w:val="24"/>
        </w:rPr>
        <w:t>（3）螺纹或法兰联接应符合DIN标准。</w:t>
      </w:r>
    </w:p>
    <w:p>
      <w:pPr>
        <w:pStyle w:val="29"/>
        <w:ind w:firstLine="472"/>
        <w:rPr>
          <w:color w:val="auto"/>
          <w:szCs w:val="24"/>
        </w:rPr>
      </w:pPr>
      <w:r>
        <w:rPr>
          <w:rFonts w:hint="eastAsia"/>
          <w:color w:val="auto"/>
          <w:szCs w:val="24"/>
        </w:rPr>
        <w:t>（4）所有安装在管道中的仪表都应有连接阀门，便于仪表可以拆修。</w:t>
      </w:r>
    </w:p>
    <w:p>
      <w:pPr>
        <w:pStyle w:val="29"/>
        <w:ind w:firstLine="472"/>
        <w:rPr>
          <w:color w:val="auto"/>
          <w:szCs w:val="24"/>
        </w:rPr>
      </w:pPr>
      <w:r>
        <w:rPr>
          <w:rFonts w:hint="eastAsia"/>
          <w:color w:val="auto"/>
          <w:szCs w:val="24"/>
        </w:rPr>
        <w:t>（5）仪表及控制系统由独立电源供电，不得与其他设备电源混用。</w:t>
      </w:r>
    </w:p>
    <w:p>
      <w:pPr>
        <w:pStyle w:val="29"/>
        <w:ind w:firstLine="472"/>
        <w:rPr>
          <w:color w:val="auto"/>
          <w:szCs w:val="24"/>
        </w:rPr>
      </w:pPr>
      <w:r>
        <w:rPr>
          <w:rFonts w:hint="eastAsia"/>
          <w:color w:val="auto"/>
          <w:szCs w:val="24"/>
        </w:rPr>
        <w:t>（6）仪表及控制系统的接地系统与低压配电系统的接地采用联合接地的方式，接地电阻≤1欧姆。</w:t>
      </w:r>
    </w:p>
    <w:p>
      <w:pPr>
        <w:pStyle w:val="29"/>
        <w:ind w:firstLine="472"/>
        <w:rPr>
          <w:color w:val="auto"/>
          <w:szCs w:val="24"/>
        </w:rPr>
      </w:pPr>
      <w:r>
        <w:rPr>
          <w:rFonts w:hint="eastAsia"/>
          <w:color w:val="auto"/>
          <w:szCs w:val="24"/>
        </w:rPr>
        <w:t>（7）所有仪表都应有可靠的接地。</w:t>
      </w:r>
    </w:p>
    <w:p>
      <w:pPr>
        <w:pStyle w:val="29"/>
        <w:ind w:firstLine="472"/>
        <w:rPr>
          <w:color w:val="auto"/>
          <w:szCs w:val="24"/>
        </w:rPr>
      </w:pPr>
      <w:r>
        <w:rPr>
          <w:rFonts w:hint="eastAsia"/>
          <w:color w:val="auto"/>
          <w:szCs w:val="24"/>
        </w:rPr>
        <w:t>（8）所有仪表传感器到变送器间的连接电缆均由承包人供应。电缆长度要求详见仪表工程量清单。</w:t>
      </w:r>
    </w:p>
    <w:p>
      <w:pPr>
        <w:pStyle w:val="29"/>
        <w:ind w:firstLine="472"/>
        <w:rPr>
          <w:color w:val="auto"/>
          <w:szCs w:val="24"/>
        </w:rPr>
      </w:pPr>
      <w:r>
        <w:rPr>
          <w:rFonts w:hint="eastAsia"/>
          <w:color w:val="auto"/>
          <w:szCs w:val="24"/>
        </w:rPr>
        <w:t>（9）对于所有仪表，承包商要提供制造厂商标准的安装附件。</w:t>
      </w:r>
    </w:p>
    <w:p>
      <w:pPr>
        <w:pStyle w:val="29"/>
        <w:ind w:firstLine="472"/>
        <w:rPr>
          <w:color w:val="auto"/>
          <w:szCs w:val="24"/>
        </w:rPr>
      </w:pPr>
      <w:r>
        <w:rPr>
          <w:rFonts w:hint="eastAsia"/>
          <w:color w:val="auto"/>
          <w:szCs w:val="24"/>
        </w:rPr>
        <w:t>（10）对于影响仪表正常工作的必要组成部分，无论在技术规范中指出与否，承包人都应提供。</w:t>
      </w:r>
    </w:p>
    <w:p>
      <w:pPr>
        <w:pStyle w:val="29"/>
        <w:ind w:firstLine="472"/>
        <w:rPr>
          <w:color w:val="auto"/>
          <w:szCs w:val="24"/>
        </w:rPr>
      </w:pPr>
      <w:r>
        <w:rPr>
          <w:rFonts w:hint="eastAsia"/>
          <w:color w:val="auto"/>
          <w:szCs w:val="24"/>
        </w:rPr>
        <w:t>（11）仪表及控制系统的工作接地、保护接地、防雷接地应与电气的低压配电系统合用接地装置。</w:t>
      </w:r>
    </w:p>
    <w:p>
      <w:pPr>
        <w:pStyle w:val="29"/>
        <w:ind w:firstLine="472"/>
        <w:rPr>
          <w:color w:val="auto"/>
          <w:szCs w:val="24"/>
        </w:rPr>
      </w:pPr>
      <w:r>
        <w:rPr>
          <w:rFonts w:hint="eastAsia"/>
          <w:color w:val="auto"/>
          <w:szCs w:val="24"/>
        </w:rPr>
        <w:t>（12）控制室内的仪表信号雷电浪涌保护器的接地线应接到工作接地汇总板，雷电浪涌保护器的接地汇流排应接到工作接地汇总板或总接地板。</w:t>
      </w:r>
    </w:p>
    <w:p>
      <w:pPr>
        <w:pStyle w:val="29"/>
        <w:ind w:firstLine="472"/>
        <w:rPr>
          <w:color w:val="auto"/>
          <w:szCs w:val="24"/>
        </w:rPr>
      </w:pPr>
      <w:r>
        <w:rPr>
          <w:rFonts w:hint="eastAsia"/>
          <w:color w:val="auto"/>
          <w:szCs w:val="24"/>
        </w:rPr>
        <w:t>（13）控制室内仪表供电的雷电浪涌保护器应与配电柜的保护接地汇总板或电气专业的防雷电感应的接地排连接。</w:t>
      </w:r>
    </w:p>
    <w:p>
      <w:pPr>
        <w:pStyle w:val="29"/>
        <w:ind w:firstLine="472"/>
        <w:rPr>
          <w:color w:val="auto"/>
          <w:szCs w:val="24"/>
        </w:rPr>
      </w:pPr>
      <w:r>
        <w:rPr>
          <w:rFonts w:hint="eastAsia"/>
          <w:color w:val="auto"/>
          <w:szCs w:val="24"/>
        </w:rPr>
        <w:t>（14）所有现场安装仪表应提供防雷装置，并有自动恢复功能。</w:t>
      </w:r>
    </w:p>
    <w:p>
      <w:pPr>
        <w:pStyle w:val="29"/>
        <w:ind w:firstLine="472"/>
        <w:rPr>
          <w:color w:val="auto"/>
          <w:szCs w:val="24"/>
        </w:rPr>
      </w:pPr>
      <w:r>
        <w:rPr>
          <w:rFonts w:hint="eastAsia"/>
          <w:color w:val="auto"/>
          <w:szCs w:val="24"/>
        </w:rPr>
        <w:t>（15）所有仪表型号均应是制造厂成熟、技术先进的产品。</w:t>
      </w:r>
    </w:p>
    <w:p>
      <w:pPr>
        <w:pStyle w:val="29"/>
        <w:ind w:firstLine="472"/>
        <w:rPr>
          <w:color w:val="auto"/>
          <w:szCs w:val="24"/>
        </w:rPr>
      </w:pPr>
      <w:r>
        <w:rPr>
          <w:rFonts w:hint="eastAsia"/>
          <w:color w:val="auto"/>
          <w:szCs w:val="24"/>
        </w:rPr>
        <w:t>（16）仪表的供应商必须具有现场指导安装调试的能力，并确保提供长期的售后服务。水质仪表必须在供应商的具体指导下，安装和调试、标定。</w:t>
      </w:r>
    </w:p>
    <w:p>
      <w:pPr>
        <w:pStyle w:val="29"/>
        <w:ind w:firstLine="472"/>
        <w:rPr>
          <w:color w:val="auto"/>
          <w:szCs w:val="24"/>
        </w:rPr>
      </w:pPr>
      <w:r>
        <w:rPr>
          <w:rFonts w:hint="eastAsia"/>
          <w:color w:val="auto"/>
          <w:szCs w:val="24"/>
        </w:rPr>
        <w:t>（17）所有现场安装仪表其外壳均应有永久固定的不锈钢制标记，标记用不锈钢螺丝或铆钉来固定。该标记上应刻上或模压上仪表的编号。</w:t>
      </w:r>
    </w:p>
    <w:p>
      <w:pPr>
        <w:pStyle w:val="29"/>
        <w:ind w:firstLine="472"/>
        <w:rPr>
          <w:color w:val="auto"/>
          <w:szCs w:val="24"/>
        </w:rPr>
      </w:pPr>
      <w:r>
        <w:rPr>
          <w:rFonts w:hint="eastAsia"/>
          <w:color w:val="auto"/>
          <w:szCs w:val="24"/>
        </w:rPr>
        <w:t>（18）承包人需列出仪表所需的备品备件清单，备品备件应具有市场延续性。</w:t>
      </w:r>
    </w:p>
    <w:p>
      <w:pPr>
        <w:pStyle w:val="29"/>
        <w:ind w:firstLine="472"/>
        <w:rPr>
          <w:color w:val="auto"/>
          <w:szCs w:val="24"/>
        </w:rPr>
      </w:pPr>
      <w:r>
        <w:rPr>
          <w:rFonts w:hint="eastAsia"/>
          <w:color w:val="auto"/>
          <w:szCs w:val="24"/>
        </w:rPr>
        <w:t>（1</w:t>
      </w:r>
      <w:r>
        <w:rPr>
          <w:color w:val="auto"/>
          <w:szCs w:val="24"/>
        </w:rPr>
        <w:t>9</w:t>
      </w:r>
      <w:r>
        <w:rPr>
          <w:rFonts w:hint="eastAsia"/>
          <w:color w:val="auto"/>
          <w:szCs w:val="24"/>
        </w:rPr>
        <w:t>）电磁流量计和水质仪器仪表投入使用前应由承包人送有资质的第三方单位进行检定和校准；</w:t>
      </w:r>
    </w:p>
    <w:p>
      <w:pPr>
        <w:pStyle w:val="29"/>
        <w:ind w:firstLine="472"/>
        <w:rPr>
          <w:color w:val="auto"/>
          <w:szCs w:val="24"/>
        </w:rPr>
      </w:pPr>
      <w:r>
        <w:rPr>
          <w:rFonts w:hint="eastAsia"/>
          <w:color w:val="auto"/>
          <w:szCs w:val="24"/>
        </w:rPr>
        <w:t>（2</w:t>
      </w:r>
      <w:r>
        <w:rPr>
          <w:color w:val="auto"/>
          <w:szCs w:val="24"/>
        </w:rPr>
        <w:t>0</w:t>
      </w:r>
      <w:r>
        <w:rPr>
          <w:rFonts w:hint="eastAsia"/>
          <w:color w:val="auto"/>
          <w:szCs w:val="24"/>
        </w:rPr>
        <w:t>）室外仪表箱应为304不锈钢，每个仪表箱内应设置单独的电源开关。</w:t>
      </w:r>
    </w:p>
    <w:bookmarkEnd w:id="96"/>
    <w:p>
      <w:pPr>
        <w:pStyle w:val="31"/>
        <w:rPr>
          <w:rFonts w:ascii="新宋体" w:hAnsi="新宋体" w:eastAsia="新宋体" w:cs="新宋体"/>
          <w:color w:val="auto"/>
          <w:sz w:val="21"/>
          <w:szCs w:val="21"/>
        </w:rPr>
      </w:pPr>
      <w:bookmarkStart w:id="97" w:name="_Toc17641"/>
      <w:bookmarkStart w:id="98" w:name="_Toc105750076"/>
      <w:bookmarkStart w:id="99" w:name="_Toc28271_WPSOffice_Level2"/>
      <w:r>
        <w:rPr>
          <w:rFonts w:hint="eastAsia"/>
          <w:color w:val="auto"/>
        </w:rPr>
        <w:t>技术参数</w:t>
      </w:r>
      <w:r>
        <w:rPr>
          <w:rFonts w:hint="eastAsia" w:ascii="新宋体" w:hAnsi="新宋体" w:eastAsia="新宋体" w:cs="新宋体"/>
          <w:color w:val="auto"/>
          <w:sz w:val="21"/>
          <w:szCs w:val="21"/>
        </w:rPr>
        <w:t>及要求</w:t>
      </w:r>
      <w:bookmarkEnd w:id="97"/>
      <w:bookmarkEnd w:id="98"/>
      <w:bookmarkEnd w:id="99"/>
    </w:p>
    <w:p>
      <w:pPr>
        <w:pStyle w:val="29"/>
        <w:ind w:firstLine="0" w:firstLineChars="0"/>
        <w:rPr>
          <w:b/>
          <w:bCs/>
          <w:color w:val="auto"/>
          <w:szCs w:val="24"/>
        </w:rPr>
      </w:pPr>
      <w:bookmarkStart w:id="100" w:name="_Toc105750077"/>
      <w:bookmarkStart w:id="101" w:name="_Toc26251"/>
      <w:r>
        <w:rPr>
          <w:rFonts w:hint="eastAsia"/>
          <w:b/>
          <w:bCs/>
          <w:color w:val="auto"/>
          <w:szCs w:val="24"/>
        </w:rPr>
        <w:t>1</w:t>
      </w:r>
      <w:r>
        <w:rPr>
          <w:b/>
          <w:bCs/>
          <w:color w:val="auto"/>
          <w:szCs w:val="24"/>
        </w:rPr>
        <w:t>.</w:t>
      </w:r>
      <w:r>
        <w:rPr>
          <w:rFonts w:hint="eastAsia"/>
          <w:b/>
          <w:bCs/>
          <w:color w:val="auto"/>
          <w:szCs w:val="24"/>
        </w:rPr>
        <w:t>一体式超声波液位计</w:t>
      </w:r>
      <w:bookmarkEnd w:id="100"/>
      <w:bookmarkEnd w:id="101"/>
    </w:p>
    <w:p>
      <w:pPr>
        <w:pStyle w:val="29"/>
        <w:ind w:firstLine="472"/>
        <w:rPr>
          <w:color w:val="auto"/>
          <w:szCs w:val="24"/>
        </w:rPr>
      </w:pPr>
      <w:r>
        <w:rPr>
          <w:rFonts w:hint="eastAsia"/>
          <w:color w:val="auto"/>
          <w:szCs w:val="24"/>
        </w:rPr>
        <w:t>（1）概述</w:t>
      </w:r>
    </w:p>
    <w:p>
      <w:pPr>
        <w:pStyle w:val="29"/>
        <w:ind w:firstLine="472"/>
        <w:rPr>
          <w:color w:val="auto"/>
          <w:szCs w:val="24"/>
        </w:rPr>
      </w:pPr>
      <w:r>
        <w:rPr>
          <w:rFonts w:hint="eastAsia"/>
          <w:color w:val="auto"/>
          <w:szCs w:val="24"/>
        </w:rPr>
        <w:t>功能：测量，指示和变送液位信号。</w:t>
      </w:r>
    </w:p>
    <w:p>
      <w:pPr>
        <w:pStyle w:val="29"/>
        <w:ind w:firstLine="472"/>
        <w:rPr>
          <w:color w:val="auto"/>
          <w:szCs w:val="24"/>
        </w:rPr>
      </w:pPr>
      <w:r>
        <w:rPr>
          <w:rFonts w:hint="eastAsia"/>
          <w:color w:val="auto"/>
          <w:szCs w:val="24"/>
        </w:rPr>
        <w:t>形式：超声波非接触测量。</w:t>
      </w:r>
    </w:p>
    <w:p>
      <w:pPr>
        <w:pStyle w:val="29"/>
        <w:ind w:firstLine="472"/>
        <w:rPr>
          <w:color w:val="auto"/>
          <w:szCs w:val="24"/>
        </w:rPr>
      </w:pPr>
      <w:r>
        <w:rPr>
          <w:rFonts w:hint="eastAsia"/>
          <w:color w:val="auto"/>
          <w:szCs w:val="24"/>
        </w:rPr>
        <w:t>组成：液位传感器、变送器（一体）及全部安装附件</w:t>
      </w:r>
    </w:p>
    <w:p>
      <w:pPr>
        <w:pStyle w:val="29"/>
        <w:ind w:firstLine="472"/>
        <w:rPr>
          <w:color w:val="auto"/>
          <w:szCs w:val="24"/>
        </w:rPr>
      </w:pPr>
      <w:r>
        <w:rPr>
          <w:rFonts w:hint="eastAsia"/>
          <w:color w:val="auto"/>
          <w:szCs w:val="24"/>
        </w:rPr>
        <w:t>（2）性能</w:t>
      </w:r>
    </w:p>
    <w:p>
      <w:pPr>
        <w:pStyle w:val="29"/>
        <w:ind w:firstLine="472"/>
        <w:rPr>
          <w:color w:val="auto"/>
          <w:szCs w:val="24"/>
        </w:rPr>
      </w:pPr>
      <w:r>
        <w:rPr>
          <w:rFonts w:hint="eastAsia"/>
          <w:color w:val="auto"/>
          <w:szCs w:val="24"/>
        </w:rPr>
        <w:t>测量范围：液体：0～8m（见仪表设备表）</w:t>
      </w:r>
    </w:p>
    <w:p>
      <w:pPr>
        <w:pStyle w:val="29"/>
        <w:ind w:firstLine="472"/>
        <w:rPr>
          <w:color w:val="auto"/>
          <w:szCs w:val="24"/>
        </w:rPr>
      </w:pPr>
      <w:r>
        <w:rPr>
          <w:rFonts w:hint="eastAsia"/>
          <w:color w:val="auto"/>
          <w:szCs w:val="24"/>
        </w:rPr>
        <w:t>盲区：35cm</w:t>
      </w:r>
    </w:p>
    <w:p>
      <w:pPr>
        <w:pStyle w:val="29"/>
        <w:ind w:firstLine="472"/>
        <w:rPr>
          <w:color w:val="auto"/>
          <w:szCs w:val="24"/>
        </w:rPr>
      </w:pPr>
      <w:r>
        <w:rPr>
          <w:rFonts w:hint="eastAsia"/>
          <w:color w:val="auto"/>
          <w:szCs w:val="24"/>
        </w:rPr>
        <w:t>▲测量精度：0.25%</w:t>
      </w:r>
    </w:p>
    <w:p>
      <w:pPr>
        <w:pStyle w:val="29"/>
        <w:ind w:firstLine="472"/>
        <w:rPr>
          <w:color w:val="auto"/>
          <w:szCs w:val="24"/>
        </w:rPr>
      </w:pPr>
      <w:r>
        <w:rPr>
          <w:rFonts w:hint="eastAsia"/>
          <w:color w:val="auto"/>
          <w:szCs w:val="24"/>
        </w:rPr>
        <w:t>环境温度：-20℃-+50℃</w:t>
      </w:r>
    </w:p>
    <w:p>
      <w:pPr>
        <w:pStyle w:val="29"/>
        <w:ind w:firstLine="472"/>
        <w:rPr>
          <w:color w:val="auto"/>
          <w:szCs w:val="24"/>
        </w:rPr>
      </w:pPr>
      <w:r>
        <w:rPr>
          <w:rFonts w:hint="eastAsia"/>
          <w:color w:val="auto"/>
          <w:szCs w:val="24"/>
        </w:rPr>
        <w:t>▲测量误差：量程的0.25%或6mm，取其大值</w:t>
      </w:r>
    </w:p>
    <w:p>
      <w:pPr>
        <w:pStyle w:val="29"/>
        <w:ind w:firstLine="472"/>
        <w:rPr>
          <w:color w:val="auto"/>
          <w:szCs w:val="24"/>
        </w:rPr>
      </w:pPr>
      <w:r>
        <w:rPr>
          <w:rFonts w:hint="eastAsia"/>
          <w:color w:val="auto"/>
          <w:szCs w:val="24"/>
        </w:rPr>
        <w:t>显示：LCD发光显示</w:t>
      </w:r>
    </w:p>
    <w:p>
      <w:pPr>
        <w:pStyle w:val="29"/>
        <w:ind w:firstLine="472"/>
        <w:rPr>
          <w:color w:val="auto"/>
          <w:szCs w:val="24"/>
        </w:rPr>
      </w:pPr>
      <w:r>
        <w:rPr>
          <w:rFonts w:hint="eastAsia"/>
          <w:color w:val="auto"/>
          <w:szCs w:val="24"/>
        </w:rPr>
        <w:t>输出信号：4～20mA</w:t>
      </w:r>
    </w:p>
    <w:p>
      <w:pPr>
        <w:pStyle w:val="29"/>
        <w:ind w:firstLine="472"/>
        <w:rPr>
          <w:color w:val="auto"/>
          <w:szCs w:val="24"/>
        </w:rPr>
      </w:pPr>
      <w:r>
        <w:rPr>
          <w:rFonts w:hint="eastAsia"/>
          <w:color w:val="auto"/>
          <w:szCs w:val="24"/>
        </w:rPr>
        <w:t>电源：24VDC，断电自动储存系统数据</w:t>
      </w:r>
    </w:p>
    <w:p>
      <w:pPr>
        <w:pStyle w:val="29"/>
        <w:ind w:firstLine="472"/>
        <w:rPr>
          <w:color w:val="auto"/>
          <w:szCs w:val="24"/>
        </w:rPr>
      </w:pPr>
      <w:r>
        <w:rPr>
          <w:rFonts w:hint="eastAsia"/>
          <w:color w:val="auto"/>
          <w:szCs w:val="24"/>
        </w:rPr>
        <w:t>防护等级：IP68/IP65</w:t>
      </w:r>
    </w:p>
    <w:p>
      <w:pPr>
        <w:pStyle w:val="29"/>
        <w:ind w:firstLine="472"/>
        <w:rPr>
          <w:color w:val="auto"/>
          <w:szCs w:val="24"/>
        </w:rPr>
      </w:pPr>
      <w:r>
        <w:rPr>
          <w:rFonts w:hint="eastAsia"/>
          <w:color w:val="auto"/>
          <w:szCs w:val="24"/>
        </w:rPr>
        <w:t>安装方式：螺纹直接安装</w:t>
      </w:r>
    </w:p>
    <w:p>
      <w:pPr>
        <w:pStyle w:val="29"/>
        <w:ind w:firstLine="0" w:firstLineChars="0"/>
        <w:rPr>
          <w:b/>
          <w:bCs/>
          <w:color w:val="auto"/>
          <w:szCs w:val="24"/>
        </w:rPr>
      </w:pPr>
      <w:bookmarkStart w:id="102" w:name="_Toc28726"/>
      <w:bookmarkStart w:id="103" w:name="_Toc105750078"/>
      <w:r>
        <w:rPr>
          <w:rFonts w:hint="eastAsia"/>
          <w:b/>
          <w:bCs/>
          <w:color w:val="auto"/>
          <w:szCs w:val="24"/>
        </w:rPr>
        <w:t>2</w:t>
      </w:r>
      <w:r>
        <w:rPr>
          <w:b/>
          <w:bCs/>
          <w:color w:val="auto"/>
          <w:szCs w:val="24"/>
        </w:rPr>
        <w:t>.</w:t>
      </w:r>
      <w:r>
        <w:rPr>
          <w:rFonts w:hint="eastAsia"/>
          <w:b/>
          <w:bCs/>
          <w:color w:val="auto"/>
          <w:szCs w:val="24"/>
        </w:rPr>
        <w:t>分体式超声波液位计</w:t>
      </w:r>
      <w:bookmarkEnd w:id="102"/>
      <w:bookmarkEnd w:id="103"/>
    </w:p>
    <w:p>
      <w:pPr>
        <w:pStyle w:val="29"/>
        <w:ind w:firstLine="472"/>
        <w:rPr>
          <w:color w:val="auto"/>
          <w:szCs w:val="24"/>
        </w:rPr>
      </w:pPr>
      <w:r>
        <w:rPr>
          <w:rFonts w:hint="eastAsia"/>
          <w:color w:val="auto"/>
          <w:szCs w:val="24"/>
        </w:rPr>
        <w:t>（1）组成：水位传感器、变送器及全部安装附件和电缆</w:t>
      </w:r>
    </w:p>
    <w:p>
      <w:pPr>
        <w:pStyle w:val="29"/>
        <w:ind w:firstLine="472"/>
        <w:rPr>
          <w:color w:val="auto"/>
          <w:szCs w:val="24"/>
        </w:rPr>
      </w:pPr>
      <w:r>
        <w:rPr>
          <w:rFonts w:hint="eastAsia"/>
          <w:color w:val="auto"/>
          <w:szCs w:val="24"/>
        </w:rPr>
        <w:t>（2）传感器</w:t>
      </w:r>
    </w:p>
    <w:p>
      <w:pPr>
        <w:pStyle w:val="29"/>
        <w:ind w:firstLine="472"/>
        <w:rPr>
          <w:color w:val="auto"/>
          <w:szCs w:val="24"/>
        </w:rPr>
      </w:pPr>
      <w:r>
        <w:rPr>
          <w:rFonts w:hint="eastAsia"/>
          <w:color w:val="auto"/>
          <w:szCs w:val="24"/>
        </w:rPr>
        <w:t>测量范围：0.6-</w:t>
      </w:r>
      <w:r>
        <w:rPr>
          <w:color w:val="auto"/>
          <w:szCs w:val="24"/>
        </w:rPr>
        <w:t>15</w:t>
      </w:r>
      <w:r>
        <w:rPr>
          <w:rFonts w:hint="eastAsia"/>
          <w:color w:val="auto"/>
          <w:szCs w:val="24"/>
        </w:rPr>
        <w:t>m</w:t>
      </w:r>
    </w:p>
    <w:p>
      <w:pPr>
        <w:pStyle w:val="29"/>
        <w:ind w:firstLine="472"/>
        <w:rPr>
          <w:color w:val="auto"/>
          <w:szCs w:val="24"/>
        </w:rPr>
      </w:pPr>
      <w:r>
        <w:rPr>
          <w:rFonts w:hint="eastAsia"/>
          <w:color w:val="auto"/>
          <w:szCs w:val="24"/>
        </w:rPr>
        <w:t>▲防护等级：IP68</w:t>
      </w:r>
    </w:p>
    <w:p>
      <w:pPr>
        <w:pStyle w:val="29"/>
        <w:ind w:firstLine="472"/>
        <w:rPr>
          <w:color w:val="auto"/>
          <w:szCs w:val="24"/>
        </w:rPr>
      </w:pPr>
      <w:r>
        <w:rPr>
          <w:rFonts w:hint="eastAsia"/>
          <w:color w:val="auto"/>
          <w:szCs w:val="24"/>
        </w:rPr>
        <w:t>▲测量原理：超声波原理，带先进的专利声智能回波处理软件，可对回波信号进行有效处理</w:t>
      </w:r>
    </w:p>
    <w:p>
      <w:pPr>
        <w:pStyle w:val="29"/>
        <w:ind w:firstLine="472"/>
        <w:rPr>
          <w:color w:val="auto"/>
          <w:szCs w:val="24"/>
        </w:rPr>
      </w:pPr>
      <w:r>
        <w:rPr>
          <w:rFonts w:hint="eastAsia"/>
          <w:color w:val="auto"/>
          <w:szCs w:val="24"/>
        </w:rPr>
        <w:t>盲区：0.6米</w:t>
      </w:r>
    </w:p>
    <w:p>
      <w:pPr>
        <w:pStyle w:val="29"/>
        <w:ind w:firstLine="472"/>
        <w:rPr>
          <w:color w:val="auto"/>
          <w:szCs w:val="24"/>
        </w:rPr>
      </w:pPr>
      <w:r>
        <w:rPr>
          <w:rFonts w:hint="eastAsia"/>
          <w:color w:val="auto"/>
          <w:szCs w:val="24"/>
        </w:rPr>
        <w:t>波束角：＜6°</w:t>
      </w:r>
    </w:p>
    <w:p>
      <w:pPr>
        <w:pStyle w:val="29"/>
        <w:ind w:firstLine="472"/>
        <w:rPr>
          <w:color w:val="auto"/>
          <w:szCs w:val="24"/>
        </w:rPr>
      </w:pPr>
      <w:r>
        <w:rPr>
          <w:rFonts w:hint="eastAsia"/>
          <w:color w:val="auto"/>
          <w:szCs w:val="24"/>
        </w:rPr>
        <w:t>频率：44kHz</w:t>
      </w:r>
    </w:p>
    <w:p>
      <w:pPr>
        <w:pStyle w:val="29"/>
        <w:ind w:firstLine="472"/>
        <w:rPr>
          <w:color w:val="auto"/>
          <w:szCs w:val="24"/>
        </w:rPr>
      </w:pPr>
      <w:r>
        <w:rPr>
          <w:rFonts w:hint="eastAsia"/>
          <w:color w:val="auto"/>
          <w:szCs w:val="24"/>
        </w:rPr>
        <w:t>带内置温度补偿元件</w:t>
      </w:r>
    </w:p>
    <w:p>
      <w:pPr>
        <w:pStyle w:val="29"/>
        <w:ind w:firstLine="472"/>
        <w:rPr>
          <w:color w:val="auto"/>
          <w:szCs w:val="24"/>
        </w:rPr>
      </w:pPr>
      <w:r>
        <w:rPr>
          <w:rFonts w:hint="eastAsia"/>
          <w:color w:val="auto"/>
          <w:szCs w:val="24"/>
        </w:rPr>
        <w:t>安装方式：螺纹直接安装</w:t>
      </w:r>
    </w:p>
    <w:p>
      <w:pPr>
        <w:pStyle w:val="29"/>
        <w:ind w:firstLine="472"/>
        <w:rPr>
          <w:color w:val="auto"/>
          <w:szCs w:val="24"/>
        </w:rPr>
      </w:pPr>
      <w:r>
        <w:rPr>
          <w:rFonts w:hint="eastAsia"/>
          <w:color w:val="auto"/>
          <w:szCs w:val="24"/>
        </w:rPr>
        <w:t>电缆长度：15米</w:t>
      </w:r>
    </w:p>
    <w:p>
      <w:pPr>
        <w:pStyle w:val="29"/>
        <w:ind w:firstLine="472"/>
        <w:rPr>
          <w:color w:val="auto"/>
          <w:szCs w:val="24"/>
        </w:rPr>
      </w:pPr>
      <w:r>
        <w:rPr>
          <w:rFonts w:hint="eastAsia"/>
          <w:color w:val="auto"/>
          <w:szCs w:val="24"/>
        </w:rPr>
        <w:t>（3）变送器</w:t>
      </w:r>
    </w:p>
    <w:p>
      <w:pPr>
        <w:pStyle w:val="29"/>
        <w:ind w:firstLine="472"/>
        <w:rPr>
          <w:color w:val="auto"/>
          <w:szCs w:val="24"/>
        </w:rPr>
      </w:pPr>
      <w:r>
        <w:rPr>
          <w:rFonts w:hint="eastAsia"/>
          <w:color w:val="auto"/>
          <w:szCs w:val="24"/>
        </w:rPr>
        <w:t>▲带先进的声智能回波处理软件。</w:t>
      </w:r>
    </w:p>
    <w:p>
      <w:pPr>
        <w:pStyle w:val="29"/>
        <w:ind w:firstLine="472"/>
        <w:rPr>
          <w:color w:val="auto"/>
          <w:szCs w:val="24"/>
        </w:rPr>
      </w:pPr>
      <w:r>
        <w:rPr>
          <w:rFonts w:hint="eastAsia"/>
          <w:color w:val="auto"/>
          <w:szCs w:val="24"/>
        </w:rPr>
        <w:t>▲测量精度：±1mm＋0.17%测量值</w:t>
      </w:r>
    </w:p>
    <w:p>
      <w:pPr>
        <w:pStyle w:val="29"/>
        <w:ind w:firstLine="472"/>
        <w:rPr>
          <w:color w:val="auto"/>
          <w:szCs w:val="24"/>
        </w:rPr>
      </w:pPr>
      <w:r>
        <w:rPr>
          <w:rFonts w:hint="eastAsia"/>
          <w:color w:val="auto"/>
          <w:szCs w:val="24"/>
        </w:rPr>
        <w:t>环境温度：-20℃-+50℃</w:t>
      </w:r>
    </w:p>
    <w:p>
      <w:pPr>
        <w:pStyle w:val="29"/>
        <w:ind w:firstLine="472"/>
        <w:rPr>
          <w:color w:val="auto"/>
          <w:szCs w:val="24"/>
        </w:rPr>
      </w:pPr>
      <w:r>
        <w:rPr>
          <w:rFonts w:hint="eastAsia"/>
          <w:color w:val="auto"/>
          <w:szCs w:val="24"/>
        </w:rPr>
        <w:t>分辨率：0.1%量程或2mm，取其大值</w:t>
      </w:r>
    </w:p>
    <w:p>
      <w:pPr>
        <w:pStyle w:val="29"/>
        <w:ind w:firstLine="472"/>
        <w:rPr>
          <w:color w:val="auto"/>
          <w:szCs w:val="24"/>
        </w:rPr>
      </w:pPr>
      <w:r>
        <w:rPr>
          <w:rFonts w:hint="eastAsia"/>
          <w:color w:val="auto"/>
          <w:szCs w:val="24"/>
        </w:rPr>
        <w:t>零点迁移：盲区以外任意设定</w:t>
      </w:r>
    </w:p>
    <w:p>
      <w:pPr>
        <w:pStyle w:val="29"/>
        <w:ind w:firstLine="472"/>
        <w:rPr>
          <w:color w:val="auto"/>
          <w:szCs w:val="24"/>
        </w:rPr>
      </w:pPr>
      <w:r>
        <w:rPr>
          <w:rFonts w:hint="eastAsia"/>
          <w:color w:val="auto"/>
          <w:szCs w:val="24"/>
        </w:rPr>
        <w:t>显示：LCD发光显示</w:t>
      </w:r>
    </w:p>
    <w:p>
      <w:pPr>
        <w:pStyle w:val="29"/>
        <w:ind w:firstLine="472"/>
        <w:rPr>
          <w:color w:val="auto"/>
          <w:szCs w:val="24"/>
        </w:rPr>
      </w:pPr>
      <w:r>
        <w:rPr>
          <w:rFonts w:hint="eastAsia"/>
          <w:color w:val="auto"/>
          <w:szCs w:val="24"/>
        </w:rPr>
        <w:t>输出信号：1路4～20mA输出</w:t>
      </w:r>
    </w:p>
    <w:p>
      <w:pPr>
        <w:pStyle w:val="29"/>
        <w:ind w:firstLine="472"/>
        <w:rPr>
          <w:color w:val="auto"/>
          <w:szCs w:val="24"/>
        </w:rPr>
      </w:pPr>
      <w:r>
        <w:rPr>
          <w:rFonts w:hint="eastAsia"/>
          <w:color w:val="auto"/>
          <w:szCs w:val="24"/>
        </w:rPr>
        <w:t>电源：220VAC，50HZ，断电自动储存系统数据</w:t>
      </w:r>
    </w:p>
    <w:p>
      <w:pPr>
        <w:pStyle w:val="29"/>
        <w:ind w:firstLine="472"/>
        <w:rPr>
          <w:color w:val="auto"/>
          <w:szCs w:val="24"/>
        </w:rPr>
      </w:pPr>
      <w:r>
        <w:rPr>
          <w:rFonts w:hint="eastAsia"/>
          <w:color w:val="auto"/>
          <w:szCs w:val="24"/>
        </w:rPr>
        <w:t>报警：3个继电器输出，可设定及开关量输出自身故障报警；</w:t>
      </w:r>
    </w:p>
    <w:p>
      <w:pPr>
        <w:pStyle w:val="29"/>
        <w:ind w:firstLine="472"/>
        <w:rPr>
          <w:color w:val="auto"/>
          <w:szCs w:val="24"/>
        </w:rPr>
      </w:pPr>
      <w:r>
        <w:rPr>
          <w:rFonts w:hint="eastAsia"/>
          <w:color w:val="auto"/>
          <w:szCs w:val="24"/>
        </w:rPr>
        <w:t>▲通讯：HART</w:t>
      </w:r>
    </w:p>
    <w:p>
      <w:pPr>
        <w:pStyle w:val="29"/>
        <w:ind w:firstLine="472"/>
        <w:rPr>
          <w:color w:val="auto"/>
          <w:szCs w:val="24"/>
        </w:rPr>
      </w:pPr>
      <w:r>
        <w:rPr>
          <w:rFonts w:hint="eastAsia"/>
          <w:color w:val="auto"/>
          <w:szCs w:val="24"/>
        </w:rPr>
        <w:t>防护等级：IP65</w:t>
      </w:r>
    </w:p>
    <w:p>
      <w:pPr>
        <w:pStyle w:val="29"/>
        <w:ind w:firstLine="472"/>
        <w:rPr>
          <w:color w:val="auto"/>
          <w:szCs w:val="24"/>
        </w:rPr>
      </w:pPr>
      <w:r>
        <w:rPr>
          <w:rFonts w:hint="eastAsia"/>
          <w:color w:val="auto"/>
          <w:szCs w:val="24"/>
        </w:rPr>
        <w:t>温度误差：内置温度探头用来矫正超声波的运行时间</w:t>
      </w:r>
    </w:p>
    <w:p>
      <w:pPr>
        <w:pStyle w:val="29"/>
        <w:ind w:firstLine="472"/>
        <w:rPr>
          <w:color w:val="auto"/>
          <w:szCs w:val="24"/>
        </w:rPr>
      </w:pPr>
      <w:r>
        <w:rPr>
          <w:rFonts w:hint="eastAsia"/>
          <w:color w:val="auto"/>
          <w:szCs w:val="24"/>
        </w:rPr>
        <w:t>安装方式：挂墙式</w:t>
      </w:r>
    </w:p>
    <w:p>
      <w:pPr>
        <w:pStyle w:val="29"/>
        <w:ind w:firstLine="0" w:firstLineChars="0"/>
        <w:rPr>
          <w:b/>
          <w:bCs/>
          <w:color w:val="auto"/>
          <w:szCs w:val="24"/>
        </w:rPr>
      </w:pPr>
      <w:bookmarkStart w:id="104" w:name="_Toc24366"/>
      <w:bookmarkStart w:id="105" w:name="_Toc105750079"/>
      <w:r>
        <w:rPr>
          <w:rFonts w:hint="eastAsia"/>
          <w:b/>
          <w:bCs/>
          <w:color w:val="auto"/>
          <w:szCs w:val="24"/>
        </w:rPr>
        <w:t>3</w:t>
      </w:r>
      <w:r>
        <w:rPr>
          <w:b/>
          <w:bCs/>
          <w:color w:val="auto"/>
          <w:szCs w:val="24"/>
        </w:rPr>
        <w:t>.</w:t>
      </w:r>
      <w:r>
        <w:rPr>
          <w:rFonts w:hint="eastAsia"/>
          <w:b/>
          <w:bCs/>
          <w:color w:val="auto"/>
          <w:szCs w:val="24"/>
        </w:rPr>
        <w:t>静压式液位计</w:t>
      </w:r>
      <w:bookmarkEnd w:id="104"/>
      <w:bookmarkEnd w:id="105"/>
    </w:p>
    <w:p>
      <w:pPr>
        <w:pStyle w:val="29"/>
        <w:ind w:firstLine="472"/>
        <w:rPr>
          <w:color w:val="auto"/>
          <w:szCs w:val="24"/>
        </w:rPr>
      </w:pPr>
      <w:r>
        <w:rPr>
          <w:rFonts w:hint="eastAsia"/>
          <w:color w:val="auto"/>
          <w:szCs w:val="24"/>
        </w:rPr>
        <w:t>（1）最大量程范围8米；</w:t>
      </w:r>
    </w:p>
    <w:p>
      <w:pPr>
        <w:pStyle w:val="29"/>
        <w:ind w:firstLine="472"/>
        <w:rPr>
          <w:color w:val="auto"/>
          <w:szCs w:val="24"/>
        </w:rPr>
      </w:pPr>
      <w:r>
        <w:rPr>
          <w:rFonts w:hint="eastAsia"/>
          <w:color w:val="auto"/>
          <w:szCs w:val="24"/>
        </w:rPr>
        <w:t>（2）▲测量精度：0.1％FS（+/-5mm）；</w:t>
      </w:r>
    </w:p>
    <w:p>
      <w:pPr>
        <w:pStyle w:val="29"/>
        <w:ind w:firstLine="472"/>
        <w:rPr>
          <w:color w:val="auto"/>
          <w:szCs w:val="24"/>
        </w:rPr>
      </w:pPr>
      <w:r>
        <w:rPr>
          <w:rFonts w:hint="eastAsia"/>
          <w:color w:val="auto"/>
          <w:szCs w:val="24"/>
        </w:rPr>
        <w:t>（3）测量分辨率：实际量程的0.1%（+/-5mm）；</w:t>
      </w:r>
    </w:p>
    <w:p>
      <w:pPr>
        <w:pStyle w:val="29"/>
        <w:ind w:firstLine="472"/>
        <w:rPr>
          <w:color w:val="auto"/>
          <w:szCs w:val="24"/>
        </w:rPr>
      </w:pPr>
      <w:r>
        <w:rPr>
          <w:rFonts w:hint="eastAsia"/>
          <w:color w:val="auto"/>
          <w:szCs w:val="24"/>
        </w:rPr>
        <w:t>（4）K波段（约26GHz）；</w:t>
      </w:r>
    </w:p>
    <w:p>
      <w:pPr>
        <w:pStyle w:val="29"/>
        <w:ind w:firstLine="472"/>
        <w:rPr>
          <w:color w:val="auto"/>
          <w:szCs w:val="24"/>
        </w:rPr>
      </w:pPr>
      <w:r>
        <w:rPr>
          <w:rFonts w:hint="eastAsia"/>
          <w:color w:val="auto"/>
          <w:szCs w:val="24"/>
        </w:rPr>
        <w:t>（5）输出：4-20mA,</w:t>
      </w:r>
    </w:p>
    <w:p>
      <w:pPr>
        <w:pStyle w:val="29"/>
        <w:ind w:firstLine="472"/>
        <w:rPr>
          <w:color w:val="auto"/>
          <w:szCs w:val="24"/>
        </w:rPr>
      </w:pPr>
      <w:r>
        <w:rPr>
          <w:rFonts w:hint="eastAsia"/>
          <w:color w:val="auto"/>
          <w:szCs w:val="24"/>
        </w:rPr>
        <w:t>（6）防护等级：IP68</w:t>
      </w:r>
    </w:p>
    <w:p>
      <w:pPr>
        <w:pStyle w:val="29"/>
        <w:ind w:firstLine="472"/>
        <w:rPr>
          <w:color w:val="auto"/>
          <w:szCs w:val="24"/>
        </w:rPr>
      </w:pPr>
      <w:r>
        <w:rPr>
          <w:rFonts w:hint="eastAsia"/>
          <w:color w:val="auto"/>
          <w:szCs w:val="24"/>
        </w:rPr>
        <w:t>（7）▲过程温度:-40…+60°C</w:t>
      </w:r>
    </w:p>
    <w:p>
      <w:pPr>
        <w:pStyle w:val="29"/>
        <w:ind w:firstLine="472"/>
        <w:rPr>
          <w:color w:val="auto"/>
          <w:szCs w:val="24"/>
        </w:rPr>
      </w:pPr>
      <w:r>
        <w:rPr>
          <w:rFonts w:hint="eastAsia"/>
          <w:color w:val="auto"/>
          <w:szCs w:val="24"/>
        </w:rPr>
        <w:t>（8）电源：24VDC，断电自动储存系统数据</w:t>
      </w:r>
    </w:p>
    <w:p>
      <w:pPr>
        <w:pStyle w:val="29"/>
        <w:ind w:firstLine="0" w:firstLineChars="0"/>
        <w:rPr>
          <w:b/>
          <w:bCs/>
          <w:color w:val="auto"/>
          <w:szCs w:val="24"/>
        </w:rPr>
      </w:pPr>
      <w:bookmarkStart w:id="106" w:name="_Toc105750080"/>
      <w:bookmarkStart w:id="107" w:name="_Toc10059"/>
      <w:r>
        <w:rPr>
          <w:rFonts w:hint="eastAsia"/>
          <w:b/>
          <w:bCs/>
          <w:color w:val="auto"/>
          <w:szCs w:val="24"/>
        </w:rPr>
        <w:t>4</w:t>
      </w:r>
      <w:r>
        <w:rPr>
          <w:b/>
          <w:bCs/>
          <w:color w:val="auto"/>
          <w:szCs w:val="24"/>
        </w:rPr>
        <w:t>.</w:t>
      </w:r>
      <w:r>
        <w:rPr>
          <w:rFonts w:hint="eastAsia"/>
          <w:b/>
          <w:bCs/>
          <w:color w:val="auto"/>
          <w:szCs w:val="24"/>
        </w:rPr>
        <w:t>雷达液位计</w:t>
      </w:r>
      <w:bookmarkEnd w:id="106"/>
      <w:bookmarkEnd w:id="107"/>
    </w:p>
    <w:p>
      <w:pPr>
        <w:pStyle w:val="29"/>
        <w:ind w:firstLine="472"/>
        <w:rPr>
          <w:color w:val="auto"/>
          <w:szCs w:val="24"/>
        </w:rPr>
      </w:pPr>
      <w:r>
        <w:rPr>
          <w:rFonts w:hint="eastAsia"/>
          <w:color w:val="auto"/>
          <w:szCs w:val="24"/>
        </w:rPr>
        <w:t>（1）最大量程范围</w:t>
      </w:r>
      <w:r>
        <w:rPr>
          <w:color w:val="auto"/>
          <w:szCs w:val="24"/>
        </w:rPr>
        <w:t>20</w:t>
      </w:r>
      <w:r>
        <w:rPr>
          <w:rFonts w:hint="eastAsia"/>
          <w:color w:val="auto"/>
          <w:szCs w:val="24"/>
        </w:rPr>
        <w:t>米；</w:t>
      </w:r>
    </w:p>
    <w:p>
      <w:pPr>
        <w:pStyle w:val="29"/>
        <w:ind w:firstLine="472"/>
        <w:rPr>
          <w:color w:val="auto"/>
          <w:szCs w:val="24"/>
        </w:rPr>
      </w:pPr>
      <w:r>
        <w:rPr>
          <w:rFonts w:hint="eastAsia"/>
          <w:color w:val="auto"/>
          <w:szCs w:val="24"/>
        </w:rPr>
        <w:t>（2）▲测量精度：0.1％FS（+/-5mm）；</w:t>
      </w:r>
    </w:p>
    <w:p>
      <w:pPr>
        <w:pStyle w:val="29"/>
        <w:ind w:firstLine="472"/>
        <w:rPr>
          <w:color w:val="auto"/>
          <w:szCs w:val="24"/>
        </w:rPr>
      </w:pPr>
      <w:r>
        <w:rPr>
          <w:rFonts w:hint="eastAsia"/>
          <w:color w:val="auto"/>
          <w:szCs w:val="24"/>
        </w:rPr>
        <w:t>（3）▲测量分辨率：实际量程的0.1%（+/-5mm）；</w:t>
      </w:r>
    </w:p>
    <w:p>
      <w:pPr>
        <w:pStyle w:val="29"/>
        <w:ind w:firstLine="472"/>
        <w:rPr>
          <w:color w:val="auto"/>
          <w:szCs w:val="24"/>
        </w:rPr>
      </w:pPr>
      <w:r>
        <w:rPr>
          <w:rFonts w:hint="eastAsia"/>
          <w:color w:val="auto"/>
          <w:szCs w:val="24"/>
        </w:rPr>
        <w:t>（4）K波段（约26GHz）；</w:t>
      </w:r>
    </w:p>
    <w:p>
      <w:pPr>
        <w:pStyle w:val="29"/>
        <w:ind w:firstLine="472"/>
        <w:rPr>
          <w:color w:val="auto"/>
          <w:szCs w:val="24"/>
        </w:rPr>
      </w:pPr>
      <w:r>
        <w:rPr>
          <w:rFonts w:hint="eastAsia"/>
          <w:color w:val="auto"/>
          <w:szCs w:val="24"/>
        </w:rPr>
        <w:t>（5）输出：4-20mA,Bluetooth调试,通过App进行操作和调试</w:t>
      </w:r>
    </w:p>
    <w:p>
      <w:pPr>
        <w:pStyle w:val="29"/>
        <w:ind w:firstLine="472"/>
        <w:rPr>
          <w:color w:val="auto"/>
          <w:szCs w:val="24"/>
        </w:rPr>
      </w:pPr>
      <w:r>
        <w:rPr>
          <w:rFonts w:hint="eastAsia"/>
          <w:color w:val="auto"/>
          <w:szCs w:val="24"/>
        </w:rPr>
        <w:t>（6）防护等级：IP68</w:t>
      </w:r>
    </w:p>
    <w:p>
      <w:pPr>
        <w:pStyle w:val="29"/>
        <w:ind w:firstLine="472"/>
        <w:rPr>
          <w:color w:val="auto"/>
          <w:szCs w:val="24"/>
        </w:rPr>
      </w:pPr>
      <w:r>
        <w:rPr>
          <w:rFonts w:hint="eastAsia"/>
          <w:color w:val="auto"/>
          <w:szCs w:val="24"/>
        </w:rPr>
        <w:t>（7）过程温度:-40…+60°C</w:t>
      </w:r>
    </w:p>
    <w:p>
      <w:pPr>
        <w:pStyle w:val="29"/>
        <w:ind w:firstLine="472"/>
        <w:rPr>
          <w:color w:val="auto"/>
          <w:szCs w:val="24"/>
        </w:rPr>
      </w:pPr>
      <w:r>
        <w:rPr>
          <w:rFonts w:hint="eastAsia"/>
          <w:color w:val="auto"/>
          <w:szCs w:val="24"/>
        </w:rPr>
        <w:t>（8）过程压力（绝压）/最大过压限定值:-1…3bar（-14.50…43psi）</w:t>
      </w:r>
    </w:p>
    <w:p>
      <w:pPr>
        <w:pStyle w:val="29"/>
        <w:ind w:firstLine="0" w:firstLineChars="0"/>
        <w:rPr>
          <w:b/>
          <w:bCs/>
          <w:color w:val="auto"/>
          <w:szCs w:val="24"/>
        </w:rPr>
      </w:pPr>
      <w:bookmarkStart w:id="108" w:name="_Toc9497"/>
      <w:bookmarkStart w:id="109" w:name="_Toc105750081"/>
      <w:r>
        <w:rPr>
          <w:rFonts w:hint="eastAsia"/>
          <w:b/>
          <w:bCs/>
          <w:color w:val="auto"/>
          <w:szCs w:val="24"/>
        </w:rPr>
        <w:t>5</w:t>
      </w:r>
      <w:r>
        <w:rPr>
          <w:b/>
          <w:bCs/>
          <w:color w:val="auto"/>
          <w:szCs w:val="24"/>
        </w:rPr>
        <w:t>.</w:t>
      </w:r>
      <w:r>
        <w:rPr>
          <w:rFonts w:hint="eastAsia"/>
          <w:b/>
          <w:bCs/>
          <w:color w:val="auto"/>
          <w:szCs w:val="24"/>
        </w:rPr>
        <w:t>压力（差压）变送器</w:t>
      </w:r>
      <w:bookmarkEnd w:id="108"/>
      <w:bookmarkEnd w:id="109"/>
    </w:p>
    <w:p>
      <w:pPr>
        <w:pStyle w:val="29"/>
        <w:ind w:firstLine="472"/>
        <w:rPr>
          <w:color w:val="auto"/>
          <w:szCs w:val="24"/>
        </w:rPr>
      </w:pPr>
      <w:r>
        <w:rPr>
          <w:rFonts w:hint="eastAsia"/>
          <w:color w:val="auto"/>
          <w:szCs w:val="24"/>
        </w:rPr>
        <w:t>（1）技术性能：</w:t>
      </w:r>
    </w:p>
    <w:p>
      <w:pPr>
        <w:pStyle w:val="29"/>
        <w:ind w:firstLine="472"/>
        <w:rPr>
          <w:color w:val="auto"/>
          <w:szCs w:val="24"/>
        </w:rPr>
      </w:pPr>
      <w:r>
        <w:rPr>
          <w:rFonts w:hint="eastAsia"/>
          <w:color w:val="auto"/>
          <w:szCs w:val="24"/>
        </w:rPr>
        <w:t>测量原理：压变电阻</w:t>
      </w:r>
    </w:p>
    <w:p>
      <w:pPr>
        <w:pStyle w:val="29"/>
        <w:ind w:firstLine="472"/>
        <w:rPr>
          <w:color w:val="auto"/>
          <w:szCs w:val="24"/>
        </w:rPr>
      </w:pPr>
      <w:r>
        <w:rPr>
          <w:rFonts w:hint="eastAsia"/>
          <w:color w:val="auto"/>
          <w:szCs w:val="24"/>
        </w:rPr>
        <w:t>测量范围：详见仪表清单</w:t>
      </w:r>
    </w:p>
    <w:p>
      <w:pPr>
        <w:pStyle w:val="29"/>
        <w:ind w:firstLine="472"/>
        <w:rPr>
          <w:color w:val="auto"/>
          <w:szCs w:val="24"/>
        </w:rPr>
      </w:pPr>
      <w:r>
        <w:rPr>
          <w:rFonts w:hint="eastAsia"/>
          <w:color w:val="auto"/>
          <w:szCs w:val="24"/>
        </w:rPr>
        <w:t>▲测量精度：0.075％</w:t>
      </w:r>
    </w:p>
    <w:p>
      <w:pPr>
        <w:pStyle w:val="29"/>
        <w:ind w:firstLine="472"/>
        <w:rPr>
          <w:color w:val="auto"/>
          <w:szCs w:val="24"/>
        </w:rPr>
      </w:pPr>
      <w:r>
        <w:rPr>
          <w:rFonts w:hint="eastAsia"/>
          <w:color w:val="auto"/>
          <w:szCs w:val="24"/>
        </w:rPr>
        <w:t>环境温度：-30～+85℃</w:t>
      </w:r>
    </w:p>
    <w:p>
      <w:pPr>
        <w:pStyle w:val="29"/>
        <w:ind w:firstLine="472"/>
        <w:rPr>
          <w:color w:val="auto"/>
          <w:szCs w:val="24"/>
        </w:rPr>
      </w:pPr>
      <w:r>
        <w:rPr>
          <w:rFonts w:hint="eastAsia"/>
          <w:color w:val="auto"/>
          <w:szCs w:val="24"/>
        </w:rPr>
        <w:t>▲量程比：1：100</w:t>
      </w:r>
    </w:p>
    <w:p>
      <w:pPr>
        <w:pStyle w:val="29"/>
        <w:ind w:firstLine="472"/>
        <w:rPr>
          <w:color w:val="auto"/>
          <w:szCs w:val="24"/>
        </w:rPr>
      </w:pPr>
      <w:r>
        <w:rPr>
          <w:rFonts w:hint="eastAsia"/>
          <w:color w:val="auto"/>
          <w:szCs w:val="24"/>
        </w:rPr>
        <w:t>防护等级：IP65</w:t>
      </w:r>
    </w:p>
    <w:p>
      <w:pPr>
        <w:pStyle w:val="29"/>
        <w:ind w:firstLine="472"/>
        <w:rPr>
          <w:color w:val="auto"/>
          <w:szCs w:val="24"/>
        </w:rPr>
      </w:pPr>
      <w:r>
        <w:rPr>
          <w:rFonts w:hint="eastAsia"/>
          <w:color w:val="auto"/>
          <w:szCs w:val="24"/>
        </w:rPr>
        <w:t>响应时间：＜200ms</w:t>
      </w:r>
    </w:p>
    <w:p>
      <w:pPr>
        <w:pStyle w:val="29"/>
        <w:ind w:firstLine="472"/>
        <w:rPr>
          <w:color w:val="auto"/>
          <w:szCs w:val="24"/>
        </w:rPr>
      </w:pPr>
      <w:r>
        <w:rPr>
          <w:rFonts w:hint="eastAsia"/>
          <w:color w:val="auto"/>
          <w:szCs w:val="24"/>
        </w:rPr>
        <w:t>长期稳定性≤0.25%/5年</w:t>
      </w:r>
    </w:p>
    <w:p>
      <w:pPr>
        <w:pStyle w:val="29"/>
        <w:ind w:firstLine="472"/>
        <w:rPr>
          <w:color w:val="auto"/>
          <w:szCs w:val="24"/>
        </w:rPr>
      </w:pPr>
      <w:r>
        <w:rPr>
          <w:rFonts w:hint="eastAsia"/>
          <w:color w:val="auto"/>
          <w:szCs w:val="24"/>
        </w:rPr>
        <w:t>接液部件材质</w:t>
      </w:r>
    </w:p>
    <w:p>
      <w:pPr>
        <w:pStyle w:val="29"/>
        <w:ind w:firstLine="472"/>
        <w:rPr>
          <w:color w:val="auto"/>
          <w:szCs w:val="24"/>
        </w:rPr>
      </w:pPr>
      <w:r>
        <w:rPr>
          <w:rFonts w:hint="eastAsia"/>
          <w:color w:val="auto"/>
          <w:szCs w:val="24"/>
        </w:rPr>
        <w:t>•过程连接：不锈钢，材料编号1.4404/316L</w:t>
      </w:r>
    </w:p>
    <w:p>
      <w:pPr>
        <w:pStyle w:val="29"/>
        <w:ind w:firstLine="472"/>
        <w:rPr>
          <w:color w:val="auto"/>
          <w:szCs w:val="24"/>
        </w:rPr>
      </w:pPr>
      <w:r>
        <w:rPr>
          <w:rFonts w:hint="eastAsia"/>
          <w:color w:val="auto"/>
          <w:szCs w:val="24"/>
        </w:rPr>
        <w:t>•密封膜片：不锈钢，材料编号1.4404/316L</w:t>
      </w:r>
    </w:p>
    <w:p>
      <w:pPr>
        <w:pStyle w:val="29"/>
        <w:ind w:firstLine="472"/>
        <w:rPr>
          <w:color w:val="auto"/>
          <w:szCs w:val="24"/>
        </w:rPr>
      </w:pPr>
      <w:r>
        <w:rPr>
          <w:rFonts w:hint="eastAsia"/>
          <w:color w:val="auto"/>
          <w:szCs w:val="24"/>
        </w:rPr>
        <w:t>安装方式：任选、带现场LCD显示</w:t>
      </w:r>
    </w:p>
    <w:p>
      <w:pPr>
        <w:pStyle w:val="29"/>
        <w:ind w:firstLine="472"/>
        <w:rPr>
          <w:color w:val="auto"/>
          <w:szCs w:val="24"/>
        </w:rPr>
      </w:pPr>
      <w:r>
        <w:rPr>
          <w:rFonts w:hint="eastAsia"/>
          <w:color w:val="auto"/>
          <w:szCs w:val="24"/>
        </w:rPr>
        <w:t>结构：变送器、测量元件一体安装</w:t>
      </w:r>
    </w:p>
    <w:p>
      <w:pPr>
        <w:pStyle w:val="29"/>
        <w:ind w:firstLine="472"/>
        <w:rPr>
          <w:color w:val="auto"/>
          <w:szCs w:val="24"/>
        </w:rPr>
      </w:pPr>
      <w:r>
        <w:rPr>
          <w:rFonts w:hint="eastAsia"/>
          <w:color w:val="auto"/>
          <w:szCs w:val="24"/>
        </w:rPr>
        <w:t>▲输出信号：4～20mA带HART</w:t>
      </w:r>
    </w:p>
    <w:p>
      <w:pPr>
        <w:pStyle w:val="29"/>
        <w:ind w:firstLine="472"/>
        <w:rPr>
          <w:color w:val="auto"/>
          <w:szCs w:val="24"/>
        </w:rPr>
      </w:pPr>
      <w:r>
        <w:rPr>
          <w:rFonts w:hint="eastAsia"/>
          <w:color w:val="auto"/>
          <w:szCs w:val="24"/>
        </w:rPr>
        <w:t>电源：10.5～45VDC</w:t>
      </w:r>
    </w:p>
    <w:p>
      <w:pPr>
        <w:pStyle w:val="29"/>
        <w:ind w:firstLine="472"/>
        <w:rPr>
          <w:color w:val="auto"/>
          <w:szCs w:val="24"/>
        </w:rPr>
      </w:pPr>
      <w:r>
        <w:rPr>
          <w:rFonts w:hint="eastAsia"/>
          <w:color w:val="auto"/>
          <w:szCs w:val="24"/>
        </w:rPr>
        <w:t>外壳：铸铝</w:t>
      </w:r>
    </w:p>
    <w:p>
      <w:pPr>
        <w:pStyle w:val="29"/>
        <w:ind w:firstLine="472"/>
        <w:rPr>
          <w:color w:val="auto"/>
          <w:szCs w:val="24"/>
        </w:rPr>
      </w:pPr>
      <w:r>
        <w:rPr>
          <w:rFonts w:hint="eastAsia"/>
          <w:color w:val="auto"/>
          <w:szCs w:val="24"/>
        </w:rPr>
        <w:t>安装方式：螺纹</w:t>
      </w:r>
    </w:p>
    <w:p>
      <w:pPr>
        <w:pStyle w:val="29"/>
        <w:ind w:firstLine="472"/>
        <w:rPr>
          <w:color w:val="auto"/>
          <w:szCs w:val="24"/>
        </w:rPr>
      </w:pPr>
      <w:r>
        <w:rPr>
          <w:rFonts w:hint="eastAsia"/>
          <w:color w:val="auto"/>
          <w:szCs w:val="24"/>
        </w:rPr>
        <w:t>材质：不锈钢，带过程转换接头</w:t>
      </w:r>
    </w:p>
    <w:p>
      <w:pPr>
        <w:pStyle w:val="29"/>
        <w:ind w:firstLine="0" w:firstLineChars="0"/>
        <w:rPr>
          <w:b/>
          <w:bCs/>
          <w:color w:val="auto"/>
          <w:szCs w:val="24"/>
        </w:rPr>
      </w:pPr>
      <w:bookmarkStart w:id="110" w:name="_Toc105750082"/>
      <w:bookmarkStart w:id="111" w:name="_Toc10671"/>
      <w:r>
        <w:rPr>
          <w:rFonts w:hint="eastAsia"/>
          <w:b/>
          <w:bCs/>
          <w:color w:val="auto"/>
          <w:szCs w:val="24"/>
        </w:rPr>
        <w:t>6</w:t>
      </w:r>
      <w:r>
        <w:rPr>
          <w:b/>
          <w:bCs/>
          <w:color w:val="auto"/>
          <w:szCs w:val="24"/>
        </w:rPr>
        <w:t>.</w:t>
      </w:r>
      <w:r>
        <w:rPr>
          <w:rFonts w:hint="eastAsia"/>
          <w:b/>
          <w:bCs/>
          <w:color w:val="auto"/>
          <w:szCs w:val="24"/>
        </w:rPr>
        <w:t>电磁流量计</w:t>
      </w:r>
      <w:bookmarkEnd w:id="110"/>
      <w:bookmarkEnd w:id="111"/>
    </w:p>
    <w:p>
      <w:pPr>
        <w:pStyle w:val="29"/>
        <w:ind w:firstLine="472"/>
        <w:rPr>
          <w:color w:val="auto"/>
          <w:szCs w:val="24"/>
        </w:rPr>
      </w:pPr>
      <w:r>
        <w:rPr>
          <w:rFonts w:hint="eastAsia"/>
          <w:color w:val="auto"/>
          <w:szCs w:val="24"/>
        </w:rPr>
        <w:t>（1）概述</w:t>
      </w:r>
    </w:p>
    <w:p>
      <w:pPr>
        <w:pStyle w:val="29"/>
        <w:ind w:firstLine="472"/>
        <w:rPr>
          <w:color w:val="auto"/>
          <w:szCs w:val="24"/>
        </w:rPr>
      </w:pPr>
      <w:r>
        <w:rPr>
          <w:rFonts w:hint="eastAsia"/>
          <w:color w:val="auto"/>
          <w:szCs w:val="24"/>
        </w:rPr>
        <w:t>功能：测量、指示和传送管道内液体的流量。</w:t>
      </w:r>
    </w:p>
    <w:p>
      <w:pPr>
        <w:pStyle w:val="29"/>
        <w:ind w:firstLine="472"/>
        <w:rPr>
          <w:color w:val="auto"/>
          <w:szCs w:val="24"/>
        </w:rPr>
      </w:pPr>
      <w:r>
        <w:rPr>
          <w:rFonts w:hint="eastAsia"/>
          <w:color w:val="auto"/>
          <w:szCs w:val="24"/>
        </w:rPr>
        <w:t>形式：利用法拉第电磁感应测量原理。</w:t>
      </w:r>
    </w:p>
    <w:p>
      <w:pPr>
        <w:pStyle w:val="29"/>
        <w:ind w:firstLine="472"/>
        <w:rPr>
          <w:color w:val="auto"/>
          <w:szCs w:val="24"/>
        </w:rPr>
      </w:pPr>
      <w:r>
        <w:rPr>
          <w:rFonts w:hint="eastAsia"/>
          <w:color w:val="auto"/>
          <w:szCs w:val="24"/>
        </w:rPr>
        <w:t>组成：传感器、变送器（分体型），电缆和安装附件。</w:t>
      </w:r>
    </w:p>
    <w:p>
      <w:pPr>
        <w:pStyle w:val="29"/>
        <w:ind w:firstLine="472"/>
        <w:rPr>
          <w:color w:val="auto"/>
          <w:szCs w:val="24"/>
        </w:rPr>
      </w:pPr>
      <w:r>
        <w:rPr>
          <w:rFonts w:hint="eastAsia"/>
          <w:color w:val="auto"/>
          <w:szCs w:val="24"/>
        </w:rPr>
        <w:t>（2）性能</w:t>
      </w:r>
    </w:p>
    <w:p>
      <w:pPr>
        <w:pStyle w:val="29"/>
        <w:ind w:firstLine="472"/>
        <w:rPr>
          <w:color w:val="auto"/>
          <w:szCs w:val="24"/>
        </w:rPr>
      </w:pPr>
      <w:r>
        <w:rPr>
          <w:rFonts w:hint="eastAsia"/>
          <w:color w:val="auto"/>
          <w:szCs w:val="24"/>
        </w:rPr>
        <w:t>量程：见仪表设备表</w:t>
      </w:r>
    </w:p>
    <w:p>
      <w:pPr>
        <w:pStyle w:val="29"/>
        <w:ind w:firstLine="472"/>
        <w:rPr>
          <w:color w:val="auto"/>
          <w:szCs w:val="24"/>
        </w:rPr>
      </w:pPr>
      <w:r>
        <w:rPr>
          <w:rFonts w:hint="eastAsia"/>
          <w:color w:val="auto"/>
          <w:szCs w:val="24"/>
        </w:rPr>
        <w:t>电极测量系统：测量电极、参比电极、空管检测电极</w:t>
      </w:r>
    </w:p>
    <w:p>
      <w:pPr>
        <w:pStyle w:val="29"/>
        <w:ind w:firstLine="472"/>
        <w:rPr>
          <w:color w:val="auto"/>
          <w:szCs w:val="24"/>
        </w:rPr>
      </w:pPr>
      <w:r>
        <w:rPr>
          <w:rFonts w:hint="eastAsia"/>
          <w:color w:val="auto"/>
          <w:szCs w:val="24"/>
        </w:rPr>
        <w:t>▲测量精度：0.5%</w:t>
      </w:r>
    </w:p>
    <w:p>
      <w:pPr>
        <w:pStyle w:val="29"/>
        <w:ind w:firstLine="472"/>
        <w:rPr>
          <w:color w:val="auto"/>
          <w:szCs w:val="24"/>
        </w:rPr>
      </w:pPr>
      <w:r>
        <w:rPr>
          <w:rFonts w:hint="eastAsia"/>
          <w:color w:val="auto"/>
          <w:szCs w:val="24"/>
        </w:rPr>
        <w:t>衬里材料：聚四氟乙烯；</w:t>
      </w:r>
    </w:p>
    <w:p>
      <w:pPr>
        <w:pStyle w:val="29"/>
        <w:ind w:firstLine="472"/>
        <w:rPr>
          <w:color w:val="auto"/>
          <w:szCs w:val="24"/>
        </w:rPr>
      </w:pPr>
      <w:r>
        <w:rPr>
          <w:rFonts w:hint="eastAsia"/>
          <w:color w:val="auto"/>
          <w:szCs w:val="24"/>
        </w:rPr>
        <w:t>电极材料：3</w:t>
      </w:r>
      <w:r>
        <w:rPr>
          <w:color w:val="auto"/>
          <w:szCs w:val="24"/>
        </w:rPr>
        <w:t>16</w:t>
      </w:r>
      <w:r>
        <w:rPr>
          <w:rFonts w:hint="eastAsia"/>
          <w:color w:val="auto"/>
          <w:szCs w:val="24"/>
        </w:rPr>
        <w:t>L；加药系统根据介质腐蚀性选择电极</w:t>
      </w:r>
    </w:p>
    <w:p>
      <w:pPr>
        <w:pStyle w:val="29"/>
        <w:ind w:firstLine="472"/>
        <w:rPr>
          <w:color w:val="auto"/>
          <w:szCs w:val="24"/>
        </w:rPr>
      </w:pPr>
      <w:r>
        <w:rPr>
          <w:rFonts w:hint="eastAsia"/>
          <w:color w:val="auto"/>
          <w:szCs w:val="24"/>
        </w:rPr>
        <w:t>环境温度范围：-40℃～+65℃</w:t>
      </w:r>
    </w:p>
    <w:p>
      <w:pPr>
        <w:pStyle w:val="29"/>
        <w:ind w:firstLine="472"/>
        <w:rPr>
          <w:color w:val="auto"/>
          <w:szCs w:val="24"/>
        </w:rPr>
      </w:pPr>
      <w:r>
        <w:rPr>
          <w:rFonts w:hint="eastAsia"/>
          <w:color w:val="auto"/>
          <w:szCs w:val="24"/>
        </w:rPr>
        <w:t>介质温度范围：-5～+90℃</w:t>
      </w:r>
    </w:p>
    <w:p>
      <w:pPr>
        <w:pStyle w:val="29"/>
        <w:ind w:firstLine="472"/>
        <w:rPr>
          <w:color w:val="auto"/>
          <w:szCs w:val="24"/>
        </w:rPr>
      </w:pPr>
      <w:r>
        <w:rPr>
          <w:rFonts w:hint="eastAsia"/>
          <w:color w:val="auto"/>
          <w:szCs w:val="24"/>
        </w:rPr>
        <w:t>▲保护等级：</w:t>
      </w:r>
    </w:p>
    <w:p>
      <w:pPr>
        <w:pStyle w:val="29"/>
        <w:ind w:firstLine="472"/>
        <w:rPr>
          <w:color w:val="auto"/>
          <w:szCs w:val="24"/>
        </w:rPr>
      </w:pPr>
      <w:r>
        <w:rPr>
          <w:rFonts w:hint="eastAsia"/>
          <w:color w:val="auto"/>
          <w:szCs w:val="24"/>
        </w:rPr>
        <w:t>分体式：传感器IP68，转换器IP67；</w:t>
      </w:r>
    </w:p>
    <w:p>
      <w:pPr>
        <w:pStyle w:val="29"/>
        <w:ind w:firstLine="472"/>
        <w:rPr>
          <w:color w:val="auto"/>
          <w:szCs w:val="24"/>
        </w:rPr>
      </w:pPr>
      <w:r>
        <w:rPr>
          <w:rFonts w:hint="eastAsia"/>
          <w:color w:val="auto"/>
          <w:szCs w:val="24"/>
        </w:rPr>
        <w:t>一体式：传感器和转换器均为IP68，</w:t>
      </w:r>
    </w:p>
    <w:p>
      <w:pPr>
        <w:pStyle w:val="29"/>
        <w:ind w:firstLine="472"/>
        <w:rPr>
          <w:color w:val="auto"/>
          <w:szCs w:val="24"/>
        </w:rPr>
      </w:pPr>
      <w:r>
        <w:rPr>
          <w:rFonts w:hint="eastAsia"/>
          <w:color w:val="auto"/>
          <w:szCs w:val="24"/>
        </w:rPr>
        <w:t>转换器外壳材料：聚酰胺-聚碳酸酯，聚氨酯涂层铸铝</w:t>
      </w:r>
    </w:p>
    <w:p>
      <w:pPr>
        <w:pStyle w:val="29"/>
        <w:ind w:firstLine="472"/>
        <w:rPr>
          <w:color w:val="auto"/>
          <w:szCs w:val="24"/>
        </w:rPr>
      </w:pPr>
      <w:r>
        <w:rPr>
          <w:rFonts w:hint="eastAsia"/>
          <w:color w:val="auto"/>
          <w:szCs w:val="24"/>
        </w:rPr>
        <w:t>供电电源：110～230VAC</w:t>
      </w:r>
    </w:p>
    <w:p>
      <w:pPr>
        <w:pStyle w:val="29"/>
        <w:ind w:firstLine="472"/>
        <w:rPr>
          <w:color w:val="auto"/>
          <w:szCs w:val="24"/>
        </w:rPr>
      </w:pPr>
      <w:r>
        <w:rPr>
          <w:rFonts w:hint="eastAsia"/>
          <w:color w:val="auto"/>
          <w:szCs w:val="24"/>
        </w:rPr>
        <w:t>信号输出形式：4～20mA，带RS</w:t>
      </w:r>
      <w:r>
        <w:rPr>
          <w:color w:val="auto"/>
          <w:szCs w:val="24"/>
        </w:rPr>
        <w:t>485</w:t>
      </w:r>
      <w:r>
        <w:rPr>
          <w:rFonts w:hint="eastAsia"/>
          <w:color w:val="auto"/>
          <w:szCs w:val="24"/>
        </w:rPr>
        <w:t>接口。</w:t>
      </w:r>
    </w:p>
    <w:p>
      <w:pPr>
        <w:pStyle w:val="29"/>
        <w:ind w:firstLine="472"/>
        <w:rPr>
          <w:color w:val="auto"/>
          <w:szCs w:val="24"/>
        </w:rPr>
      </w:pPr>
      <w:r>
        <w:rPr>
          <w:rFonts w:hint="eastAsia"/>
          <w:color w:val="auto"/>
          <w:szCs w:val="24"/>
        </w:rPr>
        <w:t>现场显示：三行液晶显示，具有现场操作功能，4个按键操作，光感应操作，磁棒操作，点阵式LCD数字显示瞬时流量/累积流量/故障信号/流量单位可编程；带有三路累加器，可以独立累计正向流量、反向流量，以及正反向流量；</w:t>
      </w:r>
    </w:p>
    <w:p>
      <w:pPr>
        <w:pStyle w:val="29"/>
        <w:ind w:firstLine="472"/>
        <w:rPr>
          <w:color w:val="auto"/>
          <w:szCs w:val="24"/>
        </w:rPr>
      </w:pPr>
      <w:r>
        <w:rPr>
          <w:rFonts w:hint="eastAsia"/>
          <w:color w:val="auto"/>
          <w:szCs w:val="24"/>
        </w:rPr>
        <w:t>其他功能：电磁流量计自诊断功能：安装正确性（流态、前后直管段）、连接电缆通断、衬里变形、介质诊断（电导率、腐蚀性、含气泡及颗粒物）、电极污染、外磁场影响、气泡（气穴现象）、励磁线圈电阻和温度、空管或未满管道（能实现空管置零功能）。</w:t>
      </w:r>
    </w:p>
    <w:p>
      <w:pPr>
        <w:pStyle w:val="29"/>
        <w:ind w:firstLine="472"/>
        <w:rPr>
          <w:color w:val="auto"/>
          <w:szCs w:val="24"/>
        </w:rPr>
      </w:pPr>
      <w:r>
        <w:rPr>
          <w:rFonts w:hint="eastAsia"/>
          <w:color w:val="auto"/>
          <w:szCs w:val="24"/>
        </w:rPr>
        <w:t>安装方式：管道法兰安装，法兰标准:GB9115.1-2000</w:t>
      </w:r>
    </w:p>
    <w:p>
      <w:pPr>
        <w:pStyle w:val="29"/>
        <w:ind w:firstLine="472"/>
        <w:rPr>
          <w:color w:val="auto"/>
          <w:szCs w:val="24"/>
        </w:rPr>
      </w:pPr>
      <w:r>
        <w:rPr>
          <w:rFonts w:hint="eastAsia"/>
          <w:color w:val="auto"/>
          <w:szCs w:val="24"/>
        </w:rPr>
        <w:t>传感器专用电缆：电缆型号：双重屏蔽，三重屏蔽电缆</w:t>
      </w:r>
    </w:p>
    <w:p>
      <w:pPr>
        <w:pStyle w:val="29"/>
        <w:ind w:firstLine="472"/>
        <w:rPr>
          <w:color w:val="auto"/>
          <w:szCs w:val="24"/>
        </w:rPr>
      </w:pPr>
      <w:r>
        <w:rPr>
          <w:rFonts w:hint="eastAsia"/>
          <w:color w:val="auto"/>
          <w:szCs w:val="24"/>
        </w:rPr>
        <w:t>电缆长度：1</w:t>
      </w:r>
      <w:r>
        <w:rPr>
          <w:color w:val="auto"/>
          <w:szCs w:val="24"/>
        </w:rPr>
        <w:t>5</w:t>
      </w:r>
      <w:r>
        <w:rPr>
          <w:rFonts w:hint="eastAsia"/>
          <w:color w:val="auto"/>
          <w:szCs w:val="24"/>
        </w:rPr>
        <w:t>米。</w:t>
      </w:r>
    </w:p>
    <w:p>
      <w:pPr>
        <w:pStyle w:val="29"/>
        <w:ind w:firstLine="0" w:firstLineChars="0"/>
        <w:rPr>
          <w:b/>
          <w:bCs/>
          <w:color w:val="auto"/>
          <w:szCs w:val="24"/>
        </w:rPr>
      </w:pPr>
      <w:bookmarkStart w:id="112" w:name="_Toc105750084"/>
      <w:bookmarkStart w:id="113" w:name="_Toc24732"/>
      <w:r>
        <w:rPr>
          <w:rFonts w:hint="eastAsia"/>
          <w:b/>
          <w:bCs/>
          <w:color w:val="auto"/>
          <w:szCs w:val="24"/>
        </w:rPr>
        <w:t>7</w:t>
      </w:r>
      <w:r>
        <w:rPr>
          <w:b/>
          <w:bCs/>
          <w:color w:val="auto"/>
          <w:szCs w:val="24"/>
        </w:rPr>
        <w:t>.</w:t>
      </w:r>
      <w:r>
        <w:rPr>
          <w:rFonts w:hint="eastAsia"/>
          <w:b/>
          <w:bCs/>
          <w:color w:val="auto"/>
          <w:szCs w:val="24"/>
        </w:rPr>
        <w:t>余氯分析仪</w:t>
      </w:r>
      <w:bookmarkEnd w:id="112"/>
      <w:bookmarkEnd w:id="113"/>
    </w:p>
    <w:p>
      <w:pPr>
        <w:pStyle w:val="29"/>
        <w:ind w:firstLine="472"/>
        <w:rPr>
          <w:color w:val="auto"/>
          <w:szCs w:val="24"/>
        </w:rPr>
      </w:pPr>
      <w:r>
        <w:rPr>
          <w:rFonts w:hint="eastAsia"/>
          <w:color w:val="auto"/>
          <w:szCs w:val="24"/>
        </w:rPr>
        <w:t>传感器技术参数：</w:t>
      </w:r>
    </w:p>
    <w:p>
      <w:pPr>
        <w:pStyle w:val="29"/>
        <w:ind w:firstLine="472"/>
        <w:rPr>
          <w:color w:val="auto"/>
          <w:szCs w:val="24"/>
        </w:rPr>
      </w:pPr>
      <w:r>
        <w:rPr>
          <w:rFonts w:hint="eastAsia"/>
          <w:color w:val="auto"/>
          <w:szCs w:val="24"/>
        </w:rPr>
        <w:t>（1）测量原理：DPD比色法，可准确测量余氯或总氯含量；</w:t>
      </w:r>
    </w:p>
    <w:p>
      <w:pPr>
        <w:pStyle w:val="29"/>
        <w:ind w:firstLine="472"/>
        <w:rPr>
          <w:color w:val="auto"/>
          <w:szCs w:val="24"/>
        </w:rPr>
      </w:pPr>
      <w:r>
        <w:rPr>
          <w:rFonts w:hint="eastAsia"/>
          <w:color w:val="auto"/>
          <w:szCs w:val="24"/>
        </w:rPr>
        <w:t>（2）光源：LED，在510nm时测量，光程长为1cm；</w:t>
      </w:r>
    </w:p>
    <w:p>
      <w:pPr>
        <w:pStyle w:val="29"/>
        <w:ind w:firstLine="472"/>
        <w:rPr>
          <w:color w:val="auto"/>
          <w:szCs w:val="24"/>
        </w:rPr>
      </w:pPr>
      <w:r>
        <w:rPr>
          <w:rFonts w:hint="eastAsia"/>
          <w:color w:val="auto"/>
          <w:szCs w:val="24"/>
        </w:rPr>
        <w:t>（3）利用内置曲线校正；</w:t>
      </w:r>
    </w:p>
    <w:p>
      <w:pPr>
        <w:pStyle w:val="29"/>
        <w:ind w:firstLine="472"/>
        <w:rPr>
          <w:color w:val="auto"/>
          <w:szCs w:val="24"/>
        </w:rPr>
      </w:pPr>
      <w:r>
        <w:rPr>
          <w:rFonts w:hint="eastAsia"/>
          <w:color w:val="auto"/>
          <w:szCs w:val="24"/>
        </w:rPr>
        <w:t>（4）测量范围：0-10mg/L的余氯或总氯；</w:t>
      </w:r>
    </w:p>
    <w:p>
      <w:pPr>
        <w:pStyle w:val="29"/>
        <w:ind w:firstLine="472"/>
        <w:rPr>
          <w:color w:val="auto"/>
          <w:szCs w:val="24"/>
        </w:rPr>
      </w:pPr>
      <w:r>
        <w:rPr>
          <w:rFonts w:hint="eastAsia"/>
          <w:color w:val="auto"/>
          <w:szCs w:val="24"/>
        </w:rPr>
        <w:t>（5）准确度：读数的±5%或者±0.04mg/LCl2，在0-5mg/L取较大值；以Cl2计5-10mg/L读数的10%；</w:t>
      </w:r>
    </w:p>
    <w:p>
      <w:pPr>
        <w:pStyle w:val="29"/>
        <w:ind w:firstLine="472"/>
        <w:rPr>
          <w:color w:val="auto"/>
          <w:szCs w:val="24"/>
        </w:rPr>
      </w:pPr>
      <w:r>
        <w:rPr>
          <w:rFonts w:hint="eastAsia"/>
          <w:color w:val="auto"/>
          <w:szCs w:val="24"/>
        </w:rPr>
        <w:t>（6）精度：读数的±5%或±0.01mg/LCl2（取较大值）；</w:t>
      </w:r>
    </w:p>
    <w:p>
      <w:pPr>
        <w:pStyle w:val="29"/>
        <w:ind w:firstLine="472"/>
        <w:rPr>
          <w:color w:val="auto"/>
          <w:szCs w:val="24"/>
        </w:rPr>
      </w:pPr>
      <w:r>
        <w:rPr>
          <w:rFonts w:hint="eastAsia"/>
          <w:color w:val="auto"/>
          <w:szCs w:val="24"/>
        </w:rPr>
        <w:t>（7）检测限：0.03mg/L；</w:t>
      </w:r>
    </w:p>
    <w:p>
      <w:pPr>
        <w:pStyle w:val="29"/>
        <w:ind w:firstLine="472"/>
        <w:rPr>
          <w:color w:val="auto"/>
          <w:szCs w:val="24"/>
        </w:rPr>
      </w:pPr>
      <w:r>
        <w:rPr>
          <w:rFonts w:hint="eastAsia"/>
          <w:color w:val="auto"/>
          <w:szCs w:val="24"/>
        </w:rPr>
        <w:t>（8）测量时间：2.5分钟</w:t>
      </w:r>
    </w:p>
    <w:p>
      <w:pPr>
        <w:pStyle w:val="29"/>
        <w:ind w:firstLine="472"/>
        <w:rPr>
          <w:color w:val="auto"/>
          <w:szCs w:val="24"/>
        </w:rPr>
      </w:pPr>
      <w:r>
        <w:rPr>
          <w:rFonts w:hint="eastAsia"/>
          <w:color w:val="auto"/>
          <w:szCs w:val="24"/>
        </w:rPr>
        <w:t>（9）样品流量：60~200mL/min；</w:t>
      </w:r>
    </w:p>
    <w:p>
      <w:pPr>
        <w:pStyle w:val="29"/>
        <w:ind w:firstLine="472"/>
        <w:rPr>
          <w:color w:val="auto"/>
          <w:szCs w:val="24"/>
        </w:rPr>
      </w:pPr>
      <w:r>
        <w:rPr>
          <w:rFonts w:hint="eastAsia"/>
          <w:color w:val="auto"/>
          <w:szCs w:val="24"/>
        </w:rPr>
        <w:t>（10）进样压力范围：0.3~5.2bar，供至Y型过滤器；0.1~0.3bar，供至分析仪；</w:t>
      </w:r>
    </w:p>
    <w:p>
      <w:pPr>
        <w:pStyle w:val="29"/>
        <w:ind w:firstLine="472"/>
        <w:rPr>
          <w:color w:val="auto"/>
          <w:szCs w:val="24"/>
        </w:rPr>
      </w:pPr>
      <w:r>
        <w:rPr>
          <w:rFonts w:hint="eastAsia"/>
          <w:color w:val="auto"/>
          <w:szCs w:val="24"/>
        </w:rPr>
        <w:t>（11）样品要求：带40目或更高目数筛网的Y型过滤器；</w:t>
      </w:r>
    </w:p>
    <w:p>
      <w:pPr>
        <w:pStyle w:val="29"/>
        <w:ind w:firstLine="472"/>
        <w:rPr>
          <w:color w:val="auto"/>
          <w:szCs w:val="24"/>
        </w:rPr>
      </w:pPr>
      <w:r>
        <w:rPr>
          <w:rFonts w:hint="eastAsia"/>
          <w:color w:val="auto"/>
          <w:szCs w:val="24"/>
        </w:rPr>
        <w:t>（12）样品温度：5~40℃；</w:t>
      </w:r>
    </w:p>
    <w:p>
      <w:pPr>
        <w:pStyle w:val="29"/>
        <w:ind w:firstLine="472"/>
        <w:rPr>
          <w:color w:val="auto"/>
          <w:szCs w:val="24"/>
        </w:rPr>
      </w:pPr>
      <w:r>
        <w:rPr>
          <w:rFonts w:hint="eastAsia"/>
          <w:color w:val="auto"/>
          <w:szCs w:val="24"/>
        </w:rPr>
        <w:t>（13）试剂消耗：31天内使用0.5L缓冲溶液及0.5L指示剂溶液；</w:t>
      </w:r>
    </w:p>
    <w:p>
      <w:pPr>
        <w:pStyle w:val="29"/>
        <w:ind w:firstLine="472"/>
        <w:rPr>
          <w:color w:val="auto"/>
          <w:szCs w:val="24"/>
        </w:rPr>
      </w:pPr>
      <w:r>
        <w:rPr>
          <w:rFonts w:hint="eastAsia"/>
          <w:color w:val="auto"/>
          <w:szCs w:val="24"/>
        </w:rPr>
        <w:t>（14）通过控制器供电、显示和控制；</w:t>
      </w:r>
    </w:p>
    <w:p>
      <w:pPr>
        <w:pStyle w:val="29"/>
        <w:ind w:firstLine="472"/>
        <w:rPr>
          <w:color w:val="auto"/>
          <w:szCs w:val="24"/>
        </w:rPr>
      </w:pPr>
      <w:r>
        <w:rPr>
          <w:rFonts w:hint="eastAsia"/>
          <w:color w:val="auto"/>
          <w:szCs w:val="24"/>
        </w:rPr>
        <w:t>（15）电源要求：12VDC，最大值400mA（由控制器供电）；</w:t>
      </w:r>
    </w:p>
    <w:p>
      <w:pPr>
        <w:pStyle w:val="29"/>
        <w:ind w:firstLine="472"/>
        <w:rPr>
          <w:color w:val="auto"/>
          <w:szCs w:val="24"/>
        </w:rPr>
      </w:pPr>
      <w:r>
        <w:rPr>
          <w:rFonts w:hint="eastAsia"/>
          <w:color w:val="auto"/>
          <w:szCs w:val="24"/>
        </w:rPr>
        <w:t>（16）操作环境：5~40℃，0~90%相对湿度；</w:t>
      </w:r>
    </w:p>
    <w:p>
      <w:pPr>
        <w:pStyle w:val="29"/>
        <w:ind w:firstLine="472"/>
        <w:rPr>
          <w:color w:val="auto"/>
          <w:szCs w:val="24"/>
        </w:rPr>
      </w:pPr>
      <w:r>
        <w:rPr>
          <w:rFonts w:hint="eastAsia"/>
          <w:color w:val="auto"/>
          <w:szCs w:val="24"/>
        </w:rPr>
        <w:t>（17）认证：CE符合：EN61326-1、CISPR11、EN50581、ACMARCM、韩国KC认证、北美：FCC供应商、符合性声明、IEC/EN60529、ICES-003；</w:t>
      </w:r>
    </w:p>
    <w:p>
      <w:pPr>
        <w:pStyle w:val="29"/>
        <w:ind w:firstLine="472"/>
        <w:rPr>
          <w:color w:val="auto"/>
          <w:szCs w:val="24"/>
        </w:rPr>
      </w:pPr>
      <w:r>
        <w:rPr>
          <w:rFonts w:hint="eastAsia"/>
          <w:color w:val="auto"/>
          <w:szCs w:val="24"/>
        </w:rPr>
        <w:t>（18）防护等级：IEC60529IP66；</w:t>
      </w:r>
    </w:p>
    <w:p>
      <w:pPr>
        <w:pStyle w:val="29"/>
        <w:ind w:firstLine="472"/>
        <w:rPr>
          <w:color w:val="auto"/>
          <w:szCs w:val="24"/>
        </w:rPr>
      </w:pPr>
      <w:r>
        <w:rPr>
          <w:rFonts w:hint="eastAsia"/>
          <w:color w:val="auto"/>
          <w:szCs w:val="24"/>
        </w:rPr>
        <w:t>（19）仪器安装方式：壁挂式</w:t>
      </w:r>
    </w:p>
    <w:p>
      <w:pPr>
        <w:pStyle w:val="29"/>
        <w:ind w:left="440" w:leftChars="200" w:firstLine="0" w:firstLineChars="0"/>
        <w:rPr>
          <w:b/>
          <w:bCs/>
          <w:color w:val="auto"/>
          <w:szCs w:val="24"/>
        </w:rPr>
      </w:pPr>
      <w:r>
        <w:rPr>
          <w:rFonts w:hint="eastAsia"/>
          <w:b/>
          <w:bCs/>
          <w:color w:val="auto"/>
          <w:szCs w:val="24"/>
        </w:rPr>
        <w:t>控制器技术参数：</w:t>
      </w:r>
    </w:p>
    <w:p>
      <w:pPr>
        <w:pStyle w:val="29"/>
        <w:ind w:left="440" w:leftChars="200" w:firstLine="0" w:firstLineChars="0"/>
        <w:rPr>
          <w:rFonts w:cs="Times New Roman"/>
          <w:color w:val="auto"/>
          <w:szCs w:val="24"/>
        </w:rPr>
      </w:pPr>
      <w:r>
        <w:rPr>
          <w:rFonts w:cs="Times New Roman"/>
          <w:color w:val="auto"/>
          <w:szCs w:val="24"/>
        </w:rPr>
        <w:t>（1）显示：彩色触摸显示屏；</w:t>
      </w:r>
    </w:p>
    <w:p>
      <w:pPr>
        <w:pStyle w:val="29"/>
        <w:ind w:firstLine="472"/>
        <w:rPr>
          <w:rFonts w:cs="Times New Roman"/>
          <w:color w:val="auto"/>
          <w:szCs w:val="24"/>
        </w:rPr>
      </w:pPr>
      <w:r>
        <w:rPr>
          <w:rFonts w:cs="Times New Roman"/>
          <w:color w:val="auto"/>
          <w:szCs w:val="24"/>
        </w:rPr>
        <w:t>（2）自诊断：具备自诊断系统，可显示连接仪表的测量有效性和维护日期&amp;要求；</w:t>
      </w:r>
    </w:p>
    <w:p>
      <w:pPr>
        <w:pStyle w:val="29"/>
        <w:ind w:firstLine="472"/>
        <w:rPr>
          <w:rFonts w:cs="Times New Roman"/>
          <w:color w:val="auto"/>
          <w:szCs w:val="24"/>
        </w:rPr>
      </w:pPr>
      <w:r>
        <w:rPr>
          <w:rFonts w:cs="Times New Roman"/>
          <w:color w:val="auto"/>
          <w:szCs w:val="24"/>
        </w:rPr>
        <w:t>（3）探头输入：单通道或双通道；可选配最多2路0/4~20mA输入；</w:t>
      </w:r>
    </w:p>
    <w:p>
      <w:pPr>
        <w:pStyle w:val="29"/>
        <w:ind w:firstLine="472"/>
        <w:rPr>
          <w:rFonts w:cs="Times New Roman"/>
          <w:color w:val="auto"/>
          <w:szCs w:val="24"/>
        </w:rPr>
      </w:pPr>
      <w:r>
        <w:rPr>
          <w:rFonts w:cs="Times New Roman"/>
          <w:color w:val="auto"/>
          <w:szCs w:val="24"/>
        </w:rPr>
        <w:t>（5）输出：两路模拟的0/4-20mA输出信号，带独立的PID控制功能；</w:t>
      </w:r>
    </w:p>
    <w:p>
      <w:pPr>
        <w:pStyle w:val="29"/>
        <w:ind w:firstLine="472"/>
        <w:rPr>
          <w:rFonts w:cs="Times New Roman"/>
          <w:color w:val="auto"/>
          <w:szCs w:val="24"/>
        </w:rPr>
      </w:pPr>
      <w:r>
        <w:rPr>
          <w:rFonts w:cs="Times New Roman"/>
          <w:color w:val="auto"/>
          <w:szCs w:val="24"/>
        </w:rPr>
        <w:t>（6）通讯方式：ProfibusDP、ModbusTCP/IP、ProfinetIO、EtherNet/IP，可选；</w:t>
      </w:r>
    </w:p>
    <w:p>
      <w:pPr>
        <w:pStyle w:val="29"/>
        <w:ind w:firstLine="472"/>
        <w:rPr>
          <w:rFonts w:cs="Times New Roman"/>
          <w:color w:val="auto"/>
          <w:szCs w:val="24"/>
        </w:rPr>
      </w:pPr>
      <w:r>
        <w:rPr>
          <w:rFonts w:cs="Times New Roman"/>
          <w:color w:val="auto"/>
          <w:szCs w:val="24"/>
        </w:rPr>
        <w:t>（7）工作环境：-20~60℃，0~95%相对湿度、无冷凝；</w:t>
      </w:r>
    </w:p>
    <w:p>
      <w:pPr>
        <w:pStyle w:val="29"/>
        <w:ind w:firstLine="472"/>
        <w:rPr>
          <w:rFonts w:cs="Times New Roman"/>
          <w:color w:val="auto"/>
          <w:szCs w:val="24"/>
        </w:rPr>
      </w:pPr>
      <w:r>
        <w:rPr>
          <w:rFonts w:cs="Times New Roman"/>
          <w:color w:val="auto"/>
          <w:szCs w:val="24"/>
        </w:rPr>
        <w:t>（8）继电器：两个SPDT触头；</w:t>
      </w:r>
    </w:p>
    <w:p>
      <w:pPr>
        <w:pStyle w:val="29"/>
        <w:ind w:firstLine="472"/>
        <w:rPr>
          <w:rFonts w:cs="Times New Roman"/>
          <w:color w:val="auto"/>
          <w:szCs w:val="24"/>
        </w:rPr>
      </w:pPr>
      <w:r>
        <w:rPr>
          <w:rFonts w:cs="Times New Roman"/>
          <w:color w:val="auto"/>
          <w:szCs w:val="24"/>
        </w:rPr>
        <w:t>（9）数据存储：控制器为每个传感器记录约20,000个数据，可通过UBS端口下载；</w:t>
      </w:r>
    </w:p>
    <w:p>
      <w:pPr>
        <w:pStyle w:val="29"/>
        <w:ind w:firstLine="472"/>
        <w:rPr>
          <w:rFonts w:cs="Times New Roman"/>
          <w:color w:val="auto"/>
          <w:szCs w:val="24"/>
        </w:rPr>
      </w:pPr>
      <w:r>
        <w:rPr>
          <w:rFonts w:cs="Times New Roman"/>
          <w:color w:val="auto"/>
          <w:szCs w:val="24"/>
        </w:rPr>
        <w:t>（10）外壳防护等级：UL50E4X型，IEC/EN60529-IP66，NEMA2504X型，耐腐蚀金属外壳；</w:t>
      </w:r>
    </w:p>
    <w:p>
      <w:pPr>
        <w:pStyle w:val="29"/>
        <w:ind w:firstLine="472"/>
        <w:rPr>
          <w:rFonts w:cs="Times New Roman"/>
          <w:color w:val="auto"/>
          <w:szCs w:val="24"/>
        </w:rPr>
      </w:pPr>
      <w:r>
        <w:rPr>
          <w:rFonts w:cs="Times New Roman"/>
          <w:color w:val="auto"/>
          <w:szCs w:val="24"/>
        </w:rPr>
        <w:t>（11）电源：100~240VAC±10%，50/60Hz；18~28VDC；</w:t>
      </w:r>
    </w:p>
    <w:p>
      <w:pPr>
        <w:pStyle w:val="29"/>
        <w:ind w:firstLine="472"/>
        <w:rPr>
          <w:rFonts w:cs="Times New Roman"/>
          <w:color w:val="auto"/>
          <w:szCs w:val="24"/>
        </w:rPr>
      </w:pPr>
      <w:r>
        <w:rPr>
          <w:rFonts w:cs="Times New Roman"/>
          <w:color w:val="auto"/>
          <w:szCs w:val="24"/>
        </w:rPr>
        <w:t>（12）电子认证：符合CE认证/ETL认证、UL认证和CSA安全标准（适用于所有传感器类型）、FCC、ISED、KC、RCM、EAC、UKCA、SABS、C（摩洛哥）；</w:t>
      </w:r>
    </w:p>
    <w:p>
      <w:pPr>
        <w:pStyle w:val="29"/>
        <w:ind w:firstLine="472"/>
        <w:rPr>
          <w:rFonts w:cs="Times New Roman"/>
          <w:color w:val="auto"/>
          <w:szCs w:val="24"/>
        </w:rPr>
      </w:pPr>
      <w:r>
        <w:rPr>
          <w:rFonts w:cs="Times New Roman"/>
          <w:color w:val="auto"/>
          <w:szCs w:val="24"/>
        </w:rPr>
        <w:t>（13）安装方式：壁挂/面板/夹管式安装；</w:t>
      </w:r>
    </w:p>
    <w:p>
      <w:pPr>
        <w:pStyle w:val="29"/>
        <w:ind w:firstLine="472"/>
        <w:rPr>
          <w:rFonts w:cs="Times New Roman"/>
          <w:color w:val="auto"/>
          <w:szCs w:val="24"/>
        </w:rPr>
      </w:pPr>
      <w:r>
        <w:rPr>
          <w:rFonts w:cs="Times New Roman"/>
          <w:color w:val="auto"/>
          <w:szCs w:val="24"/>
        </w:rPr>
        <w:t>（14）外壳材质：聚碳酸酯，铝质（镀粉末）；</w:t>
      </w:r>
    </w:p>
    <w:p>
      <w:pPr>
        <w:pStyle w:val="29"/>
        <w:ind w:firstLine="0" w:firstLineChars="0"/>
        <w:rPr>
          <w:rFonts w:cs="Times New Roman"/>
          <w:b/>
          <w:bCs/>
          <w:color w:val="auto"/>
          <w:szCs w:val="24"/>
        </w:rPr>
      </w:pPr>
      <w:bookmarkStart w:id="114" w:name="_Toc386122688"/>
      <w:r>
        <w:rPr>
          <w:rFonts w:cs="Times New Roman"/>
          <w:b/>
          <w:bCs/>
          <w:color w:val="auto"/>
          <w:szCs w:val="24"/>
        </w:rPr>
        <w:t>8.pH分析仪</w:t>
      </w:r>
      <w:bookmarkEnd w:id="114"/>
    </w:p>
    <w:p>
      <w:pPr>
        <w:spacing w:line="360" w:lineRule="auto"/>
        <w:ind w:firstLine="482" w:firstLineChars="200"/>
        <w:rPr>
          <w:rFonts w:ascii="Times New Roman" w:hAnsi="Times New Roman" w:cs="Times New Roman"/>
          <w:b/>
          <w:color w:val="auto"/>
          <w:sz w:val="24"/>
          <w:szCs w:val="24"/>
          <w:lang w:eastAsia="zh-CN"/>
        </w:rPr>
      </w:pPr>
      <w:r>
        <w:rPr>
          <w:rFonts w:ascii="Times New Roman" w:hAnsi="Times New Roman" w:cs="Times New Roman"/>
          <w:b/>
          <w:color w:val="auto"/>
          <w:sz w:val="24"/>
          <w:szCs w:val="24"/>
          <w:lang w:eastAsia="zh-CN"/>
        </w:rPr>
        <w:t>pH传感器技术参数：</w:t>
      </w:r>
    </w:p>
    <w:p>
      <w:pPr>
        <w:numPr>
          <w:ilvl w:val="0"/>
          <w:numId w:val="12"/>
        </w:numPr>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*测量原理：差分电极，带双阶参比电极（接地电极和参比电极），自动温度补偿；</w:t>
      </w:r>
    </w:p>
    <w:p>
      <w:pPr>
        <w:numPr>
          <w:ilvl w:val="0"/>
          <w:numId w:val="12"/>
        </w:numPr>
        <w:spacing w:line="360" w:lineRule="auto"/>
        <w:ind w:left="540" w:hanging="120"/>
        <w:jc w:val="both"/>
        <w:rPr>
          <w:rFonts w:ascii="Times New Roman" w:hAnsi="Times New Roman" w:cs="Times New Roman"/>
          <w:color w:val="auto"/>
          <w:sz w:val="24"/>
          <w:szCs w:val="24"/>
        </w:rPr>
      </w:pPr>
      <w:r>
        <w:rPr>
          <w:rFonts w:ascii="Times New Roman" w:hAnsi="Times New Roman" w:cs="Times New Roman"/>
          <w:color w:val="auto"/>
          <w:sz w:val="24"/>
          <w:szCs w:val="24"/>
        </w:rPr>
        <w:t>测量范围：0~14pH；</w:t>
      </w:r>
    </w:p>
    <w:p>
      <w:pPr>
        <w:numPr>
          <w:ilvl w:val="0"/>
          <w:numId w:val="12"/>
        </w:numPr>
        <w:spacing w:line="360" w:lineRule="auto"/>
        <w:ind w:left="540" w:hanging="120"/>
        <w:jc w:val="both"/>
        <w:rPr>
          <w:rFonts w:ascii="Times New Roman" w:hAnsi="Times New Roman" w:cs="Times New Roman"/>
          <w:color w:val="auto"/>
          <w:sz w:val="24"/>
          <w:szCs w:val="24"/>
        </w:rPr>
      </w:pPr>
      <w:r>
        <w:rPr>
          <w:rFonts w:ascii="Times New Roman" w:hAnsi="Times New Roman" w:cs="Times New Roman"/>
          <w:color w:val="auto"/>
          <w:sz w:val="24"/>
          <w:szCs w:val="24"/>
        </w:rPr>
        <w:t>*灵敏度：±0.01pH；</w:t>
      </w:r>
    </w:p>
    <w:p>
      <w:pPr>
        <w:numPr>
          <w:ilvl w:val="0"/>
          <w:numId w:val="12"/>
        </w:numPr>
        <w:spacing w:line="360" w:lineRule="auto"/>
        <w:ind w:left="540" w:hanging="12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*稳定性：每24小时0.03pH，不累积；</w:t>
      </w:r>
    </w:p>
    <w:p>
      <w:pPr>
        <w:numPr>
          <w:ilvl w:val="0"/>
          <w:numId w:val="12"/>
        </w:numPr>
        <w:spacing w:line="360" w:lineRule="auto"/>
        <w:ind w:left="540" w:hanging="120"/>
        <w:jc w:val="both"/>
        <w:rPr>
          <w:rFonts w:ascii="Times New Roman" w:hAnsi="Times New Roman" w:cs="Times New Roman"/>
          <w:color w:val="auto"/>
          <w:sz w:val="24"/>
          <w:szCs w:val="24"/>
        </w:rPr>
      </w:pPr>
      <w:r>
        <w:rPr>
          <w:rFonts w:ascii="Times New Roman" w:hAnsi="Times New Roman" w:cs="Times New Roman"/>
          <w:color w:val="auto"/>
          <w:sz w:val="24"/>
          <w:szCs w:val="24"/>
        </w:rPr>
        <w:t>工作温度范围：-5~95℃；</w:t>
      </w:r>
    </w:p>
    <w:p>
      <w:pPr>
        <w:numPr>
          <w:ilvl w:val="0"/>
          <w:numId w:val="12"/>
        </w:numPr>
        <w:spacing w:line="360" w:lineRule="auto"/>
        <w:ind w:left="540" w:hanging="12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*传感器最大传输距离：914m；</w:t>
      </w:r>
    </w:p>
    <w:p>
      <w:pPr>
        <w:numPr>
          <w:ilvl w:val="0"/>
          <w:numId w:val="12"/>
        </w:numPr>
        <w:spacing w:line="360" w:lineRule="auto"/>
        <w:ind w:left="540" w:hanging="12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传感器压力上限（不带安装附件）：6.9bar（105℃，模拟传感器）；</w:t>
      </w:r>
    </w:p>
    <w:p>
      <w:pPr>
        <w:numPr>
          <w:ilvl w:val="0"/>
          <w:numId w:val="12"/>
        </w:numPr>
        <w:spacing w:line="360" w:lineRule="auto"/>
        <w:ind w:left="540" w:hanging="12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内置温度传感器：NTC300</w:t>
      </w:r>
      <w:r>
        <w:rPr>
          <w:rFonts w:ascii="Times New Roman" w:hAnsi="Times New Roman" w:cs="Times New Roman"/>
          <w:color w:val="auto"/>
          <w:sz w:val="24"/>
          <w:szCs w:val="24"/>
        </w:rPr>
        <w:t>Ω</w:t>
      </w:r>
      <w:r>
        <w:rPr>
          <w:rFonts w:ascii="Times New Roman" w:hAnsi="Times New Roman" w:cs="Times New Roman"/>
          <w:color w:val="auto"/>
          <w:sz w:val="24"/>
          <w:szCs w:val="24"/>
          <w:lang w:eastAsia="zh-CN"/>
        </w:rPr>
        <w:t>热敏电阻，提供自动温度补偿，分析仪显示温度值；</w:t>
      </w:r>
    </w:p>
    <w:p>
      <w:pPr>
        <w:numPr>
          <w:ilvl w:val="0"/>
          <w:numId w:val="12"/>
        </w:numPr>
        <w:spacing w:line="360" w:lineRule="auto"/>
        <w:ind w:left="540" w:hanging="120"/>
        <w:jc w:val="both"/>
        <w:rPr>
          <w:rFonts w:ascii="Times New Roman" w:hAnsi="Times New Roman" w:cs="Times New Roman"/>
          <w:color w:val="auto"/>
          <w:sz w:val="24"/>
          <w:szCs w:val="24"/>
        </w:rPr>
      </w:pPr>
      <w:r>
        <w:rPr>
          <w:rFonts w:ascii="Times New Roman" w:hAnsi="Times New Roman" w:cs="Times New Roman"/>
          <w:color w:val="auto"/>
          <w:sz w:val="24"/>
          <w:szCs w:val="24"/>
        </w:rPr>
        <w:t>水样流速：最大3m/s；</w:t>
      </w:r>
    </w:p>
    <w:p>
      <w:pPr>
        <w:numPr>
          <w:ilvl w:val="0"/>
          <w:numId w:val="12"/>
        </w:numPr>
        <w:spacing w:line="360" w:lineRule="auto"/>
        <w:ind w:left="540" w:hanging="12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*电缆长度：4.5m；</w:t>
      </w:r>
    </w:p>
    <w:p>
      <w:pPr>
        <w:numPr>
          <w:ilvl w:val="0"/>
          <w:numId w:val="12"/>
        </w:numPr>
        <w:spacing w:line="360" w:lineRule="auto"/>
        <w:ind w:left="540" w:hanging="120"/>
        <w:jc w:val="both"/>
        <w:rPr>
          <w:rFonts w:ascii="Times New Roman" w:hAnsi="Times New Roman" w:cs="Times New Roman"/>
          <w:color w:val="auto"/>
          <w:sz w:val="24"/>
          <w:szCs w:val="24"/>
        </w:rPr>
      </w:pPr>
      <w:r>
        <w:rPr>
          <w:rFonts w:ascii="Times New Roman" w:hAnsi="Times New Roman" w:cs="Times New Roman"/>
          <w:color w:val="auto"/>
          <w:sz w:val="24"/>
          <w:szCs w:val="24"/>
        </w:rPr>
        <w:t>防护等级：IP68；</w:t>
      </w:r>
    </w:p>
    <w:p>
      <w:pPr>
        <w:spacing w:line="360" w:lineRule="auto"/>
        <w:ind w:firstLine="482" w:firstLineChars="200"/>
        <w:rPr>
          <w:rFonts w:ascii="Times New Roman" w:hAnsi="Times New Roman" w:cs="Times New Roman"/>
          <w:b/>
          <w:color w:val="auto"/>
          <w:sz w:val="24"/>
          <w:szCs w:val="24"/>
        </w:rPr>
      </w:pPr>
      <w:r>
        <w:rPr>
          <w:rFonts w:ascii="Times New Roman" w:hAnsi="Times New Roman" w:cs="Times New Roman"/>
          <w:b/>
          <w:color w:val="auto"/>
          <w:sz w:val="24"/>
          <w:szCs w:val="24"/>
        </w:rPr>
        <w:t>控制器技术参数：</w:t>
      </w:r>
    </w:p>
    <w:p>
      <w:pPr>
        <w:numPr>
          <w:ilvl w:val="0"/>
          <w:numId w:val="13"/>
        </w:numPr>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*显示：图形数据点阵LCD，带LED背景灯照明，半透明反射式；在任意光线下可读；</w:t>
      </w:r>
    </w:p>
    <w:p>
      <w:pPr>
        <w:numPr>
          <w:ilvl w:val="0"/>
          <w:numId w:val="13"/>
        </w:numPr>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显示屏分辨率：160×240像素；</w:t>
      </w:r>
    </w:p>
    <w:p>
      <w:pPr>
        <w:numPr>
          <w:ilvl w:val="0"/>
          <w:numId w:val="13"/>
        </w:numPr>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显示屏尺寸：48×68mm；</w:t>
      </w:r>
    </w:p>
    <w:p>
      <w:pPr>
        <w:numPr>
          <w:ilvl w:val="0"/>
          <w:numId w:val="13"/>
        </w:numPr>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安全等级：两个密码保护；</w:t>
      </w:r>
    </w:p>
    <w:p>
      <w:pPr>
        <w:numPr>
          <w:ilvl w:val="0"/>
          <w:numId w:val="13"/>
        </w:numPr>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*探头输入：单通道或双通道；模拟和数字传感器任意搭配和组合使用；</w:t>
      </w:r>
    </w:p>
    <w:p>
      <w:pPr>
        <w:numPr>
          <w:ilvl w:val="0"/>
          <w:numId w:val="13"/>
        </w:numPr>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*输出：两路模拟的0/4~20mA输出信号，带独立的PID控制功能；3个额外的4~20mA输出（可选）；</w:t>
      </w:r>
    </w:p>
    <w:p>
      <w:pPr>
        <w:numPr>
          <w:ilvl w:val="0"/>
          <w:numId w:val="13"/>
        </w:numPr>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工作环境：-20~60℃，0~95%相对湿度、无冷凝；</w:t>
      </w:r>
    </w:p>
    <w:p>
      <w:pPr>
        <w:numPr>
          <w:ilvl w:val="0"/>
          <w:numId w:val="13"/>
        </w:numPr>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存储环境：-20~70℃，0~95%相对湿度、无冷凝；</w:t>
      </w:r>
    </w:p>
    <w:p>
      <w:pPr>
        <w:numPr>
          <w:ilvl w:val="0"/>
          <w:numId w:val="13"/>
        </w:numPr>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继电器：四个SPDT（C型）触头，1200W，5A，250Vac；</w:t>
      </w:r>
    </w:p>
    <w:p>
      <w:pPr>
        <w:numPr>
          <w:ilvl w:val="0"/>
          <w:numId w:val="13"/>
        </w:numPr>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电气接口：1/2”；</w:t>
      </w:r>
    </w:p>
    <w:p>
      <w:pPr>
        <w:numPr>
          <w:ilvl w:val="0"/>
          <w:numId w:val="13"/>
        </w:numPr>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*数据存储：有2个数据记录仪，每个为128Kb。记录数据以XML的格式被下载到SD（4G）卡上（可选）；</w:t>
      </w:r>
    </w:p>
    <w:p>
      <w:pPr>
        <w:numPr>
          <w:ilvl w:val="0"/>
          <w:numId w:val="13"/>
        </w:numPr>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外壳防护等级：NEMA4X/IP66；</w:t>
      </w:r>
    </w:p>
    <w:p>
      <w:pPr>
        <w:numPr>
          <w:ilvl w:val="0"/>
          <w:numId w:val="13"/>
        </w:numPr>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*电源：100~240VAC±10%，50/60Hz；</w:t>
      </w:r>
    </w:p>
    <w:p>
      <w:pPr>
        <w:numPr>
          <w:ilvl w:val="0"/>
          <w:numId w:val="13"/>
        </w:numPr>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通讯协议：MODBUS RS485协议；</w:t>
      </w:r>
    </w:p>
    <w:p>
      <w:pPr>
        <w:numPr>
          <w:ilvl w:val="0"/>
          <w:numId w:val="13"/>
        </w:numPr>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电子认证：EMC：CE认证，电磁和辐射排放符合EN50081-2，抗干扰符合EN 61000-6-2；</w:t>
      </w:r>
    </w:p>
    <w:p>
      <w:pPr>
        <w:numPr>
          <w:ilvl w:val="0"/>
          <w:numId w:val="13"/>
        </w:numPr>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安装方式：壁挂/面板/夹管式安装；</w:t>
      </w:r>
    </w:p>
    <w:p>
      <w:pPr>
        <w:pStyle w:val="29"/>
        <w:ind w:firstLine="0" w:firstLineChars="0"/>
        <w:rPr>
          <w:rFonts w:cs="Times New Roman"/>
          <w:b/>
          <w:bCs/>
          <w:color w:val="auto"/>
          <w:szCs w:val="24"/>
        </w:rPr>
      </w:pPr>
      <w:bookmarkStart w:id="115" w:name="_Toc386122715"/>
      <w:r>
        <w:rPr>
          <w:rFonts w:cs="Times New Roman"/>
          <w:b/>
          <w:bCs/>
          <w:color w:val="auto"/>
          <w:szCs w:val="24"/>
        </w:rPr>
        <w:t>9.浊度/悬浮物（污泥浓度）分析仪</w:t>
      </w:r>
      <w:bookmarkEnd w:id="115"/>
    </w:p>
    <w:p>
      <w:pPr>
        <w:spacing w:line="360" w:lineRule="auto"/>
        <w:ind w:firstLine="482" w:firstLineChars="200"/>
        <w:rPr>
          <w:rFonts w:ascii="Times New Roman" w:hAnsi="Times New Roman" w:cs="Times New Roman"/>
          <w:b/>
          <w:color w:val="auto"/>
          <w:sz w:val="24"/>
          <w:szCs w:val="24"/>
          <w:lang w:eastAsia="zh-CN"/>
        </w:rPr>
      </w:pPr>
      <w:r>
        <w:rPr>
          <w:rFonts w:ascii="Times New Roman" w:hAnsi="Times New Roman" w:cs="Times New Roman"/>
          <w:b/>
          <w:color w:val="auto"/>
          <w:sz w:val="24"/>
          <w:szCs w:val="24"/>
          <w:lang w:eastAsia="zh-CN"/>
        </w:rPr>
        <w:t>污泥浓度/浊度传感器技术参数：</w:t>
      </w:r>
    </w:p>
    <w:p>
      <w:pPr>
        <w:numPr>
          <w:ilvl w:val="0"/>
          <w:numId w:val="14"/>
        </w:numPr>
        <w:tabs>
          <w:tab w:val="left" w:pos="840"/>
        </w:tabs>
        <w:spacing w:line="360" w:lineRule="auto"/>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*测量原理：双光束近红外光/散射光，90°和140°检测器，不受样品颜色干扰；</w:t>
      </w:r>
    </w:p>
    <w:p>
      <w:pPr>
        <w:numPr>
          <w:ilvl w:val="0"/>
          <w:numId w:val="14"/>
        </w:numPr>
        <w:tabs>
          <w:tab w:val="left" w:pos="840"/>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*测量范围：浊度：0.001~4000NTU；</w:t>
      </w:r>
    </w:p>
    <w:p>
      <w:pPr>
        <w:spacing w:line="360" w:lineRule="auto"/>
        <w:ind w:left="426" w:firstLine="1800" w:firstLineChars="750"/>
        <w:rPr>
          <w:rFonts w:ascii="Times New Roman" w:hAnsi="Times New Roman" w:cs="Times New Roman"/>
          <w:color w:val="auto"/>
          <w:sz w:val="24"/>
          <w:szCs w:val="24"/>
        </w:rPr>
      </w:pPr>
      <w:r>
        <w:rPr>
          <w:rFonts w:ascii="Times New Roman" w:hAnsi="Times New Roman" w:cs="Times New Roman"/>
          <w:color w:val="auto"/>
          <w:sz w:val="24"/>
          <w:szCs w:val="24"/>
        </w:rPr>
        <w:t>固体悬浮物：0.001mg/L~50g/L或0.001mg/L~500g/L；</w:t>
      </w:r>
    </w:p>
    <w:p>
      <w:pPr>
        <w:numPr>
          <w:ilvl w:val="0"/>
          <w:numId w:val="14"/>
        </w:numPr>
        <w:tabs>
          <w:tab w:val="left" w:pos="840"/>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*精度：测量浊度时：小于读数的1%；</w:t>
      </w:r>
    </w:p>
    <w:p>
      <w:pPr>
        <w:spacing w:line="360" w:lineRule="auto"/>
        <w:ind w:left="426"/>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 xml:space="preserve">           测量固体悬浮物时：小于读数的5%；</w:t>
      </w:r>
    </w:p>
    <w:p>
      <w:pPr>
        <w:numPr>
          <w:ilvl w:val="0"/>
          <w:numId w:val="14"/>
        </w:numPr>
        <w:tabs>
          <w:tab w:val="left" w:pos="840"/>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*重现性：测量浊度时：小于读数的1%；</w:t>
      </w:r>
    </w:p>
    <w:p>
      <w:pPr>
        <w:spacing w:line="360" w:lineRule="auto"/>
        <w:ind w:left="426"/>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 xml:space="preserve">             测量固体悬浮物时：小于读数的3%；</w:t>
      </w:r>
    </w:p>
    <w:p>
      <w:pPr>
        <w:numPr>
          <w:ilvl w:val="0"/>
          <w:numId w:val="14"/>
        </w:numPr>
        <w:tabs>
          <w:tab w:val="left" w:pos="840"/>
        </w:tabs>
        <w:spacing w:line="360" w:lineRule="auto"/>
        <w:ind w:left="426" w:hanging="6"/>
        <w:jc w:val="both"/>
        <w:rPr>
          <w:rFonts w:ascii="Times New Roman" w:hAnsi="Times New Roman" w:cs="Times New Roman"/>
          <w:color w:val="auto"/>
          <w:sz w:val="24"/>
          <w:szCs w:val="24"/>
        </w:rPr>
      </w:pPr>
      <w:r>
        <w:rPr>
          <w:rFonts w:ascii="Times New Roman" w:hAnsi="Times New Roman" w:cs="Times New Roman"/>
          <w:color w:val="auto"/>
          <w:sz w:val="24"/>
          <w:szCs w:val="24"/>
        </w:rPr>
        <w:t>*响应时间：1秒；</w:t>
      </w:r>
    </w:p>
    <w:p>
      <w:pPr>
        <w:numPr>
          <w:ilvl w:val="0"/>
          <w:numId w:val="14"/>
        </w:numPr>
        <w:tabs>
          <w:tab w:val="left" w:pos="840"/>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*形式：316不锈钢或PVC材质，具有自诊断功能和机械式刮片自清洗功能；</w:t>
      </w:r>
    </w:p>
    <w:p>
      <w:pPr>
        <w:numPr>
          <w:ilvl w:val="0"/>
          <w:numId w:val="14"/>
        </w:numPr>
        <w:tabs>
          <w:tab w:val="left" w:pos="840"/>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测量单位：浊度：NTU，FNU，或TE/F；</w:t>
      </w:r>
    </w:p>
    <w:p>
      <w:pPr>
        <w:spacing w:line="360" w:lineRule="auto"/>
        <w:ind w:left="426"/>
        <w:rPr>
          <w:rFonts w:ascii="Times New Roman" w:hAnsi="Times New Roman" w:cs="Times New Roman"/>
          <w:color w:val="auto"/>
          <w:sz w:val="24"/>
          <w:szCs w:val="24"/>
        </w:rPr>
      </w:pPr>
      <w:r>
        <w:rPr>
          <w:rFonts w:ascii="Times New Roman" w:hAnsi="Times New Roman" w:cs="Times New Roman"/>
          <w:color w:val="auto"/>
          <w:sz w:val="24"/>
          <w:szCs w:val="24"/>
          <w:lang w:eastAsia="zh-CN"/>
        </w:rPr>
        <w:t xml:space="preserve">              </w:t>
      </w:r>
      <w:r>
        <w:rPr>
          <w:rFonts w:ascii="Times New Roman" w:hAnsi="Times New Roman" w:cs="Times New Roman"/>
          <w:color w:val="auto"/>
          <w:sz w:val="24"/>
          <w:szCs w:val="24"/>
        </w:rPr>
        <w:t>悬浮固体：g/L，mg/L，ppm，或%</w:t>
      </w:r>
    </w:p>
    <w:p>
      <w:pPr>
        <w:numPr>
          <w:ilvl w:val="0"/>
          <w:numId w:val="14"/>
        </w:numPr>
        <w:tabs>
          <w:tab w:val="left" w:pos="840"/>
        </w:tabs>
        <w:spacing w:line="360" w:lineRule="auto"/>
        <w:ind w:left="426" w:hanging="6"/>
        <w:jc w:val="both"/>
        <w:rPr>
          <w:rFonts w:ascii="Times New Roman" w:hAnsi="Times New Roman" w:cs="Times New Roman"/>
          <w:color w:val="auto"/>
          <w:sz w:val="24"/>
          <w:szCs w:val="24"/>
        </w:rPr>
      </w:pPr>
      <w:r>
        <w:rPr>
          <w:rFonts w:ascii="Times New Roman" w:hAnsi="Times New Roman" w:cs="Times New Roman"/>
          <w:color w:val="auto"/>
          <w:sz w:val="24"/>
          <w:szCs w:val="24"/>
        </w:rPr>
        <w:t>工作温度：0℃~40℃；</w:t>
      </w:r>
    </w:p>
    <w:p>
      <w:pPr>
        <w:numPr>
          <w:ilvl w:val="0"/>
          <w:numId w:val="14"/>
        </w:numPr>
        <w:tabs>
          <w:tab w:val="left" w:pos="840"/>
        </w:tabs>
        <w:spacing w:line="360" w:lineRule="auto"/>
        <w:ind w:left="426" w:hanging="6"/>
        <w:jc w:val="both"/>
        <w:rPr>
          <w:rFonts w:ascii="Times New Roman" w:hAnsi="Times New Roman" w:cs="Times New Roman"/>
          <w:color w:val="auto"/>
          <w:sz w:val="24"/>
          <w:szCs w:val="24"/>
        </w:rPr>
      </w:pPr>
      <w:r>
        <w:rPr>
          <w:rFonts w:ascii="Times New Roman" w:hAnsi="Times New Roman" w:cs="Times New Roman"/>
          <w:color w:val="auto"/>
          <w:sz w:val="24"/>
          <w:szCs w:val="24"/>
        </w:rPr>
        <w:t>防护等级：IP68；</w:t>
      </w:r>
    </w:p>
    <w:p>
      <w:pPr>
        <w:numPr>
          <w:ilvl w:val="0"/>
          <w:numId w:val="14"/>
        </w:numPr>
        <w:tabs>
          <w:tab w:val="left" w:pos="840"/>
        </w:tabs>
        <w:spacing w:line="360" w:lineRule="auto"/>
        <w:ind w:left="426" w:hanging="6"/>
        <w:jc w:val="both"/>
        <w:rPr>
          <w:rFonts w:ascii="Times New Roman" w:hAnsi="Times New Roman" w:cs="Times New Roman"/>
          <w:color w:val="auto"/>
          <w:sz w:val="24"/>
          <w:szCs w:val="24"/>
        </w:rPr>
      </w:pPr>
      <w:r>
        <w:rPr>
          <w:rFonts w:ascii="Times New Roman" w:hAnsi="Times New Roman" w:cs="Times New Roman"/>
          <w:color w:val="auto"/>
          <w:sz w:val="24"/>
          <w:szCs w:val="24"/>
        </w:rPr>
        <w:t>电缆长度：10m；</w:t>
      </w:r>
    </w:p>
    <w:p>
      <w:pPr>
        <w:spacing w:line="360" w:lineRule="auto"/>
        <w:ind w:firstLine="482" w:firstLineChars="200"/>
        <w:rPr>
          <w:rFonts w:ascii="Times New Roman" w:hAnsi="Times New Roman" w:cs="Times New Roman"/>
          <w:color w:val="auto"/>
          <w:sz w:val="24"/>
          <w:szCs w:val="24"/>
          <w:lang w:eastAsia="zh-CN"/>
        </w:rPr>
      </w:pPr>
      <w:r>
        <w:rPr>
          <w:rFonts w:ascii="Times New Roman" w:hAnsi="Times New Roman" w:cs="Times New Roman"/>
          <w:b/>
          <w:color w:val="auto"/>
          <w:sz w:val="24"/>
          <w:szCs w:val="24"/>
          <w:lang w:eastAsia="zh-CN"/>
        </w:rPr>
        <w:t>控制器技术参数：</w:t>
      </w:r>
      <w:r>
        <w:rPr>
          <w:rFonts w:ascii="Times New Roman" w:hAnsi="Times New Roman" w:cs="Times New Roman"/>
          <w:b/>
          <w:bCs/>
          <w:color w:val="auto"/>
          <w:sz w:val="24"/>
          <w:szCs w:val="24"/>
          <w:lang w:eastAsia="zh-CN"/>
        </w:rPr>
        <w:t>同pH分析仪控制器</w:t>
      </w:r>
    </w:p>
    <w:p>
      <w:pPr>
        <w:pStyle w:val="29"/>
        <w:ind w:firstLine="0" w:firstLineChars="0"/>
        <w:rPr>
          <w:rFonts w:cs="Times New Roman"/>
          <w:b/>
          <w:bCs/>
          <w:color w:val="auto"/>
          <w:szCs w:val="24"/>
        </w:rPr>
      </w:pPr>
      <w:bookmarkStart w:id="116" w:name="_Toc386122690"/>
      <w:r>
        <w:rPr>
          <w:rFonts w:cs="Times New Roman"/>
          <w:b/>
          <w:bCs/>
          <w:color w:val="auto"/>
          <w:szCs w:val="24"/>
        </w:rPr>
        <w:t>10.ORP氧化还原电位分析仪</w:t>
      </w:r>
      <w:bookmarkEnd w:id="116"/>
    </w:p>
    <w:p>
      <w:pPr>
        <w:spacing w:line="360" w:lineRule="auto"/>
        <w:ind w:firstLine="482" w:firstLineChars="200"/>
        <w:rPr>
          <w:rFonts w:ascii="Times New Roman" w:hAnsi="Times New Roman" w:cs="Times New Roman"/>
          <w:b/>
          <w:color w:val="auto"/>
          <w:sz w:val="24"/>
          <w:szCs w:val="24"/>
          <w:lang w:eastAsia="zh-CN"/>
        </w:rPr>
      </w:pPr>
      <w:r>
        <w:rPr>
          <w:rFonts w:ascii="Times New Roman" w:hAnsi="Times New Roman" w:cs="Times New Roman"/>
          <w:b/>
          <w:color w:val="auto"/>
          <w:sz w:val="24"/>
          <w:szCs w:val="24"/>
          <w:lang w:eastAsia="zh-CN"/>
        </w:rPr>
        <w:t>ORP传感器技术参数：</w:t>
      </w:r>
    </w:p>
    <w:p>
      <w:pPr>
        <w:numPr>
          <w:ilvl w:val="0"/>
          <w:numId w:val="15"/>
        </w:numPr>
        <w:tabs>
          <w:tab w:val="left" w:pos="851"/>
        </w:tabs>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*测量原理：差分式电极（含温度电极），带双阶参比电极（接地电极和参比电极）；</w:t>
      </w:r>
    </w:p>
    <w:p>
      <w:pPr>
        <w:numPr>
          <w:ilvl w:val="0"/>
          <w:numId w:val="15"/>
        </w:numPr>
        <w:tabs>
          <w:tab w:val="left" w:pos="851"/>
        </w:tabs>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*测量范围：-1500~+1500mv/-5~95℃；</w:t>
      </w:r>
    </w:p>
    <w:p>
      <w:pPr>
        <w:numPr>
          <w:ilvl w:val="0"/>
          <w:numId w:val="15"/>
        </w:numPr>
        <w:tabs>
          <w:tab w:val="left" w:pos="851"/>
        </w:tabs>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*灵敏度：±0.5mV；</w:t>
      </w:r>
    </w:p>
    <w:p>
      <w:pPr>
        <w:numPr>
          <w:ilvl w:val="0"/>
          <w:numId w:val="15"/>
        </w:numPr>
        <w:tabs>
          <w:tab w:val="left" w:pos="851"/>
        </w:tabs>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稳定性：每24小时2mV，不累积；</w:t>
      </w:r>
    </w:p>
    <w:p>
      <w:pPr>
        <w:numPr>
          <w:ilvl w:val="0"/>
          <w:numId w:val="15"/>
        </w:numPr>
        <w:tabs>
          <w:tab w:val="left" w:pos="851"/>
        </w:tabs>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*探头最大传输距离：914m；</w:t>
      </w:r>
    </w:p>
    <w:p>
      <w:pPr>
        <w:numPr>
          <w:ilvl w:val="0"/>
          <w:numId w:val="15"/>
        </w:numPr>
        <w:tabs>
          <w:tab w:val="left" w:pos="851"/>
        </w:tabs>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传感器压力上限（不带安装附件）：6.9bar（105℃）；</w:t>
      </w:r>
    </w:p>
    <w:p>
      <w:pPr>
        <w:numPr>
          <w:ilvl w:val="0"/>
          <w:numId w:val="15"/>
        </w:numPr>
        <w:tabs>
          <w:tab w:val="left" w:pos="851"/>
        </w:tabs>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内置温度传感器：NTC300</w:t>
      </w:r>
      <w:r>
        <w:rPr>
          <w:rFonts w:ascii="Times New Roman" w:hAnsi="Times New Roman" w:cs="Times New Roman"/>
          <w:color w:val="auto"/>
          <w:sz w:val="24"/>
          <w:szCs w:val="24"/>
        </w:rPr>
        <w:t>Ω</w:t>
      </w:r>
      <w:r>
        <w:rPr>
          <w:rFonts w:ascii="Times New Roman" w:hAnsi="Times New Roman" w:cs="Times New Roman"/>
          <w:color w:val="auto"/>
          <w:sz w:val="24"/>
          <w:szCs w:val="24"/>
          <w:lang w:eastAsia="zh-CN"/>
        </w:rPr>
        <w:t>热敏电阻，分析仪显示温度值，不提供自动温度补偿；</w:t>
      </w:r>
    </w:p>
    <w:p>
      <w:pPr>
        <w:numPr>
          <w:ilvl w:val="0"/>
          <w:numId w:val="15"/>
        </w:numPr>
        <w:tabs>
          <w:tab w:val="left" w:pos="851"/>
        </w:tabs>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水样流速：最大3m/s；</w:t>
      </w:r>
    </w:p>
    <w:p>
      <w:pPr>
        <w:numPr>
          <w:ilvl w:val="0"/>
          <w:numId w:val="15"/>
        </w:numPr>
        <w:tabs>
          <w:tab w:val="left" w:pos="851"/>
        </w:tabs>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防护等级：IP68；</w:t>
      </w:r>
    </w:p>
    <w:p>
      <w:pPr>
        <w:numPr>
          <w:ilvl w:val="0"/>
          <w:numId w:val="15"/>
        </w:numPr>
        <w:tabs>
          <w:tab w:val="left" w:pos="851"/>
        </w:tabs>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电缆线长：4.5m，可延长；</w:t>
      </w:r>
    </w:p>
    <w:p>
      <w:pPr>
        <w:spacing w:line="360" w:lineRule="auto"/>
        <w:ind w:firstLine="482" w:firstLineChars="200"/>
        <w:rPr>
          <w:rFonts w:ascii="Times New Roman" w:hAnsi="Times New Roman" w:cs="Times New Roman"/>
          <w:b/>
          <w:color w:val="auto"/>
          <w:sz w:val="24"/>
          <w:szCs w:val="24"/>
          <w:lang w:eastAsia="zh-CN"/>
        </w:rPr>
      </w:pPr>
      <w:r>
        <w:rPr>
          <w:rFonts w:ascii="Times New Roman" w:hAnsi="Times New Roman" w:cs="Times New Roman"/>
          <w:b/>
          <w:color w:val="auto"/>
          <w:sz w:val="24"/>
          <w:szCs w:val="24"/>
          <w:lang w:eastAsia="zh-CN"/>
        </w:rPr>
        <w:t>控制器技术参数：同pH分析仪控制器</w:t>
      </w:r>
    </w:p>
    <w:p>
      <w:pPr>
        <w:pStyle w:val="29"/>
        <w:ind w:firstLine="0" w:firstLineChars="0"/>
        <w:rPr>
          <w:rFonts w:cs="Times New Roman"/>
          <w:b/>
          <w:bCs/>
          <w:color w:val="auto"/>
          <w:szCs w:val="24"/>
        </w:rPr>
      </w:pPr>
      <w:bookmarkStart w:id="117" w:name="_Hlk116920753"/>
      <w:r>
        <w:rPr>
          <w:rFonts w:cs="Times New Roman"/>
          <w:b/>
          <w:bCs/>
          <w:color w:val="auto"/>
          <w:szCs w:val="24"/>
        </w:rPr>
        <w:t>11.硝氮分析仪</w:t>
      </w:r>
    </w:p>
    <w:p>
      <w:pPr>
        <w:spacing w:line="360" w:lineRule="auto"/>
        <w:ind w:firstLine="482" w:firstLineChars="200"/>
        <w:rPr>
          <w:rFonts w:ascii="Times New Roman" w:hAnsi="Times New Roman" w:cs="Times New Roman"/>
          <w:b/>
          <w:color w:val="auto"/>
          <w:sz w:val="24"/>
          <w:szCs w:val="24"/>
          <w:lang w:eastAsia="zh-CN"/>
        </w:rPr>
      </w:pPr>
      <w:r>
        <w:rPr>
          <w:rFonts w:ascii="Times New Roman" w:hAnsi="Times New Roman" w:cs="Times New Roman"/>
          <w:b/>
          <w:color w:val="auto"/>
          <w:sz w:val="24"/>
          <w:szCs w:val="24"/>
          <w:lang w:eastAsia="zh-CN"/>
        </w:rPr>
        <w:t>硝氮传感器：</w:t>
      </w:r>
    </w:p>
    <w:p>
      <w:pPr>
        <w:numPr>
          <w:ilvl w:val="0"/>
          <w:numId w:val="16"/>
        </w:numPr>
        <w:tabs>
          <w:tab w:val="left" w:pos="851"/>
        </w:tabs>
        <w:spacing w:line="360" w:lineRule="auto"/>
        <w:ind w:left="444" w:leftChars="201" w:hanging="2" w:hangingChars="1"/>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*测量原理：210nm紫外光吸收技术测量水中亚硝酸盐和硝酸盐含量，无需化学试剂；</w:t>
      </w:r>
    </w:p>
    <w:p>
      <w:pPr>
        <w:numPr>
          <w:ilvl w:val="0"/>
          <w:numId w:val="16"/>
        </w:numPr>
        <w:tabs>
          <w:tab w:val="left" w:pos="851"/>
        </w:tabs>
        <w:spacing w:line="360" w:lineRule="auto"/>
        <w:ind w:left="444" w:leftChars="201" w:hanging="2" w:hangingChars="1"/>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补偿：自动补偿浊度和有机物干扰；</w:t>
      </w:r>
    </w:p>
    <w:p>
      <w:pPr>
        <w:numPr>
          <w:ilvl w:val="0"/>
          <w:numId w:val="16"/>
        </w:numPr>
        <w:tabs>
          <w:tab w:val="left" w:pos="851"/>
        </w:tabs>
        <w:spacing w:line="360" w:lineRule="auto"/>
        <w:ind w:left="444" w:leftChars="201" w:hanging="2" w:hangingChars="1"/>
        <w:jc w:val="both"/>
        <w:rPr>
          <w:rFonts w:ascii="Times New Roman" w:hAnsi="Times New Roman" w:cs="Times New Roman"/>
          <w:color w:val="auto"/>
          <w:sz w:val="24"/>
          <w:szCs w:val="24"/>
        </w:rPr>
      </w:pPr>
      <w:r>
        <w:rPr>
          <w:rFonts w:ascii="Times New Roman" w:hAnsi="Times New Roman" w:cs="Times New Roman"/>
          <w:color w:val="auto"/>
          <w:sz w:val="24"/>
          <w:szCs w:val="24"/>
        </w:rPr>
        <w:t>工作温度：2~40℃；</w:t>
      </w:r>
    </w:p>
    <w:p>
      <w:pPr>
        <w:numPr>
          <w:ilvl w:val="0"/>
          <w:numId w:val="16"/>
        </w:numPr>
        <w:tabs>
          <w:tab w:val="left" w:pos="851"/>
        </w:tabs>
        <w:spacing w:line="360" w:lineRule="auto"/>
        <w:ind w:left="444" w:leftChars="201" w:hanging="2" w:hangingChars="1"/>
        <w:jc w:val="both"/>
        <w:rPr>
          <w:rFonts w:ascii="Times New Roman" w:hAnsi="Times New Roman" w:cs="Times New Roman"/>
          <w:color w:val="auto"/>
          <w:sz w:val="24"/>
          <w:szCs w:val="24"/>
        </w:rPr>
      </w:pPr>
      <w:r>
        <w:rPr>
          <w:rFonts w:ascii="Times New Roman" w:hAnsi="Times New Roman" w:cs="Times New Roman"/>
          <w:color w:val="auto"/>
          <w:sz w:val="24"/>
          <w:szCs w:val="24"/>
        </w:rPr>
        <w:t>测量范围：0.1~25mg/L，0.1~50mg/L，0.1~100mg/L 硝氮（NO</w:t>
      </w:r>
      <w:r>
        <w:rPr>
          <w:rFonts w:ascii="Times New Roman" w:hAnsi="Times New Roman" w:cs="Times New Roman"/>
          <w:color w:val="auto"/>
          <w:sz w:val="24"/>
          <w:szCs w:val="24"/>
          <w:vertAlign w:val="subscript"/>
        </w:rPr>
        <w:t>2</w:t>
      </w:r>
      <w:r>
        <w:rPr>
          <w:rFonts w:ascii="Times New Roman" w:hAnsi="Times New Roman" w:cs="Times New Roman"/>
          <w:color w:val="auto"/>
          <w:sz w:val="24"/>
          <w:szCs w:val="24"/>
        </w:rPr>
        <w:t>-N + NO</w:t>
      </w:r>
      <w:r>
        <w:rPr>
          <w:rFonts w:ascii="Times New Roman" w:hAnsi="Times New Roman" w:cs="Times New Roman"/>
          <w:color w:val="auto"/>
          <w:sz w:val="24"/>
          <w:szCs w:val="24"/>
          <w:vertAlign w:val="subscript"/>
        </w:rPr>
        <w:t>3</w:t>
      </w:r>
      <w:r>
        <w:rPr>
          <w:rFonts w:ascii="Times New Roman" w:hAnsi="Times New Roman" w:cs="Times New Roman"/>
          <w:color w:val="auto"/>
          <w:sz w:val="24"/>
          <w:szCs w:val="24"/>
        </w:rPr>
        <w:t>-N）；可选</w:t>
      </w:r>
    </w:p>
    <w:p>
      <w:pPr>
        <w:numPr>
          <w:ilvl w:val="0"/>
          <w:numId w:val="16"/>
        </w:numPr>
        <w:tabs>
          <w:tab w:val="left" w:pos="851"/>
        </w:tabs>
        <w:spacing w:line="360" w:lineRule="auto"/>
        <w:ind w:left="444" w:leftChars="201" w:hanging="2" w:hangingChars="1"/>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精度：读数的±3%或±0.5mg/L，取大者；</w:t>
      </w:r>
    </w:p>
    <w:p>
      <w:pPr>
        <w:numPr>
          <w:ilvl w:val="0"/>
          <w:numId w:val="16"/>
        </w:numPr>
        <w:tabs>
          <w:tab w:val="left" w:pos="851"/>
        </w:tabs>
        <w:spacing w:line="360" w:lineRule="auto"/>
        <w:ind w:left="444" w:leftChars="201" w:hanging="2" w:hangingChars="1"/>
        <w:jc w:val="both"/>
        <w:rPr>
          <w:rFonts w:ascii="Times New Roman" w:hAnsi="Times New Roman" w:cs="Times New Roman"/>
          <w:color w:val="auto"/>
          <w:sz w:val="24"/>
          <w:szCs w:val="24"/>
        </w:rPr>
      </w:pPr>
      <w:r>
        <w:rPr>
          <w:rFonts w:ascii="Times New Roman" w:hAnsi="Times New Roman" w:cs="Times New Roman"/>
          <w:color w:val="auto"/>
          <w:sz w:val="24"/>
          <w:szCs w:val="24"/>
        </w:rPr>
        <w:t>响应时间：1分钟；</w:t>
      </w:r>
    </w:p>
    <w:p>
      <w:pPr>
        <w:numPr>
          <w:ilvl w:val="0"/>
          <w:numId w:val="16"/>
        </w:numPr>
        <w:tabs>
          <w:tab w:val="left" w:pos="851"/>
        </w:tabs>
        <w:spacing w:line="360" w:lineRule="auto"/>
        <w:ind w:left="444" w:leftChars="201" w:hanging="2" w:hangingChars="1"/>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测量间隔：1分钟（T100）；</w:t>
      </w:r>
    </w:p>
    <w:p>
      <w:pPr>
        <w:numPr>
          <w:ilvl w:val="0"/>
          <w:numId w:val="16"/>
        </w:numPr>
        <w:tabs>
          <w:tab w:val="left" w:pos="851"/>
        </w:tabs>
        <w:spacing w:line="360" w:lineRule="auto"/>
        <w:ind w:left="444" w:leftChars="201" w:hanging="2" w:hangingChars="1"/>
        <w:jc w:val="both"/>
        <w:rPr>
          <w:rFonts w:ascii="Times New Roman" w:hAnsi="Times New Roman" w:cs="Times New Roman"/>
          <w:color w:val="auto"/>
          <w:sz w:val="24"/>
          <w:szCs w:val="24"/>
        </w:rPr>
      </w:pPr>
      <w:r>
        <w:rPr>
          <w:rFonts w:ascii="Times New Roman" w:hAnsi="Times New Roman" w:cs="Times New Roman"/>
          <w:color w:val="auto"/>
          <w:sz w:val="24"/>
          <w:szCs w:val="24"/>
        </w:rPr>
        <w:t>分辨率：0.1mg/L；</w:t>
      </w:r>
    </w:p>
    <w:p>
      <w:pPr>
        <w:numPr>
          <w:ilvl w:val="0"/>
          <w:numId w:val="16"/>
        </w:numPr>
        <w:tabs>
          <w:tab w:val="left" w:pos="851"/>
        </w:tabs>
        <w:spacing w:line="360" w:lineRule="auto"/>
        <w:ind w:left="444" w:leftChars="201" w:hanging="2" w:hangingChars="1"/>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*自清洗：机械式刮片自清洗装置；</w:t>
      </w:r>
    </w:p>
    <w:p>
      <w:pPr>
        <w:numPr>
          <w:ilvl w:val="0"/>
          <w:numId w:val="16"/>
        </w:numPr>
        <w:tabs>
          <w:tab w:val="left" w:pos="851"/>
        </w:tabs>
        <w:spacing w:line="360" w:lineRule="auto"/>
        <w:ind w:left="444" w:leftChars="201" w:hanging="2" w:hangingChars="1"/>
        <w:jc w:val="both"/>
        <w:rPr>
          <w:rFonts w:ascii="Times New Roman" w:hAnsi="Times New Roman" w:cs="Times New Roman"/>
          <w:color w:val="auto"/>
          <w:sz w:val="24"/>
          <w:szCs w:val="24"/>
        </w:rPr>
      </w:pPr>
      <w:r>
        <w:rPr>
          <w:rFonts w:ascii="Times New Roman" w:hAnsi="Times New Roman" w:cs="Times New Roman"/>
          <w:color w:val="auto"/>
          <w:sz w:val="24"/>
          <w:szCs w:val="24"/>
          <w:lang w:eastAsia="zh-CN"/>
        </w:rPr>
        <w:t xml:space="preserve"> </w:t>
      </w:r>
      <w:r>
        <w:rPr>
          <w:rFonts w:ascii="Times New Roman" w:hAnsi="Times New Roman" w:cs="Times New Roman"/>
          <w:color w:val="auto"/>
          <w:sz w:val="24"/>
          <w:szCs w:val="24"/>
        </w:rPr>
        <w:t>材质：316不锈钢；</w:t>
      </w:r>
    </w:p>
    <w:p>
      <w:pPr>
        <w:numPr>
          <w:ilvl w:val="0"/>
          <w:numId w:val="16"/>
        </w:numPr>
        <w:tabs>
          <w:tab w:val="left" w:pos="851"/>
        </w:tabs>
        <w:spacing w:line="360" w:lineRule="auto"/>
        <w:ind w:left="444" w:leftChars="201" w:hanging="2" w:hangingChars="1"/>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防护等级：IP68；</w:t>
      </w:r>
    </w:p>
    <w:p>
      <w:pPr>
        <w:numPr>
          <w:ilvl w:val="0"/>
          <w:numId w:val="16"/>
        </w:numPr>
        <w:tabs>
          <w:tab w:val="left" w:pos="851"/>
        </w:tabs>
        <w:spacing w:line="360" w:lineRule="auto"/>
        <w:ind w:left="444" w:leftChars="201" w:hanging="2" w:hangingChars="1"/>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电缆长度：10m；</w:t>
      </w:r>
    </w:p>
    <w:p>
      <w:pPr>
        <w:spacing w:line="360" w:lineRule="auto"/>
        <w:ind w:firstLine="482" w:firstLineChars="200"/>
        <w:rPr>
          <w:rFonts w:ascii="Times New Roman" w:hAnsi="Times New Roman" w:cs="Times New Roman"/>
          <w:b/>
          <w:color w:val="auto"/>
          <w:sz w:val="24"/>
          <w:szCs w:val="24"/>
          <w:lang w:eastAsia="zh-CN"/>
        </w:rPr>
      </w:pPr>
      <w:r>
        <w:rPr>
          <w:rFonts w:ascii="Times New Roman" w:hAnsi="Times New Roman" w:cs="Times New Roman"/>
          <w:b/>
          <w:color w:val="auto"/>
          <w:sz w:val="24"/>
          <w:szCs w:val="24"/>
          <w:lang w:eastAsia="zh-CN"/>
        </w:rPr>
        <w:t>控制器技术参数：同pH分析仪控制器</w:t>
      </w:r>
    </w:p>
    <w:bookmarkEnd w:id="117"/>
    <w:p>
      <w:pPr>
        <w:pStyle w:val="29"/>
        <w:ind w:firstLine="0" w:firstLineChars="0"/>
        <w:rPr>
          <w:rFonts w:cs="Times New Roman"/>
          <w:b/>
          <w:bCs/>
          <w:color w:val="auto"/>
          <w:szCs w:val="24"/>
        </w:rPr>
      </w:pPr>
      <w:bookmarkStart w:id="118" w:name="_Toc386122734"/>
      <w:r>
        <w:rPr>
          <w:rFonts w:cs="Times New Roman"/>
          <w:b/>
          <w:bCs/>
          <w:color w:val="auto"/>
          <w:szCs w:val="24"/>
        </w:rPr>
        <w:t>12.氨氮分析仪</w:t>
      </w:r>
      <w:bookmarkEnd w:id="118"/>
    </w:p>
    <w:p>
      <w:pPr>
        <w:spacing w:line="360" w:lineRule="auto"/>
        <w:ind w:firstLine="482" w:firstLineChars="200"/>
        <w:rPr>
          <w:rFonts w:ascii="Times New Roman" w:hAnsi="Times New Roman" w:cs="Times New Roman"/>
          <w:b/>
          <w:color w:val="auto"/>
          <w:sz w:val="24"/>
          <w:szCs w:val="24"/>
          <w:lang w:eastAsia="zh-CN"/>
        </w:rPr>
      </w:pPr>
      <w:r>
        <w:rPr>
          <w:rFonts w:ascii="Times New Roman" w:hAnsi="Times New Roman" w:cs="Times New Roman"/>
          <w:b/>
          <w:color w:val="auto"/>
          <w:sz w:val="24"/>
          <w:szCs w:val="24"/>
          <w:lang w:eastAsia="zh-CN"/>
        </w:rPr>
        <w:t>氨氮分析仪技术参数：</w:t>
      </w:r>
    </w:p>
    <w:p>
      <w:pPr>
        <w:numPr>
          <w:ilvl w:val="0"/>
          <w:numId w:val="17"/>
        </w:numPr>
        <w:tabs>
          <w:tab w:val="left" w:pos="851"/>
        </w:tabs>
        <w:autoSpaceDE w:val="0"/>
        <w:autoSpaceDN w:val="0"/>
        <w:adjustRightInd w:val="0"/>
        <w:spacing w:line="360" w:lineRule="auto"/>
        <w:ind w:left="426" w:hanging="6"/>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*测量原理：气敏电极法；</w:t>
      </w:r>
    </w:p>
    <w:p>
      <w:pPr>
        <w:numPr>
          <w:ilvl w:val="0"/>
          <w:numId w:val="17"/>
        </w:numPr>
        <w:tabs>
          <w:tab w:val="left" w:pos="851"/>
        </w:tabs>
        <w:autoSpaceDE w:val="0"/>
        <w:autoSpaceDN w:val="0"/>
        <w:adjustRightInd w:val="0"/>
        <w:spacing w:line="360" w:lineRule="auto"/>
        <w:ind w:left="426" w:hanging="6"/>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测量范围：0.02-5mg/L，0.05~20mg/L，1.0~100mg/L，10~1000mg/L NH</w:t>
      </w:r>
      <w:r>
        <w:rPr>
          <w:rFonts w:ascii="Times New Roman" w:hAnsi="Times New Roman" w:cs="Times New Roman"/>
          <w:color w:val="auto"/>
          <w:sz w:val="24"/>
          <w:szCs w:val="24"/>
          <w:vertAlign w:val="subscript"/>
          <w:lang w:eastAsia="zh-CN"/>
        </w:rPr>
        <w:t>4</w:t>
      </w:r>
      <w:r>
        <w:rPr>
          <w:rFonts w:ascii="Times New Roman" w:hAnsi="Times New Roman" w:cs="Times New Roman"/>
          <w:color w:val="auto"/>
          <w:sz w:val="24"/>
          <w:szCs w:val="24"/>
          <w:lang w:eastAsia="zh-CN"/>
        </w:rPr>
        <w:t>-N（量程由试剂确定）；可选</w:t>
      </w:r>
    </w:p>
    <w:p>
      <w:pPr>
        <w:numPr>
          <w:ilvl w:val="0"/>
          <w:numId w:val="17"/>
        </w:numPr>
        <w:tabs>
          <w:tab w:val="left" w:pos="851"/>
        </w:tabs>
        <w:autoSpaceDE w:val="0"/>
        <w:autoSpaceDN w:val="0"/>
        <w:adjustRightInd w:val="0"/>
        <w:spacing w:line="360" w:lineRule="auto"/>
        <w:ind w:left="426" w:hanging="6"/>
        <w:rPr>
          <w:rFonts w:ascii="Times New Roman" w:hAnsi="Times New Roman" w:cs="Times New Roman"/>
          <w:color w:val="auto"/>
          <w:sz w:val="24"/>
          <w:szCs w:val="24"/>
        </w:rPr>
      </w:pPr>
      <w:r>
        <w:rPr>
          <w:rFonts w:ascii="Times New Roman" w:hAnsi="Times New Roman" w:cs="Times New Roman"/>
          <w:color w:val="auto"/>
          <w:sz w:val="24"/>
          <w:szCs w:val="24"/>
        </w:rPr>
        <w:t>*精确度：</w:t>
      </w:r>
    </w:p>
    <w:p>
      <w:pPr>
        <w:tabs>
          <w:tab w:val="left" w:pos="851"/>
        </w:tabs>
        <w:autoSpaceDE w:val="0"/>
        <w:autoSpaceDN w:val="0"/>
        <w:adjustRightInd w:val="0"/>
        <w:spacing w:line="360" w:lineRule="auto"/>
        <w:ind w:left="426" w:firstLine="484" w:firstLineChars="202"/>
        <w:rPr>
          <w:rFonts w:ascii="Times New Roman" w:hAnsi="Times New Roman" w:cs="Times New Roman"/>
          <w:color w:val="auto"/>
          <w:sz w:val="24"/>
          <w:szCs w:val="24"/>
          <w:lang w:eastAsia="zh-CN"/>
        </w:rPr>
      </w:pPr>
      <w:bookmarkStart w:id="119" w:name="OLE_LINK84"/>
      <w:bookmarkStart w:id="120" w:name="OLE_LINK85"/>
      <w:r>
        <w:rPr>
          <w:rFonts w:ascii="Times New Roman" w:hAnsi="Times New Roman" w:cs="Times New Roman"/>
          <w:color w:val="auto"/>
          <w:sz w:val="24"/>
          <w:szCs w:val="24"/>
          <w:lang w:eastAsia="zh-CN"/>
        </w:rPr>
        <w:t>0.02-5mg/L测量范围内：≤1mg/L时，3%+0.02mg/L；＞1mg/L时，5%+0.02mg/L；</w:t>
      </w:r>
    </w:p>
    <w:p>
      <w:pPr>
        <w:tabs>
          <w:tab w:val="left" w:pos="851"/>
        </w:tabs>
        <w:autoSpaceDE w:val="0"/>
        <w:autoSpaceDN w:val="0"/>
        <w:adjustRightInd w:val="0"/>
        <w:spacing w:line="360" w:lineRule="auto"/>
        <w:ind w:left="426" w:firstLine="484" w:firstLineChars="202"/>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0.05~20mg/L测量范围内：3%±0.05mg/L；</w:t>
      </w:r>
    </w:p>
    <w:p>
      <w:pPr>
        <w:tabs>
          <w:tab w:val="left" w:pos="851"/>
        </w:tabs>
        <w:autoSpaceDE w:val="0"/>
        <w:autoSpaceDN w:val="0"/>
        <w:adjustRightInd w:val="0"/>
        <w:spacing w:line="360" w:lineRule="auto"/>
        <w:ind w:left="426" w:firstLine="484" w:firstLineChars="202"/>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1.0~100mg/L测量范围内：3%±1.0mg/L；</w:t>
      </w:r>
    </w:p>
    <w:p>
      <w:pPr>
        <w:tabs>
          <w:tab w:val="left" w:pos="851"/>
        </w:tabs>
        <w:autoSpaceDE w:val="0"/>
        <w:autoSpaceDN w:val="0"/>
        <w:adjustRightInd w:val="0"/>
        <w:spacing w:line="360" w:lineRule="auto"/>
        <w:ind w:left="426" w:firstLine="484" w:firstLineChars="202"/>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10~1000 mg/L测量范围内：4.5%±10 mg/L；</w:t>
      </w:r>
    </w:p>
    <w:bookmarkEnd w:id="119"/>
    <w:bookmarkEnd w:id="120"/>
    <w:p>
      <w:pPr>
        <w:numPr>
          <w:ilvl w:val="0"/>
          <w:numId w:val="17"/>
        </w:numPr>
        <w:tabs>
          <w:tab w:val="left" w:pos="851"/>
        </w:tabs>
        <w:autoSpaceDE w:val="0"/>
        <w:autoSpaceDN w:val="0"/>
        <w:adjustRightInd w:val="0"/>
        <w:spacing w:line="360" w:lineRule="auto"/>
        <w:ind w:left="426" w:hanging="6"/>
        <w:rPr>
          <w:rFonts w:ascii="Times New Roman" w:hAnsi="Times New Roman" w:cs="Times New Roman"/>
          <w:color w:val="auto"/>
          <w:sz w:val="24"/>
          <w:szCs w:val="24"/>
        </w:rPr>
      </w:pPr>
      <w:r>
        <w:rPr>
          <w:rFonts w:ascii="Times New Roman" w:hAnsi="Times New Roman" w:cs="Times New Roman"/>
          <w:color w:val="auto"/>
          <w:sz w:val="24"/>
          <w:szCs w:val="24"/>
        </w:rPr>
        <w:t>*重现性：</w:t>
      </w:r>
      <w:bookmarkStart w:id="121" w:name="OLE_LINK86"/>
      <w:bookmarkStart w:id="122" w:name="OLE_LINK87"/>
      <w:r>
        <w:rPr>
          <w:rFonts w:ascii="Times New Roman" w:hAnsi="Times New Roman" w:cs="Times New Roman"/>
          <w:color w:val="auto"/>
          <w:sz w:val="24"/>
          <w:szCs w:val="24"/>
        </w:rPr>
        <w:t>3%+0.02mg/L；2%±0.05mg/L；2%±1.0mg/L；2%±10mg/L；</w:t>
      </w:r>
      <w:bookmarkEnd w:id="121"/>
      <w:bookmarkEnd w:id="122"/>
    </w:p>
    <w:p>
      <w:pPr>
        <w:numPr>
          <w:ilvl w:val="0"/>
          <w:numId w:val="17"/>
        </w:numPr>
        <w:tabs>
          <w:tab w:val="left" w:pos="851"/>
        </w:tabs>
        <w:autoSpaceDE w:val="0"/>
        <w:autoSpaceDN w:val="0"/>
        <w:adjustRightInd w:val="0"/>
        <w:spacing w:line="360" w:lineRule="auto"/>
        <w:ind w:left="426" w:hanging="6"/>
        <w:rPr>
          <w:rFonts w:ascii="Times New Roman" w:hAnsi="Times New Roman" w:cs="Times New Roman"/>
          <w:color w:val="auto"/>
          <w:sz w:val="24"/>
          <w:szCs w:val="24"/>
        </w:rPr>
      </w:pPr>
      <w:r>
        <w:rPr>
          <w:rFonts w:ascii="Times New Roman" w:hAnsi="Times New Roman" w:cs="Times New Roman"/>
          <w:color w:val="auto"/>
          <w:sz w:val="24"/>
          <w:szCs w:val="24"/>
        </w:rPr>
        <w:t>*最低检测限：</w:t>
      </w:r>
      <w:bookmarkStart w:id="123" w:name="OLE_LINK88"/>
      <w:bookmarkStart w:id="124" w:name="OLE_LINK89"/>
      <w:r>
        <w:rPr>
          <w:rFonts w:ascii="Times New Roman" w:hAnsi="Times New Roman" w:cs="Times New Roman"/>
          <w:color w:val="auto"/>
          <w:sz w:val="24"/>
          <w:szCs w:val="24"/>
        </w:rPr>
        <w:t>0.02mg/L；0.05mg/L；1 mg/L；10mg/ L；</w:t>
      </w:r>
      <w:bookmarkEnd w:id="123"/>
      <w:bookmarkEnd w:id="124"/>
    </w:p>
    <w:p>
      <w:pPr>
        <w:numPr>
          <w:ilvl w:val="0"/>
          <w:numId w:val="17"/>
        </w:numPr>
        <w:tabs>
          <w:tab w:val="left" w:pos="851"/>
        </w:tabs>
        <w:autoSpaceDE w:val="0"/>
        <w:autoSpaceDN w:val="0"/>
        <w:adjustRightInd w:val="0"/>
        <w:spacing w:line="360" w:lineRule="auto"/>
        <w:ind w:left="426" w:hanging="6"/>
        <w:rPr>
          <w:rFonts w:ascii="Times New Roman" w:hAnsi="Times New Roman" w:cs="Times New Roman"/>
          <w:color w:val="auto"/>
          <w:sz w:val="24"/>
          <w:szCs w:val="24"/>
        </w:rPr>
      </w:pPr>
      <w:r>
        <w:rPr>
          <w:rFonts w:ascii="Times New Roman" w:hAnsi="Times New Roman" w:cs="Times New Roman"/>
          <w:color w:val="auto"/>
          <w:sz w:val="24"/>
          <w:szCs w:val="24"/>
        </w:rPr>
        <w:t>测量间隔：5~120分钟可调；</w:t>
      </w:r>
    </w:p>
    <w:p>
      <w:pPr>
        <w:numPr>
          <w:ilvl w:val="0"/>
          <w:numId w:val="17"/>
        </w:numPr>
        <w:tabs>
          <w:tab w:val="left" w:pos="851"/>
        </w:tabs>
        <w:autoSpaceDE w:val="0"/>
        <w:autoSpaceDN w:val="0"/>
        <w:adjustRightInd w:val="0"/>
        <w:spacing w:line="360" w:lineRule="auto"/>
        <w:ind w:left="426" w:hanging="6"/>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*响应时间：T</w:t>
      </w:r>
      <w:r>
        <w:rPr>
          <w:rFonts w:ascii="Times New Roman" w:hAnsi="Times New Roman" w:cs="Times New Roman"/>
          <w:color w:val="auto"/>
          <w:sz w:val="24"/>
          <w:szCs w:val="24"/>
          <w:vertAlign w:val="subscript"/>
          <w:lang w:eastAsia="zh-CN"/>
        </w:rPr>
        <w:t>90</w:t>
      </w:r>
      <w:r>
        <w:rPr>
          <w:rFonts w:ascii="Times New Roman" w:hAnsi="Times New Roman" w:cs="Times New Roman"/>
          <w:color w:val="auto"/>
          <w:sz w:val="24"/>
          <w:szCs w:val="24"/>
          <w:lang w:eastAsia="zh-CN"/>
        </w:rPr>
        <w:t>≤5min；</w:t>
      </w:r>
    </w:p>
    <w:p>
      <w:pPr>
        <w:numPr>
          <w:ilvl w:val="0"/>
          <w:numId w:val="17"/>
        </w:numPr>
        <w:tabs>
          <w:tab w:val="left" w:pos="851"/>
        </w:tabs>
        <w:autoSpaceDE w:val="0"/>
        <w:autoSpaceDN w:val="0"/>
        <w:adjustRightInd w:val="0"/>
        <w:spacing w:line="360" w:lineRule="auto"/>
        <w:ind w:left="426" w:hanging="6"/>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*仪器具有自动校正、自动清洗功能；</w:t>
      </w:r>
    </w:p>
    <w:p>
      <w:pPr>
        <w:numPr>
          <w:ilvl w:val="0"/>
          <w:numId w:val="17"/>
        </w:numPr>
        <w:tabs>
          <w:tab w:val="left" w:pos="851"/>
        </w:tabs>
        <w:autoSpaceDE w:val="0"/>
        <w:autoSpaceDN w:val="0"/>
        <w:adjustRightInd w:val="0"/>
        <w:spacing w:line="360" w:lineRule="auto"/>
        <w:ind w:left="426" w:hanging="6"/>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显示及数据传输：由控制器的LCD液晶屏显示，数据和图形显示，有数据存储功能；数据输出由控制器的继电器，电流输出或总线接口输出；</w:t>
      </w:r>
    </w:p>
    <w:p>
      <w:pPr>
        <w:numPr>
          <w:ilvl w:val="0"/>
          <w:numId w:val="17"/>
        </w:numPr>
        <w:tabs>
          <w:tab w:val="left" w:pos="851"/>
        </w:tabs>
        <w:autoSpaceDE w:val="0"/>
        <w:autoSpaceDN w:val="0"/>
        <w:adjustRightInd w:val="0"/>
        <w:spacing w:line="360" w:lineRule="auto"/>
        <w:ind w:left="426" w:hanging="6"/>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 xml:space="preserve"> 样品流速：最大3米/秒或900ml//h；</w:t>
      </w:r>
    </w:p>
    <w:p>
      <w:pPr>
        <w:numPr>
          <w:ilvl w:val="0"/>
          <w:numId w:val="17"/>
        </w:numPr>
        <w:tabs>
          <w:tab w:val="left" w:pos="851"/>
        </w:tabs>
        <w:autoSpaceDE w:val="0"/>
        <w:autoSpaceDN w:val="0"/>
        <w:adjustRightInd w:val="0"/>
        <w:spacing w:line="360" w:lineRule="auto"/>
        <w:ind w:left="426" w:hanging="6"/>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水样条件：温度：4~40℃；pH：5~9；</w:t>
      </w:r>
    </w:p>
    <w:p>
      <w:pPr>
        <w:numPr>
          <w:ilvl w:val="0"/>
          <w:numId w:val="17"/>
        </w:numPr>
        <w:tabs>
          <w:tab w:val="left" w:pos="851"/>
        </w:tabs>
        <w:autoSpaceDE w:val="0"/>
        <w:autoSpaceDN w:val="0"/>
        <w:adjustRightInd w:val="0"/>
        <w:spacing w:line="360" w:lineRule="auto"/>
        <w:ind w:left="426" w:hanging="6"/>
        <w:rPr>
          <w:rFonts w:ascii="Times New Roman" w:hAnsi="Times New Roman" w:cs="Times New Roman"/>
          <w:color w:val="auto"/>
          <w:sz w:val="24"/>
          <w:szCs w:val="24"/>
        </w:rPr>
      </w:pPr>
      <w:r>
        <w:rPr>
          <w:rFonts w:ascii="Times New Roman" w:hAnsi="Times New Roman" w:cs="Times New Roman"/>
          <w:color w:val="auto"/>
          <w:sz w:val="24"/>
          <w:szCs w:val="24"/>
        </w:rPr>
        <w:t>防护等级：IP65；</w:t>
      </w:r>
    </w:p>
    <w:p>
      <w:pPr>
        <w:numPr>
          <w:ilvl w:val="0"/>
          <w:numId w:val="17"/>
        </w:numPr>
        <w:tabs>
          <w:tab w:val="left" w:pos="851"/>
        </w:tabs>
        <w:autoSpaceDE w:val="0"/>
        <w:autoSpaceDN w:val="0"/>
        <w:adjustRightInd w:val="0"/>
        <w:spacing w:line="360" w:lineRule="auto"/>
        <w:ind w:left="426" w:hanging="6"/>
        <w:rPr>
          <w:rFonts w:ascii="Times New Roman" w:hAnsi="Times New Roman" w:cs="Times New Roman"/>
          <w:color w:val="auto"/>
          <w:sz w:val="24"/>
          <w:szCs w:val="24"/>
        </w:rPr>
      </w:pPr>
      <w:r>
        <w:rPr>
          <w:rFonts w:ascii="Times New Roman" w:hAnsi="Times New Roman" w:cs="Times New Roman"/>
          <w:color w:val="auto"/>
          <w:sz w:val="24"/>
          <w:szCs w:val="24"/>
        </w:rPr>
        <w:t>电源：230VAC，50/60Hz；</w:t>
      </w:r>
    </w:p>
    <w:p>
      <w:pPr>
        <w:pStyle w:val="49"/>
        <w:ind w:firstLine="482"/>
        <w:rPr>
          <w:b/>
          <w:bCs/>
          <w:color w:val="auto"/>
          <w:szCs w:val="24"/>
        </w:rPr>
      </w:pPr>
      <w:r>
        <w:rPr>
          <w:b/>
          <w:bCs/>
          <w:color w:val="auto"/>
          <w:szCs w:val="24"/>
        </w:rPr>
        <w:t>控制器技术参数：同pH分析仪控制器</w:t>
      </w:r>
    </w:p>
    <w:p>
      <w:pPr>
        <w:pStyle w:val="29"/>
        <w:ind w:firstLine="0" w:firstLineChars="0"/>
        <w:rPr>
          <w:rFonts w:cs="Times New Roman"/>
          <w:b/>
          <w:bCs/>
          <w:color w:val="auto"/>
          <w:szCs w:val="24"/>
        </w:rPr>
      </w:pPr>
      <w:bookmarkStart w:id="125" w:name="_Toc386122707"/>
      <w:r>
        <w:rPr>
          <w:rFonts w:cs="Times New Roman"/>
          <w:b/>
          <w:bCs/>
          <w:color w:val="auto"/>
          <w:szCs w:val="24"/>
        </w:rPr>
        <w:t>13.溶解氧分析仪</w:t>
      </w:r>
      <w:bookmarkEnd w:id="125"/>
    </w:p>
    <w:p>
      <w:pPr>
        <w:spacing w:line="360" w:lineRule="auto"/>
        <w:ind w:firstLine="482" w:firstLineChars="200"/>
        <w:rPr>
          <w:rFonts w:ascii="Times New Roman" w:hAnsi="Times New Roman" w:cs="Times New Roman"/>
          <w:b/>
          <w:color w:val="auto"/>
          <w:sz w:val="24"/>
          <w:szCs w:val="24"/>
          <w:lang w:eastAsia="zh-CN"/>
        </w:rPr>
      </w:pPr>
      <w:r>
        <w:rPr>
          <w:rFonts w:ascii="Times New Roman" w:hAnsi="Times New Roman" w:cs="Times New Roman"/>
          <w:b/>
          <w:color w:val="auto"/>
          <w:sz w:val="24"/>
          <w:szCs w:val="24"/>
          <w:lang w:eastAsia="zh-CN"/>
        </w:rPr>
        <w:t>溶解氧传感器技术参数：</w:t>
      </w:r>
    </w:p>
    <w:p>
      <w:pPr>
        <w:numPr>
          <w:ilvl w:val="0"/>
          <w:numId w:val="18"/>
        </w:numPr>
        <w:tabs>
          <w:tab w:val="left" w:pos="840"/>
        </w:tabs>
        <w:spacing w:line="360" w:lineRule="auto"/>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*形式：无膜、无阴阳电极、无电极液，抗H</w:t>
      </w:r>
      <w:r>
        <w:rPr>
          <w:rFonts w:ascii="Times New Roman" w:hAnsi="Times New Roman" w:cs="Times New Roman"/>
          <w:color w:val="auto"/>
          <w:sz w:val="24"/>
          <w:szCs w:val="24"/>
          <w:vertAlign w:val="subscript"/>
          <w:lang w:eastAsia="zh-CN"/>
        </w:rPr>
        <w:t>2</w:t>
      </w:r>
      <w:r>
        <w:rPr>
          <w:rFonts w:ascii="Times New Roman" w:hAnsi="Times New Roman" w:cs="Times New Roman"/>
          <w:color w:val="auto"/>
          <w:sz w:val="24"/>
          <w:szCs w:val="24"/>
          <w:lang w:eastAsia="zh-CN"/>
        </w:rPr>
        <w:t>S、金属离子、油污染；</w:t>
      </w:r>
    </w:p>
    <w:p>
      <w:pPr>
        <w:numPr>
          <w:ilvl w:val="0"/>
          <w:numId w:val="18"/>
        </w:numPr>
        <w:tabs>
          <w:tab w:val="left" w:pos="840"/>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*工作原理：化学荧光法；</w:t>
      </w:r>
    </w:p>
    <w:p>
      <w:pPr>
        <w:numPr>
          <w:ilvl w:val="0"/>
          <w:numId w:val="18"/>
        </w:numPr>
        <w:tabs>
          <w:tab w:val="left" w:pos="840"/>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*维护简单，两年更换一次荧光帽；无需更换膜片，无需补充电解液溶液，无需对电极打磨清洁；</w:t>
      </w:r>
    </w:p>
    <w:p>
      <w:pPr>
        <w:numPr>
          <w:ilvl w:val="0"/>
          <w:numId w:val="18"/>
        </w:numPr>
        <w:tabs>
          <w:tab w:val="left" w:pos="840"/>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溶氧测量范围：0.00～20.00 mg/L（ppm）或0~200%饱和度；</w:t>
      </w:r>
    </w:p>
    <w:p>
      <w:pPr>
        <w:numPr>
          <w:ilvl w:val="0"/>
          <w:numId w:val="18"/>
        </w:numPr>
        <w:tabs>
          <w:tab w:val="left" w:pos="840"/>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温度测量范围：0~50℃，带温度自动补偿；</w:t>
      </w:r>
    </w:p>
    <w:p>
      <w:pPr>
        <w:numPr>
          <w:ilvl w:val="0"/>
          <w:numId w:val="18"/>
        </w:numPr>
        <w:tabs>
          <w:tab w:val="left" w:pos="840"/>
        </w:tabs>
        <w:spacing w:line="360" w:lineRule="auto"/>
        <w:ind w:left="426" w:hanging="6"/>
        <w:jc w:val="both"/>
        <w:rPr>
          <w:rFonts w:ascii="Times New Roman" w:hAnsi="Times New Roman" w:cs="Times New Roman"/>
          <w:color w:val="auto"/>
          <w:sz w:val="24"/>
          <w:szCs w:val="24"/>
        </w:rPr>
      </w:pPr>
      <w:r>
        <w:rPr>
          <w:rFonts w:ascii="Times New Roman" w:hAnsi="Times New Roman" w:cs="Times New Roman"/>
          <w:color w:val="auto"/>
          <w:sz w:val="24"/>
          <w:szCs w:val="24"/>
        </w:rPr>
        <w:t>*温度电极外置；</w:t>
      </w:r>
    </w:p>
    <w:p>
      <w:pPr>
        <w:numPr>
          <w:ilvl w:val="0"/>
          <w:numId w:val="18"/>
        </w:numPr>
        <w:tabs>
          <w:tab w:val="left" w:pos="840"/>
        </w:tabs>
        <w:spacing w:line="360" w:lineRule="auto"/>
        <w:ind w:left="426" w:hanging="6"/>
        <w:jc w:val="both"/>
        <w:rPr>
          <w:rFonts w:ascii="Times New Roman" w:hAnsi="Times New Roman" w:cs="Times New Roman"/>
          <w:color w:val="auto"/>
          <w:sz w:val="24"/>
          <w:szCs w:val="24"/>
        </w:rPr>
      </w:pPr>
      <w:r>
        <w:rPr>
          <w:rFonts w:ascii="Times New Roman" w:hAnsi="Times New Roman" w:cs="Times New Roman"/>
          <w:color w:val="auto"/>
          <w:sz w:val="24"/>
          <w:szCs w:val="24"/>
        </w:rPr>
        <w:t>*精度：＜5ppm时，±0.1ppm；＞5ppm时±0.2ppm；温度：±0.2℃；</w:t>
      </w:r>
    </w:p>
    <w:p>
      <w:pPr>
        <w:numPr>
          <w:ilvl w:val="0"/>
          <w:numId w:val="18"/>
        </w:numPr>
        <w:tabs>
          <w:tab w:val="left" w:pos="840"/>
        </w:tabs>
        <w:spacing w:line="360" w:lineRule="auto"/>
        <w:ind w:left="426" w:hanging="6"/>
        <w:jc w:val="both"/>
        <w:rPr>
          <w:rFonts w:ascii="Times New Roman" w:hAnsi="Times New Roman" w:cs="Times New Roman"/>
          <w:color w:val="auto"/>
          <w:sz w:val="24"/>
          <w:szCs w:val="24"/>
        </w:rPr>
      </w:pPr>
      <w:r>
        <w:rPr>
          <w:rFonts w:ascii="Times New Roman" w:hAnsi="Times New Roman" w:cs="Times New Roman"/>
          <w:color w:val="auto"/>
          <w:sz w:val="24"/>
          <w:szCs w:val="24"/>
        </w:rPr>
        <w:t>*重现性：±0.1ppm（mg/L）；</w:t>
      </w:r>
    </w:p>
    <w:p>
      <w:pPr>
        <w:numPr>
          <w:ilvl w:val="0"/>
          <w:numId w:val="18"/>
        </w:numPr>
        <w:tabs>
          <w:tab w:val="left" w:pos="840"/>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*响应时间：20℃，60秒以内达到95%；40秒以内达到90%；</w:t>
      </w:r>
    </w:p>
    <w:p>
      <w:pPr>
        <w:numPr>
          <w:ilvl w:val="0"/>
          <w:numId w:val="18"/>
        </w:numPr>
        <w:tabs>
          <w:tab w:val="left" w:pos="840"/>
        </w:tabs>
        <w:spacing w:line="360" w:lineRule="auto"/>
        <w:ind w:left="426" w:hanging="6"/>
        <w:jc w:val="both"/>
        <w:rPr>
          <w:rFonts w:ascii="Times New Roman" w:hAnsi="Times New Roman" w:cs="Times New Roman"/>
          <w:color w:val="auto"/>
          <w:sz w:val="24"/>
          <w:szCs w:val="24"/>
        </w:rPr>
      </w:pPr>
      <w:r>
        <w:rPr>
          <w:rFonts w:ascii="Times New Roman" w:hAnsi="Times New Roman" w:cs="Times New Roman"/>
          <w:color w:val="auto"/>
          <w:sz w:val="24"/>
          <w:szCs w:val="24"/>
        </w:rPr>
        <w:t>防护等级：IP68；</w:t>
      </w:r>
    </w:p>
    <w:p>
      <w:pPr>
        <w:numPr>
          <w:ilvl w:val="0"/>
          <w:numId w:val="18"/>
        </w:numPr>
        <w:tabs>
          <w:tab w:val="left" w:pos="840"/>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*标配电缆：10米，可延长，带快速接头（M12，5针）；</w:t>
      </w:r>
    </w:p>
    <w:p>
      <w:pPr>
        <w:numPr>
          <w:ilvl w:val="0"/>
          <w:numId w:val="18"/>
        </w:numPr>
        <w:tabs>
          <w:tab w:val="left" w:pos="840"/>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传感器浸入深度：最大压力限值：34米，345KPa；</w:t>
      </w:r>
    </w:p>
    <w:p>
      <w:pPr>
        <w:numPr>
          <w:ilvl w:val="0"/>
          <w:numId w:val="18"/>
        </w:numPr>
        <w:tabs>
          <w:tab w:val="left" w:pos="840"/>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最大传输距离：1000米（100米以上使用接线盒）；</w:t>
      </w:r>
    </w:p>
    <w:p>
      <w:pPr>
        <w:numPr>
          <w:ilvl w:val="0"/>
          <w:numId w:val="18"/>
        </w:numPr>
        <w:tabs>
          <w:tab w:val="left" w:pos="840"/>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接液材质：丙烯酸树脂。探头本体：CPVC，聚氨酯，viton，Noryl，316不锈钢。</w:t>
      </w:r>
    </w:p>
    <w:p>
      <w:pPr>
        <w:pStyle w:val="49"/>
        <w:ind w:firstLine="482"/>
        <w:rPr>
          <w:b/>
          <w:bCs/>
          <w:color w:val="auto"/>
          <w:szCs w:val="24"/>
        </w:rPr>
      </w:pPr>
      <w:r>
        <w:rPr>
          <w:b/>
          <w:color w:val="auto"/>
          <w:szCs w:val="24"/>
        </w:rPr>
        <w:t>控制器技术参数：</w:t>
      </w:r>
      <w:r>
        <w:rPr>
          <w:b/>
          <w:bCs/>
          <w:color w:val="auto"/>
          <w:szCs w:val="24"/>
        </w:rPr>
        <w:t>同pH分析仪控制器</w:t>
      </w:r>
    </w:p>
    <w:p>
      <w:pPr>
        <w:pStyle w:val="29"/>
        <w:ind w:firstLine="0" w:firstLineChars="0"/>
        <w:rPr>
          <w:rFonts w:cs="Times New Roman"/>
          <w:b/>
          <w:bCs/>
          <w:color w:val="auto"/>
          <w:szCs w:val="24"/>
        </w:rPr>
      </w:pPr>
      <w:bookmarkStart w:id="126" w:name="_Toc386122720"/>
      <w:r>
        <w:rPr>
          <w:rFonts w:cs="Times New Roman"/>
          <w:b/>
          <w:bCs/>
          <w:color w:val="auto"/>
          <w:szCs w:val="24"/>
        </w:rPr>
        <w:t>14.污泥界面分析仪</w:t>
      </w:r>
      <w:bookmarkEnd w:id="126"/>
    </w:p>
    <w:p>
      <w:pPr>
        <w:spacing w:line="360" w:lineRule="auto"/>
        <w:ind w:firstLine="482" w:firstLineChars="200"/>
        <w:rPr>
          <w:rFonts w:ascii="Times New Roman" w:hAnsi="Times New Roman" w:cs="Times New Roman"/>
          <w:b/>
          <w:color w:val="auto"/>
          <w:sz w:val="24"/>
          <w:szCs w:val="24"/>
          <w:lang w:eastAsia="zh-CN"/>
        </w:rPr>
      </w:pPr>
      <w:r>
        <w:rPr>
          <w:rFonts w:ascii="Times New Roman" w:hAnsi="Times New Roman" w:cs="Times New Roman"/>
          <w:b/>
          <w:color w:val="auto"/>
          <w:sz w:val="24"/>
          <w:szCs w:val="24"/>
          <w:lang w:eastAsia="zh-CN"/>
        </w:rPr>
        <w:t>污泥界面传感器：</w:t>
      </w:r>
    </w:p>
    <w:p>
      <w:pPr>
        <w:numPr>
          <w:ilvl w:val="0"/>
          <w:numId w:val="19"/>
        </w:numPr>
        <w:tabs>
          <w:tab w:val="left" w:pos="851"/>
        </w:tabs>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测量原理：超声波原理。通过计算超声波返回探头的时间，测量污泥层的高度或厚度；</w:t>
      </w:r>
    </w:p>
    <w:p>
      <w:pPr>
        <w:numPr>
          <w:ilvl w:val="0"/>
          <w:numId w:val="19"/>
        </w:numPr>
        <w:tabs>
          <w:tab w:val="left" w:pos="851"/>
        </w:tabs>
        <w:spacing w:line="360" w:lineRule="auto"/>
        <w:ind w:left="444" w:leftChars="201" w:hanging="2" w:hangingChars="1"/>
        <w:jc w:val="both"/>
        <w:rPr>
          <w:rFonts w:ascii="Times New Roman" w:hAnsi="Times New Roman" w:cs="Times New Roman"/>
          <w:color w:val="auto"/>
          <w:sz w:val="24"/>
          <w:szCs w:val="24"/>
        </w:rPr>
      </w:pPr>
      <w:r>
        <w:rPr>
          <w:rFonts w:ascii="Times New Roman" w:hAnsi="Times New Roman" w:cs="Times New Roman"/>
          <w:color w:val="auto"/>
          <w:sz w:val="24"/>
          <w:szCs w:val="24"/>
        </w:rPr>
        <w:t>测量范围：0.2~12m；</w:t>
      </w:r>
    </w:p>
    <w:p>
      <w:pPr>
        <w:numPr>
          <w:ilvl w:val="0"/>
          <w:numId w:val="19"/>
        </w:numPr>
        <w:tabs>
          <w:tab w:val="left" w:pos="851"/>
        </w:tabs>
        <w:spacing w:line="360" w:lineRule="auto"/>
        <w:ind w:left="444" w:leftChars="201" w:hanging="2" w:hangingChars="1"/>
        <w:jc w:val="both"/>
        <w:rPr>
          <w:rFonts w:ascii="Times New Roman" w:hAnsi="Times New Roman" w:cs="Times New Roman"/>
          <w:color w:val="auto"/>
          <w:sz w:val="24"/>
          <w:szCs w:val="24"/>
        </w:rPr>
      </w:pPr>
      <w:r>
        <w:rPr>
          <w:rFonts w:ascii="Times New Roman" w:hAnsi="Times New Roman" w:cs="Times New Roman"/>
          <w:color w:val="auto"/>
          <w:sz w:val="24"/>
          <w:szCs w:val="24"/>
        </w:rPr>
        <w:t>分辨率：0.03m；</w:t>
      </w:r>
    </w:p>
    <w:p>
      <w:pPr>
        <w:numPr>
          <w:ilvl w:val="0"/>
          <w:numId w:val="19"/>
        </w:numPr>
        <w:tabs>
          <w:tab w:val="left" w:pos="851"/>
        </w:tabs>
        <w:spacing w:line="360" w:lineRule="auto"/>
        <w:ind w:left="444" w:leftChars="201" w:hanging="2" w:hangingChars="1"/>
        <w:jc w:val="both"/>
        <w:rPr>
          <w:rFonts w:ascii="Times New Roman" w:hAnsi="Times New Roman" w:cs="Times New Roman"/>
          <w:color w:val="auto"/>
          <w:sz w:val="24"/>
          <w:szCs w:val="24"/>
        </w:rPr>
      </w:pPr>
      <w:r>
        <w:rPr>
          <w:rFonts w:ascii="Times New Roman" w:hAnsi="Times New Roman" w:cs="Times New Roman"/>
          <w:color w:val="auto"/>
          <w:sz w:val="24"/>
          <w:szCs w:val="24"/>
        </w:rPr>
        <w:t>精度：</w:t>
      </w:r>
      <w:bookmarkStart w:id="127" w:name="OLE_LINK96"/>
      <w:r>
        <w:rPr>
          <w:rFonts w:ascii="Times New Roman" w:hAnsi="Times New Roman" w:cs="Times New Roman"/>
          <w:color w:val="auto"/>
          <w:sz w:val="24"/>
          <w:szCs w:val="24"/>
        </w:rPr>
        <w:t>±0.1m（±0.33ft）</w:t>
      </w:r>
      <w:bookmarkEnd w:id="127"/>
      <w:r>
        <w:rPr>
          <w:rFonts w:ascii="Times New Roman" w:hAnsi="Times New Roman" w:cs="Times New Roman"/>
          <w:color w:val="auto"/>
          <w:sz w:val="24"/>
          <w:szCs w:val="24"/>
        </w:rPr>
        <w:t>；</w:t>
      </w:r>
    </w:p>
    <w:p>
      <w:pPr>
        <w:numPr>
          <w:ilvl w:val="0"/>
          <w:numId w:val="19"/>
        </w:numPr>
        <w:tabs>
          <w:tab w:val="left" w:pos="851"/>
        </w:tabs>
        <w:spacing w:line="360" w:lineRule="auto"/>
        <w:ind w:left="444" w:leftChars="201" w:hanging="2" w:hangingChars="1"/>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测量间隔：10~600秒（可调）；</w:t>
      </w:r>
    </w:p>
    <w:p>
      <w:pPr>
        <w:numPr>
          <w:ilvl w:val="0"/>
          <w:numId w:val="19"/>
        </w:numPr>
        <w:tabs>
          <w:tab w:val="left" w:pos="851"/>
        </w:tabs>
        <w:spacing w:line="360" w:lineRule="auto"/>
        <w:ind w:left="444" w:leftChars="201" w:hanging="2" w:hangingChars="1"/>
        <w:jc w:val="both"/>
        <w:rPr>
          <w:rFonts w:ascii="Times New Roman" w:hAnsi="Times New Roman" w:cs="Times New Roman"/>
          <w:color w:val="auto"/>
          <w:sz w:val="24"/>
          <w:szCs w:val="24"/>
        </w:rPr>
      </w:pPr>
      <w:r>
        <w:rPr>
          <w:rFonts w:ascii="Times New Roman" w:hAnsi="Times New Roman" w:cs="Times New Roman"/>
          <w:color w:val="auto"/>
          <w:sz w:val="24"/>
          <w:szCs w:val="24"/>
        </w:rPr>
        <w:t>操作温度：2~50℃；</w:t>
      </w:r>
    </w:p>
    <w:p>
      <w:pPr>
        <w:numPr>
          <w:ilvl w:val="0"/>
          <w:numId w:val="19"/>
        </w:numPr>
        <w:tabs>
          <w:tab w:val="left" w:pos="851"/>
        </w:tabs>
        <w:spacing w:line="360" w:lineRule="auto"/>
        <w:ind w:left="444" w:leftChars="201" w:hanging="2" w:hangingChars="1"/>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补偿：自动温度及角度补偿；</w:t>
      </w:r>
    </w:p>
    <w:p>
      <w:pPr>
        <w:numPr>
          <w:ilvl w:val="0"/>
          <w:numId w:val="19"/>
        </w:numPr>
        <w:tabs>
          <w:tab w:val="left" w:pos="851"/>
        </w:tabs>
        <w:spacing w:line="360" w:lineRule="auto"/>
        <w:ind w:left="444" w:leftChars="201" w:hanging="2" w:hangingChars="1"/>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*自动超声波频率调整，提高了测量的准确性；</w:t>
      </w:r>
    </w:p>
    <w:p>
      <w:pPr>
        <w:numPr>
          <w:ilvl w:val="0"/>
          <w:numId w:val="19"/>
        </w:numPr>
        <w:tabs>
          <w:tab w:val="left" w:pos="851"/>
        </w:tabs>
        <w:spacing w:line="360" w:lineRule="auto"/>
        <w:ind w:left="444" w:leftChars="201" w:hanging="2" w:hangingChars="1"/>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内置软件可自动消除水池结构（池中管道，横梁等）产生的干扰信号；</w:t>
      </w:r>
    </w:p>
    <w:p>
      <w:pPr>
        <w:numPr>
          <w:ilvl w:val="0"/>
          <w:numId w:val="19"/>
        </w:numPr>
        <w:tabs>
          <w:tab w:val="left" w:pos="851"/>
        </w:tabs>
        <w:spacing w:line="360" w:lineRule="auto"/>
        <w:ind w:left="444" w:leftChars="201" w:hanging="2" w:hangingChars="1"/>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自清洗：磁力式刮片自清洗装置；</w:t>
      </w:r>
    </w:p>
    <w:p>
      <w:pPr>
        <w:numPr>
          <w:ilvl w:val="0"/>
          <w:numId w:val="19"/>
        </w:numPr>
        <w:tabs>
          <w:tab w:val="left" w:pos="851"/>
        </w:tabs>
        <w:spacing w:line="360" w:lineRule="auto"/>
        <w:ind w:left="444" w:leftChars="201" w:hanging="2" w:hangingChars="1"/>
        <w:jc w:val="both"/>
        <w:rPr>
          <w:rFonts w:ascii="Times New Roman" w:hAnsi="Times New Roman" w:cs="Times New Roman"/>
          <w:color w:val="auto"/>
          <w:sz w:val="24"/>
          <w:szCs w:val="24"/>
        </w:rPr>
      </w:pPr>
      <w:r>
        <w:rPr>
          <w:rFonts w:ascii="Times New Roman" w:hAnsi="Times New Roman" w:cs="Times New Roman"/>
          <w:color w:val="auto"/>
          <w:sz w:val="24"/>
          <w:szCs w:val="24"/>
        </w:rPr>
        <w:t>防护等级：IP68；</w:t>
      </w:r>
    </w:p>
    <w:p>
      <w:pPr>
        <w:numPr>
          <w:ilvl w:val="0"/>
          <w:numId w:val="19"/>
        </w:numPr>
        <w:tabs>
          <w:tab w:val="left" w:pos="851"/>
        </w:tabs>
        <w:spacing w:line="360" w:lineRule="auto"/>
        <w:ind w:left="444" w:leftChars="201" w:hanging="2" w:hangingChars="1"/>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电缆长度：10m；</w:t>
      </w:r>
    </w:p>
    <w:p>
      <w:pPr>
        <w:numPr>
          <w:ilvl w:val="0"/>
          <w:numId w:val="19"/>
        </w:numPr>
        <w:tabs>
          <w:tab w:val="left" w:pos="851"/>
        </w:tabs>
        <w:spacing w:line="360" w:lineRule="auto"/>
        <w:ind w:left="444" w:leftChars="201" w:hanging="2" w:hangingChars="1"/>
        <w:jc w:val="both"/>
        <w:rPr>
          <w:rFonts w:ascii="Times New Roman" w:hAnsi="Times New Roman" w:cs="Times New Roman"/>
          <w:color w:val="auto"/>
          <w:sz w:val="24"/>
          <w:szCs w:val="24"/>
        </w:rPr>
      </w:pPr>
      <w:r>
        <w:rPr>
          <w:rFonts w:ascii="Times New Roman" w:hAnsi="Times New Roman" w:cs="Times New Roman"/>
          <w:color w:val="auto"/>
          <w:sz w:val="24"/>
          <w:szCs w:val="24"/>
        </w:rPr>
        <w:t>样品流速：≤3m/s；</w:t>
      </w:r>
    </w:p>
    <w:p>
      <w:pPr>
        <w:numPr>
          <w:ilvl w:val="0"/>
          <w:numId w:val="19"/>
        </w:numPr>
        <w:tabs>
          <w:tab w:val="left" w:pos="851"/>
        </w:tabs>
        <w:spacing w:line="360" w:lineRule="auto"/>
        <w:ind w:left="444" w:leftChars="201" w:hanging="2" w:hangingChars="1"/>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*安装方式：固定安装；</w:t>
      </w:r>
    </w:p>
    <w:p>
      <w:pPr>
        <w:numPr>
          <w:ilvl w:val="0"/>
          <w:numId w:val="19"/>
        </w:numPr>
        <w:tabs>
          <w:tab w:val="left" w:pos="851"/>
        </w:tabs>
        <w:spacing w:line="360" w:lineRule="auto"/>
        <w:ind w:left="444" w:leftChars="201" w:hanging="2" w:hangingChars="1"/>
        <w:jc w:val="both"/>
        <w:rPr>
          <w:rFonts w:ascii="Times New Roman" w:hAnsi="Times New Roman" w:cs="Times New Roman"/>
          <w:color w:val="auto"/>
          <w:sz w:val="24"/>
          <w:szCs w:val="24"/>
        </w:rPr>
      </w:pPr>
      <w:r>
        <w:rPr>
          <w:rFonts w:ascii="Times New Roman" w:hAnsi="Times New Roman" w:cs="Times New Roman"/>
          <w:color w:val="auto"/>
          <w:sz w:val="24"/>
          <w:szCs w:val="24"/>
        </w:rPr>
        <w:t>电源：12V</w:t>
      </w:r>
      <w:r>
        <w:rPr>
          <w:rFonts w:ascii="Times New Roman" w:hAnsi="Times New Roman" w:cs="Times New Roman"/>
          <w:color w:val="auto"/>
          <w:sz w:val="24"/>
          <w:szCs w:val="24"/>
          <w:lang w:eastAsia="zh-CN"/>
        </w:rPr>
        <w:t>DC</w:t>
      </w:r>
      <w:r>
        <w:rPr>
          <w:rFonts w:ascii="Times New Roman" w:hAnsi="Times New Roman" w:cs="Times New Roman"/>
          <w:color w:val="auto"/>
          <w:sz w:val="24"/>
          <w:szCs w:val="24"/>
        </w:rPr>
        <w:t>；</w:t>
      </w:r>
    </w:p>
    <w:p>
      <w:pPr>
        <w:numPr>
          <w:ilvl w:val="0"/>
          <w:numId w:val="19"/>
        </w:numPr>
        <w:tabs>
          <w:tab w:val="left" w:pos="851"/>
        </w:tabs>
        <w:spacing w:line="360" w:lineRule="auto"/>
        <w:ind w:left="444" w:leftChars="201" w:hanging="2" w:hangingChars="1"/>
        <w:jc w:val="both"/>
        <w:rPr>
          <w:rFonts w:ascii="Times New Roman" w:hAnsi="Times New Roman" w:cs="Times New Roman"/>
          <w:color w:val="auto"/>
          <w:sz w:val="24"/>
          <w:szCs w:val="24"/>
        </w:rPr>
      </w:pPr>
      <w:r>
        <w:rPr>
          <w:rFonts w:ascii="Times New Roman" w:hAnsi="Times New Roman" w:cs="Times New Roman"/>
          <w:color w:val="auto"/>
          <w:sz w:val="24"/>
          <w:szCs w:val="24"/>
        </w:rPr>
        <w:t>探头材质：管子：硅；主体：SS；面板：Polyoxymethylene；</w:t>
      </w:r>
    </w:p>
    <w:p>
      <w:pPr>
        <w:spacing w:line="360" w:lineRule="auto"/>
        <w:ind w:firstLine="482" w:firstLineChars="200"/>
        <w:rPr>
          <w:rFonts w:ascii="Times New Roman" w:hAnsi="Times New Roman" w:cs="Times New Roman"/>
          <w:b/>
          <w:color w:val="auto"/>
          <w:sz w:val="24"/>
          <w:szCs w:val="24"/>
          <w:lang w:eastAsia="zh-CN"/>
        </w:rPr>
      </w:pPr>
      <w:r>
        <w:rPr>
          <w:rFonts w:ascii="Times New Roman" w:hAnsi="Times New Roman" w:cs="Times New Roman"/>
          <w:b/>
          <w:color w:val="auto"/>
          <w:sz w:val="24"/>
          <w:szCs w:val="24"/>
          <w:lang w:eastAsia="zh-CN"/>
        </w:rPr>
        <w:t>控制器技术参数</w:t>
      </w:r>
    </w:p>
    <w:p>
      <w:pPr>
        <w:numPr>
          <w:ilvl w:val="0"/>
          <w:numId w:val="20"/>
        </w:numPr>
        <w:tabs>
          <w:tab w:val="left" w:pos="426"/>
          <w:tab w:val="left" w:pos="993"/>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*显示：TFT 3.5 英寸电容式彩色触摸显示屏；</w:t>
      </w:r>
    </w:p>
    <w:p>
      <w:pPr>
        <w:numPr>
          <w:ilvl w:val="0"/>
          <w:numId w:val="20"/>
        </w:numPr>
        <w:tabs>
          <w:tab w:val="left" w:pos="426"/>
          <w:tab w:val="left" w:pos="993"/>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*自诊断：具备Prognosys自诊断系统，可显示连接仪表的测量有效性和维护日期&amp;要求；</w:t>
      </w:r>
    </w:p>
    <w:p>
      <w:pPr>
        <w:numPr>
          <w:ilvl w:val="0"/>
          <w:numId w:val="20"/>
        </w:numPr>
        <w:tabs>
          <w:tab w:val="left" w:pos="840"/>
          <w:tab w:val="left" w:pos="993"/>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*探头输入：单通道或双通道；</w:t>
      </w:r>
    </w:p>
    <w:p>
      <w:pPr>
        <w:numPr>
          <w:ilvl w:val="0"/>
          <w:numId w:val="20"/>
        </w:numPr>
        <w:tabs>
          <w:tab w:val="left" w:pos="840"/>
          <w:tab w:val="left" w:pos="993"/>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输出（可选）：五路模拟的0/4-20mA输出信号；</w:t>
      </w:r>
    </w:p>
    <w:p>
      <w:pPr>
        <w:numPr>
          <w:ilvl w:val="0"/>
          <w:numId w:val="20"/>
        </w:numPr>
        <w:tabs>
          <w:tab w:val="left" w:pos="840"/>
          <w:tab w:val="left" w:pos="993"/>
        </w:tabs>
        <w:spacing w:line="360" w:lineRule="auto"/>
        <w:ind w:left="426" w:hanging="6"/>
        <w:jc w:val="both"/>
        <w:rPr>
          <w:rFonts w:ascii="Times New Roman" w:hAnsi="Times New Roman" w:cs="Times New Roman"/>
          <w:color w:val="auto"/>
          <w:sz w:val="24"/>
          <w:szCs w:val="24"/>
        </w:rPr>
      </w:pPr>
      <w:r>
        <w:rPr>
          <w:rFonts w:ascii="Times New Roman" w:hAnsi="Times New Roman" w:cs="Times New Roman"/>
          <w:color w:val="auto"/>
          <w:sz w:val="24"/>
          <w:szCs w:val="24"/>
        </w:rPr>
        <w:t>*通讯协议（可选）：Modbus TCP/IP；</w:t>
      </w:r>
    </w:p>
    <w:p>
      <w:pPr>
        <w:numPr>
          <w:ilvl w:val="0"/>
          <w:numId w:val="20"/>
        </w:numPr>
        <w:tabs>
          <w:tab w:val="left" w:pos="840"/>
          <w:tab w:val="left" w:pos="993"/>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工作环境：-20~60℃，0~95%相对湿度、无冷凝；</w:t>
      </w:r>
    </w:p>
    <w:p>
      <w:pPr>
        <w:numPr>
          <w:ilvl w:val="0"/>
          <w:numId w:val="20"/>
        </w:numPr>
        <w:tabs>
          <w:tab w:val="left" w:pos="840"/>
          <w:tab w:val="left" w:pos="993"/>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存储环境：-20~70℃，0~95%相对湿度、无冷凝；</w:t>
      </w:r>
    </w:p>
    <w:p>
      <w:pPr>
        <w:numPr>
          <w:ilvl w:val="0"/>
          <w:numId w:val="20"/>
        </w:numPr>
        <w:tabs>
          <w:tab w:val="left" w:pos="840"/>
          <w:tab w:val="left" w:pos="993"/>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继电器：两个SPDT触头；</w:t>
      </w:r>
    </w:p>
    <w:p>
      <w:pPr>
        <w:numPr>
          <w:ilvl w:val="0"/>
          <w:numId w:val="20"/>
        </w:numPr>
        <w:tabs>
          <w:tab w:val="left" w:pos="840"/>
          <w:tab w:val="left" w:pos="993"/>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*数据存储：控制器为每个传感器记录约20,000个数据，可通过UBS端口下载；</w:t>
      </w:r>
    </w:p>
    <w:p>
      <w:pPr>
        <w:numPr>
          <w:ilvl w:val="0"/>
          <w:numId w:val="20"/>
        </w:numPr>
        <w:tabs>
          <w:tab w:val="left" w:pos="840"/>
          <w:tab w:val="left" w:pos="993"/>
        </w:tabs>
        <w:spacing w:line="360" w:lineRule="auto"/>
        <w:ind w:left="426" w:hanging="6"/>
        <w:jc w:val="both"/>
        <w:rPr>
          <w:rFonts w:ascii="Times New Roman" w:hAnsi="Times New Roman" w:cs="Times New Roman"/>
          <w:color w:val="auto"/>
          <w:sz w:val="24"/>
          <w:szCs w:val="24"/>
        </w:rPr>
      </w:pPr>
      <w:r>
        <w:rPr>
          <w:rFonts w:ascii="Times New Roman" w:hAnsi="Times New Roman" w:cs="Times New Roman"/>
          <w:color w:val="auto"/>
          <w:sz w:val="24"/>
          <w:szCs w:val="24"/>
        </w:rPr>
        <w:t>外壳防护等级：UL50E 4X 型，IEC/EN 60529-IP 66，NEMA 250 4X 型，耐腐蚀金属外壳；</w:t>
      </w:r>
    </w:p>
    <w:p>
      <w:pPr>
        <w:numPr>
          <w:ilvl w:val="0"/>
          <w:numId w:val="20"/>
        </w:numPr>
        <w:tabs>
          <w:tab w:val="left" w:pos="840"/>
          <w:tab w:val="left" w:pos="993"/>
        </w:tabs>
        <w:spacing w:line="360" w:lineRule="auto"/>
        <w:ind w:left="426" w:hanging="6"/>
        <w:jc w:val="both"/>
        <w:rPr>
          <w:rFonts w:ascii="Times New Roman" w:hAnsi="Times New Roman" w:cs="Times New Roman"/>
          <w:color w:val="auto"/>
          <w:sz w:val="24"/>
          <w:szCs w:val="24"/>
        </w:rPr>
      </w:pPr>
      <w:r>
        <w:rPr>
          <w:rFonts w:ascii="Times New Roman" w:hAnsi="Times New Roman" w:cs="Times New Roman"/>
          <w:color w:val="auto"/>
          <w:sz w:val="24"/>
          <w:szCs w:val="24"/>
        </w:rPr>
        <w:t>电源：100~240VAC±10%，50/60Hz；</w:t>
      </w:r>
    </w:p>
    <w:p>
      <w:pPr>
        <w:numPr>
          <w:ilvl w:val="0"/>
          <w:numId w:val="20"/>
        </w:numPr>
        <w:tabs>
          <w:tab w:val="left" w:pos="840"/>
          <w:tab w:val="left" w:pos="993"/>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电子认证：符合CE 认证/ETL 认证、UL 认证和CSA 安全标准（适用于所有传感器类型）、FCC、ISED、KC、RCM、EAC、UKCA、SABS、C（摩洛哥）；</w:t>
      </w:r>
    </w:p>
    <w:p>
      <w:pPr>
        <w:numPr>
          <w:ilvl w:val="0"/>
          <w:numId w:val="20"/>
        </w:numPr>
        <w:tabs>
          <w:tab w:val="left" w:pos="840"/>
          <w:tab w:val="left" w:pos="993"/>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安装方式：壁挂/面板/夹管式安装；</w:t>
      </w:r>
    </w:p>
    <w:p>
      <w:pPr>
        <w:numPr>
          <w:ilvl w:val="0"/>
          <w:numId w:val="20"/>
        </w:numPr>
        <w:tabs>
          <w:tab w:val="left" w:pos="840"/>
          <w:tab w:val="left" w:pos="993"/>
        </w:tabs>
        <w:spacing w:line="360" w:lineRule="auto"/>
        <w:ind w:left="426" w:hanging="6"/>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外壳材质：聚碳酸酯，铝质（镀粉末）；</w:t>
      </w:r>
    </w:p>
    <w:p>
      <w:pPr>
        <w:pStyle w:val="29"/>
        <w:ind w:firstLine="0" w:firstLineChars="0"/>
        <w:rPr>
          <w:rFonts w:cs="Times New Roman"/>
          <w:b/>
          <w:bCs/>
          <w:color w:val="auto"/>
          <w:szCs w:val="24"/>
        </w:rPr>
      </w:pPr>
      <w:bookmarkStart w:id="128" w:name="_Toc386123205"/>
      <w:r>
        <w:rPr>
          <w:rFonts w:cs="Times New Roman"/>
          <w:b/>
          <w:bCs/>
          <w:color w:val="auto"/>
          <w:szCs w:val="24"/>
        </w:rPr>
        <w:t>15.总磷/总氮在线分析仪（</w:t>
      </w:r>
      <w:bookmarkStart w:id="129" w:name="OLE_LINK22"/>
      <w:bookmarkStart w:id="130" w:name="OLE_LINK23"/>
      <w:r>
        <w:rPr>
          <w:rFonts w:cs="Times New Roman"/>
          <w:b/>
          <w:bCs/>
          <w:color w:val="auto"/>
          <w:szCs w:val="24"/>
        </w:rPr>
        <w:t>NPW-160</w:t>
      </w:r>
      <w:bookmarkEnd w:id="129"/>
      <w:bookmarkEnd w:id="130"/>
      <w:r>
        <w:rPr>
          <w:rFonts w:cs="Times New Roman"/>
          <w:b/>
          <w:bCs/>
          <w:color w:val="auto"/>
          <w:szCs w:val="24"/>
        </w:rPr>
        <w:t>H）</w:t>
      </w:r>
      <w:bookmarkEnd w:id="128"/>
    </w:p>
    <w:p>
      <w:pPr>
        <w:numPr>
          <w:ilvl w:val="0"/>
          <w:numId w:val="21"/>
        </w:numPr>
        <w:tabs>
          <w:tab w:val="left" w:pos="851"/>
        </w:tabs>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*测量原理：</w:t>
      </w:r>
    </w:p>
    <w:p>
      <w:pPr>
        <w:spacing w:line="360" w:lineRule="auto"/>
        <w:ind w:left="447" w:leftChars="203" w:firstLine="484" w:firstLineChars="202"/>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总磷（符合国标GB11893-89）：过硫酸钾做氧化剂，在120℃条件下消解30min，将磷化物转化成磷酸根离子，钼蓝法吸光光度法（测量波长：700nm）；</w:t>
      </w:r>
    </w:p>
    <w:p>
      <w:pPr>
        <w:spacing w:line="360" w:lineRule="auto"/>
        <w:ind w:left="447" w:leftChars="203" w:firstLine="484" w:firstLineChars="202"/>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总氮（符合行业标准HJ 636-2012）：碱性过硫酸钾做氧化剂，在120℃条件下消解30min，将氮化物转化成硝酸根离子，样品溶液的pH调节为2~3；紫外光吸光光度法检测（测量波长：220nm，A=A220-A275×2）；</w:t>
      </w:r>
    </w:p>
    <w:p>
      <w:pPr>
        <w:numPr>
          <w:ilvl w:val="0"/>
          <w:numId w:val="21"/>
        </w:numPr>
        <w:tabs>
          <w:tab w:val="left" w:pos="851"/>
        </w:tabs>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*测量范围：</w:t>
      </w:r>
    </w:p>
    <w:p>
      <w:pPr>
        <w:spacing w:line="360" w:lineRule="auto"/>
        <w:ind w:left="426" w:firstLine="484" w:firstLineChars="202"/>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总磷：0~0.5/1/2/5/10/20mg/L可选；（具体量程详见仪表清单）</w:t>
      </w:r>
    </w:p>
    <w:p>
      <w:pPr>
        <w:spacing w:line="360" w:lineRule="auto"/>
        <w:ind w:left="426" w:firstLine="484" w:firstLineChars="202"/>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总氮： 0~2/5/10/15/20/25/50/100mg/L可选；（具体量程详见仪表清单）</w:t>
      </w:r>
    </w:p>
    <w:p>
      <w:pPr>
        <w:numPr>
          <w:ilvl w:val="0"/>
          <w:numId w:val="21"/>
        </w:numPr>
        <w:tabs>
          <w:tab w:val="left" w:pos="851"/>
        </w:tabs>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重复性：≤3%；</w:t>
      </w:r>
    </w:p>
    <w:p>
      <w:pPr>
        <w:numPr>
          <w:ilvl w:val="0"/>
          <w:numId w:val="21"/>
        </w:numPr>
        <w:tabs>
          <w:tab w:val="left" w:pos="851"/>
        </w:tabs>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稳定性：≤10%（24H）；</w:t>
      </w:r>
    </w:p>
    <w:p>
      <w:pPr>
        <w:numPr>
          <w:ilvl w:val="0"/>
          <w:numId w:val="21"/>
        </w:numPr>
        <w:tabs>
          <w:tab w:val="left" w:pos="851"/>
        </w:tabs>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零点漂移：≤5%；</w:t>
      </w:r>
    </w:p>
    <w:p>
      <w:pPr>
        <w:numPr>
          <w:ilvl w:val="0"/>
          <w:numId w:val="21"/>
        </w:numPr>
        <w:tabs>
          <w:tab w:val="left" w:pos="851"/>
        </w:tabs>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量程漂移：≤10%</w:t>
      </w:r>
      <w:bookmarkStart w:id="131" w:name="OLE_LINK2"/>
      <w:r>
        <w:rPr>
          <w:rFonts w:ascii="Times New Roman" w:hAnsi="Times New Roman" w:cs="Times New Roman"/>
          <w:color w:val="auto"/>
          <w:sz w:val="24"/>
          <w:szCs w:val="24"/>
        </w:rPr>
        <w:t>；</w:t>
      </w:r>
      <w:bookmarkEnd w:id="131"/>
    </w:p>
    <w:p>
      <w:pPr>
        <w:numPr>
          <w:ilvl w:val="0"/>
          <w:numId w:val="21"/>
        </w:numPr>
        <w:tabs>
          <w:tab w:val="left" w:pos="851"/>
        </w:tabs>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*测量周期：1小时/1次测定，能够以小时为单位任意设置一天（24H）的测量时间表可任意设定；</w:t>
      </w:r>
    </w:p>
    <w:p>
      <w:pPr>
        <w:numPr>
          <w:ilvl w:val="0"/>
          <w:numId w:val="21"/>
        </w:numPr>
        <w:tabs>
          <w:tab w:val="left" w:pos="851"/>
        </w:tabs>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样品条件：温度，2~40℃；压力，0.02~0.05MPa；</w:t>
      </w:r>
    </w:p>
    <w:p>
      <w:pPr>
        <w:spacing w:line="360" w:lineRule="auto"/>
        <w:ind w:left="426" w:firstLine="1680" w:firstLineChars="700"/>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流量，1~3L/min；每次分析取样量约35mL；</w:t>
      </w:r>
    </w:p>
    <w:p>
      <w:pPr>
        <w:numPr>
          <w:ilvl w:val="0"/>
          <w:numId w:val="21"/>
        </w:numPr>
        <w:tabs>
          <w:tab w:val="left" w:pos="851"/>
        </w:tabs>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显示方式：LCD彩色触摸屏；</w:t>
      </w:r>
    </w:p>
    <w:p>
      <w:pPr>
        <w:numPr>
          <w:ilvl w:val="0"/>
          <w:numId w:val="21"/>
        </w:numPr>
        <w:tabs>
          <w:tab w:val="left" w:pos="851"/>
        </w:tabs>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记录方式：USB存储器（可保存5年的数据）；</w:t>
      </w:r>
    </w:p>
    <w:p>
      <w:pPr>
        <w:numPr>
          <w:ilvl w:val="0"/>
          <w:numId w:val="21"/>
        </w:numPr>
        <w:tabs>
          <w:tab w:val="left" w:pos="851"/>
        </w:tabs>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校正方式：手动校正/ 自动校正；</w:t>
      </w:r>
    </w:p>
    <w:p>
      <w:pPr>
        <w:numPr>
          <w:ilvl w:val="0"/>
          <w:numId w:val="21"/>
        </w:numPr>
        <w:tabs>
          <w:tab w:val="left" w:pos="851"/>
        </w:tabs>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输出：同时输出2路模拟信号4~20mA；负载电阻：600欧姆；</w:t>
      </w:r>
    </w:p>
    <w:p>
      <w:pPr>
        <w:numPr>
          <w:ilvl w:val="0"/>
          <w:numId w:val="21"/>
        </w:numPr>
        <w:tabs>
          <w:tab w:val="left" w:pos="851"/>
        </w:tabs>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数字通讯：Modbus RS485；</w:t>
      </w:r>
    </w:p>
    <w:p>
      <w:pPr>
        <w:numPr>
          <w:ilvl w:val="0"/>
          <w:numId w:val="21"/>
        </w:numPr>
        <w:tabs>
          <w:tab w:val="left" w:pos="851"/>
        </w:tabs>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触点输出信号：2路触点输出；</w:t>
      </w:r>
    </w:p>
    <w:p>
      <w:pPr>
        <w:numPr>
          <w:ilvl w:val="0"/>
          <w:numId w:val="21"/>
        </w:numPr>
        <w:tabs>
          <w:tab w:val="left" w:pos="851"/>
        </w:tabs>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触点容量：DC24V、3A 以下； AC220V、3A 以下；</w:t>
      </w:r>
    </w:p>
    <w:p>
      <w:pPr>
        <w:numPr>
          <w:ilvl w:val="0"/>
          <w:numId w:val="21"/>
        </w:numPr>
        <w:tabs>
          <w:tab w:val="left" w:pos="851"/>
        </w:tabs>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*试剂配方公开，用户可自行配置试剂；</w:t>
      </w:r>
    </w:p>
    <w:p>
      <w:pPr>
        <w:numPr>
          <w:ilvl w:val="0"/>
          <w:numId w:val="21"/>
        </w:numPr>
        <w:tabs>
          <w:tab w:val="left" w:pos="851"/>
        </w:tabs>
        <w:spacing w:line="360" w:lineRule="auto"/>
        <w:ind w:left="426" w:firstLine="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MTBF（平均无故障连续运行时间）：≥720h/次；</w:t>
      </w:r>
    </w:p>
    <w:p>
      <w:pPr>
        <w:numPr>
          <w:ilvl w:val="0"/>
          <w:numId w:val="21"/>
        </w:numPr>
        <w:tabs>
          <w:tab w:val="left" w:pos="851"/>
        </w:tabs>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电源：220VAC 50Hz；</w:t>
      </w:r>
    </w:p>
    <w:p>
      <w:pPr>
        <w:numPr>
          <w:ilvl w:val="0"/>
          <w:numId w:val="21"/>
        </w:numPr>
        <w:tabs>
          <w:tab w:val="left" w:pos="851"/>
        </w:tabs>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功率：最大500VA，平均150VA；</w:t>
      </w:r>
    </w:p>
    <w:p>
      <w:pPr>
        <w:numPr>
          <w:ilvl w:val="0"/>
          <w:numId w:val="21"/>
        </w:numPr>
        <w:tabs>
          <w:tab w:val="left" w:pos="851"/>
        </w:tabs>
        <w:spacing w:line="360" w:lineRule="auto"/>
        <w:ind w:left="426" w:firstLine="0"/>
        <w:jc w:val="both"/>
        <w:rPr>
          <w:rFonts w:ascii="Times New Roman" w:hAnsi="Times New Roman" w:cs="Times New Roman"/>
          <w:color w:val="auto"/>
          <w:sz w:val="24"/>
          <w:szCs w:val="24"/>
        </w:rPr>
      </w:pPr>
      <w:r>
        <w:rPr>
          <w:rFonts w:ascii="Times New Roman" w:hAnsi="Times New Roman" w:cs="Times New Roman"/>
          <w:color w:val="auto"/>
          <w:sz w:val="24"/>
          <w:szCs w:val="24"/>
        </w:rPr>
        <w:t>防护等级：IPX2；</w:t>
      </w:r>
    </w:p>
    <w:p>
      <w:pPr>
        <w:pStyle w:val="29"/>
        <w:ind w:firstLine="472"/>
        <w:rPr>
          <w:rFonts w:cs="Times New Roman"/>
          <w:color w:val="auto"/>
          <w:szCs w:val="24"/>
        </w:rPr>
      </w:pPr>
      <w:r>
        <w:rPr>
          <w:rFonts w:cs="Times New Roman"/>
          <w:color w:val="auto"/>
          <w:szCs w:val="24"/>
        </w:rPr>
        <w:t>安装方式：立柜式安装，室内安装；</w:t>
      </w:r>
    </w:p>
    <w:p>
      <w:pPr>
        <w:pStyle w:val="30"/>
        <w:spacing w:before="120" w:after="120"/>
        <w:rPr>
          <w:b w:val="0"/>
          <w:bCs/>
          <w:color w:val="auto"/>
        </w:rPr>
      </w:pPr>
      <w:bookmarkStart w:id="132" w:name="_Toc117181361"/>
      <w:r>
        <w:rPr>
          <w:rFonts w:hint="eastAsia"/>
          <w:bCs/>
          <w:color w:val="auto"/>
        </w:rPr>
        <w:t>智慧水务技术要求</w:t>
      </w:r>
      <w:bookmarkEnd w:id="132"/>
    </w:p>
    <w:p>
      <w:pPr>
        <w:pStyle w:val="29"/>
        <w:ind w:firstLine="474"/>
        <w:rPr>
          <w:b/>
          <w:bCs/>
          <w:color w:val="auto"/>
        </w:rPr>
      </w:pPr>
      <w:bookmarkStart w:id="133" w:name="_Toc116823562"/>
      <w:bookmarkStart w:id="134" w:name="_Toc54955257"/>
      <w:bookmarkStart w:id="135" w:name="_Toc37200702"/>
      <w:bookmarkStart w:id="136" w:name="_Hlk55736105"/>
      <w:r>
        <w:rPr>
          <w:rFonts w:hint="eastAsia"/>
          <w:b/>
          <w:bCs/>
          <w:color w:val="auto"/>
        </w:rPr>
        <w:t>1、工艺高级控制系统</w:t>
      </w:r>
      <w:bookmarkEnd w:id="133"/>
    </w:p>
    <w:p>
      <w:pPr>
        <w:pStyle w:val="29"/>
        <w:ind w:firstLine="472"/>
        <w:rPr>
          <w:color w:val="auto"/>
        </w:rPr>
      </w:pPr>
      <w:r>
        <w:rPr>
          <w:rFonts w:hint="eastAsia"/>
          <w:color w:val="auto"/>
        </w:rPr>
        <w:t>工艺高级控制系统应能实现以出水水质指标（如氨氮、总氮、总磷）为目标导向的智慧化决策与自动化运行，基于活性污泥模型，完成复杂工艺环节的自动化、精细化控制，包括：高级控制平台、精确曝气系统、碳源智能投加控制系统、化学除磷智能投加系统。</w:t>
      </w:r>
    </w:p>
    <w:p>
      <w:pPr>
        <w:pStyle w:val="29"/>
        <w:ind w:firstLine="474"/>
        <w:rPr>
          <w:b/>
          <w:bCs/>
          <w:color w:val="auto"/>
        </w:rPr>
      </w:pPr>
      <w:r>
        <w:rPr>
          <w:rFonts w:hint="eastAsia"/>
          <w:b/>
          <w:bCs/>
          <w:color w:val="auto"/>
        </w:rPr>
        <w:t>（1）高级控制平台</w:t>
      </w:r>
    </w:p>
    <w:p>
      <w:pPr>
        <w:pStyle w:val="29"/>
        <w:ind w:firstLine="474"/>
        <w:rPr>
          <w:b/>
          <w:bCs/>
          <w:color w:val="auto"/>
        </w:rPr>
      </w:pPr>
      <w:r>
        <w:rPr>
          <w:b/>
          <w:bCs/>
          <w:color w:val="auto"/>
        </w:rPr>
        <w:t>1</w:t>
      </w:r>
      <w:r>
        <w:rPr>
          <w:rFonts w:hint="eastAsia"/>
          <w:b/>
          <w:bCs/>
          <w:color w:val="auto"/>
        </w:rPr>
        <w:t>）</w:t>
      </w:r>
      <w:r>
        <w:rPr>
          <w:b/>
          <w:bCs/>
          <w:color w:val="auto"/>
        </w:rPr>
        <w:t>总体要求</w:t>
      </w:r>
    </w:p>
    <w:p>
      <w:pPr>
        <w:pStyle w:val="29"/>
        <w:ind w:firstLine="472"/>
        <w:rPr>
          <w:color w:val="auto"/>
        </w:rPr>
      </w:pPr>
      <w:r>
        <w:rPr>
          <w:color w:val="auto"/>
        </w:rPr>
        <w:t>高级控制平台（以下简称“控制平台”）是基于计算机高级语言开发，建立在PLC自控系统之上，能够处理复杂算法和业务逻辑的智能化控制软件开发平台。它能够为</w:t>
      </w:r>
      <w:r>
        <w:rPr>
          <w:rFonts w:hint="eastAsia"/>
          <w:color w:val="auto"/>
        </w:rPr>
        <w:t>再生</w:t>
      </w:r>
      <w:r>
        <w:rPr>
          <w:color w:val="auto"/>
        </w:rPr>
        <w:t>水厂提供较为全面的逻辑冗余控制策略</w:t>
      </w:r>
      <w:r>
        <w:rPr>
          <w:rFonts w:hint="eastAsia"/>
          <w:color w:val="auto"/>
        </w:rPr>
        <w:t>和</w:t>
      </w:r>
      <w:r>
        <w:rPr>
          <w:color w:val="auto"/>
        </w:rPr>
        <w:t>精细化的控制方案，为实现</w:t>
      </w:r>
      <w:r>
        <w:rPr>
          <w:rFonts w:hint="eastAsia"/>
          <w:color w:val="auto"/>
        </w:rPr>
        <w:t>再生</w:t>
      </w:r>
      <w:r>
        <w:rPr>
          <w:color w:val="auto"/>
        </w:rPr>
        <w:t>水厂全自动、高可靠、智能化运行提供全方位技术支撑。</w:t>
      </w:r>
    </w:p>
    <w:p>
      <w:pPr>
        <w:pStyle w:val="29"/>
        <w:ind w:firstLine="472"/>
        <w:rPr>
          <w:color w:val="auto"/>
        </w:rPr>
      </w:pPr>
      <w:r>
        <w:rPr>
          <w:color w:val="auto"/>
        </w:rPr>
        <w:t>用户</w:t>
      </w:r>
      <w:r>
        <w:rPr>
          <w:rFonts w:hint="eastAsia"/>
          <w:color w:val="auto"/>
        </w:rPr>
        <w:t>可</w:t>
      </w:r>
      <w:r>
        <w:rPr>
          <w:color w:val="auto"/>
        </w:rPr>
        <w:t>通过在控制平台上新建工程项目，定义采集变量、按需选取功能运算块，或自定义算法脚本（Script），并配置各项运行参数等系列过程，实现生产运行的多策略控制、工艺控制参数在线自动优化、关键工艺环节的智能化控制、控制模型自由组态等应用，从而帮助提高控制系统可靠性和运行效率，降低物料成本，给企业带来显著效益。总体要求如下：</w:t>
      </w:r>
    </w:p>
    <w:p>
      <w:pPr>
        <w:pStyle w:val="29"/>
        <w:ind w:firstLine="472"/>
        <w:rPr>
          <w:color w:val="auto"/>
        </w:rPr>
      </w:pPr>
      <w:r>
        <w:rPr>
          <w:color w:val="auto"/>
        </w:rPr>
        <w:t>（一）内置I/0数据预处理机制</w:t>
      </w:r>
    </w:p>
    <w:p>
      <w:pPr>
        <w:pStyle w:val="29"/>
        <w:ind w:firstLine="472"/>
        <w:rPr>
          <w:color w:val="auto"/>
        </w:rPr>
      </w:pPr>
      <w:r>
        <w:rPr>
          <w:color w:val="auto"/>
        </w:rPr>
        <w:t>控制平台应包含I/0数据预处理机制（如去掉滤波、平滑处理、补遗处理、合理性校验）。实现对数据的实时诊断，提高数据准确性，规避因输入信号的异常波动或者遗失而带来的控制输出结果计算的不正确的影响;</w:t>
      </w:r>
    </w:p>
    <w:p>
      <w:pPr>
        <w:pStyle w:val="29"/>
        <w:ind w:firstLine="472"/>
        <w:rPr>
          <w:color w:val="auto"/>
        </w:rPr>
      </w:pPr>
      <w:r>
        <w:rPr>
          <w:color w:val="auto"/>
        </w:rPr>
        <w:t>（二）采用平台化的软件设计架构</w:t>
      </w:r>
    </w:p>
    <w:p>
      <w:pPr>
        <w:pStyle w:val="29"/>
        <w:ind w:firstLine="472"/>
        <w:rPr>
          <w:color w:val="auto"/>
        </w:rPr>
      </w:pPr>
      <w:r>
        <w:rPr>
          <w:color w:val="auto"/>
        </w:rPr>
        <w:t>采用对象化、模块化和平台化设计，满足不同应用场景的需求。控制平台内置各种功能运算块（FB），能够通过有机组合完成复杂的模型化和算法化的数学运算，也能够通过二次SDK开发扩展更多的功能运算块（FB），满足不同水厂工艺的控制要求。用户按照系统工艺进行分区域、分功能的控制模块选取和编排，完成下层自控系统控制逻辑和上层FB的对象映射和双向数据通信，对下与PLC控制系统协作实现模型化和算法化的高可靠、智能化控制，对上实现对PLC控制系统的健康状态监测和性能评价。</w:t>
      </w:r>
    </w:p>
    <w:p>
      <w:pPr>
        <w:pStyle w:val="29"/>
        <w:ind w:firstLine="472"/>
        <w:rPr>
          <w:color w:val="auto"/>
        </w:rPr>
      </w:pPr>
      <w:r>
        <w:rPr>
          <w:color w:val="auto"/>
        </w:rPr>
        <w:t>（三）项目配置与管理分离</w:t>
      </w:r>
    </w:p>
    <w:p>
      <w:pPr>
        <w:pStyle w:val="29"/>
        <w:ind w:firstLine="472"/>
        <w:rPr>
          <w:color w:val="auto"/>
        </w:rPr>
      </w:pPr>
      <w:r>
        <w:rPr>
          <w:color w:val="auto"/>
        </w:rPr>
        <w:t>项目配置开发与管理运行分离，达到高效实施、安全运行的目的。平台可根据工程要求进行快速项目组态，即配即用，配置快速和灵活。根据使用场景类型软件可分为配置和运行两种模式，目的是保证现场运行后安全，防止工程配置文件被意外修改，导致运行异常。配置模式时，实施人员可以通过软件可视化配置、自定义脚本编辑等方式快速搭建控制器模型。运行模式时，已经根据水厂实现高可靠智能化控制的要求完成项目的全部配置，运行人员直接使用即可，通过浏览监控画面、FB运行视图、控制指标等方式了解自控系统当前运行状态，由此来综合评价水厂控制系统的可靠性及智能化水平。</w:t>
      </w:r>
    </w:p>
    <w:p>
      <w:pPr>
        <w:pStyle w:val="29"/>
        <w:ind w:firstLine="474"/>
        <w:rPr>
          <w:b/>
          <w:bCs/>
          <w:color w:val="auto"/>
        </w:rPr>
      </w:pPr>
      <w:r>
        <w:rPr>
          <w:rFonts w:hint="eastAsia"/>
          <w:b/>
          <w:bCs/>
          <w:color w:val="auto"/>
        </w:rPr>
        <w:t>2）</w:t>
      </w:r>
      <w:r>
        <w:rPr>
          <w:b/>
          <w:bCs/>
          <w:color w:val="auto"/>
        </w:rPr>
        <w:t>功能要求</w:t>
      </w:r>
    </w:p>
    <w:p>
      <w:pPr>
        <w:pStyle w:val="29"/>
        <w:ind w:firstLine="472"/>
        <w:rPr>
          <w:color w:val="auto"/>
        </w:rPr>
      </w:pPr>
      <w:r>
        <w:rPr>
          <w:color w:val="auto"/>
        </w:rPr>
        <w:t>平台应满足如下功能需求:</w:t>
      </w:r>
    </w:p>
    <w:p>
      <w:pPr>
        <w:pStyle w:val="29"/>
        <w:ind w:firstLine="472"/>
        <w:rPr>
          <w:color w:val="auto"/>
        </w:rPr>
      </w:pPr>
      <w:r>
        <w:rPr>
          <w:color w:val="auto"/>
        </w:rPr>
        <w:t>（1）可实现复杂工艺流程的智能化和精细化控制建模；</w:t>
      </w:r>
    </w:p>
    <w:p>
      <w:pPr>
        <w:pStyle w:val="29"/>
        <w:ind w:firstLine="472"/>
        <w:rPr>
          <w:color w:val="auto"/>
        </w:rPr>
      </w:pPr>
      <w:r>
        <w:rPr>
          <w:color w:val="auto"/>
        </w:rPr>
        <w:t>（2）通过二次开发自主构建高级控制模块，能够满足现场多变的控制需求；</w:t>
      </w:r>
    </w:p>
    <w:p>
      <w:pPr>
        <w:pStyle w:val="29"/>
        <w:ind w:firstLine="472"/>
        <w:rPr>
          <w:color w:val="auto"/>
        </w:rPr>
      </w:pPr>
      <w:r>
        <w:rPr>
          <w:color w:val="auto"/>
        </w:rPr>
        <w:t>（3）实现项目实施和维护效率的显著提升；</w:t>
      </w:r>
    </w:p>
    <w:p>
      <w:pPr>
        <w:pStyle w:val="29"/>
        <w:ind w:firstLine="472"/>
        <w:rPr>
          <w:color w:val="auto"/>
        </w:rPr>
      </w:pPr>
      <w:r>
        <w:rPr>
          <w:color w:val="auto"/>
        </w:rPr>
        <w:t>（4）通过配置冗余逻辑控制策略，提升控制运行可靠性；</w:t>
      </w:r>
    </w:p>
    <w:p>
      <w:pPr>
        <w:pStyle w:val="29"/>
        <w:ind w:firstLine="472"/>
        <w:rPr>
          <w:color w:val="auto"/>
        </w:rPr>
      </w:pPr>
      <w:r>
        <w:rPr>
          <w:color w:val="auto"/>
        </w:rPr>
        <w:t>（5）帮助实现自动化控制运行，提升运行效率和企业效益。</w:t>
      </w:r>
    </w:p>
    <w:p>
      <w:pPr>
        <w:pStyle w:val="29"/>
        <w:ind w:firstLine="474"/>
        <w:rPr>
          <w:b/>
          <w:bCs/>
          <w:color w:val="auto"/>
        </w:rPr>
      </w:pPr>
      <w:r>
        <w:rPr>
          <w:rFonts w:hint="eastAsia"/>
          <w:b/>
          <w:bCs/>
          <w:color w:val="auto"/>
        </w:rPr>
        <w:t>3）</w:t>
      </w:r>
      <w:r>
        <w:rPr>
          <w:b/>
          <w:bCs/>
          <w:color w:val="auto"/>
        </w:rPr>
        <w:t>功能特性</w:t>
      </w:r>
    </w:p>
    <w:p>
      <w:pPr>
        <w:pStyle w:val="29"/>
        <w:ind w:firstLine="472"/>
        <w:rPr>
          <w:color w:val="auto"/>
        </w:rPr>
      </w:pPr>
      <w:r>
        <w:rPr>
          <w:color w:val="auto"/>
        </w:rPr>
        <w:t>能够采用图形化工艺建模方式完成常见的工艺优化控制，如精确曝气控制，加药除磷控制，碳源投加控制。</w:t>
      </w:r>
    </w:p>
    <w:p>
      <w:pPr>
        <w:pStyle w:val="29"/>
        <w:ind w:firstLine="472"/>
        <w:rPr>
          <w:color w:val="auto"/>
        </w:rPr>
      </w:pPr>
      <w:r>
        <w:rPr>
          <w:color w:val="auto"/>
        </w:rPr>
        <w:t>数据采集预处理模块支持常见的滤波算法，如上下限过滤、线性变换、跳点处理和滑动平均处理等。</w:t>
      </w:r>
    </w:p>
    <w:p>
      <w:pPr>
        <w:pStyle w:val="29"/>
        <w:ind w:firstLine="472"/>
        <w:rPr>
          <w:color w:val="auto"/>
        </w:rPr>
      </w:pPr>
      <w:r>
        <w:rPr>
          <w:color w:val="auto"/>
        </w:rPr>
        <w:t>支持各种数学计算，逻辑计算，公式表达式，脚本等内置功能运算块；</w:t>
      </w:r>
    </w:p>
    <w:p>
      <w:pPr>
        <w:pStyle w:val="29"/>
        <w:ind w:firstLine="472"/>
        <w:rPr>
          <w:color w:val="auto"/>
        </w:rPr>
      </w:pPr>
      <w:r>
        <w:rPr>
          <w:color w:val="auto"/>
        </w:rPr>
        <w:t>采用平台化可插拔组件模块开发与集成，具有较好的扩展性和维护性，可满足不同工艺控制模型的需要。</w:t>
      </w:r>
    </w:p>
    <w:p>
      <w:pPr>
        <w:pStyle w:val="29"/>
        <w:ind w:firstLine="472"/>
        <w:rPr>
          <w:color w:val="auto"/>
        </w:rPr>
      </w:pPr>
      <w:r>
        <w:rPr>
          <w:color w:val="auto"/>
        </w:rPr>
        <w:t>可采集现场PLC变量最大容量10000点，支持I/O数据缓存，每个变量可在内存中连续缓存至少2小时历史值。</w:t>
      </w:r>
    </w:p>
    <w:p>
      <w:pPr>
        <w:pStyle w:val="29"/>
        <w:ind w:firstLine="472"/>
        <w:rPr>
          <w:color w:val="auto"/>
        </w:rPr>
      </w:pPr>
      <w:r>
        <w:rPr>
          <w:color w:val="auto"/>
        </w:rPr>
        <w:t>支持自定义脚本程序控制，满足现场个性化控制和计算要求；</w:t>
      </w:r>
    </w:p>
    <w:p>
      <w:pPr>
        <w:pStyle w:val="29"/>
        <w:ind w:firstLine="472"/>
        <w:rPr>
          <w:color w:val="auto"/>
        </w:rPr>
      </w:pPr>
      <w:r>
        <w:rPr>
          <w:color w:val="auto"/>
        </w:rPr>
        <w:t>软件可支持的SDK二次算法开发，扩展更多的工艺优化控制模块；</w:t>
      </w:r>
    </w:p>
    <w:p>
      <w:pPr>
        <w:pStyle w:val="29"/>
        <w:ind w:firstLine="472"/>
        <w:rPr>
          <w:color w:val="auto"/>
        </w:rPr>
      </w:pPr>
      <w:r>
        <w:rPr>
          <w:color w:val="auto"/>
        </w:rPr>
        <w:t>易用的人机交互界面设计，可视化、图形化的工程配置，符合工程师操作习惯，降低使用学习成本</w:t>
      </w:r>
      <w:r>
        <w:rPr>
          <w:rFonts w:hint="eastAsia"/>
          <w:color w:val="auto"/>
        </w:rPr>
        <w:t>。</w:t>
      </w:r>
    </w:p>
    <w:p>
      <w:pPr>
        <w:pStyle w:val="29"/>
        <w:ind w:firstLine="474"/>
        <w:rPr>
          <w:b/>
          <w:bCs/>
          <w:color w:val="auto"/>
        </w:rPr>
      </w:pPr>
      <w:bookmarkStart w:id="137" w:name="_Toc116823563"/>
      <w:r>
        <w:rPr>
          <w:rFonts w:hint="eastAsia"/>
          <w:b/>
          <w:bCs/>
          <w:color w:val="auto"/>
        </w:rPr>
        <w:t>（</w:t>
      </w:r>
      <w:r>
        <w:rPr>
          <w:b/>
          <w:bCs/>
          <w:color w:val="auto"/>
        </w:rPr>
        <w:t>2</w:t>
      </w:r>
      <w:r>
        <w:rPr>
          <w:rFonts w:hint="eastAsia"/>
          <w:b/>
          <w:bCs/>
          <w:color w:val="auto"/>
        </w:rPr>
        <w:t>）精确曝气系统</w:t>
      </w:r>
      <w:bookmarkEnd w:id="137"/>
    </w:p>
    <w:p>
      <w:pPr>
        <w:pStyle w:val="29"/>
        <w:ind w:firstLine="472"/>
        <w:rPr>
          <w:color w:val="auto"/>
        </w:rPr>
      </w:pPr>
      <w:r>
        <w:rPr>
          <w:rFonts w:hint="eastAsia"/>
          <w:snapToGrid w:val="0"/>
          <w:color w:val="auto"/>
        </w:rPr>
        <w:t>精确曝气系统首先接收进水流量、COD、氨氮、总氮等前馈信号，以及从现场每个受控曝气单元采集到的DO、水温、MLSS、液位等反馈信号，经数据处理模块对仪表数据进行预处理后，生物需气量计算模块根据处理后前馈、反馈信号，计算出各个溶解氧控制区的需气量及总需气量。并将总气量信号发送至鼓风机主控柜MCP，利用鼓风机控制模块，自动控制鼓风机的启停、导叶的开度或变频器的频率，从而调节鼓风机的输出气量；同时，对于各个溶解氧控制区而言，精确曝气系统控制软件包含的气量分配模块，可通过电动阀门的调节，将气量分配至各个溶解氧控制区，从而实现按需供气。</w:t>
      </w:r>
    </w:p>
    <w:p>
      <w:pPr>
        <w:pStyle w:val="29"/>
        <w:ind w:firstLine="474"/>
        <w:rPr>
          <w:b/>
          <w:bCs/>
          <w:color w:val="auto"/>
        </w:rPr>
      </w:pPr>
      <w:r>
        <w:rPr>
          <w:rFonts w:hint="eastAsia"/>
          <w:b/>
          <w:bCs/>
          <w:color w:val="auto"/>
        </w:rPr>
        <w:t>1）</w:t>
      </w:r>
      <w:r>
        <w:rPr>
          <w:b/>
          <w:bCs/>
          <w:color w:val="auto"/>
        </w:rPr>
        <w:t>系统性能描述</w:t>
      </w:r>
    </w:p>
    <w:p>
      <w:pPr>
        <w:pStyle w:val="29"/>
        <w:ind w:firstLine="472"/>
        <w:rPr>
          <w:color w:val="auto"/>
        </w:rPr>
      </w:pPr>
      <w:r>
        <w:rPr>
          <w:color w:val="auto"/>
        </w:rPr>
        <w:t>控制方式：为了克服污水系统大扰动、大时滞及非线性等因素对工艺控制的不利影响，系统需要综合考虑前馈数据、反馈数据以及生化模型的影响，采用“前馈+模型+反馈”的多参数控制模式。</w:t>
      </w:r>
    </w:p>
    <w:p>
      <w:pPr>
        <w:pStyle w:val="29"/>
        <w:ind w:firstLine="472"/>
        <w:rPr>
          <w:color w:val="auto"/>
        </w:rPr>
      </w:pPr>
      <w:r>
        <w:rPr>
          <w:color w:val="auto"/>
        </w:rPr>
        <w:t>溶解氧分布控制：系统须能够适应工艺控制的要求，将好氧段分为数个独</w:t>
      </w:r>
      <w:r>
        <w:rPr>
          <w:color w:val="auto"/>
          <w:spacing w:val="-1"/>
        </w:rPr>
        <w:t>立</w:t>
      </w:r>
      <w:r>
        <w:rPr>
          <w:color w:val="auto"/>
        </w:rPr>
        <w:t>的溶解氧控制区</w:t>
      </w:r>
      <w:r>
        <w:rPr>
          <w:color w:val="auto"/>
          <w:spacing w:val="-3"/>
          <w:w w:val="97"/>
        </w:rPr>
        <w:t>，</w:t>
      </w:r>
      <w:r>
        <w:rPr>
          <w:color w:val="auto"/>
        </w:rPr>
        <w:t>根据进水负荷变化调节曝</w:t>
      </w:r>
      <w:r>
        <w:rPr>
          <w:color w:val="auto"/>
          <w:spacing w:val="-1"/>
        </w:rPr>
        <w:t>气</w:t>
      </w:r>
      <w:r>
        <w:rPr>
          <w:color w:val="auto"/>
        </w:rPr>
        <w:t>流量</w:t>
      </w:r>
      <w:r>
        <w:rPr>
          <w:color w:val="auto"/>
          <w:spacing w:val="-10"/>
        </w:rPr>
        <w:t>，</w:t>
      </w:r>
      <w:r>
        <w:rPr>
          <w:color w:val="auto"/>
        </w:rPr>
        <w:t>满足处理单元所需</w:t>
      </w:r>
      <w:r>
        <w:rPr>
          <w:color w:val="auto"/>
          <w:spacing w:val="-1"/>
        </w:rPr>
        <w:t>要</w:t>
      </w:r>
      <w:r>
        <w:rPr>
          <w:color w:val="auto"/>
        </w:rPr>
        <w:t>的溶解氧分布工艺环境。系统根据供气区域的溶解氧实际值和目标值，结合好氧池的生物量计算出需要风量传输给风量控制模块，风量控制模块根据流量计和压力计的读数调整风机的工况和阀门的开度，控制风机和阀门的供气量。</w:t>
      </w:r>
    </w:p>
    <w:p>
      <w:pPr>
        <w:pStyle w:val="29"/>
        <w:ind w:firstLine="472"/>
        <w:rPr>
          <w:color w:val="auto"/>
        </w:rPr>
      </w:pPr>
      <w:r>
        <w:rPr>
          <w:color w:val="auto"/>
        </w:rPr>
        <w:t>鼓风机控制：在鼓风机已具备MCP控制柜的条件下，系统可通过流量调节或压力调节两种方式给定鼓风机MCP作为目标信号，MCP必须实现对鼓风机组内单台鼓风机的启停，进出口导叶开度或变频器频率调节的全自动控制。</w:t>
      </w:r>
    </w:p>
    <w:p>
      <w:pPr>
        <w:pStyle w:val="29"/>
        <w:ind w:firstLine="472"/>
        <w:rPr>
          <w:color w:val="auto"/>
        </w:rPr>
      </w:pPr>
      <w:r>
        <w:rPr>
          <w:color w:val="auto"/>
        </w:rPr>
        <w:t>系统给鼓风机MCP可以是流量或压力信号，该信号是随时间变化的动态值。需提供不少于7天的流量设定或压力设定曲线证明及鼓风机运行负荷（电流或功率）曲线。</w:t>
      </w:r>
    </w:p>
    <w:p>
      <w:pPr>
        <w:pStyle w:val="29"/>
        <w:ind w:firstLine="472"/>
        <w:rPr>
          <w:color w:val="auto"/>
        </w:rPr>
      </w:pPr>
      <w:r>
        <w:rPr>
          <w:color w:val="auto"/>
        </w:rPr>
        <w:t>鼓风机与调节阀联动控制：精确曝气系统应考虑鼓风机和流量调节阀门的联动，防止总管压力异常导致鼓风机喘振。系统应内置多阀门最优开度控制策略，实现曝气量在不同曝气控制单元间的快速、精确配气。同时，鼓风机和调节阀联动控制时，气量分配模块和鼓风机控制模块组合起来能够有效的解决联机配气中的基本控制和优化目标。</w:t>
      </w:r>
    </w:p>
    <w:p>
      <w:pPr>
        <w:pStyle w:val="29"/>
        <w:ind w:firstLine="472"/>
        <w:rPr>
          <w:color w:val="auto"/>
        </w:rPr>
      </w:pPr>
      <w:r>
        <w:rPr>
          <w:color w:val="auto"/>
        </w:rPr>
        <w:t>DO控制策略：系统软件应支持两种溶解氧控制策略，即溶解氧控制目标设定值为恒定值或动态值。对于DO设定值为动态值这种控制策略，其应是基于好氧出水氨氮值的控制目标，动态调节DO设定值，计算出降解这些氨氮所需的曝气量，以使出水COD和氨氮能够稳定达标。系统软件可根据污水厂的仪表配置等实际情况，由工作人员自主选择对应策略。</w:t>
      </w:r>
    </w:p>
    <w:p>
      <w:pPr>
        <w:pStyle w:val="29"/>
        <w:ind w:firstLine="472"/>
        <w:rPr>
          <w:color w:val="auto"/>
        </w:rPr>
      </w:pPr>
      <w:r>
        <w:rPr>
          <w:color w:val="auto"/>
        </w:rPr>
        <w:t>系统强壮性：系统应具有仪表故障、通讯故障容错机制和备用控制策略控制机制。</w:t>
      </w:r>
    </w:p>
    <w:p>
      <w:pPr>
        <w:pStyle w:val="29"/>
        <w:ind w:firstLine="472"/>
        <w:rPr>
          <w:color w:val="auto"/>
        </w:rPr>
      </w:pPr>
      <w:r>
        <w:rPr>
          <w:color w:val="auto"/>
        </w:rPr>
        <w:t>系统通讯：该控制系统需支持工业以太网通讯方式，通过网络采集系统所需设备仪表信号。</w:t>
      </w:r>
    </w:p>
    <w:p>
      <w:pPr>
        <w:pStyle w:val="29"/>
        <w:ind w:firstLine="472"/>
        <w:rPr>
          <w:color w:val="auto"/>
        </w:rPr>
      </w:pPr>
      <w:r>
        <w:rPr>
          <w:color w:val="auto"/>
        </w:rPr>
        <w:t>系统控制软件：精确曝气系统应基于一套基于精确数学模型的智能控制系统软件，系统运行过程中涉及到信号滤波、失真信号处理、故障状态下控制器自动切换等大量的控制算法；为保证运行性能，应对时间延迟、信号干扰、常见的故障有应对措施。系统的控制软件应该是为该系统开发的专用软件，而不是基于通用组态软件之上后续开发。</w:t>
      </w:r>
    </w:p>
    <w:p>
      <w:pPr>
        <w:pStyle w:val="29"/>
        <w:ind w:firstLine="474"/>
        <w:rPr>
          <w:b/>
          <w:bCs/>
          <w:color w:val="auto"/>
        </w:rPr>
      </w:pPr>
      <w:r>
        <w:rPr>
          <w:rFonts w:hint="eastAsia"/>
          <w:b/>
          <w:bCs/>
          <w:color w:val="auto"/>
        </w:rPr>
        <w:t>2）</w:t>
      </w:r>
      <w:r>
        <w:rPr>
          <w:b/>
          <w:bCs/>
          <w:color w:val="auto"/>
        </w:rPr>
        <w:t>系统</w:t>
      </w:r>
      <w:r>
        <w:rPr>
          <w:rFonts w:hint="eastAsia"/>
          <w:b/>
          <w:bCs/>
          <w:color w:val="auto"/>
        </w:rPr>
        <w:t>技术</w:t>
      </w:r>
      <w:r>
        <w:rPr>
          <w:b/>
          <w:bCs/>
          <w:color w:val="auto"/>
        </w:rPr>
        <w:t>要求</w:t>
      </w:r>
    </w:p>
    <w:p>
      <w:pPr>
        <w:pStyle w:val="29"/>
        <w:ind w:firstLine="472"/>
        <w:rPr>
          <w:color w:val="auto"/>
        </w:rPr>
      </w:pPr>
      <w:r>
        <w:rPr>
          <w:color w:val="auto"/>
        </w:rPr>
        <w:t>1）溶解氧控制稳定</w:t>
      </w:r>
    </w:p>
    <w:p>
      <w:pPr>
        <w:pStyle w:val="29"/>
        <w:ind w:firstLine="472"/>
        <w:rPr>
          <w:color w:val="auto"/>
        </w:rPr>
      </w:pPr>
      <w:r>
        <w:rPr>
          <w:color w:val="auto"/>
        </w:rPr>
        <w:t>系统能够对鼓风机和受控曝气单元的气量分配进行自动调节，根据实际水质水量智能分配每个溶解氧控制区的供气量，自动调整气体流量设定值，按需曝气，在保障出水COD、氨氮稳定达标的同时达到节能降耗效果。</w:t>
      </w:r>
    </w:p>
    <w:p>
      <w:pPr>
        <w:pStyle w:val="29"/>
        <w:ind w:firstLine="472"/>
        <w:rPr>
          <w:color w:val="auto"/>
          <w:lang w:val="zh-CN"/>
        </w:rPr>
      </w:pPr>
      <w:r>
        <w:rPr>
          <w:color w:val="auto"/>
          <w:lang w:val="zh-CN"/>
        </w:rPr>
        <w:t>在过去一周的统计范围内，溶解氧值分布在设定值±1mg/L以内的概率≥90%，溶解氧值分布在DO设定值±0.5mg/L以内的概率≥50%，出现在DO目标设定值的±0.2mg/L以内的概率≥30%。</w:t>
      </w:r>
    </w:p>
    <w:p>
      <w:pPr>
        <w:pStyle w:val="29"/>
        <w:ind w:firstLine="472"/>
        <w:rPr>
          <w:color w:val="auto"/>
          <w:lang w:val="zh-CN"/>
        </w:rPr>
      </w:pPr>
      <w:r>
        <w:rPr>
          <w:color w:val="auto"/>
          <w:lang w:val="zh-CN"/>
        </w:rPr>
        <w:t>2）节能运行指标</w:t>
      </w:r>
    </w:p>
    <w:p>
      <w:pPr>
        <w:pStyle w:val="29"/>
        <w:ind w:firstLine="472"/>
        <w:rPr>
          <w:color w:val="auto"/>
          <w:lang w:val="zh-CN"/>
        </w:rPr>
      </w:pPr>
      <w:r>
        <w:rPr>
          <w:color w:val="auto"/>
        </w:rPr>
        <w:t>对比传统人工控制，在工艺及现场污水处理设备正常运行、仪表数据准确、进水水量和水质稳定、鼓风机运行压力足够、风量连续可调、MCP控制柜功能正常运行的前提下，精确曝气流量控制系统应实现处理单位水量（Kwh/m³）电耗至少节省8%。</w:t>
      </w:r>
    </w:p>
    <w:p>
      <w:pPr>
        <w:pStyle w:val="29"/>
        <w:ind w:firstLine="474"/>
        <w:rPr>
          <w:b/>
          <w:bCs/>
          <w:color w:val="auto"/>
        </w:rPr>
      </w:pPr>
      <w:bookmarkStart w:id="138" w:name="_Toc116823565"/>
      <w:r>
        <w:rPr>
          <w:rFonts w:hint="eastAsia"/>
          <w:b/>
          <w:bCs/>
          <w:color w:val="auto"/>
        </w:rPr>
        <w:t>（</w:t>
      </w:r>
      <w:r>
        <w:rPr>
          <w:b/>
          <w:bCs/>
          <w:color w:val="auto"/>
        </w:rPr>
        <w:t>3</w:t>
      </w:r>
      <w:r>
        <w:rPr>
          <w:rFonts w:hint="eastAsia"/>
          <w:b/>
          <w:bCs/>
          <w:color w:val="auto"/>
        </w:rPr>
        <w:t>）碳源智能投加系统</w:t>
      </w:r>
      <w:bookmarkEnd w:id="138"/>
    </w:p>
    <w:p>
      <w:pPr>
        <w:pStyle w:val="29"/>
        <w:ind w:firstLine="472"/>
        <w:rPr>
          <w:snapToGrid w:val="0"/>
          <w:color w:val="auto"/>
        </w:rPr>
      </w:pPr>
      <w:r>
        <w:rPr>
          <w:rFonts w:hint="eastAsia"/>
          <w:snapToGrid w:val="0"/>
          <w:color w:val="auto"/>
        </w:rPr>
        <w:t>碳源智能投加系统是一个集成的控制系统，旨在实现碳源投加过程的精细化控制。系统采用了“前馈+模型+反馈”的多参数控制模式，综合考虑流入缺氧区的硝态氮的浓度、出水硝态氮的目标值、进水水质和水量等参数，利用反硝化动力学模型实时计算出碳源的投加量，并调节加药泵组的流量，使之输出的相应的实际加药量，从而完成对加药量的智能控制。</w:t>
      </w:r>
    </w:p>
    <w:p>
      <w:pPr>
        <w:pStyle w:val="29"/>
        <w:ind w:firstLine="472"/>
        <w:rPr>
          <w:color w:val="auto"/>
        </w:rPr>
      </w:pPr>
      <w:r>
        <w:rPr>
          <w:color w:val="auto"/>
        </w:rPr>
        <w:t>技术性能要求</w:t>
      </w:r>
      <w:r>
        <w:rPr>
          <w:rFonts w:hint="eastAsia"/>
          <w:color w:val="auto"/>
        </w:rPr>
        <w:t>：</w:t>
      </w:r>
    </w:p>
    <w:p>
      <w:pPr>
        <w:pStyle w:val="29"/>
        <w:ind w:firstLine="472"/>
        <w:rPr>
          <w:color w:val="auto"/>
        </w:rPr>
      </w:pPr>
      <w:r>
        <w:rPr>
          <w:color w:val="auto"/>
        </w:rPr>
        <w:t>碳源投加控制系统是一个集成的控制系统，由碳源投加系统控制柜、系统控制软件等组成。系统能对药剂投加泵和各药剂投加点加药量分配进行自动调节，根据实际水量、水质数据自动分配每个药剂投加点的加药量，实现加药环节的自动化、精细化控制。</w:t>
      </w:r>
    </w:p>
    <w:p>
      <w:pPr>
        <w:pStyle w:val="29"/>
        <w:ind w:firstLine="472"/>
        <w:rPr>
          <w:color w:val="auto"/>
        </w:rPr>
      </w:pPr>
      <w:r>
        <w:rPr>
          <w:color w:val="auto"/>
        </w:rPr>
        <w:t>碳源投加控制系统软件应为基于精确的数学模型的智能控制系统软件，系统运行过程中涉及到信号滤波、失真信号处理、故障状态下控制器自动切换等大量的控制算法；为保证运行性能，应对时间延迟、信号干扰、常见的故障有应对措施，应具有加药环节常用在线仪表的数据处理策略，能够基于在线仪表的测量原理、信号特征等配备有相应的纠错处理策略，保证进入到药剂投加控制系统的信号在一定置信度区间内可以被采用，增强系统的可靠性与鲁棒性。</w:t>
      </w:r>
    </w:p>
    <w:p>
      <w:pPr>
        <w:pStyle w:val="29"/>
        <w:ind w:firstLine="472"/>
        <w:rPr>
          <w:color w:val="auto"/>
        </w:rPr>
      </w:pPr>
      <w:r>
        <w:rPr>
          <w:color w:val="auto"/>
        </w:rPr>
        <w:t>系统的控制软件应该是为该系统开发的专用软件，而不是基于通用组态软件基础上的再次开发。</w:t>
      </w:r>
    </w:p>
    <w:p>
      <w:pPr>
        <w:pStyle w:val="29"/>
        <w:ind w:firstLine="472"/>
        <w:rPr>
          <w:color w:val="auto"/>
        </w:rPr>
      </w:pPr>
      <w:r>
        <w:rPr>
          <w:color w:val="auto"/>
        </w:rPr>
        <w:t>加药泵控制：碳源投加控制系统必须实现对药剂投加泵组内药剂投加泵的启停，运行负荷的全自动控制调节,将计算得到的需药量信号发送至加药泵控制柜，来调节加药量。</w:t>
      </w:r>
    </w:p>
    <w:p>
      <w:pPr>
        <w:pStyle w:val="29"/>
        <w:ind w:firstLine="472"/>
        <w:rPr>
          <w:color w:val="auto"/>
        </w:rPr>
      </w:pPr>
      <w:r>
        <w:rPr>
          <w:color w:val="auto"/>
        </w:rPr>
        <w:t>控制方式：为了克服污水系统大扰动、大时滞及非线性等因素对工艺控制的不利影响，系统需要综合考虑前馈数据、反馈数据以及反硝化动力学的影响，采用“前馈+模型+反馈”的多参数控制模式。</w:t>
      </w:r>
    </w:p>
    <w:p>
      <w:pPr>
        <w:pStyle w:val="29"/>
        <w:ind w:firstLine="472"/>
        <w:rPr>
          <w:color w:val="auto"/>
        </w:rPr>
      </w:pPr>
      <w:r>
        <w:rPr>
          <w:color w:val="auto"/>
        </w:rPr>
        <w:t>加药分区控制：系统须能够适应工艺控制的要求，将加药点分为数个独立的控制区，通过药剂的调节，满足处理单元所需要的药剂量，允许用户自行定义硝态氮设定值。</w:t>
      </w:r>
    </w:p>
    <w:p>
      <w:pPr>
        <w:pStyle w:val="29"/>
        <w:ind w:firstLine="472"/>
        <w:rPr>
          <w:color w:val="auto"/>
        </w:rPr>
      </w:pPr>
      <w:r>
        <w:rPr>
          <w:color w:val="auto"/>
        </w:rPr>
        <w:t>加药泵控制：碳源投加控制系统必须实现对药剂投加泵组内药剂投加泵的启停，运行负荷的全自动控制调节,将计算得到的需药量信号发送至加药泵MCP，来调节加药量。</w:t>
      </w:r>
    </w:p>
    <w:p>
      <w:pPr>
        <w:pStyle w:val="29"/>
        <w:ind w:firstLine="472"/>
        <w:rPr>
          <w:snapToGrid w:val="0"/>
          <w:color w:val="auto"/>
        </w:rPr>
      </w:pPr>
      <w:r>
        <w:rPr>
          <w:color w:val="auto"/>
        </w:rPr>
        <w:t>要求在出水水质达标基础上，以处理单方水的碳源药剂消耗量计，实现碳源药耗成本至少节省5%。</w:t>
      </w:r>
    </w:p>
    <w:p>
      <w:pPr>
        <w:pStyle w:val="29"/>
        <w:ind w:firstLine="474"/>
        <w:rPr>
          <w:b/>
          <w:bCs/>
          <w:color w:val="auto"/>
        </w:rPr>
      </w:pPr>
      <w:bookmarkStart w:id="139" w:name="_Toc116823566"/>
      <w:r>
        <w:rPr>
          <w:rFonts w:hint="eastAsia"/>
          <w:b/>
          <w:bCs/>
          <w:color w:val="auto"/>
        </w:rPr>
        <w:t>（</w:t>
      </w:r>
      <w:r>
        <w:rPr>
          <w:b/>
          <w:bCs/>
          <w:color w:val="auto"/>
        </w:rPr>
        <w:t>4</w:t>
      </w:r>
      <w:r>
        <w:rPr>
          <w:rFonts w:hint="eastAsia"/>
          <w:b/>
          <w:bCs/>
          <w:color w:val="auto"/>
        </w:rPr>
        <w:t>）化学除磷智能投加系统</w:t>
      </w:r>
      <w:bookmarkEnd w:id="139"/>
    </w:p>
    <w:p>
      <w:pPr>
        <w:pStyle w:val="29"/>
        <w:ind w:firstLine="472"/>
        <w:rPr>
          <w:snapToGrid w:val="0"/>
          <w:color w:val="auto"/>
        </w:rPr>
      </w:pPr>
      <w:r>
        <w:rPr>
          <w:rFonts w:hint="eastAsia"/>
          <w:snapToGrid w:val="0"/>
          <w:color w:val="auto"/>
        </w:rPr>
        <w:t>化学除磷智能投加系统是一个集成的控制系统，旨在实现二级处理出水或高效沉淀池等加药除磷环节的混凝剂投加过程的精细化控制。针对污水厂加药过程的大滞后、变滞后、多因子、非线性等特点，系统采用“前馈+模型+反馈”的多参数控制模式，结合现场进水仪表的前馈信号、控制单元仪表的反馈信号以及化学除磷动力学过程的建模，计算出将控制单元的磷酸盐/总磷维持在控制目标的需药量，并调节加药泵组的流量，使之输出的相应的实际加药量，从而完成对加药量的智能控制。</w:t>
      </w:r>
    </w:p>
    <w:p>
      <w:pPr>
        <w:pStyle w:val="29"/>
        <w:ind w:firstLine="472"/>
        <w:rPr>
          <w:color w:val="auto"/>
        </w:rPr>
      </w:pPr>
      <w:r>
        <w:rPr>
          <w:color w:val="auto"/>
        </w:rPr>
        <w:t>技术性能要求</w:t>
      </w:r>
      <w:r>
        <w:rPr>
          <w:rFonts w:hint="eastAsia"/>
          <w:color w:val="auto"/>
        </w:rPr>
        <w:t>：</w:t>
      </w:r>
    </w:p>
    <w:p>
      <w:pPr>
        <w:pStyle w:val="29"/>
        <w:ind w:firstLine="472"/>
        <w:rPr>
          <w:color w:val="auto"/>
        </w:rPr>
      </w:pPr>
      <w:r>
        <w:rPr>
          <w:color w:val="auto"/>
        </w:rPr>
        <w:t>加药除磷控制系统是一个集成的控制系统，由药剂投加系统控制柜、系统控制软件等组成。系统能对药剂投加泵和各药剂投加点加药量分配进行自动调节，根据实际水量、水质数据自动分配每个药剂投加点的加药量，实现加药环节的自动化、精细化控制。</w:t>
      </w:r>
    </w:p>
    <w:p>
      <w:pPr>
        <w:pStyle w:val="29"/>
        <w:ind w:firstLine="472"/>
        <w:rPr>
          <w:color w:val="auto"/>
        </w:rPr>
      </w:pPr>
      <w:r>
        <w:rPr>
          <w:color w:val="auto"/>
        </w:rPr>
        <w:t>数据处理模块：加药除磷控制系统中应具有污水处理厂加药除磷系统所需的常见在线仪表的数据处理策略，能够基于在线仪表的测量原理、信号特征等配备有相应的纠错处理策略，保证进入到加药除磷控制系统的信号在一定置信度区间内可以被采用，大大提高了系统的可靠性。</w:t>
      </w:r>
    </w:p>
    <w:p>
      <w:pPr>
        <w:pStyle w:val="29"/>
        <w:ind w:firstLine="472"/>
        <w:rPr>
          <w:color w:val="auto"/>
        </w:rPr>
      </w:pPr>
      <w:r>
        <w:rPr>
          <w:color w:val="auto"/>
        </w:rPr>
        <w:t>药剂投加量在线计算：加药除磷控制系统采用“前馈+模型+反馈”的控制模式，系统采集的进水水量、水质前馈信号，以及从现场每个处理单元采集到水质反馈信号，数据处理模块对这些采集到的数据进行预处理后，药剂投加量计算模块即可计算出每个加药单元的实际需要量，使加药系统随需而变的进行供药。</w:t>
      </w:r>
    </w:p>
    <w:p>
      <w:pPr>
        <w:pStyle w:val="29"/>
        <w:ind w:firstLine="472"/>
        <w:rPr>
          <w:color w:val="auto"/>
        </w:rPr>
      </w:pPr>
      <w:r>
        <w:rPr>
          <w:color w:val="auto"/>
        </w:rPr>
        <w:t>系统的控制软件应该是为该系统开发的专用软件，而不是基于通用组态软件基础上的再次开发。</w:t>
      </w:r>
    </w:p>
    <w:p>
      <w:pPr>
        <w:pStyle w:val="29"/>
        <w:ind w:firstLine="472"/>
        <w:rPr>
          <w:color w:val="auto"/>
        </w:rPr>
      </w:pPr>
      <w:r>
        <w:rPr>
          <w:color w:val="auto"/>
        </w:rPr>
        <w:t>加药泵控制：加药除磷控制系统必须实现对药剂投加泵组内药剂投加泵的启停，运行负荷的全自动控制调节,系统将计算得到的需药量信号发送至加药泵控制柜，来调节加药量。</w:t>
      </w:r>
    </w:p>
    <w:p>
      <w:pPr>
        <w:pStyle w:val="29"/>
        <w:ind w:firstLine="472"/>
        <w:rPr>
          <w:color w:val="auto"/>
        </w:rPr>
      </w:pPr>
      <w:r>
        <w:rPr>
          <w:color w:val="auto"/>
        </w:rPr>
        <w:t>控制方式：为了克服污水系统大扰动、大时滞及非线性等因素对工艺控制的不利影响，系统需要综合考虑前馈数据、反馈数据以及除磷动力学的影响，采用多参数控制模式。</w:t>
      </w:r>
    </w:p>
    <w:p>
      <w:pPr>
        <w:pStyle w:val="29"/>
        <w:ind w:firstLine="472"/>
        <w:rPr>
          <w:color w:val="auto"/>
        </w:rPr>
      </w:pPr>
      <w:r>
        <w:rPr>
          <w:color w:val="auto"/>
        </w:rPr>
        <w:t>加药分区控制：系统须能够适应工艺控制的要求，将加药点分为数个独立的控制区，通过药剂的调节，满足处理单元所需要的药剂量。</w:t>
      </w:r>
    </w:p>
    <w:p>
      <w:pPr>
        <w:pStyle w:val="29"/>
        <w:ind w:firstLine="472"/>
        <w:rPr>
          <w:color w:val="auto"/>
        </w:rPr>
      </w:pPr>
      <w:r>
        <w:rPr>
          <w:color w:val="auto"/>
        </w:rPr>
        <w:t>加药泵控制：加药除磷控制系统必须实现对药剂投加泵组内药剂投加泵的启停，运行负荷的全自动控制调节,系统将计算得到的需药量信号发送至加药泵控制柜，来调节加药量。在出水水质达标基础上，以处理单方水量的药剂消耗量计，实现药耗成本至少节省5%。</w:t>
      </w:r>
    </w:p>
    <w:p>
      <w:pPr>
        <w:pStyle w:val="29"/>
        <w:ind w:firstLine="474"/>
        <w:rPr>
          <w:b/>
          <w:bCs/>
          <w:color w:val="auto"/>
        </w:rPr>
      </w:pPr>
      <w:bookmarkStart w:id="140" w:name="_Toc116823567"/>
      <w:r>
        <w:rPr>
          <w:b/>
          <w:bCs/>
          <w:color w:val="auto"/>
        </w:rPr>
        <w:t>2</w:t>
      </w:r>
      <w:r>
        <w:rPr>
          <w:rFonts w:hint="eastAsia"/>
          <w:b/>
          <w:bCs/>
          <w:color w:val="auto"/>
        </w:rPr>
        <w:t>、智慧生产运营管理平台</w:t>
      </w:r>
      <w:bookmarkEnd w:id="140"/>
    </w:p>
    <w:p>
      <w:pPr>
        <w:pStyle w:val="29"/>
        <w:ind w:firstLine="474"/>
        <w:rPr>
          <w:b/>
          <w:bCs/>
          <w:color w:val="auto"/>
        </w:rPr>
      </w:pPr>
      <w:bookmarkStart w:id="141" w:name="_Toc116823568"/>
      <w:r>
        <w:rPr>
          <w:rFonts w:hint="eastAsia"/>
          <w:b/>
          <w:bCs/>
          <w:color w:val="auto"/>
        </w:rPr>
        <w:t>（1）概述</w:t>
      </w:r>
      <w:bookmarkEnd w:id="134"/>
      <w:bookmarkEnd w:id="141"/>
    </w:p>
    <w:p>
      <w:pPr>
        <w:pStyle w:val="49"/>
        <w:ind w:left="440" w:firstLine="480"/>
        <w:rPr>
          <w:rFonts w:ascii="宋体" w:hAnsi="宋体"/>
          <w:color w:val="auto"/>
          <w:szCs w:val="24"/>
          <w:lang w:val="zh-CN"/>
        </w:rPr>
      </w:pPr>
      <w:r>
        <w:rPr>
          <w:rFonts w:hint="eastAsia" w:ascii="宋体" w:hAnsi="宋体"/>
          <w:color w:val="auto"/>
          <w:szCs w:val="24"/>
          <w:lang w:val="zh-CN"/>
        </w:rPr>
        <w:t>智慧水厂运营管理平台的子模块应包含：基础云平台、安防集成应用、</w:t>
      </w:r>
      <w:r>
        <w:rPr>
          <w:rFonts w:hint="eastAsia"/>
          <w:color w:val="auto"/>
        </w:rPr>
        <w:t>智慧水厂运营管理平台应用</w:t>
      </w:r>
      <w:r>
        <w:rPr>
          <w:rFonts w:hint="eastAsia" w:ascii="宋体" w:hAnsi="宋体"/>
          <w:color w:val="auto"/>
          <w:szCs w:val="24"/>
          <w:lang w:val="zh-CN"/>
        </w:rPr>
        <w:t>等。</w:t>
      </w:r>
      <w:r>
        <w:rPr>
          <w:rFonts w:hint="eastAsia" w:ascii="宋体" w:hAnsi="宋体"/>
          <w:color w:val="auto"/>
          <w:szCs w:val="24"/>
        </w:rPr>
        <w:t>平台需覆盖全部生产运营所需的业务工作流程，实现无纸化办公。</w:t>
      </w:r>
    </w:p>
    <w:p>
      <w:pPr>
        <w:pStyle w:val="29"/>
        <w:ind w:firstLine="474"/>
        <w:rPr>
          <w:b/>
          <w:bCs/>
          <w:color w:val="auto"/>
        </w:rPr>
      </w:pPr>
      <w:bookmarkStart w:id="142" w:name="_Toc34492435"/>
      <w:bookmarkStart w:id="143" w:name="_Toc116823569"/>
      <w:bookmarkStart w:id="144" w:name="_Toc54955250"/>
      <w:bookmarkStart w:id="145" w:name="_Toc38365339"/>
      <w:bookmarkStart w:id="146" w:name="_Toc54955258"/>
      <w:r>
        <w:rPr>
          <w:rFonts w:hint="eastAsia"/>
          <w:b/>
          <w:bCs/>
          <w:color w:val="auto"/>
        </w:rPr>
        <w:t>（2）总体架构</w:t>
      </w:r>
      <w:bookmarkEnd w:id="142"/>
      <w:r>
        <w:rPr>
          <w:rFonts w:hint="eastAsia"/>
          <w:b/>
          <w:bCs/>
          <w:color w:val="auto"/>
        </w:rPr>
        <w:t>设计要求</w:t>
      </w:r>
      <w:bookmarkEnd w:id="143"/>
      <w:bookmarkEnd w:id="144"/>
      <w:bookmarkEnd w:id="145"/>
    </w:p>
    <w:p>
      <w:pPr>
        <w:pStyle w:val="29"/>
        <w:ind w:firstLine="472"/>
        <w:rPr>
          <w:color w:val="auto"/>
          <w:lang w:val="zh-CN"/>
        </w:rPr>
      </w:pPr>
      <w:r>
        <w:rPr>
          <w:rFonts w:hint="eastAsia"/>
          <w:color w:val="auto"/>
          <w:lang w:val="zh-CN"/>
        </w:rPr>
        <w:t>融入物联网、移动化、云计算、大数据等先进技术，采用系统思维构建智慧水厂的总体架构。</w:t>
      </w:r>
    </w:p>
    <w:p>
      <w:pPr>
        <w:pStyle w:val="29"/>
        <w:ind w:firstLine="472"/>
        <w:rPr>
          <w:color w:val="auto"/>
          <w:lang w:val="zh-CN"/>
        </w:rPr>
      </w:pPr>
      <w:r>
        <w:rPr>
          <w:rFonts w:hint="eastAsia"/>
          <w:color w:val="auto"/>
          <w:lang w:val="zh-CN"/>
        </w:rPr>
        <w:t>投标人（供应商）应根据以下层次要求，提供总体架构设计图。</w:t>
      </w:r>
    </w:p>
    <w:p>
      <w:pPr>
        <w:pStyle w:val="29"/>
        <w:ind w:firstLine="472"/>
        <w:rPr>
          <w:color w:val="auto"/>
          <w:lang w:val="zh-CN"/>
        </w:rPr>
      </w:pPr>
      <w:r>
        <w:rPr>
          <w:rFonts w:hint="eastAsia"/>
          <w:color w:val="auto"/>
          <w:lang w:val="zh-CN"/>
        </w:rPr>
        <w:t>设备层</w:t>
      </w:r>
    </w:p>
    <w:p>
      <w:pPr>
        <w:pStyle w:val="29"/>
        <w:ind w:firstLine="472"/>
        <w:rPr>
          <w:color w:val="auto"/>
          <w:lang w:val="zh-CN"/>
        </w:rPr>
      </w:pPr>
      <w:r>
        <w:rPr>
          <w:rFonts w:hint="eastAsia"/>
          <w:color w:val="auto"/>
          <w:lang w:val="zh-CN"/>
        </w:rPr>
        <w:t>控制层</w:t>
      </w:r>
    </w:p>
    <w:p>
      <w:pPr>
        <w:pStyle w:val="29"/>
        <w:ind w:firstLine="472"/>
        <w:rPr>
          <w:color w:val="auto"/>
          <w:lang w:val="zh-CN"/>
        </w:rPr>
      </w:pPr>
      <w:r>
        <w:rPr>
          <w:rFonts w:hint="eastAsia"/>
          <w:color w:val="auto"/>
          <w:lang w:val="zh-CN"/>
        </w:rPr>
        <w:t>数据传输层</w:t>
      </w:r>
    </w:p>
    <w:p>
      <w:pPr>
        <w:pStyle w:val="29"/>
        <w:ind w:firstLine="472"/>
        <w:rPr>
          <w:color w:val="auto"/>
          <w:lang w:val="zh-CN"/>
        </w:rPr>
      </w:pPr>
      <w:r>
        <w:rPr>
          <w:rFonts w:hint="eastAsia"/>
          <w:color w:val="auto"/>
          <w:lang w:val="zh-CN"/>
        </w:rPr>
        <w:t>运营管理层</w:t>
      </w:r>
    </w:p>
    <w:p>
      <w:pPr>
        <w:pStyle w:val="29"/>
        <w:ind w:firstLine="472"/>
        <w:rPr>
          <w:color w:val="auto"/>
          <w:lang w:val="zh-CN"/>
        </w:rPr>
      </w:pPr>
      <w:r>
        <w:rPr>
          <w:rFonts w:hint="eastAsia"/>
          <w:color w:val="auto"/>
          <w:lang w:val="zh-CN"/>
        </w:rPr>
        <w:t>决策支持层</w:t>
      </w:r>
    </w:p>
    <w:p>
      <w:pPr>
        <w:pStyle w:val="29"/>
        <w:ind w:firstLine="474"/>
        <w:rPr>
          <w:b/>
          <w:bCs/>
          <w:color w:val="auto"/>
        </w:rPr>
      </w:pPr>
      <w:bookmarkStart w:id="147" w:name="_Toc34492436"/>
      <w:bookmarkStart w:id="148" w:name="_Toc116823570"/>
      <w:bookmarkStart w:id="149" w:name="_Toc38365340"/>
      <w:bookmarkStart w:id="150" w:name="_Toc54955251"/>
      <w:r>
        <w:rPr>
          <w:rFonts w:hint="eastAsia"/>
          <w:b/>
          <w:bCs/>
          <w:color w:val="auto"/>
        </w:rPr>
        <w:t>（3）网络架构</w:t>
      </w:r>
      <w:bookmarkEnd w:id="147"/>
      <w:r>
        <w:rPr>
          <w:rFonts w:hint="eastAsia"/>
          <w:b/>
          <w:bCs/>
          <w:color w:val="auto"/>
        </w:rPr>
        <w:t>要求</w:t>
      </w:r>
      <w:bookmarkEnd w:id="148"/>
      <w:bookmarkEnd w:id="149"/>
      <w:bookmarkEnd w:id="150"/>
    </w:p>
    <w:p>
      <w:pPr>
        <w:pStyle w:val="29"/>
        <w:ind w:firstLine="472"/>
        <w:rPr>
          <w:color w:val="auto"/>
          <w:lang w:val="zh-CN"/>
        </w:rPr>
      </w:pPr>
      <w:r>
        <w:rPr>
          <w:rFonts w:hint="eastAsia"/>
          <w:color w:val="auto"/>
          <w:lang w:val="zh-CN"/>
        </w:rPr>
        <w:t>投标人（供应商）应提供详细的网络架构设计图。</w:t>
      </w:r>
    </w:p>
    <w:p>
      <w:pPr>
        <w:pStyle w:val="29"/>
        <w:ind w:firstLine="472"/>
        <w:rPr>
          <w:color w:val="auto"/>
          <w:lang w:val="zh-CN"/>
        </w:rPr>
      </w:pPr>
      <w:r>
        <w:rPr>
          <w:rFonts w:hint="eastAsia"/>
          <w:color w:val="auto"/>
          <w:lang w:val="zh-CN"/>
        </w:rPr>
        <w:t>网络要求结构简单、易部署、成本低。</w:t>
      </w:r>
    </w:p>
    <w:p>
      <w:pPr>
        <w:pStyle w:val="29"/>
        <w:ind w:firstLine="472"/>
        <w:rPr>
          <w:color w:val="auto"/>
          <w:lang w:val="zh-CN"/>
        </w:rPr>
      </w:pPr>
      <w:r>
        <w:rPr>
          <w:rFonts w:hint="eastAsia"/>
          <w:color w:val="auto"/>
          <w:lang w:val="zh-CN"/>
        </w:rPr>
        <w:t>要求</w:t>
      </w:r>
      <w:r>
        <w:rPr>
          <w:rFonts w:hint="eastAsia"/>
          <w:color w:val="auto"/>
        </w:rPr>
        <w:t>智慧水厂运营管理平台</w:t>
      </w:r>
      <w:r>
        <w:rPr>
          <w:rFonts w:hint="eastAsia"/>
          <w:color w:val="auto"/>
          <w:lang w:val="zh-CN"/>
        </w:rPr>
        <w:t>采用云架构的部署模式，</w:t>
      </w:r>
      <w:r>
        <w:rPr>
          <w:rFonts w:hint="eastAsia"/>
          <w:color w:val="auto"/>
        </w:rPr>
        <w:t>根据招标方提供部署服务器资源</w:t>
      </w:r>
      <w:r>
        <w:rPr>
          <w:rFonts w:hint="eastAsia"/>
          <w:color w:val="auto"/>
          <w:lang w:val="zh-CN"/>
        </w:rPr>
        <w:t>，在水厂部署智能通讯网关和PLC通讯，通过智能通讯网关将厂站内设备实时数据进行采集并传输到公有云中集中存储。在</w:t>
      </w:r>
      <w:r>
        <w:rPr>
          <w:rFonts w:hint="eastAsia"/>
          <w:color w:val="auto"/>
        </w:rPr>
        <w:t>智慧水厂运营管理平台</w:t>
      </w:r>
      <w:r>
        <w:rPr>
          <w:rFonts w:hint="eastAsia"/>
          <w:color w:val="auto"/>
          <w:lang w:val="zh-CN"/>
        </w:rPr>
        <w:t>实现对水厂工艺流程、运行数据、设备状态进行综合监视和生产管理，通过WEB网页或手机APP方式可随时随地掌握全厂运行情况。</w:t>
      </w:r>
    </w:p>
    <w:p>
      <w:pPr>
        <w:pStyle w:val="29"/>
        <w:ind w:firstLine="474"/>
        <w:rPr>
          <w:b/>
          <w:bCs/>
          <w:color w:val="auto"/>
        </w:rPr>
      </w:pPr>
      <w:bookmarkStart w:id="151" w:name="_Toc116823571"/>
      <w:r>
        <w:rPr>
          <w:rFonts w:hint="eastAsia"/>
          <w:b/>
          <w:bCs/>
          <w:color w:val="auto"/>
        </w:rPr>
        <w:t>（4）平台技术要求</w:t>
      </w:r>
      <w:bookmarkEnd w:id="135"/>
      <w:bookmarkEnd w:id="146"/>
      <w:bookmarkEnd w:id="151"/>
    </w:p>
    <w:p>
      <w:pPr>
        <w:pStyle w:val="29"/>
        <w:ind w:firstLine="472"/>
        <w:rPr>
          <w:color w:val="auto"/>
          <w:lang w:val="zh-CN"/>
        </w:rPr>
      </w:pPr>
      <w:r>
        <w:rPr>
          <w:rFonts w:hint="eastAsia"/>
          <w:color w:val="auto"/>
          <w:lang w:val="zh-CN"/>
        </w:rPr>
        <w:t>平台需提供完善的二次开发接口，未来至少满足手机短信、API接口、系统的基础、单点登录、统一认证等系统集成服务。</w:t>
      </w:r>
    </w:p>
    <w:p>
      <w:pPr>
        <w:pStyle w:val="29"/>
        <w:ind w:firstLine="472"/>
        <w:rPr>
          <w:color w:val="auto"/>
          <w:lang w:val="zh-CN"/>
        </w:rPr>
      </w:pPr>
      <w:r>
        <w:rPr>
          <w:rFonts w:hint="eastAsia"/>
          <w:color w:val="auto"/>
          <w:lang w:val="zh-CN"/>
        </w:rPr>
        <w:t>移动App端要求采用原生+H5的开发策略，充分利用原生程序在性能方面的优势，通过借助H5在图形化展示方面的优势，提高用户的体验。需根据业务的不同，将App进行模块解耦，提高可复用度和降低了变更的复杂性，为后续的快速集成做好准备。</w:t>
      </w:r>
    </w:p>
    <w:p>
      <w:pPr>
        <w:pStyle w:val="29"/>
        <w:ind w:firstLine="472"/>
        <w:rPr>
          <w:color w:val="auto"/>
          <w:lang w:val="zh-CN"/>
        </w:rPr>
      </w:pPr>
      <w:r>
        <w:rPr>
          <w:rFonts w:hint="eastAsia"/>
          <w:color w:val="auto"/>
          <w:lang w:val="zh-CN"/>
        </w:rPr>
        <w:t>Web前端需采用iView+Vue.js作为开发框架，提升用户的体验、开发效率、开发质量等优势，使系统扩展和维护成本更低特点。</w:t>
      </w:r>
    </w:p>
    <w:p>
      <w:pPr>
        <w:pStyle w:val="29"/>
        <w:ind w:firstLine="472"/>
        <w:rPr>
          <w:color w:val="auto"/>
          <w:lang w:val="zh-CN"/>
        </w:rPr>
      </w:pPr>
      <w:r>
        <w:rPr>
          <w:rFonts w:hint="eastAsia"/>
          <w:color w:val="auto"/>
          <w:lang w:val="zh-CN"/>
        </w:rPr>
        <w:t>平台后端应用应采用微服务架构，实现比于以往的单体应用或多系统集成的应用具有高扩展、高安全、高性能、高可靠等优势特点。同时要求满足多厂拓展，企业多厂管理的需求。</w:t>
      </w:r>
    </w:p>
    <w:p>
      <w:pPr>
        <w:pStyle w:val="29"/>
        <w:ind w:firstLine="472"/>
        <w:rPr>
          <w:color w:val="auto"/>
          <w:lang w:val="zh-CN"/>
        </w:rPr>
      </w:pPr>
      <w:r>
        <w:rPr>
          <w:rFonts w:hint="eastAsia"/>
          <w:color w:val="auto"/>
          <w:lang w:val="zh-CN"/>
        </w:rPr>
        <w:t>文件存储应符合FastDFS分布式文件系统存储方式，适合中小文件存储，主要用于存储业务系统中上传的图片、音频、短视频、文档，分布式部署策略使得其具有高可用、高扩展和高性能的特点。</w:t>
      </w:r>
    </w:p>
    <w:p>
      <w:pPr>
        <w:pStyle w:val="29"/>
        <w:ind w:firstLine="472"/>
        <w:rPr>
          <w:color w:val="auto"/>
          <w:lang w:val="zh-CN"/>
        </w:rPr>
      </w:pPr>
      <w:r>
        <w:rPr>
          <w:rFonts w:hint="eastAsia"/>
          <w:color w:val="auto"/>
          <w:lang w:val="zh-CN"/>
        </w:rPr>
        <w:t>持久层需使用成熟的数据库，要求每秒须支持不低于50万次查询，或6万次的更新。投标人需提供所使用数据库及相关软件授权证明、数据库点表、安装包。</w:t>
      </w:r>
    </w:p>
    <w:p>
      <w:pPr>
        <w:pStyle w:val="29"/>
        <w:ind w:firstLine="472"/>
        <w:rPr>
          <w:color w:val="auto"/>
          <w:lang w:val="zh-CN"/>
        </w:rPr>
      </w:pPr>
      <w:r>
        <w:rPr>
          <w:rFonts w:hint="eastAsia"/>
          <w:color w:val="auto"/>
          <w:lang w:val="zh-CN"/>
        </w:rPr>
        <w:t>应</w:t>
      </w:r>
      <w:r>
        <w:rPr>
          <w:color w:val="auto"/>
          <w:lang w:val="zh-CN"/>
        </w:rPr>
        <w:t>具备完善的报表、运行曲线生成（支持8条曲线同屏对比分析功能）、成本分析等功能。</w:t>
      </w:r>
    </w:p>
    <w:p>
      <w:pPr>
        <w:pStyle w:val="29"/>
        <w:ind w:firstLine="472"/>
        <w:rPr>
          <w:color w:val="auto"/>
          <w:lang w:val="zh-CN"/>
        </w:rPr>
      </w:pPr>
      <w:r>
        <w:rPr>
          <w:rFonts w:hint="eastAsia"/>
          <w:color w:val="auto"/>
          <w:lang w:val="zh-CN"/>
        </w:rPr>
        <w:t>为保证系统性能，软件必须有较高的曲线绘制速度。对于每分钟采集一次的仪表，</w:t>
      </w:r>
      <w:r>
        <w:rPr>
          <w:color w:val="auto"/>
          <w:lang w:val="zh-CN"/>
        </w:rPr>
        <w:t>APP</w:t>
      </w:r>
      <w:r>
        <w:rPr>
          <w:rFonts w:hint="eastAsia"/>
          <w:color w:val="auto"/>
          <w:lang w:val="zh-CN"/>
        </w:rPr>
        <w:t>端曲线平均加载速率不低于</w:t>
      </w:r>
      <w:r>
        <w:rPr>
          <w:color w:val="auto"/>
          <w:lang w:val="zh-CN"/>
        </w:rPr>
        <w:t>4500</w:t>
      </w:r>
      <w:r>
        <w:rPr>
          <w:rFonts w:hint="eastAsia"/>
          <w:color w:val="auto"/>
          <w:lang w:val="zh-CN"/>
        </w:rPr>
        <w:t>条</w:t>
      </w:r>
      <w:r>
        <w:rPr>
          <w:color w:val="auto"/>
          <w:lang w:val="zh-CN"/>
        </w:rPr>
        <w:t>/</w:t>
      </w:r>
      <w:r>
        <w:rPr>
          <w:rFonts w:hint="eastAsia"/>
          <w:color w:val="auto"/>
          <w:lang w:val="zh-CN"/>
        </w:rPr>
        <w:t>秒。</w:t>
      </w:r>
    </w:p>
    <w:p>
      <w:pPr>
        <w:pStyle w:val="29"/>
        <w:ind w:firstLine="472"/>
        <w:rPr>
          <w:color w:val="auto"/>
          <w:lang w:val="zh-CN"/>
        </w:rPr>
      </w:pPr>
      <w:r>
        <w:rPr>
          <w:color w:val="auto"/>
          <w:lang w:val="zh-CN"/>
        </w:rPr>
        <w:t>系统</w:t>
      </w:r>
      <w:r>
        <w:rPr>
          <w:rFonts w:hint="eastAsia"/>
          <w:color w:val="auto"/>
          <w:lang w:val="zh-CN"/>
        </w:rPr>
        <w:t>应</w:t>
      </w:r>
      <w:r>
        <w:rPr>
          <w:color w:val="auto"/>
          <w:lang w:val="zh-CN"/>
        </w:rPr>
        <w:t>具有手机APP移动端数据查看曲线报表、管理功能；</w:t>
      </w:r>
    </w:p>
    <w:p>
      <w:pPr>
        <w:pStyle w:val="29"/>
        <w:ind w:firstLine="472"/>
        <w:rPr>
          <w:color w:val="auto"/>
          <w:lang w:val="zh-CN"/>
        </w:rPr>
      </w:pPr>
      <w:r>
        <w:rPr>
          <w:color w:val="auto"/>
          <w:lang w:val="zh-CN"/>
        </w:rPr>
        <w:t>不同层级进行严格的权限管理功能，能方便实现分级管理，可以及时、灵活调整，也可以撤销或新设立权限</w:t>
      </w:r>
      <w:r>
        <w:rPr>
          <w:rFonts w:hint="eastAsia"/>
          <w:color w:val="auto"/>
          <w:lang w:val="zh-CN"/>
        </w:rPr>
        <w:t>。</w:t>
      </w:r>
    </w:p>
    <w:p>
      <w:pPr>
        <w:pStyle w:val="29"/>
        <w:ind w:firstLine="472"/>
        <w:rPr>
          <w:color w:val="auto"/>
          <w:lang w:val="zh-CN"/>
        </w:rPr>
      </w:pPr>
      <w:r>
        <w:rPr>
          <w:rFonts w:hint="eastAsia"/>
          <w:color w:val="auto"/>
          <w:lang w:val="zh-CN"/>
        </w:rPr>
        <w:t>平台安全性要求，需确保平台的设计、研发、实施、运维服务等需符合国家信息安全管理体系标准规范要求，软件平台开发商需具备有“设计、研发、实施、运维服务”要求范围认证的信息安全管理体系认证证书。</w:t>
      </w:r>
    </w:p>
    <w:p>
      <w:pPr>
        <w:pStyle w:val="29"/>
        <w:ind w:firstLine="474"/>
        <w:rPr>
          <w:b/>
          <w:bCs/>
          <w:color w:val="auto"/>
        </w:rPr>
      </w:pPr>
      <w:bookmarkStart w:id="152" w:name="_Toc37200703"/>
      <w:bookmarkStart w:id="153" w:name="_Toc116823572"/>
      <w:bookmarkStart w:id="154" w:name="_Toc54955259"/>
      <w:r>
        <w:rPr>
          <w:rFonts w:hint="eastAsia"/>
          <w:b/>
          <w:bCs/>
          <w:color w:val="auto"/>
        </w:rPr>
        <w:t>（5）平台功能要求</w:t>
      </w:r>
      <w:bookmarkEnd w:id="152"/>
      <w:bookmarkEnd w:id="153"/>
      <w:bookmarkEnd w:id="154"/>
    </w:p>
    <w:p>
      <w:pPr>
        <w:pStyle w:val="29"/>
        <w:ind w:firstLine="474"/>
        <w:rPr>
          <w:b/>
          <w:bCs/>
          <w:color w:val="auto"/>
        </w:rPr>
      </w:pPr>
      <w:bookmarkStart w:id="155" w:name="_Toc116823573"/>
      <w:r>
        <w:rPr>
          <w:rFonts w:hint="eastAsia"/>
          <w:b/>
          <w:bCs/>
          <w:color w:val="auto"/>
        </w:rPr>
        <w:t>1）基础云平台</w:t>
      </w:r>
      <w:bookmarkEnd w:id="155"/>
    </w:p>
    <w:p>
      <w:pPr>
        <w:pStyle w:val="29"/>
        <w:ind w:firstLine="472"/>
        <w:rPr>
          <w:color w:val="auto"/>
          <w:lang w:bidi="ar"/>
        </w:rPr>
      </w:pPr>
      <w:r>
        <w:rPr>
          <w:rFonts w:hint="eastAsia"/>
          <w:color w:val="auto"/>
          <w:lang w:bidi="ar"/>
        </w:rPr>
        <w:t>整个厂区搭建一套统一的私有云服务器平台资源供智慧水厂运营管理平台及各应用系统共享使用。平台利用虚拟化技术保障各个系统之间的独立性，每个系统都运行在独立的虚拟机上。</w:t>
      </w:r>
    </w:p>
    <w:p>
      <w:pPr>
        <w:pStyle w:val="29"/>
        <w:ind w:firstLine="472"/>
        <w:rPr>
          <w:color w:val="auto"/>
          <w:lang w:bidi="ar"/>
        </w:rPr>
      </w:pPr>
      <w:r>
        <w:rPr>
          <w:rFonts w:hint="eastAsia"/>
          <w:color w:val="auto"/>
          <w:lang w:bidi="ar"/>
        </w:rPr>
        <w:t>基础数据云平台实现对再生水厂的人、事、物统一集中化智慧化的运营管理，提供灵活的可扩展性，满足日后用户规模及架构的扩充需求。</w:t>
      </w:r>
    </w:p>
    <w:p>
      <w:pPr>
        <w:pStyle w:val="29"/>
        <w:ind w:firstLine="474"/>
        <w:rPr>
          <w:b/>
          <w:bCs/>
          <w:color w:val="auto"/>
        </w:rPr>
      </w:pPr>
      <w:bookmarkStart w:id="156" w:name="_Toc535929370"/>
      <w:bookmarkEnd w:id="156"/>
      <w:bookmarkStart w:id="157" w:name="_Toc32958734"/>
      <w:bookmarkEnd w:id="157"/>
      <w:bookmarkStart w:id="158" w:name="_Toc29851464"/>
      <w:bookmarkEnd w:id="158"/>
      <w:bookmarkStart w:id="159" w:name="_Toc29850809"/>
      <w:bookmarkEnd w:id="159"/>
      <w:bookmarkStart w:id="160" w:name="_Toc116823574"/>
      <w:r>
        <w:rPr>
          <w:rFonts w:hint="eastAsia"/>
          <w:b/>
          <w:bCs/>
          <w:color w:val="auto"/>
        </w:rPr>
        <w:t>数据采集与存储</w:t>
      </w:r>
      <w:bookmarkEnd w:id="160"/>
    </w:p>
    <w:p>
      <w:pPr>
        <w:pStyle w:val="29"/>
        <w:ind w:firstLine="472"/>
        <w:rPr>
          <w:color w:val="auto"/>
          <w:lang w:val="zh-CN"/>
        </w:rPr>
      </w:pPr>
      <w:r>
        <w:rPr>
          <w:rFonts w:hint="eastAsia"/>
          <w:color w:val="auto"/>
          <w:lang w:val="zh-CN"/>
        </w:rPr>
        <w:t>数据采集与存储为整个系统的基础，应具备多种数据源采集能力，应包括设备、数据库、文件系统等，集群部署及多个采集服务同时采集，有效避免单点失败，极大提高采集程序的性能和容错性，其中的一个或多个实例出现问题，只要有一个实例存活，多节点的失败不会影响数据采集。</w:t>
      </w:r>
    </w:p>
    <w:p>
      <w:pPr>
        <w:pStyle w:val="29"/>
        <w:ind w:firstLine="472"/>
        <w:rPr>
          <w:color w:val="auto"/>
          <w:lang w:val="zh-CN"/>
        </w:rPr>
      </w:pPr>
      <w:r>
        <w:rPr>
          <w:rFonts w:hint="eastAsia"/>
          <w:color w:val="auto"/>
          <w:lang w:val="zh-CN"/>
        </w:rPr>
        <w:t>系统平台会采集大量来自于再生水厂运营的仪表数据、设备台账数据、报表/水质/水量实时Kpi统计计算数据和日常工单产生的图片、音频、短视频、文档等对象型数据；具有数据量大和数据类型繁多等特点，为确保平台后端数据存放的合理性，特要求后端数据的存储规范如下：</w:t>
      </w:r>
    </w:p>
    <w:p>
      <w:pPr>
        <w:pStyle w:val="29"/>
        <w:ind w:firstLine="472"/>
        <w:rPr>
          <w:color w:val="auto"/>
          <w:lang w:val="zh-CN"/>
        </w:rPr>
      </w:pPr>
      <w:r>
        <w:rPr>
          <w:rFonts w:hint="eastAsia"/>
          <w:color w:val="auto"/>
          <w:lang w:val="zh-CN"/>
        </w:rPr>
        <w:t>提供对数据的双备份，防止数据丢失；</w:t>
      </w:r>
    </w:p>
    <w:p>
      <w:pPr>
        <w:pStyle w:val="29"/>
        <w:ind w:firstLine="472"/>
        <w:rPr>
          <w:color w:val="auto"/>
          <w:lang w:val="zh-CN"/>
        </w:rPr>
      </w:pPr>
      <w:r>
        <w:rPr>
          <w:rFonts w:hint="eastAsia"/>
          <w:color w:val="auto"/>
          <w:lang w:val="zh-CN"/>
        </w:rPr>
        <w:t>对于仪表设备类的实时采集数据，需用专业的时序数据库进行分类存储，需确保时序数据库的性能每秒支持</w:t>
      </w:r>
      <w:r>
        <w:rPr>
          <w:color w:val="auto"/>
          <w:lang w:val="zh-CN"/>
        </w:rPr>
        <w:t>8</w:t>
      </w:r>
      <w:r>
        <w:rPr>
          <w:rFonts w:hint="eastAsia"/>
          <w:color w:val="auto"/>
          <w:lang w:val="zh-CN"/>
        </w:rPr>
        <w:t>万点以上的写入量；</w:t>
      </w:r>
    </w:p>
    <w:p>
      <w:pPr>
        <w:pStyle w:val="29"/>
        <w:ind w:firstLine="472"/>
        <w:rPr>
          <w:color w:val="auto"/>
          <w:lang w:val="zh-CN"/>
        </w:rPr>
      </w:pPr>
      <w:r>
        <w:rPr>
          <w:rFonts w:hint="eastAsia"/>
          <w:color w:val="auto"/>
          <w:lang w:val="zh-CN"/>
        </w:rPr>
        <w:t>针对日常的巡检、养护、维修工单所产生的关联事务对象附件、文档、图相、小视频等数据，需采用分布式对象数据库系统进行分类存储；对于设备台帐信息、人员基础信息等具有多字段关联性的业务数据，要求采用专业的关系型数据库进行存储；</w:t>
      </w:r>
    </w:p>
    <w:p>
      <w:pPr>
        <w:pStyle w:val="29"/>
        <w:ind w:firstLine="472"/>
        <w:rPr>
          <w:color w:val="auto"/>
          <w:lang w:val="zh-CN"/>
        </w:rPr>
      </w:pPr>
      <w:r>
        <w:rPr>
          <w:rFonts w:hint="eastAsia"/>
          <w:color w:val="auto"/>
          <w:lang w:val="zh-CN"/>
        </w:rPr>
        <w:t>对于平台中需实时统计呈现的生产水质、水量、</w:t>
      </w:r>
      <w:r>
        <w:rPr>
          <w:color w:val="auto"/>
          <w:lang w:val="zh-CN"/>
        </w:rPr>
        <w:t>KPI</w:t>
      </w:r>
      <w:r>
        <w:rPr>
          <w:rFonts w:hint="eastAsia"/>
          <w:color w:val="auto"/>
          <w:lang w:val="zh-CN"/>
        </w:rPr>
        <w:t>、报表等数据信息的计算处理，需采用高效的缓存数据库确保提供快速的统计计算处理性能；</w:t>
      </w:r>
    </w:p>
    <w:p>
      <w:pPr>
        <w:pStyle w:val="29"/>
        <w:ind w:firstLine="472"/>
        <w:rPr>
          <w:color w:val="auto"/>
          <w:lang w:val="zh-CN"/>
        </w:rPr>
      </w:pPr>
      <w:r>
        <w:rPr>
          <w:rFonts w:hint="eastAsia"/>
          <w:color w:val="auto"/>
          <w:lang w:val="zh-CN"/>
        </w:rPr>
        <w:t>对于以上所提到的多种不同类型的数据库，在本项目中供货范围内需包含相应的数据库软件产品。</w:t>
      </w:r>
    </w:p>
    <w:p>
      <w:pPr>
        <w:pStyle w:val="29"/>
        <w:ind w:firstLine="472"/>
        <w:rPr>
          <w:color w:val="auto"/>
        </w:rPr>
      </w:pPr>
      <w:r>
        <w:rPr>
          <w:rFonts w:hint="eastAsia"/>
          <w:color w:val="auto"/>
        </w:rPr>
        <w:t>实时数据采集</w:t>
      </w:r>
    </w:p>
    <w:p>
      <w:pPr>
        <w:pStyle w:val="29"/>
        <w:ind w:firstLine="472"/>
        <w:rPr>
          <w:color w:val="auto"/>
        </w:rPr>
      </w:pPr>
      <w:r>
        <w:rPr>
          <w:rFonts w:hint="eastAsia"/>
          <w:color w:val="auto"/>
        </w:rPr>
        <w:t>（1）数据采集方式</w:t>
      </w:r>
    </w:p>
    <w:p>
      <w:pPr>
        <w:pStyle w:val="29"/>
        <w:ind w:firstLine="472"/>
        <w:rPr>
          <w:color w:val="auto"/>
        </w:rPr>
      </w:pPr>
      <w:r>
        <w:rPr>
          <w:rFonts w:hint="eastAsia"/>
          <w:color w:val="auto"/>
        </w:rPr>
        <w:t>现场数据接入是通过工业智能网关实现的。工业智能网关部署在水厂本地，能通过与PLC对接，将实时数据采集并转发到系统的数据接收服务上。</w:t>
      </w:r>
    </w:p>
    <w:p>
      <w:pPr>
        <w:pStyle w:val="29"/>
        <w:ind w:firstLine="472"/>
        <w:rPr>
          <w:color w:val="auto"/>
        </w:rPr>
      </w:pPr>
      <w:r>
        <w:rPr>
          <w:rFonts w:hint="eastAsia"/>
          <w:color w:val="auto"/>
        </w:rPr>
        <w:t>系统要求有较强的海量实时历史数据管理功能。</w:t>
      </w:r>
    </w:p>
    <w:p>
      <w:pPr>
        <w:pStyle w:val="29"/>
        <w:ind w:firstLine="472"/>
        <w:rPr>
          <w:color w:val="auto"/>
        </w:rPr>
      </w:pPr>
      <w:r>
        <w:rPr>
          <w:rFonts w:hint="eastAsia"/>
          <w:color w:val="auto"/>
        </w:rPr>
        <w:t>实时数据采集频率应能根据需要进行调整（从秒级到分钟级可配置和调整）；</w:t>
      </w:r>
    </w:p>
    <w:p>
      <w:pPr>
        <w:pStyle w:val="29"/>
        <w:ind w:firstLine="472"/>
        <w:rPr>
          <w:color w:val="auto"/>
        </w:rPr>
      </w:pPr>
      <w:r>
        <w:rPr>
          <w:rFonts w:hint="eastAsia"/>
          <w:color w:val="auto"/>
        </w:rPr>
        <w:t>（2）数据采集内容</w:t>
      </w:r>
    </w:p>
    <w:p>
      <w:pPr>
        <w:pStyle w:val="29"/>
        <w:ind w:firstLine="472"/>
        <w:rPr>
          <w:color w:val="auto"/>
        </w:rPr>
      </w:pPr>
      <w:r>
        <w:rPr>
          <w:rFonts w:hint="eastAsia"/>
          <w:color w:val="auto"/>
        </w:rPr>
        <w:t>应包括进出水水量、水质、设备运行状态（如水泵、格栅等）、仪表数据等。</w:t>
      </w:r>
    </w:p>
    <w:p>
      <w:pPr>
        <w:pStyle w:val="29"/>
        <w:ind w:firstLine="472"/>
        <w:rPr>
          <w:color w:val="auto"/>
        </w:rPr>
      </w:pPr>
      <w:r>
        <w:rPr>
          <w:rFonts w:hint="eastAsia"/>
          <w:color w:val="auto"/>
        </w:rPr>
        <w:t>人工录入数据</w:t>
      </w:r>
    </w:p>
    <w:p>
      <w:pPr>
        <w:pStyle w:val="29"/>
        <w:ind w:firstLine="472"/>
        <w:rPr>
          <w:color w:val="auto"/>
        </w:rPr>
      </w:pPr>
      <w:r>
        <w:rPr>
          <w:rFonts w:hint="eastAsia"/>
          <w:color w:val="auto"/>
        </w:rPr>
        <w:t>系统应提供数据填报界面，能将部分无法自动采集的数据（如化验室提供的水质检测数据等），通过人工录入的方式采集报送到数据系统，人工录入的数据进入系统后与现场自动采集数据一样能用于统计和报表。</w:t>
      </w:r>
      <w:r>
        <w:rPr>
          <w:rFonts w:hint="eastAsia"/>
          <w:color w:val="auto"/>
        </w:rPr>
        <w:tab/>
      </w:r>
    </w:p>
    <w:p>
      <w:pPr>
        <w:pStyle w:val="29"/>
        <w:ind w:firstLine="472"/>
        <w:rPr>
          <w:color w:val="auto"/>
        </w:rPr>
      </w:pPr>
      <w:r>
        <w:rPr>
          <w:rFonts w:hint="eastAsia"/>
          <w:color w:val="auto"/>
        </w:rPr>
        <w:t>计算任务</w:t>
      </w:r>
    </w:p>
    <w:p>
      <w:pPr>
        <w:pStyle w:val="29"/>
        <w:ind w:firstLine="472"/>
        <w:rPr>
          <w:color w:val="auto"/>
          <w:lang w:val="zh-CN"/>
        </w:rPr>
      </w:pPr>
      <w:r>
        <w:rPr>
          <w:rFonts w:hint="eastAsia"/>
          <w:color w:val="auto"/>
          <w:lang w:val="zh-CN"/>
        </w:rPr>
        <w:t>计算任务应提供对测点历史数据周期性的汇总计算，为系统提供门户统计数据、设备生产KPI数据、复杂的报表数据源等。</w:t>
      </w:r>
    </w:p>
    <w:p>
      <w:pPr>
        <w:pStyle w:val="29"/>
        <w:ind w:firstLine="474"/>
        <w:rPr>
          <w:b/>
          <w:bCs/>
          <w:color w:val="auto"/>
        </w:rPr>
      </w:pPr>
      <w:bookmarkStart w:id="161" w:name="_Toc116823575"/>
      <w:r>
        <w:rPr>
          <w:rFonts w:hint="eastAsia"/>
          <w:b/>
          <w:bCs/>
          <w:color w:val="auto"/>
        </w:rPr>
        <w:t>生产数据预处理和清洗过滤</w:t>
      </w:r>
      <w:bookmarkEnd w:id="161"/>
    </w:p>
    <w:p>
      <w:pPr>
        <w:pStyle w:val="29"/>
        <w:ind w:firstLine="472"/>
        <w:rPr>
          <w:color w:val="auto"/>
        </w:rPr>
      </w:pPr>
      <w:r>
        <w:rPr>
          <w:color w:val="auto"/>
        </w:rPr>
        <w:t>生产运行中对PLC采集到各种数据，由于设备养护问题及通信干扰等各种外部原因，采集到历史数据库中的数据不可避免存在着噪点、跳点、丢失、偏离、失真等情况，错误的数据有可能导致控制执行出现问题，影响生产判断。</w:t>
      </w:r>
      <w:r>
        <w:rPr>
          <w:rFonts w:hint="eastAsia"/>
          <w:color w:val="auto"/>
        </w:rPr>
        <w:t>应能实时的对问题数据进行滤波、补遗、去跳等清洗处理。</w:t>
      </w:r>
    </w:p>
    <w:p>
      <w:pPr>
        <w:pStyle w:val="29"/>
        <w:ind w:firstLine="474"/>
        <w:rPr>
          <w:b/>
          <w:bCs/>
          <w:color w:val="auto"/>
        </w:rPr>
      </w:pPr>
      <w:bookmarkStart w:id="162" w:name="_Toc116823576"/>
      <w:r>
        <w:rPr>
          <w:b/>
          <w:bCs/>
          <w:color w:val="auto"/>
        </w:rPr>
        <w:t>2</w:t>
      </w:r>
      <w:r>
        <w:rPr>
          <w:rFonts w:hint="eastAsia"/>
          <w:b/>
          <w:bCs/>
          <w:color w:val="auto"/>
        </w:rPr>
        <w:t>）智慧水厂运营管理平台应用</w:t>
      </w:r>
      <w:bookmarkEnd w:id="162"/>
    </w:p>
    <w:p>
      <w:pPr>
        <w:pStyle w:val="29"/>
        <w:ind w:firstLine="474"/>
        <w:rPr>
          <w:b/>
          <w:bCs/>
          <w:color w:val="auto"/>
        </w:rPr>
      </w:pPr>
      <w:bookmarkStart w:id="163" w:name="_Toc116823577"/>
      <w:r>
        <w:rPr>
          <w:rFonts w:hint="eastAsia"/>
          <w:b/>
          <w:bCs/>
          <w:color w:val="auto"/>
        </w:rPr>
        <w:t>管理驾驶舱</w:t>
      </w:r>
      <w:bookmarkEnd w:id="163"/>
    </w:p>
    <w:p>
      <w:pPr>
        <w:pStyle w:val="29"/>
        <w:ind w:firstLine="472"/>
        <w:rPr>
          <w:color w:val="auto"/>
          <w:lang w:bidi="ar"/>
        </w:rPr>
      </w:pPr>
      <w:r>
        <w:rPr>
          <w:rFonts w:hint="eastAsia"/>
          <w:color w:val="auto"/>
          <w:lang w:bidi="ar"/>
        </w:rPr>
        <w:t>应</w:t>
      </w:r>
      <w:bookmarkStart w:id="164" w:name="_Hlk55857539"/>
      <w:r>
        <w:rPr>
          <w:rFonts w:hint="eastAsia"/>
          <w:color w:val="auto"/>
          <w:lang w:bidi="ar"/>
        </w:rPr>
        <w:t>按角色为各级生产运营管理层人员提供统一的管理看板，在管理驾驶舱上通过对全厂各项指标数据进行图形化显示，为管理层对全厂运营绩效评估、辅助决策提供科学有效的数据依据。</w:t>
      </w:r>
      <w:bookmarkEnd w:id="164"/>
    </w:p>
    <w:p>
      <w:pPr>
        <w:pStyle w:val="29"/>
        <w:ind w:firstLine="472"/>
        <w:rPr>
          <w:color w:val="auto"/>
          <w:lang w:bidi="ar"/>
        </w:rPr>
      </w:pPr>
      <w:r>
        <w:rPr>
          <w:rFonts w:hint="eastAsia"/>
          <w:color w:val="auto"/>
          <w:lang w:bidi="ar"/>
        </w:rPr>
        <w:t>管理驾驶舱显示当前水厂运行的事件统计总览，应包括关注的</w:t>
      </w:r>
      <w:r>
        <w:rPr>
          <w:color w:val="auto"/>
          <w:lang w:bidi="ar"/>
        </w:rPr>
        <w:t>KPI</w:t>
      </w:r>
      <w:r>
        <w:rPr>
          <w:rFonts w:hint="eastAsia"/>
          <w:color w:val="auto"/>
          <w:lang w:bidi="ar"/>
        </w:rPr>
        <w:t>指标变化情况、运行告警情况，支持通过点击图标进行相关详细信息的查询。本项目管理驾驶舱应包括综合看板、设备看板、生产看板、能耗看板共四个。</w:t>
      </w:r>
    </w:p>
    <w:p>
      <w:pPr>
        <w:pStyle w:val="29"/>
        <w:ind w:firstLine="474"/>
        <w:rPr>
          <w:b/>
          <w:bCs/>
          <w:color w:val="auto"/>
        </w:rPr>
      </w:pPr>
      <w:bookmarkStart w:id="165" w:name="_Toc116823578"/>
      <w:r>
        <w:rPr>
          <w:rFonts w:hint="eastAsia"/>
          <w:b/>
          <w:bCs/>
          <w:color w:val="auto"/>
        </w:rPr>
        <w:t>综合大屏展示</w:t>
      </w:r>
      <w:bookmarkEnd w:id="165"/>
    </w:p>
    <w:p>
      <w:pPr>
        <w:pStyle w:val="29"/>
        <w:ind w:firstLine="472"/>
        <w:rPr>
          <w:color w:val="auto"/>
          <w:lang w:bidi="ar"/>
        </w:rPr>
      </w:pPr>
      <w:r>
        <w:rPr>
          <w:rFonts w:hint="eastAsia"/>
          <w:color w:val="auto"/>
          <w:lang w:bidi="ar"/>
        </w:rPr>
        <w:t>综合大屏应向管理人员、运行人员、巡检人员提供综合信息展示窗口，通过柱状、饼图、雷达、仪表、地图等方式将管理质量、工艺运行参数、能耗、药耗、评价指标、设施设备运行效率、环境效益、绩效考核等信息实时可视展示出来，使其全面了解水厂运营情况，为运行人员、巡检人员针对水厂运行过程中存在的问题提供更科学工作指导。</w:t>
      </w:r>
    </w:p>
    <w:p>
      <w:pPr>
        <w:pStyle w:val="29"/>
        <w:ind w:firstLine="474"/>
        <w:rPr>
          <w:b/>
          <w:bCs/>
          <w:color w:val="auto"/>
        </w:rPr>
      </w:pPr>
      <w:bookmarkStart w:id="166" w:name="_Toc116823579"/>
      <w:r>
        <w:rPr>
          <w:rFonts w:hint="eastAsia"/>
          <w:b/>
          <w:bCs/>
          <w:color w:val="auto"/>
        </w:rPr>
        <w:t>全厂三维建模与展示</w:t>
      </w:r>
      <w:bookmarkEnd w:id="166"/>
    </w:p>
    <w:p>
      <w:pPr>
        <w:pStyle w:val="29"/>
        <w:ind w:firstLine="472"/>
        <w:rPr>
          <w:color w:val="auto"/>
          <w:lang w:bidi="ar"/>
        </w:rPr>
      </w:pPr>
      <w:r>
        <w:rPr>
          <w:rFonts w:hint="eastAsia"/>
          <w:color w:val="auto"/>
          <w:lang w:bidi="ar"/>
        </w:rPr>
        <w:t>基于厂区三维可视化监控，对水厂的生产工艺、设备属性、图纸资料、前期施工等进行科学管理，为厂内前期施工生产调度、施工改造、设备维修保养提供了精确、迅速、科学的依据。主要功能应包括：多视图浏览、场景拖动视角变换、模型分层显隐、地面区块透明度管理、属性信息查询，局部区域位置内部信息展示，主题分析，报警协同办公等基本功能。</w:t>
      </w:r>
    </w:p>
    <w:p>
      <w:pPr>
        <w:pStyle w:val="29"/>
        <w:ind w:firstLine="472"/>
        <w:rPr>
          <w:color w:val="auto"/>
          <w:lang w:bidi="ar"/>
        </w:rPr>
      </w:pPr>
      <w:r>
        <w:rPr>
          <w:rFonts w:hint="eastAsia"/>
          <w:color w:val="auto"/>
          <w:lang w:bidi="ar"/>
        </w:rPr>
        <w:t>应采用根据客户实际情况定制化主题，包括“首页主题分析、设备主题分析、能耗主题分析、管网主题分析”等。</w:t>
      </w:r>
    </w:p>
    <w:p>
      <w:pPr>
        <w:pStyle w:val="29"/>
        <w:ind w:firstLine="474"/>
        <w:rPr>
          <w:b/>
          <w:bCs/>
          <w:color w:val="auto"/>
        </w:rPr>
      </w:pPr>
      <w:bookmarkStart w:id="167" w:name="_Toc116823580"/>
      <w:r>
        <w:rPr>
          <w:rFonts w:hint="eastAsia"/>
          <w:b/>
          <w:bCs/>
          <w:color w:val="auto"/>
        </w:rPr>
        <w:t>生产运行监控</w:t>
      </w:r>
      <w:bookmarkEnd w:id="167"/>
    </w:p>
    <w:p>
      <w:pPr>
        <w:pStyle w:val="29"/>
        <w:ind w:firstLine="472"/>
        <w:rPr>
          <w:color w:val="auto"/>
        </w:rPr>
      </w:pPr>
      <w:r>
        <w:rPr>
          <w:rFonts w:hint="eastAsia"/>
          <w:color w:val="auto"/>
        </w:rPr>
        <w:t>调度中心</w:t>
      </w:r>
    </w:p>
    <w:p>
      <w:pPr>
        <w:pStyle w:val="29"/>
        <w:ind w:firstLine="472"/>
        <w:rPr>
          <w:rFonts w:ascii="宋体" w:hAnsi="宋体" w:cs="宋体"/>
          <w:color w:val="auto"/>
          <w:szCs w:val="24"/>
          <w:lang w:bidi="ar"/>
        </w:rPr>
      </w:pPr>
      <w:r>
        <w:rPr>
          <w:rFonts w:hint="eastAsia" w:ascii="宋体" w:hAnsi="宋体" w:cs="宋体"/>
          <w:color w:val="auto"/>
          <w:szCs w:val="24"/>
          <w:lang w:bidi="ar"/>
        </w:rPr>
        <w:t>能将各工艺点的基本信息、报警情况、报警处理统计、相关出勤人员任务分派以及执行分布情况，在一张区域地图上以总揽形式统计展示；并提供各工艺点的基本信息/视频抓拍入口、厂站网关连接状态、报警数量、设备报修数量、工艺画面/关键指标/历史报警/视频监控等快捷入口，方便用户快速掌握各工艺点的关键数据和指标，同时能迅速针对工艺点设备报警发起缺陷申报，提高工作效率。</w:t>
      </w:r>
    </w:p>
    <w:p>
      <w:pPr>
        <w:pStyle w:val="29"/>
        <w:ind w:firstLine="472"/>
        <w:rPr>
          <w:color w:val="auto"/>
        </w:rPr>
      </w:pPr>
      <w:r>
        <w:rPr>
          <w:rFonts w:hint="eastAsia"/>
          <w:color w:val="auto"/>
        </w:rPr>
        <w:t>工艺</w:t>
      </w:r>
      <w:r>
        <w:rPr>
          <w:color w:val="auto"/>
        </w:rPr>
        <w:t>画面</w:t>
      </w:r>
    </w:p>
    <w:p>
      <w:pPr>
        <w:pStyle w:val="29"/>
        <w:ind w:firstLine="472"/>
        <w:rPr>
          <w:rFonts w:ascii="宋体" w:hAnsi="宋体" w:cs="宋体"/>
          <w:color w:val="auto"/>
          <w:szCs w:val="24"/>
          <w:lang w:bidi="ar"/>
        </w:rPr>
      </w:pPr>
      <w:r>
        <w:rPr>
          <w:rFonts w:hint="eastAsia" w:ascii="宋体" w:hAnsi="宋体" w:cs="宋体"/>
          <w:color w:val="auto"/>
          <w:szCs w:val="24"/>
          <w:lang w:bidi="ar"/>
        </w:rPr>
        <w:t>工艺站点的工艺画面、设备运行状态、工艺指标数据、现场实时视频画面等可通过一个页面即可完成全部功能实时数据的展示。工艺画面可自定义配置的2D或3D画面组态展示，设备运行状态提供（红灯/绿灯）清晰的状态指标灯，工艺指标数据能支持无代码简单拖拽方式自定义配置所有厂站的关键KPI指标实时测点数据。</w:t>
      </w:r>
    </w:p>
    <w:p>
      <w:pPr>
        <w:pStyle w:val="29"/>
        <w:ind w:firstLine="472"/>
        <w:rPr>
          <w:color w:val="auto"/>
        </w:rPr>
      </w:pPr>
      <w:r>
        <w:rPr>
          <w:color w:val="auto"/>
        </w:rPr>
        <w:t>数据曲线</w:t>
      </w:r>
      <w:r>
        <w:rPr>
          <w:rFonts w:hint="eastAsia"/>
          <w:color w:val="auto"/>
        </w:rPr>
        <w:t>分析</w:t>
      </w:r>
    </w:p>
    <w:p>
      <w:pPr>
        <w:pStyle w:val="29"/>
        <w:ind w:firstLine="472"/>
        <w:rPr>
          <w:rFonts w:ascii="宋体" w:hAnsi="宋体"/>
          <w:color w:val="auto"/>
          <w:szCs w:val="24"/>
          <w:lang w:val="zh-CN"/>
        </w:rPr>
      </w:pPr>
      <w:r>
        <w:rPr>
          <w:rFonts w:hint="eastAsia" w:ascii="宋体" w:hAnsi="宋体"/>
          <w:color w:val="auto"/>
          <w:szCs w:val="24"/>
          <w:lang w:val="zh-CN"/>
        </w:rPr>
        <w:t>系统应有多种曲线展示风格：可以多测点和单测点形式展示。</w:t>
      </w:r>
    </w:p>
    <w:p>
      <w:pPr>
        <w:pStyle w:val="29"/>
        <w:ind w:firstLine="472"/>
        <w:rPr>
          <w:rFonts w:ascii="宋体" w:hAnsi="宋体"/>
          <w:color w:val="auto"/>
          <w:szCs w:val="24"/>
          <w:lang w:val="zh-CN"/>
        </w:rPr>
      </w:pPr>
      <w:r>
        <w:rPr>
          <w:rFonts w:hint="eastAsia" w:ascii="宋体" w:hAnsi="宋体"/>
          <w:color w:val="auto"/>
          <w:szCs w:val="24"/>
          <w:lang w:val="zh-CN"/>
        </w:rPr>
        <w:t>应可以选择天、周、月、年周期，查看不同时间跨度的曲线。</w:t>
      </w:r>
    </w:p>
    <w:p>
      <w:pPr>
        <w:pStyle w:val="29"/>
        <w:ind w:firstLine="472"/>
        <w:rPr>
          <w:rFonts w:ascii="宋体" w:hAnsi="宋体"/>
          <w:color w:val="auto"/>
          <w:szCs w:val="24"/>
          <w:lang w:val="zh-CN"/>
        </w:rPr>
      </w:pPr>
      <w:r>
        <w:rPr>
          <w:rFonts w:hint="eastAsia" w:ascii="宋体" w:hAnsi="宋体"/>
          <w:color w:val="auto"/>
          <w:szCs w:val="24"/>
          <w:lang w:val="zh-CN"/>
        </w:rPr>
        <w:t>曲线应支持同、环比分析。</w:t>
      </w:r>
    </w:p>
    <w:p>
      <w:pPr>
        <w:pStyle w:val="29"/>
        <w:ind w:firstLine="472"/>
        <w:rPr>
          <w:rFonts w:ascii="宋体" w:hAnsi="宋体"/>
          <w:color w:val="auto"/>
          <w:szCs w:val="24"/>
          <w:lang w:val="zh-CN"/>
        </w:rPr>
      </w:pPr>
      <w:r>
        <w:rPr>
          <w:rFonts w:hint="eastAsia" w:ascii="宋体" w:hAnsi="宋体"/>
          <w:color w:val="auto"/>
          <w:szCs w:val="24"/>
          <w:lang w:val="zh-CN"/>
        </w:rPr>
        <w:t>曲线应显示平均线、报警线、最大值和最小值。</w:t>
      </w:r>
    </w:p>
    <w:p>
      <w:pPr>
        <w:pStyle w:val="29"/>
        <w:ind w:firstLine="472"/>
        <w:rPr>
          <w:rFonts w:ascii="宋体" w:hAnsi="宋体"/>
          <w:bCs/>
          <w:color w:val="auto"/>
          <w:szCs w:val="24"/>
          <w:lang w:val="zh-CN"/>
        </w:rPr>
      </w:pPr>
      <w:r>
        <w:rPr>
          <w:rFonts w:hint="eastAsia" w:ascii="宋体" w:hAnsi="宋体"/>
          <w:bCs/>
          <w:color w:val="auto"/>
          <w:szCs w:val="24"/>
          <w:lang w:val="zh-CN"/>
        </w:rPr>
        <w:t>为保证系统性能，软件必须有较高的曲线绘制速度。对于每分钟采集一次的仪表（每年50万个以上数据点）绘制全年历史曲线的时间不超过30秒。</w:t>
      </w:r>
    </w:p>
    <w:p>
      <w:pPr>
        <w:pStyle w:val="29"/>
        <w:ind w:firstLine="472"/>
        <w:rPr>
          <w:rFonts w:ascii="宋体" w:hAnsi="宋体"/>
          <w:color w:val="auto"/>
          <w:szCs w:val="24"/>
          <w:lang w:val="zh-CN"/>
        </w:rPr>
      </w:pPr>
      <w:r>
        <w:rPr>
          <w:rFonts w:hint="eastAsia" w:ascii="宋体" w:hAnsi="宋体"/>
          <w:color w:val="auto"/>
          <w:szCs w:val="24"/>
          <w:lang w:val="zh-CN"/>
        </w:rPr>
        <w:t>为确保系统能为工艺分析人员提供较好的数据曲线分析体验，要求在单个曲线图中应能支持不少于8条曲线在一个画面同时显示，投标需提供不少于8条曲线在一个画面同时显示功能截图及开发商盖章证明。</w:t>
      </w:r>
    </w:p>
    <w:p>
      <w:pPr>
        <w:pStyle w:val="29"/>
        <w:ind w:firstLine="472"/>
        <w:rPr>
          <w:rFonts w:ascii="宋体" w:hAnsi="宋体"/>
          <w:color w:val="auto"/>
          <w:szCs w:val="24"/>
          <w:lang w:val="zh-CN"/>
        </w:rPr>
      </w:pPr>
      <w:r>
        <w:rPr>
          <w:rFonts w:hint="eastAsia" w:ascii="宋体" w:hAnsi="宋体"/>
          <w:color w:val="auto"/>
          <w:szCs w:val="24"/>
          <w:lang w:val="zh-CN"/>
        </w:rPr>
        <w:t>历史数据曲线绘制呈现应支持数据压缩，系统对模拟数据在1%误差下能达到85%以上的压缩率。投标时须提供有CNAS资质的软件测试实验室的检测报告，投标时需提供相关证书复印件盖章证明。</w:t>
      </w:r>
    </w:p>
    <w:p>
      <w:pPr>
        <w:pStyle w:val="29"/>
        <w:ind w:firstLine="472"/>
        <w:rPr>
          <w:rFonts w:ascii="宋体" w:hAnsi="宋体"/>
          <w:color w:val="auto"/>
          <w:szCs w:val="24"/>
          <w:lang w:val="zh-CN"/>
        </w:rPr>
      </w:pPr>
      <w:r>
        <w:rPr>
          <w:rFonts w:hint="eastAsia" w:ascii="宋体" w:hAnsi="宋体"/>
          <w:color w:val="auto"/>
          <w:szCs w:val="24"/>
          <w:lang w:val="zh-CN"/>
        </w:rPr>
        <w:t>Web端曲线压缩率要求不低于97%，投标人必须提供有CNAS资质的软件测试实验室的检测报告，投标时需提供相关证书复印件盖章证明。</w:t>
      </w:r>
    </w:p>
    <w:p>
      <w:pPr>
        <w:pStyle w:val="29"/>
        <w:ind w:firstLine="472"/>
        <w:rPr>
          <w:color w:val="auto"/>
        </w:rPr>
      </w:pPr>
      <w:r>
        <w:rPr>
          <w:rFonts w:hint="eastAsia"/>
          <w:color w:val="auto"/>
        </w:rPr>
        <w:t>人工数据填报</w:t>
      </w:r>
    </w:p>
    <w:p>
      <w:pPr>
        <w:pStyle w:val="29"/>
        <w:ind w:firstLine="472"/>
        <w:rPr>
          <w:rFonts w:ascii="宋体" w:hAnsi="宋体"/>
          <w:color w:val="auto"/>
          <w:szCs w:val="24"/>
        </w:rPr>
      </w:pPr>
      <w:r>
        <w:rPr>
          <w:rFonts w:hint="eastAsia" w:ascii="宋体" w:hAnsi="宋体"/>
          <w:color w:val="auto"/>
          <w:szCs w:val="24"/>
        </w:rPr>
        <w:t>应支持巡检班组抄表数据人工录入。</w:t>
      </w:r>
    </w:p>
    <w:p>
      <w:pPr>
        <w:pStyle w:val="29"/>
        <w:ind w:firstLine="472"/>
        <w:rPr>
          <w:color w:val="auto"/>
        </w:rPr>
      </w:pPr>
      <w:bookmarkStart w:id="168" w:name="_Toc32958747"/>
      <w:r>
        <w:rPr>
          <w:rFonts w:hint="eastAsia"/>
          <w:color w:val="auto"/>
        </w:rPr>
        <w:t>报警管理</w:t>
      </w:r>
      <w:bookmarkEnd w:id="168"/>
    </w:p>
    <w:p>
      <w:pPr>
        <w:pStyle w:val="29"/>
        <w:ind w:firstLine="472"/>
        <w:rPr>
          <w:rFonts w:ascii="宋体" w:hAnsi="宋体"/>
          <w:color w:val="auto"/>
          <w:szCs w:val="24"/>
        </w:rPr>
      </w:pPr>
      <w:r>
        <w:rPr>
          <w:rFonts w:hint="eastAsia" w:ascii="宋体" w:hAnsi="宋体"/>
          <w:color w:val="auto"/>
          <w:szCs w:val="24"/>
        </w:rPr>
        <w:t>系统应提供实时的报警体系，当数据越限时，系统会发出报警信息</w:t>
      </w:r>
      <w:r>
        <w:rPr>
          <w:rFonts w:ascii="宋体" w:hAnsi="宋体"/>
          <w:color w:val="auto"/>
          <w:szCs w:val="24"/>
        </w:rPr>
        <w:t>通知</w:t>
      </w:r>
      <w:r>
        <w:rPr>
          <w:rFonts w:hint="eastAsia" w:ascii="宋体" w:hAnsi="宋体"/>
          <w:color w:val="auto"/>
          <w:szCs w:val="24"/>
        </w:rPr>
        <w:t>，提示用户及相关人员及时处置，实现智能报警。</w:t>
      </w:r>
    </w:p>
    <w:p>
      <w:pPr>
        <w:pStyle w:val="29"/>
        <w:ind w:firstLine="472"/>
        <w:rPr>
          <w:rFonts w:ascii="宋体" w:hAnsi="宋体"/>
          <w:color w:val="auto"/>
          <w:szCs w:val="24"/>
        </w:rPr>
      </w:pPr>
      <w:r>
        <w:rPr>
          <w:rFonts w:hint="eastAsia" w:ascii="宋体" w:hAnsi="宋体"/>
          <w:bCs/>
          <w:color w:val="auto"/>
          <w:szCs w:val="24"/>
        </w:rPr>
        <w:t>报警定义：</w:t>
      </w:r>
      <w:r>
        <w:rPr>
          <w:rFonts w:hint="eastAsia" w:ascii="宋体" w:hAnsi="宋体"/>
          <w:color w:val="auto"/>
          <w:szCs w:val="24"/>
        </w:rPr>
        <w:t>用户应可对报警的</w:t>
      </w:r>
      <w:r>
        <w:rPr>
          <w:rFonts w:ascii="宋体" w:hAnsi="宋体"/>
          <w:color w:val="auto"/>
          <w:szCs w:val="24"/>
        </w:rPr>
        <w:t>测</w:t>
      </w:r>
      <w:r>
        <w:rPr>
          <w:rFonts w:hint="eastAsia" w:ascii="宋体" w:hAnsi="宋体"/>
          <w:color w:val="auto"/>
          <w:szCs w:val="24"/>
        </w:rPr>
        <w:t>点设置报警规则。报警规则应包括报警名称、</w:t>
      </w:r>
      <w:r>
        <w:rPr>
          <w:rFonts w:ascii="宋体" w:hAnsi="宋体"/>
          <w:color w:val="auto"/>
          <w:szCs w:val="24"/>
        </w:rPr>
        <w:t>解除方法</w:t>
      </w:r>
      <w:r>
        <w:rPr>
          <w:rFonts w:hint="eastAsia" w:ascii="宋体" w:hAnsi="宋体"/>
          <w:color w:val="auto"/>
          <w:szCs w:val="24"/>
        </w:rPr>
        <w:t>、报警等级、</w:t>
      </w:r>
      <w:r>
        <w:rPr>
          <w:rFonts w:ascii="宋体" w:hAnsi="宋体"/>
          <w:color w:val="auto"/>
          <w:szCs w:val="24"/>
        </w:rPr>
        <w:t>触发时间、测点</w:t>
      </w:r>
      <w:r>
        <w:rPr>
          <w:rFonts w:hint="eastAsia" w:ascii="宋体" w:hAnsi="宋体"/>
          <w:color w:val="auto"/>
          <w:szCs w:val="24"/>
        </w:rPr>
        <w:t>和触发报警阈值范围等。</w:t>
      </w:r>
      <w:r>
        <w:rPr>
          <w:rFonts w:ascii="宋体" w:hAnsi="宋体"/>
          <w:color w:val="auto"/>
          <w:szCs w:val="24"/>
        </w:rPr>
        <w:t>同时可以</w:t>
      </w:r>
      <w:r>
        <w:rPr>
          <w:rFonts w:hint="eastAsia" w:ascii="宋体" w:hAnsi="宋体"/>
          <w:color w:val="auto"/>
          <w:szCs w:val="24"/>
        </w:rPr>
        <w:t>显示已有的报警</w:t>
      </w:r>
      <w:r>
        <w:rPr>
          <w:rFonts w:ascii="宋体" w:hAnsi="宋体"/>
          <w:color w:val="auto"/>
          <w:szCs w:val="24"/>
        </w:rPr>
        <w:t>订阅</w:t>
      </w:r>
      <w:r>
        <w:rPr>
          <w:rFonts w:hint="eastAsia" w:ascii="宋体" w:hAnsi="宋体"/>
          <w:color w:val="auto"/>
          <w:szCs w:val="24"/>
        </w:rPr>
        <w:t>记录。</w:t>
      </w:r>
    </w:p>
    <w:p>
      <w:pPr>
        <w:pStyle w:val="29"/>
        <w:ind w:firstLine="472"/>
        <w:rPr>
          <w:rFonts w:ascii="宋体" w:hAnsi="宋体"/>
          <w:bCs/>
          <w:color w:val="auto"/>
          <w:szCs w:val="24"/>
        </w:rPr>
      </w:pPr>
      <w:bookmarkStart w:id="169" w:name="_Toc484504689"/>
      <w:bookmarkEnd w:id="169"/>
      <w:bookmarkStart w:id="170" w:name="_Toc485373325"/>
      <w:r>
        <w:rPr>
          <w:rFonts w:hint="eastAsia" w:ascii="宋体" w:hAnsi="宋体"/>
          <w:bCs/>
          <w:color w:val="auto"/>
          <w:szCs w:val="24"/>
        </w:rPr>
        <w:t>报警订阅</w:t>
      </w:r>
      <w:bookmarkEnd w:id="170"/>
      <w:r>
        <w:rPr>
          <w:rFonts w:hint="eastAsia" w:ascii="宋体" w:hAnsi="宋体"/>
          <w:bCs/>
          <w:color w:val="auto"/>
          <w:szCs w:val="24"/>
        </w:rPr>
        <w:t>：</w:t>
      </w:r>
      <w:r>
        <w:rPr>
          <w:rFonts w:hint="eastAsia" w:ascii="宋体" w:hAnsi="宋体"/>
          <w:color w:val="auto"/>
          <w:szCs w:val="24"/>
        </w:rPr>
        <w:t>系统应能单独设置报警订阅信息，指定在定义的某报警发生时，推送给相应人员</w:t>
      </w:r>
      <w:r>
        <w:rPr>
          <w:rFonts w:ascii="宋体" w:hAnsi="宋体"/>
          <w:color w:val="auto"/>
          <w:szCs w:val="24"/>
        </w:rPr>
        <w:t>，</w:t>
      </w:r>
      <w:r>
        <w:rPr>
          <w:rFonts w:hint="eastAsia" w:ascii="宋体" w:hAnsi="宋体"/>
          <w:color w:val="auto"/>
          <w:szCs w:val="24"/>
        </w:rPr>
        <w:t>并能设置接收方式</w:t>
      </w:r>
      <w:r>
        <w:rPr>
          <w:rFonts w:ascii="宋体" w:hAnsi="宋体"/>
          <w:color w:val="auto"/>
          <w:szCs w:val="24"/>
        </w:rPr>
        <w:t>（</w:t>
      </w:r>
      <w:r>
        <w:rPr>
          <w:rFonts w:hint="eastAsia" w:ascii="宋体" w:hAnsi="宋体"/>
          <w:color w:val="auto"/>
          <w:szCs w:val="24"/>
        </w:rPr>
        <w:t>应支持微信企业号推送</w:t>
      </w:r>
      <w:r>
        <w:rPr>
          <w:rFonts w:ascii="宋体" w:hAnsi="宋体"/>
          <w:color w:val="auto"/>
          <w:szCs w:val="24"/>
        </w:rPr>
        <w:t>、在线消息）</w:t>
      </w:r>
      <w:r>
        <w:rPr>
          <w:rFonts w:hint="eastAsia" w:ascii="宋体" w:hAnsi="宋体"/>
          <w:color w:val="auto"/>
          <w:szCs w:val="24"/>
        </w:rPr>
        <w:t>、推送频率和延迟推送时间，以及是否同步接</w:t>
      </w:r>
      <w:r>
        <w:rPr>
          <w:rFonts w:ascii="宋体" w:hAnsi="宋体"/>
          <w:color w:val="auto"/>
          <w:szCs w:val="24"/>
        </w:rPr>
        <w:t>收</w:t>
      </w:r>
      <w:r>
        <w:rPr>
          <w:rFonts w:hint="eastAsia" w:ascii="宋体" w:hAnsi="宋体"/>
          <w:color w:val="auto"/>
          <w:szCs w:val="24"/>
        </w:rPr>
        <w:t>报警解除消息。</w:t>
      </w:r>
    </w:p>
    <w:p>
      <w:pPr>
        <w:pStyle w:val="29"/>
        <w:ind w:firstLine="472"/>
        <w:rPr>
          <w:rFonts w:ascii="宋体" w:hAnsi="宋体"/>
          <w:bCs/>
          <w:color w:val="auto"/>
          <w:szCs w:val="24"/>
        </w:rPr>
      </w:pPr>
      <w:bookmarkStart w:id="171" w:name="_Toc484504686"/>
      <w:bookmarkEnd w:id="171"/>
      <w:bookmarkStart w:id="172" w:name="_Toc485373322"/>
      <w:r>
        <w:rPr>
          <w:rFonts w:ascii="宋体" w:hAnsi="宋体"/>
          <w:bCs/>
          <w:color w:val="auto"/>
          <w:szCs w:val="24"/>
        </w:rPr>
        <w:t>历史</w:t>
      </w:r>
      <w:bookmarkEnd w:id="172"/>
      <w:r>
        <w:rPr>
          <w:rFonts w:hint="eastAsia" w:ascii="宋体" w:hAnsi="宋体"/>
          <w:bCs/>
          <w:color w:val="auto"/>
          <w:szCs w:val="24"/>
        </w:rPr>
        <w:t>报警：</w:t>
      </w:r>
      <w:r>
        <w:rPr>
          <w:rFonts w:hint="eastAsia" w:ascii="宋体" w:hAnsi="宋体"/>
          <w:color w:val="auto"/>
          <w:szCs w:val="24"/>
        </w:rPr>
        <w:t>应能</w:t>
      </w:r>
      <w:r>
        <w:rPr>
          <w:rFonts w:ascii="宋体" w:hAnsi="宋体"/>
          <w:color w:val="auto"/>
          <w:szCs w:val="24"/>
        </w:rPr>
        <w:t>展示</w:t>
      </w:r>
      <w:r>
        <w:rPr>
          <w:rFonts w:hint="eastAsia" w:ascii="宋体" w:hAnsi="宋体"/>
          <w:color w:val="auto"/>
          <w:szCs w:val="24"/>
        </w:rPr>
        <w:t>当前登录用户所有订阅过</w:t>
      </w:r>
      <w:r>
        <w:rPr>
          <w:rFonts w:ascii="宋体" w:hAnsi="宋体"/>
          <w:color w:val="auto"/>
          <w:szCs w:val="24"/>
        </w:rPr>
        <w:t>的</w:t>
      </w:r>
      <w:r>
        <w:rPr>
          <w:rFonts w:hint="eastAsia" w:ascii="宋体" w:hAnsi="宋体"/>
          <w:color w:val="auto"/>
          <w:szCs w:val="24"/>
        </w:rPr>
        <w:t>报警信息，系统能根据</w:t>
      </w:r>
      <w:r>
        <w:rPr>
          <w:rFonts w:ascii="宋体" w:hAnsi="宋体"/>
          <w:color w:val="auto"/>
          <w:szCs w:val="24"/>
        </w:rPr>
        <w:t>工艺位置</w:t>
      </w:r>
      <w:r>
        <w:rPr>
          <w:rFonts w:hint="eastAsia" w:ascii="宋体" w:hAnsi="宋体"/>
          <w:color w:val="auto"/>
          <w:szCs w:val="24"/>
        </w:rPr>
        <w:t>、</w:t>
      </w:r>
      <w:r>
        <w:rPr>
          <w:rFonts w:ascii="宋体" w:hAnsi="宋体"/>
          <w:color w:val="auto"/>
          <w:szCs w:val="24"/>
        </w:rPr>
        <w:t>解除</w:t>
      </w:r>
      <w:r>
        <w:rPr>
          <w:rFonts w:hint="eastAsia" w:ascii="宋体" w:hAnsi="宋体"/>
          <w:color w:val="auto"/>
          <w:szCs w:val="24"/>
        </w:rPr>
        <w:t>状态、解除方式、报警等级和发生时间区间以及报警名称进行</w:t>
      </w:r>
      <w:r>
        <w:rPr>
          <w:rFonts w:ascii="宋体" w:hAnsi="宋体"/>
          <w:color w:val="auto"/>
          <w:szCs w:val="24"/>
        </w:rPr>
        <w:t>过滤</w:t>
      </w:r>
      <w:r>
        <w:rPr>
          <w:rFonts w:hint="eastAsia" w:ascii="宋体" w:hAnsi="宋体"/>
          <w:color w:val="auto"/>
          <w:szCs w:val="24"/>
        </w:rPr>
        <w:t>查询。</w:t>
      </w:r>
    </w:p>
    <w:p>
      <w:pPr>
        <w:pStyle w:val="29"/>
        <w:ind w:firstLine="472"/>
        <w:rPr>
          <w:color w:val="auto"/>
        </w:rPr>
      </w:pPr>
      <w:bookmarkStart w:id="173" w:name="_Toc32958748"/>
      <w:r>
        <w:rPr>
          <w:color w:val="auto"/>
        </w:rPr>
        <w:t>视频管理</w:t>
      </w:r>
      <w:bookmarkEnd w:id="173"/>
    </w:p>
    <w:p>
      <w:pPr>
        <w:pStyle w:val="29"/>
        <w:ind w:firstLine="472"/>
        <w:rPr>
          <w:rFonts w:ascii="宋体" w:hAnsi="宋体"/>
          <w:color w:val="auto"/>
          <w:szCs w:val="24"/>
        </w:rPr>
      </w:pPr>
      <w:r>
        <w:rPr>
          <w:rFonts w:hint="eastAsia" w:ascii="宋体" w:hAnsi="宋体"/>
          <w:color w:val="auto"/>
          <w:szCs w:val="24"/>
        </w:rPr>
        <w:t>平台要求能查看现场的实时视频监控和视频抓拍画面。实时视频监控方便管理和运维人员远程掌握现场实时情况。方便远程查看实时监控视频掌握现场运行情况，了解报警发生时设备现场画面。</w:t>
      </w:r>
    </w:p>
    <w:p>
      <w:pPr>
        <w:pStyle w:val="29"/>
        <w:ind w:firstLine="472"/>
        <w:rPr>
          <w:color w:val="auto"/>
        </w:rPr>
      </w:pPr>
      <w:bookmarkStart w:id="174" w:name="_Toc32958749"/>
      <w:r>
        <w:rPr>
          <w:color w:val="auto"/>
        </w:rPr>
        <w:t>报表管理</w:t>
      </w:r>
      <w:bookmarkEnd w:id="174"/>
    </w:p>
    <w:p>
      <w:pPr>
        <w:pStyle w:val="29"/>
        <w:ind w:firstLine="472"/>
        <w:rPr>
          <w:rFonts w:ascii="宋体" w:hAnsi="宋体"/>
          <w:color w:val="auto"/>
          <w:szCs w:val="24"/>
        </w:rPr>
      </w:pPr>
      <w:r>
        <w:rPr>
          <w:rFonts w:hint="eastAsia" w:ascii="宋体" w:hAnsi="宋体"/>
          <w:color w:val="auto"/>
          <w:szCs w:val="24"/>
        </w:rPr>
        <w:t>应能够实现以实时的生产数据和历史数据集合为基础，通过基于数据项的数据汇总计算，生成各类系统管理报表。支持报表结构自定义、报表定制自动生成、报表历史修改记录批注、报表全格式导出等功能。</w:t>
      </w:r>
      <w:bookmarkStart w:id="175" w:name="_Toc32958750"/>
      <w:bookmarkEnd w:id="175"/>
    </w:p>
    <w:p>
      <w:pPr>
        <w:pStyle w:val="29"/>
        <w:ind w:firstLine="474"/>
        <w:rPr>
          <w:b/>
          <w:bCs/>
          <w:color w:val="auto"/>
        </w:rPr>
      </w:pPr>
      <w:bookmarkStart w:id="176" w:name="_Toc535929356"/>
      <w:bookmarkEnd w:id="176"/>
      <w:bookmarkStart w:id="177" w:name="_Toc535929401"/>
      <w:bookmarkEnd w:id="177"/>
      <w:bookmarkStart w:id="178" w:name="_Toc535929355"/>
      <w:bookmarkEnd w:id="178"/>
      <w:bookmarkStart w:id="179" w:name="_Toc32958739"/>
      <w:bookmarkEnd w:id="179"/>
      <w:bookmarkStart w:id="180" w:name="_Toc32958751"/>
      <w:bookmarkEnd w:id="180"/>
      <w:bookmarkStart w:id="181" w:name="_指标管理"/>
      <w:bookmarkEnd w:id="181"/>
      <w:bookmarkStart w:id="182" w:name="_Toc32958740"/>
      <w:bookmarkEnd w:id="182"/>
      <w:bookmarkStart w:id="183" w:name="_Toc32958737"/>
      <w:bookmarkEnd w:id="183"/>
      <w:bookmarkStart w:id="184" w:name="_Toc535929357"/>
      <w:bookmarkEnd w:id="184"/>
      <w:bookmarkStart w:id="185" w:name="_视频管理"/>
      <w:bookmarkEnd w:id="185"/>
      <w:bookmarkStart w:id="186" w:name="_Toc32958741"/>
      <w:bookmarkEnd w:id="186"/>
      <w:bookmarkStart w:id="187" w:name="_Toc500425681"/>
      <w:bookmarkEnd w:id="187"/>
      <w:bookmarkStart w:id="188" w:name="_Toc32958742"/>
      <w:bookmarkEnd w:id="188"/>
      <w:bookmarkStart w:id="189" w:name="_Toc535929358"/>
      <w:bookmarkEnd w:id="189"/>
      <w:bookmarkStart w:id="190" w:name="_Toc512342121"/>
      <w:bookmarkEnd w:id="190"/>
      <w:bookmarkStart w:id="191" w:name="_Toc116823581"/>
      <w:bookmarkStart w:id="192" w:name="_Hlk12825377"/>
      <w:r>
        <w:rPr>
          <w:b/>
          <w:bCs/>
          <w:color w:val="auto"/>
        </w:rPr>
        <w:t>设备</w:t>
      </w:r>
      <w:r>
        <w:rPr>
          <w:rFonts w:hint="eastAsia"/>
          <w:b/>
          <w:bCs/>
          <w:color w:val="auto"/>
        </w:rPr>
        <w:t>全生命周期</w:t>
      </w:r>
      <w:r>
        <w:rPr>
          <w:b/>
          <w:bCs/>
          <w:color w:val="auto"/>
        </w:rPr>
        <w:t>管理</w:t>
      </w:r>
      <w:bookmarkEnd w:id="191"/>
      <w:bookmarkEnd w:id="192"/>
    </w:p>
    <w:p>
      <w:pPr>
        <w:pStyle w:val="29"/>
        <w:ind w:firstLine="472"/>
        <w:rPr>
          <w:color w:val="auto"/>
        </w:rPr>
      </w:pPr>
      <w:bookmarkStart w:id="193" w:name="_Toc32958752"/>
      <w:bookmarkEnd w:id="193"/>
      <w:r>
        <w:rPr>
          <w:color w:val="auto"/>
        </w:rPr>
        <w:t>设备档案管理</w:t>
      </w:r>
    </w:p>
    <w:p>
      <w:pPr>
        <w:pStyle w:val="29"/>
        <w:ind w:firstLine="472"/>
        <w:rPr>
          <w:color w:val="auto"/>
        </w:rPr>
      </w:pPr>
      <w:r>
        <w:rPr>
          <w:color w:val="auto"/>
        </w:rPr>
        <w:t>台账管理</w:t>
      </w:r>
    </w:p>
    <w:p>
      <w:pPr>
        <w:pStyle w:val="29"/>
        <w:ind w:firstLine="472"/>
        <w:rPr>
          <w:rFonts w:ascii="宋体" w:hAnsi="宋体"/>
          <w:color w:val="auto"/>
          <w:szCs w:val="24"/>
        </w:rPr>
      </w:pPr>
      <w:r>
        <w:rPr>
          <w:rFonts w:hint="eastAsia" w:ascii="宋体" w:hAnsi="宋体"/>
          <w:color w:val="auto"/>
          <w:szCs w:val="24"/>
        </w:rPr>
        <w:t>系统应支持的设备信息包括设备台帐</w:t>
      </w:r>
      <w:r>
        <w:rPr>
          <w:rFonts w:ascii="宋体" w:hAnsi="宋体"/>
          <w:color w:val="auto"/>
          <w:szCs w:val="24"/>
        </w:rPr>
        <w:t>信息</w:t>
      </w:r>
      <w:r>
        <w:rPr>
          <w:rFonts w:hint="eastAsia" w:ascii="宋体" w:hAnsi="宋体"/>
          <w:color w:val="auto"/>
          <w:szCs w:val="24"/>
        </w:rPr>
        <w:t>、设备</w:t>
      </w:r>
      <w:r>
        <w:rPr>
          <w:rFonts w:ascii="宋体" w:hAnsi="宋体"/>
          <w:color w:val="auto"/>
          <w:szCs w:val="24"/>
        </w:rPr>
        <w:t>参数</w:t>
      </w:r>
      <w:r>
        <w:rPr>
          <w:rFonts w:hint="eastAsia" w:ascii="宋体" w:hAnsi="宋体"/>
          <w:color w:val="auto"/>
          <w:szCs w:val="24"/>
        </w:rPr>
        <w:t>、设备备件信息、</w:t>
      </w:r>
      <w:r>
        <w:rPr>
          <w:rFonts w:ascii="宋体" w:hAnsi="宋体"/>
          <w:color w:val="auto"/>
          <w:szCs w:val="24"/>
        </w:rPr>
        <w:t>和</w:t>
      </w:r>
      <w:r>
        <w:rPr>
          <w:rFonts w:hint="eastAsia" w:ascii="宋体" w:hAnsi="宋体"/>
          <w:color w:val="auto"/>
          <w:szCs w:val="24"/>
        </w:rPr>
        <w:t>设备</w:t>
      </w:r>
      <w:r>
        <w:rPr>
          <w:rFonts w:ascii="宋体" w:hAnsi="宋体"/>
          <w:color w:val="auto"/>
          <w:szCs w:val="24"/>
        </w:rPr>
        <w:t>相关</w:t>
      </w:r>
      <w:r>
        <w:rPr>
          <w:rFonts w:hint="eastAsia" w:ascii="宋体" w:hAnsi="宋体"/>
          <w:color w:val="auto"/>
          <w:szCs w:val="24"/>
        </w:rPr>
        <w:t>的周期任务</w:t>
      </w:r>
      <w:r>
        <w:rPr>
          <w:rFonts w:ascii="宋体" w:hAnsi="宋体"/>
          <w:color w:val="auto"/>
          <w:szCs w:val="24"/>
        </w:rPr>
        <w:t>记录</w:t>
      </w:r>
      <w:r>
        <w:rPr>
          <w:rFonts w:hint="eastAsia" w:ascii="宋体" w:hAnsi="宋体"/>
          <w:color w:val="auto"/>
          <w:szCs w:val="24"/>
        </w:rPr>
        <w:t>、设备参与计算的KPI、</w:t>
      </w:r>
      <w:r>
        <w:rPr>
          <w:rFonts w:ascii="宋体" w:hAnsi="宋体"/>
          <w:color w:val="auto"/>
          <w:szCs w:val="24"/>
        </w:rPr>
        <w:t>供应商</w:t>
      </w:r>
      <w:r>
        <w:rPr>
          <w:rFonts w:hint="eastAsia" w:ascii="宋体" w:hAnsi="宋体"/>
          <w:color w:val="auto"/>
          <w:szCs w:val="24"/>
        </w:rPr>
        <w:t>信息、</w:t>
      </w:r>
      <w:r>
        <w:rPr>
          <w:rFonts w:ascii="宋体" w:hAnsi="宋体"/>
          <w:color w:val="auto"/>
          <w:szCs w:val="24"/>
        </w:rPr>
        <w:t>相关资料</w:t>
      </w:r>
      <w:r>
        <w:rPr>
          <w:rFonts w:hint="eastAsia" w:ascii="宋体" w:hAnsi="宋体"/>
          <w:color w:val="auto"/>
          <w:szCs w:val="24"/>
        </w:rPr>
        <w:t>、</w:t>
      </w:r>
      <w:r>
        <w:rPr>
          <w:rFonts w:ascii="宋体" w:hAnsi="宋体"/>
          <w:color w:val="auto"/>
          <w:szCs w:val="24"/>
        </w:rPr>
        <w:t>设备图文</w:t>
      </w:r>
      <w:r>
        <w:rPr>
          <w:rFonts w:hint="eastAsia" w:ascii="宋体" w:hAnsi="宋体"/>
          <w:color w:val="auto"/>
          <w:szCs w:val="24"/>
        </w:rPr>
        <w:t>、</w:t>
      </w:r>
      <w:r>
        <w:rPr>
          <w:rFonts w:ascii="宋体" w:hAnsi="宋体"/>
          <w:color w:val="auto"/>
          <w:szCs w:val="24"/>
        </w:rPr>
        <w:t>备件信息</w:t>
      </w:r>
      <w:r>
        <w:rPr>
          <w:rFonts w:hint="eastAsia" w:ascii="宋体" w:hAnsi="宋体"/>
          <w:color w:val="auto"/>
          <w:szCs w:val="24"/>
        </w:rPr>
        <w:t>等内容。</w:t>
      </w:r>
    </w:p>
    <w:p>
      <w:pPr>
        <w:pStyle w:val="29"/>
        <w:ind w:firstLine="472"/>
        <w:rPr>
          <w:rFonts w:ascii="宋体" w:hAnsi="宋体"/>
          <w:color w:val="auto"/>
        </w:rPr>
      </w:pPr>
      <w:bookmarkStart w:id="194" w:name="_Ref535925717"/>
      <w:bookmarkEnd w:id="194"/>
      <w:r>
        <w:rPr>
          <w:rFonts w:ascii="宋体" w:hAnsi="宋体"/>
          <w:color w:val="auto"/>
        </w:rPr>
        <w:t>设备状态</w:t>
      </w:r>
    </w:p>
    <w:p>
      <w:pPr>
        <w:pStyle w:val="29"/>
        <w:ind w:firstLine="472"/>
        <w:rPr>
          <w:rFonts w:ascii="宋体" w:hAnsi="宋体"/>
          <w:color w:val="auto"/>
          <w:szCs w:val="24"/>
        </w:rPr>
      </w:pPr>
      <w:r>
        <w:rPr>
          <w:rFonts w:ascii="宋体" w:hAnsi="宋体"/>
          <w:color w:val="auto"/>
          <w:szCs w:val="24"/>
        </w:rPr>
        <w:t>设备状态</w:t>
      </w:r>
      <w:r>
        <w:rPr>
          <w:rFonts w:hint="eastAsia" w:ascii="宋体" w:hAnsi="宋体"/>
          <w:color w:val="auto"/>
          <w:szCs w:val="24"/>
        </w:rPr>
        <w:t>应</w:t>
      </w:r>
      <w:r>
        <w:rPr>
          <w:rFonts w:ascii="宋体" w:hAnsi="宋体"/>
          <w:color w:val="auto"/>
          <w:szCs w:val="24"/>
        </w:rPr>
        <w:t>支持查看设备设施的状态详情、相关测点、相关报警、缺陷历史、维修历史、保养历史。设备状态</w:t>
      </w:r>
      <w:r>
        <w:rPr>
          <w:rFonts w:hint="eastAsia" w:ascii="宋体" w:hAnsi="宋体"/>
          <w:color w:val="auto"/>
          <w:szCs w:val="24"/>
        </w:rPr>
        <w:t>应</w:t>
      </w:r>
      <w:r>
        <w:rPr>
          <w:rFonts w:ascii="宋体" w:hAnsi="宋体"/>
          <w:color w:val="auto"/>
          <w:szCs w:val="24"/>
        </w:rPr>
        <w:t>支持</w:t>
      </w:r>
      <w:r>
        <w:rPr>
          <w:rFonts w:hint="eastAsia" w:ascii="宋体" w:hAnsi="宋体"/>
          <w:color w:val="auto"/>
          <w:szCs w:val="24"/>
        </w:rPr>
        <w:t>定制输出</w:t>
      </w:r>
      <w:r>
        <w:rPr>
          <w:rFonts w:ascii="宋体" w:hAnsi="宋体"/>
          <w:color w:val="auto"/>
          <w:szCs w:val="24"/>
        </w:rPr>
        <w:t>二维码</w:t>
      </w:r>
      <w:r>
        <w:rPr>
          <w:rFonts w:hint="eastAsia" w:ascii="宋体" w:hAnsi="宋体"/>
          <w:color w:val="auto"/>
          <w:szCs w:val="24"/>
        </w:rPr>
        <w:t>，利用</w:t>
      </w:r>
      <w:r>
        <w:rPr>
          <w:rFonts w:ascii="宋体" w:hAnsi="宋体"/>
          <w:color w:val="auto"/>
          <w:szCs w:val="24"/>
        </w:rPr>
        <w:t>移动端</w:t>
      </w:r>
      <w:r>
        <w:rPr>
          <w:rFonts w:hint="eastAsia" w:ascii="宋体" w:hAnsi="宋体"/>
          <w:color w:val="auto"/>
          <w:szCs w:val="24"/>
        </w:rPr>
        <w:t>APP进行扫描可以快速获取设备</w:t>
      </w:r>
      <w:r>
        <w:rPr>
          <w:rFonts w:ascii="宋体" w:hAnsi="宋体"/>
          <w:color w:val="auto"/>
          <w:szCs w:val="24"/>
        </w:rPr>
        <w:t>名称</w:t>
      </w:r>
      <w:r>
        <w:rPr>
          <w:rFonts w:hint="eastAsia" w:ascii="宋体" w:hAnsi="宋体"/>
          <w:color w:val="auto"/>
          <w:szCs w:val="24"/>
        </w:rPr>
        <w:t>和设备编号。</w:t>
      </w:r>
    </w:p>
    <w:p>
      <w:pPr>
        <w:pStyle w:val="29"/>
        <w:ind w:firstLine="472"/>
        <w:rPr>
          <w:color w:val="auto"/>
        </w:rPr>
      </w:pPr>
      <w:bookmarkStart w:id="195" w:name="_Toc32958753"/>
      <w:bookmarkEnd w:id="195"/>
      <w:bookmarkStart w:id="196" w:name="_Toc535929365"/>
      <w:bookmarkEnd w:id="196"/>
      <w:bookmarkStart w:id="197" w:name="_Toc457751306"/>
      <w:bookmarkEnd w:id="197"/>
      <w:bookmarkStart w:id="198" w:name="_Toc457751305"/>
      <w:r>
        <w:rPr>
          <w:color w:val="auto"/>
        </w:rPr>
        <w:t>巡检管理</w:t>
      </w:r>
    </w:p>
    <w:p>
      <w:pPr>
        <w:pStyle w:val="29"/>
        <w:ind w:firstLine="472"/>
        <w:rPr>
          <w:rFonts w:ascii="宋体" w:hAnsi="宋体"/>
          <w:color w:val="auto"/>
          <w:szCs w:val="24"/>
        </w:rPr>
      </w:pPr>
      <w:r>
        <w:rPr>
          <w:rFonts w:hint="eastAsia" w:ascii="宋体" w:hAnsi="宋体"/>
          <w:color w:val="auto"/>
          <w:szCs w:val="24"/>
        </w:rPr>
        <w:t>巡检管理是一套加以制度化的、比较完善的科学管理方式。它要求按规定的检查周期和方法进行预防性检查。巡检管理应与本工程基于B</w:t>
      </w:r>
      <w:r>
        <w:rPr>
          <w:rFonts w:ascii="宋体" w:hAnsi="宋体"/>
          <w:color w:val="auto"/>
          <w:szCs w:val="24"/>
        </w:rPr>
        <w:t>IM</w:t>
      </w:r>
      <w:r>
        <w:rPr>
          <w:rFonts w:hint="eastAsia" w:ascii="宋体" w:hAnsi="宋体"/>
          <w:color w:val="auto"/>
          <w:szCs w:val="24"/>
        </w:rPr>
        <w:t>及室内定位的环控及安全管理系统相结合，巡检人员随身佩戴室内定位标签，并在生产巡检管理系统中能查看巡检点位及巡检轨迹，实现巡检工作的分析、统计及比对。</w:t>
      </w:r>
    </w:p>
    <w:p>
      <w:pPr>
        <w:pStyle w:val="29"/>
        <w:ind w:firstLine="472"/>
        <w:rPr>
          <w:rFonts w:ascii="宋体" w:hAnsi="宋体"/>
          <w:color w:val="auto"/>
          <w:szCs w:val="24"/>
        </w:rPr>
      </w:pPr>
      <w:r>
        <w:rPr>
          <w:rFonts w:hint="eastAsia" w:ascii="宋体" w:hAnsi="宋体"/>
          <w:color w:val="auto"/>
          <w:szCs w:val="24"/>
        </w:rPr>
        <w:t>（1）巡检计划</w:t>
      </w:r>
    </w:p>
    <w:p>
      <w:pPr>
        <w:pStyle w:val="29"/>
        <w:ind w:firstLine="472"/>
        <w:rPr>
          <w:rFonts w:ascii="宋体" w:hAnsi="宋体"/>
          <w:color w:val="auto"/>
          <w:szCs w:val="24"/>
        </w:rPr>
      </w:pPr>
      <w:r>
        <w:rPr>
          <w:rFonts w:hint="eastAsia" w:ascii="宋体" w:hAnsi="宋体"/>
          <w:color w:val="auto"/>
          <w:szCs w:val="24"/>
        </w:rPr>
        <w:t>为确保生产的长期平稳运行，系统应协助制定巡检计划，每月严格按照巡检计划进行巡检，落实好巡检任务。</w:t>
      </w:r>
    </w:p>
    <w:p>
      <w:pPr>
        <w:pStyle w:val="29"/>
        <w:ind w:firstLine="472"/>
        <w:rPr>
          <w:rFonts w:ascii="宋体" w:hAnsi="宋体"/>
          <w:color w:val="auto"/>
          <w:szCs w:val="24"/>
        </w:rPr>
      </w:pPr>
      <w:r>
        <w:rPr>
          <w:rFonts w:hint="eastAsia" w:ascii="宋体" w:hAnsi="宋体"/>
          <w:color w:val="auto"/>
          <w:szCs w:val="24"/>
        </w:rPr>
        <w:t>系统实现的功能应包括：</w:t>
      </w:r>
    </w:p>
    <w:p>
      <w:pPr>
        <w:pStyle w:val="29"/>
        <w:ind w:firstLine="472"/>
        <w:rPr>
          <w:rFonts w:ascii="宋体" w:hAnsi="宋体"/>
          <w:color w:val="auto"/>
          <w:szCs w:val="24"/>
        </w:rPr>
      </w:pPr>
      <w:r>
        <w:rPr>
          <w:rFonts w:hint="eastAsia" w:ascii="宋体" w:hAnsi="宋体"/>
          <w:color w:val="auto"/>
          <w:szCs w:val="24"/>
        </w:rPr>
        <w:t>–系统应支持制定巡检计划，自动下达任务。</w:t>
      </w:r>
    </w:p>
    <w:p>
      <w:pPr>
        <w:pStyle w:val="29"/>
        <w:ind w:firstLine="472"/>
        <w:rPr>
          <w:rFonts w:ascii="宋体" w:hAnsi="宋体"/>
          <w:color w:val="auto"/>
          <w:szCs w:val="24"/>
        </w:rPr>
      </w:pPr>
      <w:r>
        <w:rPr>
          <w:rFonts w:hint="eastAsia" w:ascii="宋体" w:hAnsi="宋体"/>
          <w:color w:val="auto"/>
          <w:szCs w:val="24"/>
        </w:rPr>
        <w:t>–任务开始之前能够提前通知。</w:t>
      </w:r>
    </w:p>
    <w:p>
      <w:pPr>
        <w:pStyle w:val="29"/>
        <w:ind w:firstLine="472"/>
        <w:rPr>
          <w:rFonts w:ascii="宋体" w:hAnsi="宋体"/>
          <w:color w:val="auto"/>
          <w:szCs w:val="24"/>
        </w:rPr>
      </w:pPr>
      <w:r>
        <w:rPr>
          <w:rFonts w:hint="eastAsia" w:ascii="宋体" w:hAnsi="宋体"/>
          <w:color w:val="auto"/>
          <w:szCs w:val="24"/>
        </w:rPr>
        <w:t>系统能针对不同的业务场景，提供不同的巡检计划，包括地图巡检与普通巡检。</w:t>
      </w:r>
    </w:p>
    <w:p>
      <w:pPr>
        <w:pStyle w:val="29"/>
        <w:ind w:firstLine="472"/>
        <w:rPr>
          <w:rFonts w:ascii="宋体" w:hAnsi="宋体"/>
          <w:color w:val="auto"/>
          <w:szCs w:val="24"/>
        </w:rPr>
      </w:pPr>
      <w:r>
        <w:rPr>
          <w:rFonts w:hint="eastAsia" w:ascii="宋体" w:hAnsi="宋体"/>
          <w:color w:val="auto"/>
          <w:szCs w:val="24"/>
        </w:rPr>
        <w:t>（2）巡检任务</w:t>
      </w:r>
    </w:p>
    <w:p>
      <w:pPr>
        <w:pStyle w:val="29"/>
        <w:ind w:firstLine="472"/>
        <w:rPr>
          <w:rFonts w:ascii="宋体" w:hAnsi="宋体"/>
          <w:color w:val="auto"/>
          <w:szCs w:val="24"/>
        </w:rPr>
      </w:pPr>
      <w:r>
        <w:rPr>
          <w:rFonts w:hint="eastAsia" w:ascii="宋体" w:hAnsi="宋体"/>
          <w:color w:val="auto"/>
          <w:szCs w:val="24"/>
        </w:rPr>
        <w:t>巡检任务下达后用户在移动端执行巡检任务，应包括普通巡检任务和地图巡检任务。</w:t>
      </w:r>
    </w:p>
    <w:p>
      <w:pPr>
        <w:pStyle w:val="29"/>
        <w:ind w:firstLine="472"/>
        <w:rPr>
          <w:rFonts w:ascii="宋体" w:hAnsi="宋体"/>
          <w:color w:val="auto"/>
          <w:szCs w:val="24"/>
        </w:rPr>
      </w:pPr>
      <w:r>
        <w:rPr>
          <w:rFonts w:hint="eastAsia" w:ascii="宋体" w:hAnsi="宋体"/>
          <w:color w:val="auto"/>
          <w:szCs w:val="24"/>
        </w:rPr>
        <w:t>（3）巡检统计</w:t>
      </w:r>
    </w:p>
    <w:p>
      <w:pPr>
        <w:pStyle w:val="29"/>
        <w:ind w:firstLine="472"/>
        <w:rPr>
          <w:rFonts w:ascii="宋体" w:hAnsi="宋体"/>
          <w:color w:val="auto"/>
          <w:szCs w:val="24"/>
        </w:rPr>
      </w:pPr>
      <w:r>
        <w:rPr>
          <w:rFonts w:hint="eastAsia" w:ascii="宋体" w:hAnsi="宋体"/>
          <w:color w:val="auto"/>
          <w:szCs w:val="24"/>
        </w:rPr>
        <w:t>系统应提供对巡检任务的报表统计，通过一览报表信息，能快速定位巡检任务的状态、巡检时间、巡检人、计划路线距离、实际路线距离以及巡检耗时等信息，应支持通过不同的时间段、巡检任务状态进行筛选。</w:t>
      </w:r>
    </w:p>
    <w:bookmarkEnd w:id="198"/>
    <w:p>
      <w:pPr>
        <w:pStyle w:val="29"/>
        <w:ind w:firstLine="472"/>
        <w:rPr>
          <w:color w:val="auto"/>
        </w:rPr>
      </w:pPr>
      <w:bookmarkStart w:id="199" w:name="_Toc32958754"/>
      <w:bookmarkEnd w:id="199"/>
      <w:bookmarkStart w:id="200" w:name="_Toc535929367"/>
      <w:bookmarkEnd w:id="200"/>
      <w:bookmarkStart w:id="201" w:name="_Toc32958755"/>
      <w:r>
        <w:rPr>
          <w:color w:val="auto"/>
        </w:rPr>
        <w:t>缺陷</w:t>
      </w:r>
      <w:r>
        <w:rPr>
          <w:rFonts w:hint="eastAsia"/>
          <w:color w:val="auto"/>
        </w:rPr>
        <w:t>管理</w:t>
      </w:r>
    </w:p>
    <w:p>
      <w:pPr>
        <w:pStyle w:val="29"/>
        <w:ind w:firstLine="472"/>
        <w:rPr>
          <w:rFonts w:ascii="宋体" w:hAnsi="宋体"/>
          <w:color w:val="auto"/>
          <w:szCs w:val="24"/>
          <w:lang w:val="zh-CN"/>
        </w:rPr>
      </w:pPr>
      <w:r>
        <w:rPr>
          <w:rFonts w:hint="eastAsia" w:ascii="宋体" w:hAnsi="宋体"/>
          <w:color w:val="auto"/>
          <w:szCs w:val="24"/>
          <w:lang w:val="zh-CN"/>
        </w:rPr>
        <w:t>当巡检人员在移动端巡检过程中或其他途径了解到设备缺陷信息时，要求能通过缺陷申报模块对设备的缺陷信息进行登记，包括设备的缺陷类型、设备信息、设备位置、严重程度、处理人，支持语音与文字信息备描述、现场拍照+视频录像记录上传等功能，多维度描述问题。登记完成后，形成对应的消缺任务，管理人员可将任务指派给相关在线人员，同时可跟踪消缺任务的处理情况及进度。</w:t>
      </w:r>
    </w:p>
    <w:p>
      <w:pPr>
        <w:pStyle w:val="29"/>
        <w:ind w:firstLine="472"/>
        <w:rPr>
          <w:color w:val="auto"/>
        </w:rPr>
      </w:pPr>
      <w:r>
        <w:rPr>
          <w:rFonts w:hint="eastAsia"/>
          <w:color w:val="auto"/>
        </w:rPr>
        <w:t>维修管理</w:t>
      </w:r>
      <w:bookmarkEnd w:id="201"/>
    </w:p>
    <w:p>
      <w:pPr>
        <w:pStyle w:val="29"/>
        <w:ind w:firstLine="472"/>
        <w:rPr>
          <w:rFonts w:ascii="宋体" w:hAnsi="宋体"/>
          <w:color w:val="auto"/>
          <w:szCs w:val="24"/>
        </w:rPr>
      </w:pPr>
      <w:r>
        <w:rPr>
          <w:rFonts w:hint="eastAsia" w:ascii="宋体" w:hAnsi="宋体"/>
          <w:color w:val="auto"/>
          <w:szCs w:val="24"/>
        </w:rPr>
        <w:t>要求能够实现对设施维护计划、日常巡检、日常维护、定期检测、特殊检测、大中修过程管理、大修备案、报废备案等设施维护业务，并实现对设施基本信息、状态信息、维护情况等数据的综合统计分析。</w:t>
      </w:r>
    </w:p>
    <w:p>
      <w:pPr>
        <w:pStyle w:val="29"/>
        <w:ind w:firstLine="472"/>
        <w:rPr>
          <w:rFonts w:ascii="宋体" w:hAnsi="宋体"/>
          <w:color w:val="auto"/>
        </w:rPr>
      </w:pPr>
      <w:r>
        <w:rPr>
          <w:rFonts w:ascii="宋体" w:hAnsi="宋体"/>
          <w:color w:val="auto"/>
        </w:rPr>
        <w:t>维修工单</w:t>
      </w:r>
    </w:p>
    <w:p>
      <w:pPr>
        <w:pStyle w:val="29"/>
        <w:ind w:firstLine="472"/>
        <w:rPr>
          <w:rFonts w:ascii="宋体" w:hAnsi="宋体"/>
          <w:color w:val="auto"/>
          <w:szCs w:val="24"/>
        </w:rPr>
      </w:pPr>
      <w:r>
        <w:rPr>
          <w:rFonts w:ascii="宋体" w:hAnsi="宋体"/>
          <w:color w:val="auto"/>
          <w:szCs w:val="24"/>
        </w:rPr>
        <w:t>在</w:t>
      </w:r>
      <w:r>
        <w:rPr>
          <w:rFonts w:hint="eastAsia" w:ascii="宋体" w:hAnsi="宋体"/>
          <w:color w:val="auto"/>
          <w:szCs w:val="24"/>
        </w:rPr>
        <w:t>巡检中发现的缺陷需要维修组负责，要求能够从</w:t>
      </w:r>
      <w:r>
        <w:rPr>
          <w:rFonts w:ascii="宋体" w:hAnsi="宋体"/>
          <w:color w:val="auto"/>
          <w:szCs w:val="24"/>
        </w:rPr>
        <w:t>缺陷申报</w:t>
      </w:r>
      <w:r>
        <w:rPr>
          <w:rFonts w:hint="eastAsia" w:ascii="宋体" w:hAnsi="宋体"/>
          <w:color w:val="auto"/>
          <w:szCs w:val="24"/>
        </w:rPr>
        <w:t>模块转维修工单模块，</w:t>
      </w:r>
      <w:r>
        <w:rPr>
          <w:rFonts w:ascii="宋体" w:hAnsi="宋体"/>
          <w:color w:val="auto"/>
          <w:szCs w:val="24"/>
        </w:rPr>
        <w:t>填写</w:t>
      </w:r>
      <w:r>
        <w:rPr>
          <w:rFonts w:hint="eastAsia" w:ascii="宋体" w:hAnsi="宋体"/>
          <w:color w:val="auto"/>
          <w:szCs w:val="24"/>
        </w:rPr>
        <w:t>维修的设备、维修时间、维修人及故障原因</w:t>
      </w:r>
      <w:r>
        <w:rPr>
          <w:rFonts w:ascii="宋体" w:hAnsi="宋体"/>
          <w:color w:val="auto"/>
          <w:szCs w:val="24"/>
        </w:rPr>
        <w:t>等</w:t>
      </w:r>
      <w:r>
        <w:rPr>
          <w:rFonts w:hint="eastAsia" w:ascii="宋体" w:hAnsi="宋体"/>
          <w:color w:val="auto"/>
          <w:szCs w:val="24"/>
        </w:rPr>
        <w:t>，提交申请后自动生成对应的维修工单</w:t>
      </w:r>
      <w:r>
        <w:rPr>
          <w:rFonts w:ascii="宋体" w:hAnsi="宋体"/>
          <w:color w:val="auto"/>
          <w:szCs w:val="24"/>
        </w:rPr>
        <w:t>。</w:t>
      </w:r>
    </w:p>
    <w:p>
      <w:pPr>
        <w:pStyle w:val="29"/>
        <w:ind w:firstLine="472"/>
        <w:rPr>
          <w:rFonts w:ascii="宋体" w:hAnsi="宋体"/>
          <w:color w:val="auto"/>
        </w:rPr>
      </w:pPr>
      <w:r>
        <w:rPr>
          <w:rFonts w:ascii="宋体" w:hAnsi="宋体"/>
          <w:color w:val="auto"/>
        </w:rPr>
        <w:t>维修统计</w:t>
      </w:r>
    </w:p>
    <w:p>
      <w:pPr>
        <w:pStyle w:val="29"/>
        <w:ind w:firstLine="472"/>
        <w:rPr>
          <w:rFonts w:ascii="宋体" w:hAnsi="宋体"/>
          <w:color w:val="auto"/>
          <w:szCs w:val="24"/>
        </w:rPr>
      </w:pPr>
      <w:bookmarkStart w:id="202" w:name="_Hlk525731683"/>
      <w:bookmarkEnd w:id="202"/>
      <w:r>
        <w:rPr>
          <w:rFonts w:hint="eastAsia" w:ascii="宋体" w:hAnsi="宋体"/>
          <w:color w:val="auto"/>
          <w:szCs w:val="24"/>
        </w:rPr>
        <w:t>对已生成的维修工单，系统要求跟踪工单的处理进度与完成情况，并将维修工单进行自动统计，应支持按区域或工艺段、时间区间、完成情况等条件对维修工单进行筛选统计。</w:t>
      </w:r>
    </w:p>
    <w:p>
      <w:pPr>
        <w:pStyle w:val="29"/>
        <w:ind w:firstLine="472"/>
        <w:rPr>
          <w:color w:val="auto"/>
        </w:rPr>
      </w:pPr>
      <w:bookmarkStart w:id="203" w:name="_Toc535929368"/>
      <w:bookmarkEnd w:id="203"/>
      <w:bookmarkStart w:id="204" w:name="_Toc32958756"/>
      <w:r>
        <w:rPr>
          <w:rFonts w:hint="eastAsia"/>
          <w:color w:val="auto"/>
        </w:rPr>
        <w:t>保养管理</w:t>
      </w:r>
      <w:bookmarkEnd w:id="204"/>
    </w:p>
    <w:p>
      <w:pPr>
        <w:pStyle w:val="29"/>
        <w:ind w:firstLine="472"/>
        <w:rPr>
          <w:rFonts w:ascii="宋体" w:hAnsi="宋体"/>
          <w:color w:val="auto"/>
          <w:szCs w:val="24"/>
        </w:rPr>
      </w:pPr>
      <w:r>
        <w:rPr>
          <w:rFonts w:hint="eastAsia" w:ascii="宋体" w:hAnsi="宋体"/>
          <w:color w:val="auto"/>
          <w:szCs w:val="24"/>
        </w:rPr>
        <w:t>系统要求能够追踪记录设备的全生命周期内各设备的养护、维修记录信息，设备维修养护管理功能包括：设备预防性维护和状态监测维护。</w:t>
      </w:r>
    </w:p>
    <w:p>
      <w:pPr>
        <w:pStyle w:val="29"/>
        <w:ind w:firstLine="472"/>
        <w:rPr>
          <w:rFonts w:ascii="宋体" w:hAnsi="宋体"/>
          <w:color w:val="auto"/>
        </w:rPr>
      </w:pPr>
      <w:bookmarkStart w:id="205" w:name="_Toc503904388"/>
      <w:bookmarkEnd w:id="205"/>
      <w:bookmarkStart w:id="206" w:name="_Toc87877344"/>
      <w:bookmarkEnd w:id="206"/>
      <w:bookmarkStart w:id="207" w:name="_Toc271485463"/>
      <w:bookmarkEnd w:id="207"/>
      <w:bookmarkStart w:id="208" w:name="_Toc512342106"/>
      <w:bookmarkEnd w:id="208"/>
      <w:bookmarkStart w:id="209" w:name="_Toc409106736"/>
      <w:bookmarkEnd w:id="209"/>
      <w:bookmarkStart w:id="210" w:name="_Toc177183353"/>
      <w:bookmarkEnd w:id="210"/>
      <w:bookmarkStart w:id="211" w:name="_Toc511601364"/>
      <w:bookmarkEnd w:id="211"/>
      <w:bookmarkStart w:id="212" w:name="_Toc271484752"/>
      <w:r>
        <w:rPr>
          <w:rFonts w:ascii="宋体" w:hAnsi="宋体"/>
          <w:color w:val="auto"/>
        </w:rPr>
        <w:t>保养计划</w:t>
      </w:r>
      <w:bookmarkEnd w:id="212"/>
    </w:p>
    <w:p>
      <w:pPr>
        <w:pStyle w:val="29"/>
        <w:ind w:firstLine="472"/>
        <w:rPr>
          <w:rFonts w:ascii="宋体" w:hAnsi="宋体"/>
          <w:color w:val="auto"/>
          <w:szCs w:val="24"/>
        </w:rPr>
      </w:pPr>
      <w:r>
        <w:rPr>
          <w:rFonts w:hint="eastAsia" w:ascii="宋体" w:hAnsi="宋体"/>
          <w:color w:val="auto"/>
          <w:szCs w:val="24"/>
        </w:rPr>
        <w:t>运维管理人员应提前在系统设定相关设备设施的保养计划，应包括保养项目名称、保养周期、开始和结束时间</w:t>
      </w:r>
      <w:r>
        <w:rPr>
          <w:rFonts w:ascii="宋体" w:hAnsi="宋体"/>
          <w:color w:val="auto"/>
          <w:szCs w:val="24"/>
        </w:rPr>
        <w:t>、</w:t>
      </w:r>
      <w:r>
        <w:rPr>
          <w:rFonts w:hint="eastAsia" w:ascii="宋体" w:hAnsi="宋体"/>
          <w:color w:val="auto"/>
          <w:szCs w:val="24"/>
        </w:rPr>
        <w:t>保养设备</w:t>
      </w:r>
      <w:r>
        <w:rPr>
          <w:rFonts w:ascii="宋体" w:hAnsi="宋体"/>
          <w:color w:val="auto"/>
          <w:szCs w:val="24"/>
        </w:rPr>
        <w:t>以及</w:t>
      </w:r>
      <w:r>
        <w:rPr>
          <w:rFonts w:hint="eastAsia" w:ascii="宋体" w:hAnsi="宋体"/>
          <w:color w:val="auto"/>
          <w:szCs w:val="24"/>
        </w:rPr>
        <w:t>需要保养的</w:t>
      </w:r>
      <w:r>
        <w:rPr>
          <w:rFonts w:ascii="宋体" w:hAnsi="宋体"/>
          <w:color w:val="auto"/>
          <w:szCs w:val="24"/>
        </w:rPr>
        <w:t>内容</w:t>
      </w:r>
      <w:r>
        <w:rPr>
          <w:rFonts w:hint="eastAsia" w:ascii="宋体" w:hAnsi="宋体"/>
          <w:color w:val="auto"/>
          <w:szCs w:val="24"/>
        </w:rPr>
        <w:t>等，应支持年计划、季度计划、月计划</w:t>
      </w:r>
      <w:r>
        <w:rPr>
          <w:rFonts w:ascii="宋体" w:hAnsi="宋体"/>
          <w:color w:val="auto"/>
          <w:szCs w:val="24"/>
        </w:rPr>
        <w:t>、</w:t>
      </w:r>
      <w:r>
        <w:rPr>
          <w:rFonts w:hint="eastAsia" w:ascii="宋体" w:hAnsi="宋体"/>
          <w:color w:val="auto"/>
          <w:szCs w:val="24"/>
        </w:rPr>
        <w:t>日计划，待计划设定</w:t>
      </w:r>
      <w:r>
        <w:rPr>
          <w:rFonts w:ascii="宋体" w:hAnsi="宋体"/>
          <w:color w:val="auto"/>
          <w:szCs w:val="24"/>
        </w:rPr>
        <w:t>完成</w:t>
      </w:r>
      <w:r>
        <w:rPr>
          <w:rFonts w:hint="eastAsia" w:ascii="宋体" w:hAnsi="宋体"/>
          <w:color w:val="auto"/>
          <w:szCs w:val="24"/>
        </w:rPr>
        <w:t>并</w:t>
      </w:r>
      <w:r>
        <w:rPr>
          <w:rFonts w:ascii="宋体" w:hAnsi="宋体"/>
          <w:color w:val="auto"/>
          <w:szCs w:val="24"/>
        </w:rPr>
        <w:t>生成</w:t>
      </w:r>
      <w:r>
        <w:rPr>
          <w:rFonts w:hint="eastAsia" w:ascii="宋体" w:hAnsi="宋体"/>
          <w:color w:val="auto"/>
          <w:szCs w:val="24"/>
        </w:rPr>
        <w:t>保养计划工单，能够</w:t>
      </w:r>
      <w:r>
        <w:rPr>
          <w:rFonts w:ascii="宋体" w:hAnsi="宋体"/>
          <w:color w:val="auto"/>
          <w:szCs w:val="24"/>
        </w:rPr>
        <w:t>手动分配</w:t>
      </w:r>
      <w:r>
        <w:rPr>
          <w:rFonts w:hint="eastAsia" w:ascii="宋体" w:hAnsi="宋体"/>
          <w:color w:val="auto"/>
          <w:szCs w:val="24"/>
        </w:rPr>
        <w:t>给执行人员</w:t>
      </w:r>
      <w:r>
        <w:rPr>
          <w:rFonts w:ascii="宋体" w:hAnsi="宋体"/>
          <w:color w:val="auto"/>
          <w:szCs w:val="24"/>
        </w:rPr>
        <w:t>，</w:t>
      </w:r>
      <w:r>
        <w:rPr>
          <w:rFonts w:hint="eastAsia" w:ascii="宋体" w:hAnsi="宋体"/>
          <w:color w:val="auto"/>
          <w:szCs w:val="24"/>
        </w:rPr>
        <w:t>也能够复制</w:t>
      </w:r>
      <w:r>
        <w:rPr>
          <w:rFonts w:ascii="宋体" w:hAnsi="宋体"/>
          <w:color w:val="auto"/>
          <w:szCs w:val="24"/>
        </w:rPr>
        <w:t>一条</w:t>
      </w:r>
      <w:r>
        <w:rPr>
          <w:rFonts w:hint="eastAsia" w:ascii="宋体" w:hAnsi="宋体"/>
          <w:color w:val="auto"/>
          <w:szCs w:val="24"/>
        </w:rPr>
        <w:t>内容一样的</w:t>
      </w:r>
      <w:r>
        <w:rPr>
          <w:rFonts w:ascii="宋体" w:hAnsi="宋体"/>
          <w:color w:val="auto"/>
          <w:szCs w:val="24"/>
        </w:rPr>
        <w:t>保养计划。</w:t>
      </w:r>
      <w:r>
        <w:rPr>
          <w:rFonts w:hint="eastAsia" w:ascii="宋体" w:hAnsi="宋体"/>
          <w:color w:val="auto"/>
          <w:szCs w:val="24"/>
        </w:rPr>
        <w:t>管理人员能够结合值班情况，将任务</w:t>
      </w:r>
      <w:r>
        <w:rPr>
          <w:rFonts w:ascii="宋体" w:hAnsi="宋体"/>
          <w:color w:val="auto"/>
          <w:szCs w:val="24"/>
        </w:rPr>
        <w:t>转派他人</w:t>
      </w:r>
      <w:r>
        <w:rPr>
          <w:rFonts w:hint="eastAsia" w:ascii="宋体" w:hAnsi="宋体"/>
          <w:color w:val="auto"/>
          <w:szCs w:val="24"/>
        </w:rPr>
        <w:t>。</w:t>
      </w:r>
    </w:p>
    <w:p>
      <w:pPr>
        <w:pStyle w:val="29"/>
        <w:ind w:firstLine="472"/>
        <w:rPr>
          <w:rFonts w:ascii="宋体" w:hAnsi="宋体"/>
          <w:color w:val="auto"/>
        </w:rPr>
      </w:pPr>
      <w:r>
        <w:rPr>
          <w:rFonts w:ascii="宋体" w:hAnsi="宋体"/>
          <w:color w:val="auto"/>
        </w:rPr>
        <w:t>保养统计</w:t>
      </w:r>
    </w:p>
    <w:p>
      <w:pPr>
        <w:pStyle w:val="29"/>
        <w:ind w:firstLine="472"/>
        <w:rPr>
          <w:rFonts w:ascii="宋体" w:hAnsi="宋体"/>
          <w:color w:val="auto"/>
          <w:szCs w:val="24"/>
        </w:rPr>
      </w:pPr>
      <w:r>
        <w:rPr>
          <w:rFonts w:hint="eastAsia" w:ascii="宋体" w:hAnsi="宋体"/>
          <w:color w:val="auto"/>
          <w:szCs w:val="24"/>
        </w:rPr>
        <w:t>在保养工作执行完成后，用户应能手动填写保养执行工单，可对保养过程中检修的项目、保养结果</w:t>
      </w:r>
      <w:r>
        <w:rPr>
          <w:rFonts w:ascii="宋体" w:hAnsi="宋体"/>
          <w:color w:val="auto"/>
          <w:szCs w:val="24"/>
        </w:rPr>
        <w:t>、</w:t>
      </w:r>
      <w:r>
        <w:rPr>
          <w:rFonts w:hint="eastAsia" w:ascii="宋体" w:hAnsi="宋体"/>
          <w:color w:val="auto"/>
          <w:szCs w:val="24"/>
        </w:rPr>
        <w:t>发现的缺陷等进行反馈与记录，完成工单。</w:t>
      </w:r>
    </w:p>
    <w:p>
      <w:pPr>
        <w:pStyle w:val="29"/>
        <w:ind w:firstLine="472"/>
        <w:rPr>
          <w:rFonts w:ascii="宋体" w:hAnsi="宋体"/>
          <w:color w:val="auto"/>
          <w:szCs w:val="24"/>
        </w:rPr>
      </w:pPr>
      <w:bookmarkStart w:id="213" w:name="_Hlk525733003"/>
      <w:bookmarkEnd w:id="213"/>
      <w:r>
        <w:rPr>
          <w:rFonts w:hint="eastAsia" w:ascii="宋体" w:hAnsi="宋体"/>
          <w:color w:val="auto"/>
          <w:szCs w:val="24"/>
        </w:rPr>
        <w:t>系统应提供保养工单涉及的保养结果进行相关统计，包括保养执行人员完成</w:t>
      </w:r>
      <w:r>
        <w:rPr>
          <w:rFonts w:ascii="宋体" w:hAnsi="宋体"/>
          <w:color w:val="auto"/>
          <w:szCs w:val="24"/>
        </w:rPr>
        <w:t>或逾期</w:t>
      </w:r>
      <w:r>
        <w:rPr>
          <w:rFonts w:hint="eastAsia" w:ascii="宋体" w:hAnsi="宋体"/>
          <w:color w:val="auto"/>
          <w:szCs w:val="24"/>
        </w:rPr>
        <w:t>的工单数量</w:t>
      </w:r>
      <w:r>
        <w:rPr>
          <w:rFonts w:ascii="宋体" w:hAnsi="宋体"/>
          <w:color w:val="auto"/>
          <w:szCs w:val="24"/>
        </w:rPr>
        <w:t>、</w:t>
      </w:r>
      <w:r>
        <w:rPr>
          <w:rFonts w:hint="eastAsia" w:ascii="宋体" w:hAnsi="宋体"/>
          <w:color w:val="auto"/>
          <w:szCs w:val="24"/>
        </w:rPr>
        <w:t>每项保养耗时等。</w:t>
      </w:r>
    </w:p>
    <w:p>
      <w:pPr>
        <w:pStyle w:val="29"/>
        <w:ind w:firstLine="472"/>
        <w:rPr>
          <w:color w:val="auto"/>
        </w:rPr>
      </w:pPr>
      <w:bookmarkStart w:id="214" w:name="_Ref535929050"/>
      <w:bookmarkEnd w:id="214"/>
      <w:bookmarkStart w:id="215" w:name="_Toc535929369"/>
      <w:bookmarkEnd w:id="215"/>
      <w:bookmarkStart w:id="216" w:name="_Ref535929047"/>
      <w:bookmarkEnd w:id="216"/>
      <w:bookmarkStart w:id="217" w:name="_Toc32958757"/>
      <w:r>
        <w:rPr>
          <w:color w:val="auto"/>
        </w:rPr>
        <w:t>库存管理</w:t>
      </w:r>
      <w:bookmarkEnd w:id="217"/>
    </w:p>
    <w:p>
      <w:pPr>
        <w:pStyle w:val="29"/>
        <w:ind w:firstLine="472"/>
        <w:rPr>
          <w:rFonts w:ascii="宋体" w:hAnsi="宋体"/>
          <w:color w:val="auto"/>
          <w:szCs w:val="24"/>
        </w:rPr>
      </w:pPr>
      <w:bookmarkStart w:id="218" w:name="_Toc32958758"/>
      <w:bookmarkEnd w:id="218"/>
      <w:bookmarkStart w:id="219" w:name="_Hlk528334527"/>
      <w:bookmarkEnd w:id="219"/>
      <w:bookmarkStart w:id="220" w:name="_Toc32958759"/>
      <w:bookmarkEnd w:id="220"/>
      <w:r>
        <w:rPr>
          <w:rFonts w:hint="eastAsia" w:ascii="宋体" w:hAnsi="宋体"/>
          <w:color w:val="auto"/>
          <w:szCs w:val="24"/>
        </w:rPr>
        <w:t>应</w:t>
      </w:r>
      <w:r>
        <w:rPr>
          <w:rFonts w:ascii="宋体" w:hAnsi="宋体"/>
          <w:color w:val="auto"/>
          <w:szCs w:val="24"/>
        </w:rPr>
        <w:t>支持</w:t>
      </w:r>
      <w:r>
        <w:rPr>
          <w:rFonts w:hint="eastAsia" w:ascii="宋体" w:hAnsi="宋体"/>
          <w:color w:val="auto"/>
          <w:szCs w:val="24"/>
        </w:rPr>
        <w:t>水厂</w:t>
      </w:r>
      <w:r>
        <w:rPr>
          <w:rFonts w:ascii="宋体" w:hAnsi="宋体"/>
          <w:color w:val="auto"/>
          <w:szCs w:val="24"/>
        </w:rPr>
        <w:t>库存管理要求，规范仓库、物料管理流程，对物料全生命周期信息进行科学管理，保证仓库日常管理工作正常进行；</w:t>
      </w:r>
      <w:r>
        <w:rPr>
          <w:rFonts w:hint="eastAsia" w:ascii="宋体" w:hAnsi="宋体"/>
          <w:color w:val="auto"/>
          <w:szCs w:val="24"/>
        </w:rPr>
        <w:t>该模块应包括入库管理、出库管理、调拨管理、盘点管理、库存调整、物料信息、物料类别、仓库信息等功能</w:t>
      </w:r>
      <w:r>
        <w:rPr>
          <w:rFonts w:ascii="宋体" w:hAnsi="宋体"/>
          <w:color w:val="auto"/>
          <w:szCs w:val="24"/>
        </w:rPr>
        <w:t>。</w:t>
      </w:r>
    </w:p>
    <w:p>
      <w:pPr>
        <w:pStyle w:val="29"/>
        <w:ind w:firstLine="474"/>
        <w:rPr>
          <w:b/>
          <w:bCs/>
          <w:color w:val="auto"/>
        </w:rPr>
      </w:pPr>
      <w:bookmarkStart w:id="221" w:name="_Toc116823582"/>
      <w:r>
        <w:rPr>
          <w:rFonts w:hint="eastAsia"/>
          <w:b/>
          <w:bCs/>
          <w:color w:val="auto"/>
        </w:rPr>
        <w:t>生产调度管理</w:t>
      </w:r>
      <w:bookmarkEnd w:id="221"/>
    </w:p>
    <w:p>
      <w:pPr>
        <w:pStyle w:val="29"/>
        <w:ind w:firstLine="472"/>
        <w:rPr>
          <w:color w:val="auto"/>
        </w:rPr>
      </w:pPr>
      <w:r>
        <w:rPr>
          <w:rFonts w:hint="eastAsia"/>
          <w:color w:val="auto"/>
        </w:rPr>
        <w:t>生产值班</w:t>
      </w:r>
      <w:r>
        <w:rPr>
          <w:color w:val="auto"/>
        </w:rPr>
        <w:t>管理</w:t>
      </w:r>
    </w:p>
    <w:p>
      <w:pPr>
        <w:pStyle w:val="29"/>
        <w:ind w:firstLine="472"/>
        <w:rPr>
          <w:rFonts w:ascii="宋体" w:hAnsi="宋体"/>
          <w:color w:val="auto"/>
          <w:szCs w:val="24"/>
        </w:rPr>
      </w:pPr>
      <w:r>
        <w:rPr>
          <w:rFonts w:hint="eastAsia" w:ascii="宋体" w:hAnsi="宋体"/>
          <w:color w:val="auto"/>
          <w:szCs w:val="24"/>
        </w:rPr>
        <w:t>应实现用户在中控室电脑端进行值班、交办、确认等无纸质化操作，便于在后期发现问题时及时方便的查阅值班的相关记录与信息，应包含排班计划/交接班日志/值班日志/值班统计等。</w:t>
      </w:r>
    </w:p>
    <w:p>
      <w:pPr>
        <w:pStyle w:val="29"/>
        <w:ind w:firstLine="472"/>
        <w:rPr>
          <w:color w:val="auto"/>
        </w:rPr>
      </w:pPr>
      <w:bookmarkStart w:id="222" w:name="_Toc32958768"/>
      <w:bookmarkEnd w:id="222"/>
      <w:bookmarkStart w:id="223" w:name="_Toc32958766"/>
      <w:bookmarkEnd w:id="223"/>
      <w:r>
        <w:rPr>
          <w:rFonts w:hint="eastAsia"/>
          <w:color w:val="auto"/>
        </w:rPr>
        <w:t>水厂KPI统计分析</w:t>
      </w:r>
    </w:p>
    <w:p>
      <w:pPr>
        <w:pStyle w:val="29"/>
        <w:ind w:firstLine="472"/>
        <w:rPr>
          <w:rFonts w:ascii="宋体" w:hAnsi="宋体"/>
          <w:color w:val="auto"/>
          <w:szCs w:val="24"/>
          <w:lang w:val="zh-CN"/>
        </w:rPr>
      </w:pPr>
      <w:r>
        <w:rPr>
          <w:rFonts w:hint="eastAsia" w:ascii="宋体" w:hAnsi="宋体"/>
          <w:color w:val="auto"/>
          <w:szCs w:val="24"/>
          <w:lang w:val="zh-CN"/>
        </w:rPr>
        <w:t>建立水厂运行关键绩效指标评估机制，从管理质量、能耗分析、设备运行效率、运行工艺参数等多个方面定期对水厂的运行管理状况进行综合性评定。通过信息系统，应用绩效评估指标体系，对水厂业务管理数据进行统计计算与评估分析。以多维度统计图表的方式展现绩效结果，识别自来水厂运行管理薄弱环节，为水厂运行管理优化提供丰富的数据展示企业门户和决策支持，使得管理者的决策更加综合、合理、可行，形成智能化、科学化决策，为全厂可视化、精细化、智慧化运营提供数据依据和强有力的支撑。</w:t>
      </w:r>
    </w:p>
    <w:p>
      <w:pPr>
        <w:pStyle w:val="29"/>
        <w:ind w:firstLine="472"/>
        <w:rPr>
          <w:color w:val="auto"/>
          <w:lang w:bidi="ar"/>
        </w:rPr>
      </w:pPr>
      <w:r>
        <w:rPr>
          <w:rFonts w:hint="eastAsia"/>
          <w:color w:val="auto"/>
          <w:lang w:bidi="ar"/>
        </w:rPr>
        <w:t>知识经验管理</w:t>
      </w:r>
    </w:p>
    <w:p>
      <w:pPr>
        <w:pStyle w:val="29"/>
        <w:ind w:firstLine="472"/>
        <w:rPr>
          <w:rFonts w:ascii="宋体" w:hAnsi="宋体"/>
          <w:color w:val="auto"/>
          <w:szCs w:val="24"/>
        </w:rPr>
      </w:pPr>
      <w:r>
        <w:rPr>
          <w:rFonts w:hint="eastAsia" w:ascii="宋体" w:hAnsi="宋体" w:cs="宋体"/>
          <w:color w:val="auto"/>
          <w:szCs w:val="24"/>
          <w:lang w:bidi="ar"/>
        </w:rPr>
        <w:t>知识经验管理是企业信息化建设组成部分，对企业的知识库进行科学管理，应实现对知识文档的自主管理、自主学习、自主扩散的功能，将原有零散的知识，统一有序管理，高度灵活的知识层级构造，快速智能的知识推荐，为企业的文化建设提供强有力的支撑，同时可作为风险预案，专家决策等基础架构，为用户的预警、决策提供了丰富的途径。应包括知识总览、文档管理、标签管理、我的知识等功能。</w:t>
      </w:r>
      <w:bookmarkStart w:id="224" w:name="_Toc29851461"/>
      <w:bookmarkEnd w:id="224"/>
      <w:bookmarkStart w:id="225" w:name="_Toc29850806"/>
      <w:bookmarkEnd w:id="225"/>
    </w:p>
    <w:p>
      <w:pPr>
        <w:pStyle w:val="29"/>
        <w:ind w:firstLine="472"/>
        <w:rPr>
          <w:color w:val="auto"/>
        </w:rPr>
      </w:pPr>
      <w:r>
        <w:rPr>
          <w:rFonts w:hint="eastAsia"/>
          <w:color w:val="auto"/>
        </w:rPr>
        <w:t>决策辅助管理</w:t>
      </w:r>
    </w:p>
    <w:p>
      <w:pPr>
        <w:pStyle w:val="29"/>
        <w:ind w:firstLine="472"/>
        <w:rPr>
          <w:rFonts w:ascii="宋体" w:hAnsi="宋体"/>
          <w:color w:val="auto"/>
          <w:szCs w:val="24"/>
          <w:lang w:val="zh-CN"/>
        </w:rPr>
      </w:pPr>
      <w:r>
        <w:rPr>
          <w:rFonts w:hint="eastAsia" w:ascii="宋体" w:hAnsi="宋体"/>
          <w:color w:val="auto"/>
          <w:szCs w:val="24"/>
          <w:lang w:val="zh-CN"/>
        </w:rPr>
        <w:t>对水厂工艺流程进行功能分类并归纳生产运行中的关键指标数据（KPI），应采用指标趋势变化、上下限阈值等方法进行规则定义，建立一套可人为定义的后台规则库，从而为决策支持服务提供丰富的知识库。关键指标数据的来源应包括现场采集数据、设备巡检数据、设备维修数据及设备缺陷数据。</w:t>
      </w:r>
    </w:p>
    <w:p>
      <w:pPr>
        <w:pStyle w:val="29"/>
        <w:ind w:firstLine="472"/>
        <w:rPr>
          <w:rFonts w:ascii="宋体" w:hAnsi="宋体"/>
          <w:color w:val="auto"/>
          <w:szCs w:val="24"/>
          <w:lang w:val="zh-CN"/>
        </w:rPr>
      </w:pPr>
      <w:r>
        <w:rPr>
          <w:rFonts w:hint="eastAsia" w:ascii="宋体" w:hAnsi="宋体"/>
          <w:color w:val="auto"/>
          <w:szCs w:val="24"/>
          <w:lang w:val="zh-CN"/>
        </w:rPr>
        <w:t>运营决策支持服务应以上述知识库为基础，不断进行后台的自动化、智能化推理计算，最终将分析结果和支持决策建议及时反馈给相关管理人员，帮助了解水厂工艺运行当前的风险情况，从而及时调整工艺参数和优化设备控制策略。</w:t>
      </w:r>
    </w:p>
    <w:p>
      <w:pPr>
        <w:pStyle w:val="29"/>
        <w:ind w:firstLine="472"/>
        <w:rPr>
          <w:color w:val="auto"/>
        </w:rPr>
      </w:pPr>
      <w:r>
        <w:rPr>
          <w:rFonts w:hint="eastAsia"/>
          <w:color w:val="auto"/>
        </w:rPr>
        <w:t>能耗管理</w:t>
      </w:r>
    </w:p>
    <w:p>
      <w:pPr>
        <w:pStyle w:val="29"/>
        <w:ind w:firstLine="472"/>
        <w:rPr>
          <w:rFonts w:ascii="宋体" w:hAnsi="宋体"/>
          <w:color w:val="auto"/>
          <w:szCs w:val="24"/>
        </w:rPr>
      </w:pPr>
      <w:r>
        <w:rPr>
          <w:rFonts w:hint="eastAsia" w:ascii="宋体" w:hAnsi="宋体"/>
          <w:color w:val="auto"/>
          <w:szCs w:val="24"/>
        </w:rPr>
        <w:t>系统可管理各类生产药剂使用记录，形成电子化台账，对电耗、水耗、药耗数据进行指标化管理，实现各类能耗的精细计量、实时监测和动态管控，达到精细化管理。</w:t>
      </w:r>
    </w:p>
    <w:p>
      <w:pPr>
        <w:pStyle w:val="29"/>
        <w:ind w:firstLine="472"/>
        <w:rPr>
          <w:color w:val="auto"/>
        </w:rPr>
      </w:pPr>
      <w:r>
        <w:rPr>
          <w:rFonts w:hint="eastAsia"/>
          <w:color w:val="auto"/>
        </w:rPr>
        <w:t>工作流引擎</w:t>
      </w:r>
    </w:p>
    <w:p>
      <w:pPr>
        <w:pStyle w:val="29"/>
        <w:ind w:firstLine="472"/>
        <w:rPr>
          <w:rFonts w:ascii="宋体" w:hAnsi="宋体"/>
          <w:color w:val="auto"/>
          <w:szCs w:val="24"/>
        </w:rPr>
      </w:pPr>
      <w:r>
        <w:rPr>
          <w:rFonts w:hint="eastAsia" w:ascii="宋体" w:hAnsi="宋体"/>
          <w:color w:val="auto"/>
          <w:szCs w:val="24"/>
        </w:rPr>
        <w:t>流程管理应包括水厂运维排班流程，设备巡检、维修流程和任务下达流程等；提供专业的工作流开发工具，支持流程自定义开发和表单定制，将流程管理结合到</w:t>
      </w:r>
      <w:r>
        <w:rPr>
          <w:rFonts w:hint="eastAsia" w:ascii="宋体" w:hAnsi="宋体"/>
          <w:color w:val="auto"/>
          <w:szCs w:val="24"/>
          <w:lang w:val="zh-CN"/>
        </w:rPr>
        <w:t>智慧水厂运营管理平台</w:t>
      </w:r>
      <w:r>
        <w:rPr>
          <w:rFonts w:hint="eastAsia" w:ascii="宋体" w:hAnsi="宋体"/>
          <w:color w:val="auto"/>
          <w:szCs w:val="24"/>
        </w:rPr>
        <w:t>中；实现对水厂运维排班流程，设备巡检、维修流程和任务下达流程的全过程监视。</w:t>
      </w:r>
    </w:p>
    <w:p>
      <w:pPr>
        <w:pStyle w:val="29"/>
        <w:ind w:firstLine="474"/>
        <w:rPr>
          <w:b/>
          <w:bCs/>
          <w:color w:val="auto"/>
        </w:rPr>
      </w:pPr>
      <w:bookmarkStart w:id="226" w:name="_Toc26194110"/>
      <w:bookmarkEnd w:id="226"/>
      <w:bookmarkStart w:id="227" w:name="_Toc32948638"/>
      <w:bookmarkEnd w:id="227"/>
      <w:bookmarkStart w:id="228" w:name="_Toc32958767"/>
      <w:bookmarkEnd w:id="228"/>
      <w:bookmarkStart w:id="229" w:name="_Toc32958765"/>
      <w:bookmarkEnd w:id="229"/>
      <w:bookmarkStart w:id="230" w:name="_Toc32948686"/>
      <w:bookmarkEnd w:id="230"/>
      <w:bookmarkStart w:id="231" w:name="_Toc32958761"/>
      <w:bookmarkEnd w:id="231"/>
      <w:bookmarkStart w:id="232" w:name="_Toc32948513"/>
      <w:bookmarkEnd w:id="232"/>
      <w:bookmarkStart w:id="233" w:name="_Toc32958760"/>
      <w:bookmarkEnd w:id="233"/>
      <w:bookmarkStart w:id="234" w:name="_Toc29850805"/>
      <w:bookmarkEnd w:id="234"/>
      <w:bookmarkStart w:id="235" w:name="_Toc29851460"/>
      <w:bookmarkEnd w:id="235"/>
      <w:bookmarkStart w:id="236" w:name="_Toc32958738"/>
      <w:bookmarkEnd w:id="236"/>
      <w:bookmarkStart w:id="237" w:name="_Toc116823583"/>
      <w:r>
        <w:rPr>
          <w:b/>
          <w:bCs/>
          <w:color w:val="auto"/>
        </w:rPr>
        <w:t>用户及权限管理</w:t>
      </w:r>
      <w:bookmarkEnd w:id="237"/>
    </w:p>
    <w:p>
      <w:pPr>
        <w:pStyle w:val="29"/>
        <w:ind w:firstLine="472"/>
        <w:rPr>
          <w:color w:val="auto"/>
        </w:rPr>
      </w:pPr>
      <w:r>
        <w:rPr>
          <w:rFonts w:hint="eastAsia"/>
          <w:color w:val="auto"/>
        </w:rPr>
        <w:t>系统管理员根据管理的需要，能对整个系统功能模块进行基本的管理、配置和控制，也能同时保证数据的安全性及灵活性。</w:t>
      </w:r>
      <w:r>
        <w:rPr>
          <w:color w:val="auto"/>
        </w:rPr>
        <w:t>系统权限管理功能</w:t>
      </w:r>
      <w:r>
        <w:rPr>
          <w:rFonts w:hint="eastAsia"/>
          <w:color w:val="auto"/>
        </w:rPr>
        <w:t>应</w:t>
      </w:r>
      <w:r>
        <w:rPr>
          <w:color w:val="auto"/>
        </w:rPr>
        <w:t>包括：</w:t>
      </w:r>
    </w:p>
    <w:p>
      <w:pPr>
        <w:pStyle w:val="29"/>
        <w:ind w:firstLine="472"/>
        <w:rPr>
          <w:color w:val="auto"/>
        </w:rPr>
      </w:pPr>
      <w:r>
        <w:rPr>
          <w:color w:val="auto"/>
        </w:rPr>
        <w:t>用户身份验证</w:t>
      </w:r>
    </w:p>
    <w:p>
      <w:pPr>
        <w:pStyle w:val="29"/>
        <w:ind w:firstLine="472"/>
        <w:rPr>
          <w:color w:val="auto"/>
        </w:rPr>
      </w:pPr>
      <w:r>
        <w:rPr>
          <w:color w:val="auto"/>
        </w:rPr>
        <w:t>系统</w:t>
      </w:r>
      <w:r>
        <w:rPr>
          <w:rFonts w:hint="eastAsia"/>
          <w:color w:val="auto"/>
        </w:rPr>
        <w:t>应</w:t>
      </w:r>
      <w:r>
        <w:rPr>
          <w:color w:val="auto"/>
        </w:rPr>
        <w:t>根据用户输入的用户信息，对用户的身份进行验证，只有系统设置此用户并且此用户拥有登录的权限，才可以登录系统。</w:t>
      </w:r>
    </w:p>
    <w:p>
      <w:pPr>
        <w:pStyle w:val="29"/>
        <w:ind w:firstLine="472"/>
        <w:rPr>
          <w:color w:val="auto"/>
        </w:rPr>
      </w:pPr>
      <w:r>
        <w:rPr>
          <w:color w:val="auto"/>
        </w:rPr>
        <w:t>为每个角色配置可使用的功能，以及每个功能</w:t>
      </w:r>
      <w:r>
        <w:rPr>
          <w:rFonts w:hint="eastAsia"/>
          <w:color w:val="auto"/>
        </w:rPr>
        <w:t>的</w:t>
      </w:r>
      <w:r>
        <w:rPr>
          <w:color w:val="auto"/>
        </w:rPr>
        <w:t>操作权限</w:t>
      </w:r>
    </w:p>
    <w:p>
      <w:pPr>
        <w:pStyle w:val="29"/>
        <w:ind w:firstLine="472"/>
        <w:rPr>
          <w:color w:val="auto"/>
        </w:rPr>
      </w:pPr>
      <w:r>
        <w:rPr>
          <w:rFonts w:hint="eastAsia"/>
          <w:color w:val="auto"/>
        </w:rPr>
        <w:t>要求能够</w:t>
      </w:r>
      <w:r>
        <w:rPr>
          <w:color w:val="auto"/>
        </w:rPr>
        <w:t>设置每个角色的可用菜单以及</w:t>
      </w:r>
      <w:r>
        <w:rPr>
          <w:rFonts w:hint="eastAsia"/>
          <w:color w:val="auto"/>
        </w:rPr>
        <w:t>菜单的操作权限，再</w:t>
      </w:r>
      <w:r>
        <w:rPr>
          <w:color w:val="auto"/>
        </w:rPr>
        <w:t>将</w:t>
      </w:r>
      <w:r>
        <w:rPr>
          <w:rFonts w:hint="eastAsia"/>
          <w:color w:val="auto"/>
        </w:rPr>
        <w:t>角色授权给用户</w:t>
      </w:r>
      <w:r>
        <w:rPr>
          <w:color w:val="auto"/>
        </w:rPr>
        <w:t>。</w:t>
      </w:r>
    </w:p>
    <w:p>
      <w:pPr>
        <w:pStyle w:val="29"/>
        <w:ind w:firstLine="472"/>
        <w:rPr>
          <w:color w:val="auto"/>
        </w:rPr>
      </w:pPr>
      <w:r>
        <w:rPr>
          <w:rFonts w:hint="eastAsia"/>
          <w:color w:val="auto"/>
        </w:rPr>
        <w:t>要求能够</w:t>
      </w:r>
      <w:r>
        <w:rPr>
          <w:color w:val="auto"/>
        </w:rPr>
        <w:t>精确控制用户可访问的模块、功能甚至细到每个按钮的使用。</w:t>
      </w:r>
    </w:p>
    <w:p>
      <w:pPr>
        <w:pStyle w:val="29"/>
        <w:ind w:firstLine="472"/>
        <w:rPr>
          <w:color w:val="auto"/>
        </w:rPr>
      </w:pPr>
      <w:r>
        <w:rPr>
          <w:rFonts w:hint="eastAsia"/>
          <w:color w:val="auto"/>
        </w:rPr>
        <w:t>应</w:t>
      </w:r>
      <w:r>
        <w:rPr>
          <w:color w:val="auto"/>
        </w:rPr>
        <w:t>支持用户自定义权限范围</w:t>
      </w:r>
      <w:r>
        <w:rPr>
          <w:rFonts w:hint="eastAsia"/>
          <w:color w:val="auto"/>
        </w:rPr>
        <w:t>。</w:t>
      </w:r>
    </w:p>
    <w:p>
      <w:pPr>
        <w:pStyle w:val="29"/>
        <w:ind w:firstLine="472"/>
        <w:rPr>
          <w:color w:val="auto"/>
        </w:rPr>
      </w:pPr>
      <w:r>
        <w:rPr>
          <w:color w:val="auto"/>
        </w:rPr>
        <w:t>系统对数据</w:t>
      </w:r>
      <w:r>
        <w:rPr>
          <w:rFonts w:hint="eastAsia"/>
          <w:color w:val="auto"/>
        </w:rPr>
        <w:t>权限</w:t>
      </w:r>
      <w:r>
        <w:rPr>
          <w:color w:val="auto"/>
        </w:rPr>
        <w:t>的</w:t>
      </w:r>
      <w:r>
        <w:rPr>
          <w:rFonts w:hint="eastAsia"/>
          <w:color w:val="auto"/>
        </w:rPr>
        <w:t>控制</w:t>
      </w:r>
    </w:p>
    <w:p>
      <w:pPr>
        <w:pStyle w:val="29"/>
        <w:ind w:firstLine="472"/>
        <w:rPr>
          <w:color w:val="auto"/>
        </w:rPr>
      </w:pPr>
      <w:r>
        <w:rPr>
          <w:rFonts w:hint="eastAsia"/>
          <w:color w:val="auto"/>
        </w:rPr>
        <w:t>要求</w:t>
      </w:r>
      <w:r>
        <w:rPr>
          <w:color w:val="auto"/>
        </w:rPr>
        <w:t>处</w:t>
      </w:r>
      <w:r>
        <w:rPr>
          <w:rFonts w:hint="eastAsia"/>
          <w:color w:val="auto"/>
        </w:rPr>
        <w:t>在不同组织的角色所</w:t>
      </w:r>
      <w:r>
        <w:rPr>
          <w:color w:val="auto"/>
        </w:rPr>
        <w:t>能</w:t>
      </w:r>
      <w:r>
        <w:rPr>
          <w:rFonts w:hint="eastAsia"/>
          <w:color w:val="auto"/>
        </w:rPr>
        <w:t>看到的</w:t>
      </w:r>
      <w:r>
        <w:rPr>
          <w:color w:val="auto"/>
        </w:rPr>
        <w:t>数据</w:t>
      </w:r>
      <w:r>
        <w:rPr>
          <w:rFonts w:hint="eastAsia"/>
          <w:color w:val="auto"/>
        </w:rPr>
        <w:t>不一样</w:t>
      </w:r>
      <w:r>
        <w:rPr>
          <w:color w:val="auto"/>
        </w:rPr>
        <w:t>。</w:t>
      </w:r>
    </w:p>
    <w:p>
      <w:pPr>
        <w:pStyle w:val="29"/>
        <w:ind w:firstLine="474"/>
        <w:rPr>
          <w:b/>
          <w:bCs/>
          <w:color w:val="auto"/>
        </w:rPr>
      </w:pPr>
      <w:bookmarkStart w:id="238" w:name="_Toc116823584"/>
      <w:r>
        <w:rPr>
          <w:rFonts w:hint="eastAsia"/>
          <w:b/>
          <w:bCs/>
          <w:color w:val="auto"/>
        </w:rPr>
        <w:t>智能应用</w:t>
      </w:r>
      <w:bookmarkEnd w:id="238"/>
    </w:p>
    <w:p>
      <w:pPr>
        <w:pStyle w:val="29"/>
        <w:ind w:firstLine="472"/>
        <w:rPr>
          <w:color w:val="auto"/>
        </w:rPr>
      </w:pPr>
      <w:r>
        <w:rPr>
          <w:rFonts w:hint="eastAsia"/>
          <w:color w:val="auto"/>
        </w:rPr>
        <w:t>智能AR</w:t>
      </w:r>
    </w:p>
    <w:p>
      <w:pPr>
        <w:pStyle w:val="29"/>
        <w:ind w:firstLine="472"/>
        <w:rPr>
          <w:rFonts w:ascii="宋体" w:hAnsi="宋体"/>
          <w:color w:val="auto"/>
          <w:szCs w:val="24"/>
          <w:lang w:val="zh-CN"/>
        </w:rPr>
      </w:pPr>
      <w:r>
        <w:rPr>
          <w:rFonts w:hint="eastAsia" w:ascii="宋体" w:hAnsi="宋体"/>
          <w:color w:val="auto"/>
          <w:szCs w:val="24"/>
          <w:lang w:val="zh-CN"/>
        </w:rPr>
        <w:t>移动应用应提供AR智能识别功能。通过增强现实AR技术对相机取景图智能识别出系统中已经录入的设备，针对识别出的设备提供设备的基本信息、跳转到设备报警详情页面、查看相关设备测点曲线、查看相关设备的未处理完成的缺陷工单和维修工单、提供设备缺陷上报直接入口、设备台帐信息入口、设备处理问题留言给指定人员等多样功能，提高了工作人员执行同一工作的方式多样性和工作效率。</w:t>
      </w:r>
    </w:p>
    <w:p>
      <w:pPr>
        <w:pStyle w:val="29"/>
        <w:ind w:firstLine="472"/>
        <w:rPr>
          <w:color w:val="auto"/>
        </w:rPr>
      </w:pPr>
      <w:r>
        <w:rPr>
          <w:rFonts w:hint="eastAsia"/>
          <w:color w:val="auto"/>
        </w:rPr>
        <w:t>智能AI助手</w:t>
      </w:r>
    </w:p>
    <w:p>
      <w:pPr>
        <w:pStyle w:val="29"/>
        <w:ind w:firstLine="472"/>
        <w:rPr>
          <w:rFonts w:ascii="宋体" w:hAnsi="宋体"/>
          <w:color w:val="auto"/>
          <w:szCs w:val="24"/>
          <w:lang w:val="zh-CN"/>
        </w:rPr>
      </w:pPr>
      <w:r>
        <w:rPr>
          <w:rFonts w:hint="eastAsia" w:ascii="宋体" w:hAnsi="宋体"/>
          <w:color w:val="auto"/>
          <w:szCs w:val="24"/>
          <w:lang w:val="zh-CN"/>
        </w:rPr>
        <w:t>AI助手，将人工智能（语音识别技术）融入普通音箱，让用户用声音搞定一切，快速的获取有用的数据和信息，应实现智能应答、智能控制和智能学习。</w:t>
      </w:r>
    </w:p>
    <w:p>
      <w:pPr>
        <w:pStyle w:val="29"/>
        <w:ind w:firstLine="472"/>
        <w:rPr>
          <w:rFonts w:ascii="宋体" w:hAnsi="宋体"/>
          <w:color w:val="auto"/>
          <w:szCs w:val="24"/>
          <w:lang w:val="zh-CN"/>
        </w:rPr>
      </w:pPr>
      <w:r>
        <w:rPr>
          <w:rFonts w:hint="eastAsia" w:ascii="宋体" w:hAnsi="宋体"/>
          <w:color w:val="auto"/>
          <w:szCs w:val="24"/>
          <w:lang w:val="zh-CN"/>
        </w:rPr>
        <w:t>用户可通过语音快速到达功能界面，包括：实时监管、趋势曲线、生产报表、报警列表、我的关注、设备台账、缺陷申报、维修管理、养护管理等功能。</w:t>
      </w:r>
    </w:p>
    <w:p>
      <w:pPr>
        <w:pStyle w:val="29"/>
        <w:ind w:firstLine="472"/>
        <w:rPr>
          <w:color w:val="auto"/>
        </w:rPr>
      </w:pPr>
      <w:bookmarkStart w:id="239" w:name="_Toc116823585"/>
      <w:r>
        <w:rPr>
          <w:rFonts w:hint="eastAsia"/>
          <w:color w:val="auto"/>
        </w:rPr>
        <w:t>移动A</w:t>
      </w:r>
      <w:r>
        <w:rPr>
          <w:color w:val="auto"/>
        </w:rPr>
        <w:t>PP</w:t>
      </w:r>
      <w:r>
        <w:rPr>
          <w:rFonts w:hint="eastAsia"/>
          <w:color w:val="auto"/>
        </w:rPr>
        <w:t>应用</w:t>
      </w:r>
      <w:bookmarkEnd w:id="239"/>
    </w:p>
    <w:p>
      <w:pPr>
        <w:pStyle w:val="29"/>
        <w:ind w:firstLine="472"/>
        <w:rPr>
          <w:rFonts w:ascii="宋体" w:hAnsi="宋体"/>
          <w:color w:val="auto"/>
          <w:szCs w:val="24"/>
          <w:lang w:val="zh-CN"/>
        </w:rPr>
      </w:pPr>
      <w:r>
        <w:rPr>
          <w:rFonts w:hint="eastAsia" w:ascii="宋体" w:hAnsi="宋体"/>
          <w:color w:val="auto"/>
          <w:szCs w:val="24"/>
          <w:lang w:val="zh-CN"/>
        </w:rPr>
        <w:t>平台应实现对设备设施在运行过程中的动态数据的实时监测，保证各级管理和操控人员在第一时间及时掌握运行状态；同时巡检/维修/养护人员可使用移动应用对设备设施现场进行巡检及维修养护，并可拍照上传，支持从移动端提交现场巡检异常信息。从巡检计划的制定到巡检任务的完成，以及后续巡检原因的分析和全部巡检任务的汇总统计，形成一个闭环管理流程。让管理人员充分应用移动+互联的管理手段，实现对分散式的高效管理。</w:t>
      </w:r>
    </w:p>
    <w:p>
      <w:pPr>
        <w:pStyle w:val="29"/>
        <w:ind w:firstLine="474"/>
        <w:rPr>
          <w:b/>
          <w:bCs/>
          <w:color w:val="auto"/>
        </w:rPr>
      </w:pPr>
      <w:bookmarkStart w:id="240" w:name="_Toc26194109"/>
      <w:bookmarkEnd w:id="240"/>
      <w:bookmarkStart w:id="241" w:name="_Toc32948560"/>
      <w:bookmarkEnd w:id="241"/>
      <w:bookmarkStart w:id="242" w:name="_Toc25071349"/>
      <w:bookmarkEnd w:id="242"/>
      <w:bookmarkStart w:id="243" w:name="_Toc32948685"/>
      <w:bookmarkEnd w:id="243"/>
      <w:bookmarkStart w:id="244" w:name="_Toc116823586"/>
      <w:bookmarkStart w:id="245" w:name="_Toc37200705"/>
      <w:bookmarkStart w:id="246" w:name="_Toc54955262"/>
      <w:r>
        <w:rPr>
          <w:rFonts w:hint="eastAsia"/>
          <w:b/>
          <w:bCs/>
          <w:color w:val="auto"/>
        </w:rPr>
        <w:t>（</w:t>
      </w:r>
      <w:r>
        <w:rPr>
          <w:b/>
          <w:bCs/>
          <w:color w:val="auto"/>
        </w:rPr>
        <w:t>6</w:t>
      </w:r>
      <w:r>
        <w:rPr>
          <w:rFonts w:hint="eastAsia"/>
          <w:b/>
          <w:bCs/>
          <w:color w:val="auto"/>
        </w:rPr>
        <w:t>）工业智能网关技术要求</w:t>
      </w:r>
      <w:bookmarkEnd w:id="244"/>
      <w:bookmarkEnd w:id="245"/>
      <w:bookmarkEnd w:id="246"/>
    </w:p>
    <w:p>
      <w:pPr>
        <w:pStyle w:val="29"/>
        <w:ind w:firstLine="472"/>
        <w:rPr>
          <w:color w:val="auto"/>
        </w:rPr>
      </w:pPr>
      <w:r>
        <w:rPr>
          <w:rFonts w:hint="eastAsia"/>
          <w:color w:val="auto"/>
        </w:rPr>
        <w:t>必须基于工业物联网架构进行设计，性能稳定、灵活性强的工业级设备，应采用嵌入式软硬件一体化结构，具有丰富的协议适配能力，支持海量多样化终端设备（如西门子PLC、ABPLC、施耐德PLC、三菱等）接入。内置云平台数据采集接口协议，数据采集（不限定设备采集协议）、输入输出控制、断电报警等功能，应能远程对网关进行接口配置、软件调试和维护。具体参数要求如下：</w:t>
      </w:r>
    </w:p>
    <w:p>
      <w:pPr>
        <w:pStyle w:val="29"/>
        <w:ind w:firstLine="472"/>
        <w:rPr>
          <w:color w:val="auto"/>
        </w:rPr>
      </w:pPr>
      <w:r>
        <w:rPr>
          <w:color w:val="auto"/>
        </w:rPr>
        <w:t>4</w:t>
      </w:r>
      <w:r>
        <w:rPr>
          <w:rFonts w:hint="eastAsia"/>
          <w:color w:val="auto"/>
        </w:rPr>
        <w:t>网</w:t>
      </w:r>
      <w:r>
        <w:rPr>
          <w:color w:val="auto"/>
        </w:rPr>
        <w:t>6</w:t>
      </w:r>
      <w:r>
        <w:rPr>
          <w:rFonts w:hint="eastAsia"/>
          <w:color w:val="auto"/>
        </w:rPr>
        <w:t>串</w:t>
      </w:r>
    </w:p>
    <w:p>
      <w:pPr>
        <w:pStyle w:val="29"/>
        <w:ind w:firstLine="472"/>
        <w:rPr>
          <w:color w:val="auto"/>
        </w:rPr>
      </w:pPr>
      <w:r>
        <w:rPr>
          <w:color w:val="auto"/>
        </w:rPr>
        <w:t>4G</w:t>
      </w:r>
      <w:r>
        <w:rPr>
          <w:rFonts w:hint="eastAsia"/>
          <w:color w:val="auto"/>
        </w:rPr>
        <w:t>存储</w:t>
      </w:r>
    </w:p>
    <w:p>
      <w:pPr>
        <w:pStyle w:val="29"/>
        <w:ind w:firstLine="472"/>
        <w:rPr>
          <w:color w:val="auto"/>
        </w:rPr>
      </w:pPr>
      <w:r>
        <w:rPr>
          <w:color w:val="auto"/>
        </w:rPr>
        <w:t>5000</w:t>
      </w:r>
      <w:r>
        <w:rPr>
          <w:rFonts w:hint="eastAsia"/>
          <w:color w:val="auto"/>
        </w:rPr>
        <w:t>点容量</w:t>
      </w:r>
    </w:p>
    <w:p>
      <w:pPr>
        <w:pStyle w:val="29"/>
        <w:ind w:firstLine="472"/>
        <w:rPr>
          <w:color w:val="auto"/>
        </w:rPr>
      </w:pPr>
      <w:r>
        <w:rPr>
          <w:color w:val="auto"/>
        </w:rPr>
        <w:t>24V</w:t>
      </w:r>
      <w:r>
        <w:rPr>
          <w:rFonts w:hint="eastAsia"/>
          <w:color w:val="auto"/>
        </w:rPr>
        <w:t>直流输入</w:t>
      </w:r>
    </w:p>
    <w:p>
      <w:pPr>
        <w:pStyle w:val="29"/>
        <w:ind w:firstLine="472"/>
        <w:rPr>
          <w:color w:val="auto"/>
        </w:rPr>
      </w:pPr>
      <w:r>
        <w:rPr>
          <w:rFonts w:hint="eastAsia"/>
          <w:color w:val="auto"/>
        </w:rPr>
        <w:t>导轨</w:t>
      </w:r>
      <w:r>
        <w:rPr>
          <w:color w:val="auto"/>
        </w:rPr>
        <w:t>/</w:t>
      </w:r>
      <w:r>
        <w:rPr>
          <w:rFonts w:hint="eastAsia"/>
          <w:color w:val="auto"/>
        </w:rPr>
        <w:t>壁挂式安装</w:t>
      </w:r>
    </w:p>
    <w:p>
      <w:pPr>
        <w:pStyle w:val="29"/>
        <w:ind w:firstLine="472"/>
        <w:rPr>
          <w:color w:val="auto"/>
          <w:spacing w:val="-3"/>
        </w:rPr>
      </w:pPr>
      <w:r>
        <w:rPr>
          <w:rFonts w:hint="eastAsia"/>
          <w:color w:val="auto"/>
        </w:rPr>
        <w:t>有线网络/GPRS/3G/4G</w:t>
      </w:r>
      <w:bookmarkEnd w:id="136"/>
    </w:p>
    <w:p>
      <w:pPr>
        <w:pStyle w:val="28"/>
        <w:spacing w:before="120" w:after="120"/>
        <w:rPr>
          <w:b/>
          <w:color w:val="auto"/>
        </w:rPr>
      </w:pPr>
      <w:bookmarkStart w:id="247" w:name="_Toc117181362"/>
      <w:r>
        <w:rPr>
          <w:rFonts w:hint="eastAsia"/>
          <w:b/>
          <w:color w:val="auto"/>
        </w:rPr>
        <w:t>防腐</w:t>
      </w:r>
      <w:r>
        <w:rPr>
          <w:b/>
          <w:color w:val="auto"/>
        </w:rPr>
        <w:t>的相关要求</w:t>
      </w:r>
      <w:bookmarkEnd w:id="247"/>
    </w:p>
    <w:p>
      <w:pPr>
        <w:pStyle w:val="49"/>
        <w:ind w:firstLine="480"/>
        <w:rPr>
          <w:rFonts w:ascii="宋体" w:hAnsi="宋体"/>
          <w:color w:val="auto"/>
          <w:szCs w:val="24"/>
        </w:rPr>
      </w:pPr>
      <w:r>
        <w:rPr>
          <w:rFonts w:hint="eastAsia" w:ascii="宋体" w:hAnsi="宋体"/>
          <w:color w:val="auto"/>
          <w:szCs w:val="24"/>
        </w:rPr>
        <w:t>现场气候和污水处理厂内的一般运行状况具有腐蚀性环境。承包商应特别注意，按照设计规定、设计图纸，以及经批准的生产厂家说明和设计图纸的要求选用防腐涂料并进行防护涂层的油漆。</w:t>
      </w:r>
    </w:p>
    <w:p>
      <w:pPr>
        <w:pStyle w:val="28"/>
        <w:spacing w:before="120" w:after="120"/>
        <w:rPr>
          <w:b/>
          <w:color w:val="auto"/>
        </w:rPr>
      </w:pPr>
      <w:bookmarkStart w:id="248" w:name="_Toc117181363"/>
      <w:r>
        <w:rPr>
          <w:rFonts w:hint="eastAsia"/>
          <w:b/>
          <w:color w:val="auto"/>
        </w:rPr>
        <w:t>备件</w:t>
      </w:r>
      <w:r>
        <w:rPr>
          <w:b/>
          <w:color w:val="auto"/>
        </w:rPr>
        <w:t>的相关要求</w:t>
      </w:r>
      <w:bookmarkEnd w:id="248"/>
    </w:p>
    <w:p>
      <w:pPr>
        <w:pStyle w:val="49"/>
        <w:ind w:firstLine="480"/>
        <w:rPr>
          <w:rFonts w:ascii="宋体" w:hAnsi="宋体"/>
          <w:color w:val="auto"/>
          <w:szCs w:val="24"/>
        </w:rPr>
      </w:pPr>
      <w:r>
        <w:rPr>
          <w:rFonts w:hint="eastAsia" w:ascii="宋体" w:hAnsi="宋体"/>
          <w:color w:val="auto"/>
          <w:szCs w:val="24"/>
        </w:rPr>
        <w:t>（1）承包商应提供制造厂家的随机备件表，并包含在其设备的报价中。</w:t>
      </w:r>
    </w:p>
    <w:p>
      <w:pPr>
        <w:pStyle w:val="49"/>
        <w:ind w:firstLine="480"/>
        <w:rPr>
          <w:rFonts w:ascii="宋体" w:hAnsi="宋体"/>
          <w:color w:val="auto"/>
          <w:szCs w:val="24"/>
        </w:rPr>
      </w:pPr>
      <w:r>
        <w:rPr>
          <w:rFonts w:hint="eastAsia" w:ascii="宋体" w:hAnsi="宋体"/>
          <w:color w:val="auto"/>
          <w:szCs w:val="24"/>
        </w:rPr>
        <w:t>（2）承包商应按备件清单所列的设备备件，逐一列出报价，计入总价。</w:t>
      </w:r>
    </w:p>
    <w:p>
      <w:pPr>
        <w:pStyle w:val="49"/>
        <w:ind w:firstLine="480"/>
        <w:rPr>
          <w:rFonts w:ascii="宋体" w:hAnsi="宋体"/>
          <w:color w:val="auto"/>
          <w:szCs w:val="24"/>
        </w:rPr>
      </w:pPr>
      <w:r>
        <w:rPr>
          <w:rFonts w:hint="eastAsia" w:ascii="宋体" w:hAnsi="宋体"/>
          <w:color w:val="auto"/>
          <w:szCs w:val="24"/>
        </w:rPr>
        <w:t>（3）承包商应提供设备推荐备品备件，逐一列出报价，供发包人选择，不计入总价。</w:t>
      </w:r>
    </w:p>
    <w:p>
      <w:pPr>
        <w:pStyle w:val="49"/>
        <w:ind w:firstLine="480"/>
        <w:rPr>
          <w:rFonts w:ascii="宋体" w:hAnsi="宋体"/>
          <w:color w:val="auto"/>
          <w:szCs w:val="24"/>
        </w:rPr>
      </w:pPr>
      <w:r>
        <w:rPr>
          <w:rFonts w:hint="eastAsia" w:ascii="宋体" w:hAnsi="宋体"/>
          <w:color w:val="auto"/>
          <w:szCs w:val="24"/>
        </w:rPr>
        <w:t>（4）三年备件的某些基本要求在技术规定具体部分列出。承包商编制备件一览表时，应根据所供设备设计对这些要求进行解释，必要时予以补充。</w:t>
      </w:r>
    </w:p>
    <w:p>
      <w:pPr>
        <w:pStyle w:val="49"/>
        <w:ind w:firstLine="480"/>
        <w:rPr>
          <w:rFonts w:ascii="宋体" w:hAnsi="宋体"/>
          <w:color w:val="auto"/>
          <w:szCs w:val="24"/>
        </w:rPr>
      </w:pPr>
      <w:r>
        <w:rPr>
          <w:rFonts w:hint="eastAsia" w:ascii="宋体" w:hAnsi="宋体"/>
          <w:color w:val="auto"/>
          <w:szCs w:val="24"/>
        </w:rPr>
        <w:t>（4）发包人有权在不改变单价的情况下变更备件数量。</w:t>
      </w:r>
    </w:p>
    <w:p>
      <w:pPr>
        <w:pStyle w:val="49"/>
        <w:ind w:firstLine="480"/>
        <w:rPr>
          <w:rFonts w:ascii="宋体" w:hAnsi="宋体"/>
          <w:color w:val="auto"/>
          <w:szCs w:val="24"/>
        </w:rPr>
      </w:pPr>
      <w:r>
        <w:rPr>
          <w:rFonts w:hint="eastAsia" w:ascii="宋体" w:hAnsi="宋体"/>
          <w:color w:val="auto"/>
          <w:szCs w:val="24"/>
        </w:rPr>
        <w:t>（5）备件应为新的，应与主要设备分开包装，置于专门设计、适于在规定环境条件下长时间保存而不受影响的包装袋或包装箱内。任何不能按照这种方式包装的部件应刷涂临时防护层防腐，并进行遮盖，避免机械损害。备件外包装上应清楚打印标识，所有部件都应标明名称和部件编号。只有建立了合适的贮存设施后，备件才能发货。</w:t>
      </w:r>
    </w:p>
    <w:p>
      <w:pPr>
        <w:spacing w:line="357" w:lineRule="auto"/>
        <w:ind w:left="120" w:right="120"/>
        <w:jc w:val="both"/>
        <w:rPr>
          <w:rFonts w:ascii="宋体" w:hAnsi="宋体" w:eastAsia="宋体" w:cs="宋体"/>
          <w:b/>
          <w:bCs/>
          <w:color w:val="auto"/>
          <w:sz w:val="32"/>
          <w:szCs w:val="32"/>
          <w:lang w:eastAsia="zh-CN"/>
        </w:rPr>
      </w:pPr>
    </w:p>
    <w:p>
      <w:pPr>
        <w:spacing w:line="360" w:lineRule="auto"/>
        <w:rPr>
          <w:rFonts w:ascii="Times New Roman" w:hAnsi="Times New Roman" w:cs="Times New Roman"/>
          <w:color w:val="auto"/>
          <w:sz w:val="28"/>
          <w:szCs w:val="28"/>
          <w:lang w:eastAsia="zh-CN"/>
        </w:rPr>
        <w:sectPr>
          <w:headerReference r:id="rId7" w:type="default"/>
          <w:footerReference r:id="rId8" w:type="default"/>
          <w:pgSz w:w="11910" w:h="16840"/>
          <w:pgMar w:top="1580" w:right="1560" w:bottom="280" w:left="1560" w:header="720" w:footer="720" w:gutter="0"/>
          <w:pgNumType w:start="1"/>
          <w:cols w:space="720" w:num="1"/>
        </w:sectPr>
      </w:pPr>
    </w:p>
    <w:p>
      <w:pPr>
        <w:pStyle w:val="32"/>
        <w:spacing w:before="120" w:after="120"/>
        <w:ind w:left="0"/>
        <w:rPr>
          <w:b/>
          <w:color w:val="auto"/>
        </w:rPr>
      </w:pPr>
      <w:bookmarkStart w:id="249" w:name="_Toc117181364"/>
      <w:r>
        <w:rPr>
          <w:b/>
          <w:color w:val="auto"/>
        </w:rPr>
        <w:t>污水处理厂技术要求</w:t>
      </w:r>
      <w:bookmarkEnd w:id="249"/>
    </w:p>
    <w:p>
      <w:pPr>
        <w:pStyle w:val="28"/>
        <w:spacing w:before="120" w:after="120"/>
        <w:rPr>
          <w:b/>
          <w:color w:val="auto"/>
        </w:rPr>
      </w:pPr>
      <w:bookmarkStart w:id="250" w:name="_Toc117181365"/>
      <w:r>
        <w:rPr>
          <w:b/>
          <w:color w:val="auto"/>
        </w:rPr>
        <w:t>机械设备的相关要求</w:t>
      </w:r>
      <w:bookmarkEnd w:id="250"/>
    </w:p>
    <w:p>
      <w:pPr>
        <w:pStyle w:val="30"/>
        <w:spacing w:before="120" w:after="120"/>
        <w:rPr>
          <w:color w:val="auto"/>
        </w:rPr>
      </w:pPr>
      <w:bookmarkStart w:id="251" w:name="_Toc117181366"/>
      <w:r>
        <w:rPr>
          <w:color w:val="auto"/>
        </w:rPr>
        <w:t>主要设备材料表</w:t>
      </w:r>
      <w:bookmarkEnd w:id="251"/>
    </w:p>
    <w:tbl>
      <w:tblPr>
        <w:tblStyle w:val="23"/>
        <w:tblW w:w="138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674"/>
        <w:gridCol w:w="1842"/>
        <w:gridCol w:w="3261"/>
        <w:gridCol w:w="708"/>
        <w:gridCol w:w="714"/>
        <w:gridCol w:w="2263"/>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blHeader/>
        </w:trPr>
        <w:tc>
          <w:tcPr>
            <w:tcW w:w="886" w:type="dxa"/>
            <w:shd w:val="clear" w:color="auto" w:fill="auto"/>
            <w:vAlign w:val="center"/>
          </w:tcPr>
          <w:p>
            <w:pPr>
              <w:spacing w:line="360" w:lineRule="auto"/>
              <w:rPr>
                <w:rFonts w:ascii="Times New Roman" w:hAnsi="Times New Roman" w:cs="Times New Roman"/>
                <w:b w:val="0"/>
                <w:bCs w:val="0"/>
                <w:color w:val="auto"/>
                <w:sz w:val="21"/>
                <w:szCs w:val="21"/>
              </w:rPr>
            </w:pPr>
            <w:bookmarkStart w:id="252" w:name="_Hlk116860575"/>
            <w:r>
              <w:rPr>
                <w:rFonts w:ascii="Times New Roman" w:hAnsi="Times New Roman" w:cs="Times New Roman"/>
                <w:b w:val="0"/>
                <w:bCs w:val="0"/>
                <w:color w:val="auto"/>
                <w:sz w:val="21"/>
                <w:szCs w:val="21"/>
              </w:rPr>
              <w:t>单体</w:t>
            </w: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序号</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名称</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规格</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单位</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数量</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备注</w:t>
            </w:r>
          </w:p>
        </w:tc>
        <w:tc>
          <w:tcPr>
            <w:tcW w:w="3544" w:type="dxa"/>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推荐品牌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restart"/>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粗格栅、进水泵房、细格栅及曝气沉砂池</w:t>
            </w: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钢丝绳牵引格栅除污机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渠宽1600mm，b=20mm，P=1.1+0.55kW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附密封罩</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华都琥珀</w:t>
            </w:r>
            <w:r>
              <w:rPr>
                <w:rFonts w:hint="eastAsia" w:ascii="Times New Roman" w:hAnsi="Times New Roman" w:cs="Times New Roman"/>
                <w:b w:val="0"/>
                <w:bCs w:val="0"/>
                <w:color w:val="auto"/>
                <w:sz w:val="21"/>
                <w:szCs w:val="21"/>
                <w:lang w:eastAsia="zh-CN"/>
              </w:rPr>
              <w:t>、</w:t>
            </w:r>
            <w:r>
              <w:rPr>
                <w:rFonts w:hint="eastAsia" w:ascii="Times New Roman" w:hAnsi="Times New Roman" w:cs="Times New Roman"/>
                <w:b w:val="0"/>
                <w:bCs w:val="0"/>
                <w:color w:val="auto"/>
                <w:sz w:val="21"/>
                <w:szCs w:val="21"/>
                <w:lang w:val="en-US" w:eastAsia="zh-CN"/>
              </w:rPr>
              <w:t>汉斯琥珀、</w:t>
            </w:r>
            <w:r>
              <w:rPr>
                <w:rFonts w:ascii="Times New Roman" w:hAnsi="Times New Roman" w:cs="Times New Roman"/>
                <w:b w:val="0"/>
                <w:bCs w:val="0"/>
                <w:color w:val="auto"/>
                <w:sz w:val="21"/>
                <w:szCs w:val="21"/>
                <w:lang w:eastAsia="zh-CN"/>
              </w:rPr>
              <w:t>新浪环保、江苏一环、新环环保、欧亚华都、江苏通环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皮带输送机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D=350mm，L=11.0m，P=1.5kW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华都琥珀</w:t>
            </w:r>
            <w:r>
              <w:rPr>
                <w:rFonts w:hint="eastAsia" w:ascii="Times New Roman" w:hAnsi="Times New Roman" w:cs="Times New Roman"/>
                <w:b w:val="0"/>
                <w:bCs w:val="0"/>
                <w:color w:val="auto"/>
                <w:sz w:val="21"/>
                <w:szCs w:val="21"/>
                <w:lang w:eastAsia="zh-CN"/>
              </w:rPr>
              <w:t>、</w:t>
            </w:r>
            <w:r>
              <w:rPr>
                <w:rFonts w:ascii="Times New Roman" w:hAnsi="Times New Roman" w:cs="Times New Roman"/>
                <w:b w:val="0"/>
                <w:bCs w:val="0"/>
                <w:color w:val="auto"/>
                <w:sz w:val="21"/>
                <w:szCs w:val="21"/>
                <w:lang w:eastAsia="zh-CN"/>
              </w:rPr>
              <w:t>新浪环保、江苏一环、新环环保、欧亚华都、江苏通环、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潜污泵</w:t>
            </w:r>
            <w:r>
              <w:rPr>
                <w:rFonts w:ascii="Times New Roman" w:hAnsi="Times New Roman" w:cs="Times New Roman"/>
                <w:b w:val="0"/>
                <w:bCs w:val="0"/>
                <w:color w:val="auto"/>
                <w:sz w:val="21"/>
                <w:szCs w:val="21"/>
                <w:lang w:eastAsia="zh-CN"/>
              </w:rPr>
              <w:t>（污水）</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Q=347L/s，H=6.5m，P=36kW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近期，1用，变频</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赛莱默、KSB、威乐、格兰富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潜污泵</w:t>
            </w:r>
            <w:r>
              <w:rPr>
                <w:rFonts w:ascii="Times New Roman" w:hAnsi="Times New Roman" w:cs="Times New Roman"/>
                <w:b w:val="0"/>
                <w:bCs w:val="0"/>
                <w:color w:val="auto"/>
                <w:sz w:val="21"/>
                <w:szCs w:val="21"/>
                <w:lang w:eastAsia="zh-CN"/>
              </w:rPr>
              <w:t>（污水）</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Q=579L/s，H=6.5m，P=61kW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近期，1用1备，变频</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赛莱默、KSB、威乐、格兰富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速闭式闸门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φ1500，P=2.2kW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配套一体化执行机构</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江苏天雨、江苏兆盛、无锡通用</w:t>
            </w:r>
            <w:r>
              <w:rPr>
                <w:rFonts w:hint="eastAsia" w:ascii="Times New Roman" w:hAnsi="Times New Roman" w:cs="Times New Roman"/>
                <w:b w:val="0"/>
                <w:bCs w:val="0"/>
                <w:color w:val="auto"/>
                <w:sz w:val="21"/>
                <w:szCs w:val="21"/>
                <w:lang w:eastAsia="zh-CN"/>
              </w:rPr>
              <w:t>、</w:t>
            </w:r>
            <w:r>
              <w:rPr>
                <w:rFonts w:ascii="Times New Roman" w:hAnsi="Times New Roman" w:cs="Times New Roman"/>
                <w:b w:val="0"/>
                <w:bCs w:val="0"/>
                <w:color w:val="auto"/>
                <w:sz w:val="21"/>
                <w:szCs w:val="21"/>
                <w:lang w:eastAsia="zh-CN"/>
              </w:rPr>
              <w:t>新浪环保、江苏一环、欧亚华都、中威环境、江苏通环、远大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电动单粱悬挂起重机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W=5T，S=5.7m，H=12m，P=7.5+2×0.4kW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hint="default" w:ascii="Times New Roman" w:hAnsi="Times New Roman" w:cs="Times New Roman"/>
                <w:b w:val="0"/>
                <w:bCs w:val="0"/>
                <w:color w:val="auto"/>
                <w:sz w:val="21"/>
                <w:szCs w:val="21"/>
                <w:lang w:val="en-US" w:eastAsia="zh-CN"/>
              </w:rPr>
            </w:pPr>
            <w:r>
              <w:rPr>
                <w:rFonts w:ascii="Times New Roman" w:hAnsi="Times New Roman" w:cs="Times New Roman"/>
                <w:b w:val="0"/>
                <w:bCs w:val="0"/>
                <w:color w:val="auto"/>
                <w:sz w:val="21"/>
                <w:szCs w:val="21"/>
                <w:lang w:eastAsia="zh-CN"/>
              </w:rPr>
              <w:t>华建重工、河南大方、河南纽科伦、河南矿山</w:t>
            </w:r>
            <w:r>
              <w:rPr>
                <w:rFonts w:hint="eastAsia" w:ascii="Times New Roman" w:hAnsi="Times New Roman" w:cs="Times New Roman"/>
                <w:b w:val="0"/>
                <w:bCs w:val="0"/>
                <w:color w:val="auto"/>
                <w:sz w:val="21"/>
                <w:szCs w:val="21"/>
                <w:lang w:eastAsia="zh-CN"/>
              </w:rPr>
              <w:t>、</w:t>
            </w:r>
            <w:r>
              <w:rPr>
                <w:rFonts w:hint="eastAsia" w:ascii="Times New Roman" w:hAnsi="Times New Roman" w:cs="Times New Roman"/>
                <w:b w:val="0"/>
                <w:bCs w:val="0"/>
                <w:color w:val="auto"/>
                <w:sz w:val="21"/>
                <w:szCs w:val="21"/>
                <w:lang w:val="en-US" w:eastAsia="zh-CN"/>
              </w:rPr>
              <w:t>河南卫华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电动铸铁闸门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φ1600，P=2.2kW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配套一体化执行机构</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新浪环保、江苏一环、欧亚华都、中威环境、江苏通环、远大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移动式自动抓斗</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B=1400，栅隙5mm，电机N1=2kW，液压泵N2=1.5kW，行走电机N3=0.37kW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hint="default" w:ascii="Times New Roman" w:hAnsi="Times New Roman" w:cs="Times New Roman"/>
                <w:b w:val="0"/>
                <w:bCs w:val="0"/>
                <w:color w:val="auto"/>
                <w:sz w:val="21"/>
                <w:szCs w:val="21"/>
                <w:lang w:val="en-US" w:eastAsia="zh-CN"/>
              </w:rPr>
            </w:pPr>
            <w:r>
              <w:rPr>
                <w:rFonts w:ascii="Times New Roman" w:hAnsi="Times New Roman" w:cs="Times New Roman"/>
                <w:b w:val="0"/>
                <w:bCs w:val="0"/>
                <w:color w:val="auto"/>
                <w:sz w:val="21"/>
                <w:szCs w:val="21"/>
                <w:lang w:eastAsia="zh-CN"/>
              </w:rPr>
              <w:t>江苏天雨、江苏兆盛、无锡通用、宜兴泉溪、江苏新浪</w:t>
            </w:r>
            <w:r>
              <w:rPr>
                <w:rFonts w:hint="eastAsia" w:ascii="Times New Roman" w:hAnsi="Times New Roman" w:cs="Times New Roman"/>
                <w:b w:val="0"/>
                <w:bCs w:val="0"/>
                <w:color w:val="auto"/>
                <w:sz w:val="21"/>
                <w:szCs w:val="21"/>
                <w:lang w:eastAsia="zh-CN"/>
              </w:rPr>
              <w:t>、</w:t>
            </w:r>
            <w:r>
              <w:rPr>
                <w:rFonts w:hint="eastAsia" w:ascii="Times New Roman" w:hAnsi="Times New Roman" w:cs="Times New Roman"/>
                <w:b w:val="0"/>
                <w:bCs w:val="0"/>
                <w:color w:val="auto"/>
                <w:sz w:val="21"/>
                <w:szCs w:val="21"/>
                <w:lang w:val="en-US" w:eastAsia="zh-CN"/>
              </w:rPr>
              <w:t>欧亚华都、江苏通环、江苏一环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9</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内进流细格栅</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3300m3/h</w:t>
            </w:r>
            <w:r>
              <w:rPr>
                <w:rFonts w:hint="eastAsia" w:ascii="Times New Roman" w:hAnsi="Times New Roman" w:cs="Times New Roman"/>
                <w:b w:val="0"/>
                <w:bCs w:val="0"/>
                <w:color w:val="auto"/>
                <w:sz w:val="21"/>
                <w:szCs w:val="21"/>
                <w:lang w:eastAsia="zh-CN"/>
              </w:rPr>
              <w:t>，</w:t>
            </w:r>
            <w:r>
              <w:rPr>
                <w:rFonts w:ascii="Times New Roman" w:hAnsi="Times New Roman" w:cs="Times New Roman"/>
                <w:b w:val="0"/>
                <w:bCs w:val="0"/>
                <w:color w:val="auto"/>
                <w:sz w:val="21"/>
                <w:szCs w:val="21"/>
                <w:lang w:eastAsia="zh-CN"/>
              </w:rPr>
              <w:t>孔径5mm，N=1.1kw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含溜槽，附密封罩</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苏尔寿、佰莱凯、汉斯琥珀、华都琥珀、欧亚华都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10</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螺旋压榨机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D=400mm，P=3kW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1用1备</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江苏天雨、江苏兆盛、无锡通用、宜兴泉溪、江苏新浪</w:t>
            </w:r>
            <w:r>
              <w:rPr>
                <w:rFonts w:hint="eastAsia" w:ascii="Times New Roman" w:hAnsi="Times New Roman" w:cs="Times New Roman"/>
                <w:b w:val="0"/>
                <w:bCs w:val="0"/>
                <w:color w:val="auto"/>
                <w:sz w:val="21"/>
                <w:szCs w:val="21"/>
                <w:lang w:eastAsia="zh-CN"/>
              </w:rPr>
              <w:t>、</w:t>
            </w:r>
            <w:r>
              <w:rPr>
                <w:rFonts w:hint="eastAsia" w:ascii="Times New Roman" w:hAnsi="Times New Roman" w:cs="Times New Roman"/>
                <w:b w:val="0"/>
                <w:bCs w:val="0"/>
                <w:color w:val="auto"/>
                <w:sz w:val="21"/>
                <w:szCs w:val="21"/>
                <w:lang w:val="en-US" w:eastAsia="zh-CN"/>
              </w:rPr>
              <w:t>欧亚华都、江苏通环、江苏一环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电动渠道闸门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B×H=800×1800，P=1.1kW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细格栅进水闸门，配套一体化执行机构</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新浪环保、江苏一环、欧亚华都、中威环境、江苏通环、远大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电动渠道闸门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B×H=1600mm×1600mm，P=2.2kW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细格栅出水闸门，配套一体化执行机构</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新浪环保、江苏一环、欧亚华都、中威环境、江苏通环、远大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电动渠道闸门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B×H=2000mm×1600mm，P=1.5kW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沉砂池进水闸门，配套一体化执行机构</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新浪环保、江苏一环、欧亚华都、中威环境、江苏通环、远大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电动渠道闸门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B×H=2000mm×1600mm，P=1.5kW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沉砂池出水闸门，配套一体化执行机构</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新浪环保、江苏一环、欧亚华都、中威环境、江苏通环、远大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电动铸铁闸门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φ800，P=1.5kW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配套一体化执行机构</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新浪环保、江苏一环、欧亚华都、中威环境、江苏通环、远大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罗茨风机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Q=800m³/h，H=49kpa，P=22kW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近期1用1备，配套隔声罩</w:t>
            </w:r>
          </w:p>
        </w:tc>
        <w:tc>
          <w:tcPr>
            <w:tcW w:w="3544" w:type="dxa"/>
            <w:vAlign w:val="center"/>
          </w:tcPr>
          <w:p>
            <w:pPr>
              <w:spacing w:line="360" w:lineRule="auto"/>
              <w:rPr>
                <w:rFonts w:hint="default"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eastAsia="zh-CN"/>
              </w:rPr>
              <w:t>ABS、西门子、德国科恩、</w:t>
            </w:r>
            <w:r>
              <w:rPr>
                <w:rFonts w:hint="eastAsia" w:ascii="Times New Roman" w:hAnsi="Times New Roman" w:cs="Times New Roman"/>
                <w:b w:val="0"/>
                <w:bCs w:val="0"/>
                <w:color w:val="auto"/>
                <w:sz w:val="21"/>
                <w:szCs w:val="21"/>
                <w:lang w:val="en-US" w:eastAsia="zh-CN"/>
              </w:rPr>
              <w:t>山东</w:t>
            </w:r>
            <w:r>
              <w:rPr>
                <w:rFonts w:hint="eastAsia" w:ascii="Times New Roman" w:hAnsi="Times New Roman" w:cs="Times New Roman"/>
                <w:b w:val="0"/>
                <w:bCs w:val="0"/>
                <w:color w:val="auto"/>
                <w:sz w:val="21"/>
                <w:szCs w:val="21"/>
                <w:lang w:eastAsia="zh-CN"/>
              </w:rPr>
              <w:t>章鼓、</w:t>
            </w:r>
            <w:r>
              <w:rPr>
                <w:rFonts w:hint="eastAsia" w:ascii="Times New Roman" w:hAnsi="Times New Roman" w:cs="Times New Roman"/>
                <w:b w:val="0"/>
                <w:bCs w:val="0"/>
                <w:color w:val="auto"/>
                <w:sz w:val="21"/>
                <w:szCs w:val="21"/>
                <w:lang w:val="en-US" w:eastAsia="zh-CN"/>
              </w:rPr>
              <w:t>山东三牛、百事德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砂水分离器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Q=43~72m³/h，N=0.55kW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新浪环保、江苏一环、欧亚华都、江苏通环、华都琥珀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恒压冲洗系统</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水泵3台，2用1备，Q=32m³/h，H=81m，N=3×13kW，恒压罐</w:t>
            </w:r>
            <w:r>
              <w:rPr>
                <w:rFonts w:ascii="Times New Roman" w:hAnsi="Times New Roman" w:cs="Times New Roman"/>
                <w:b w:val="0"/>
                <w:bCs w:val="0"/>
                <w:color w:val="auto"/>
                <w:sz w:val="21"/>
                <w:szCs w:val="21"/>
              </w:rPr>
              <w:t>φ</w:t>
            </w:r>
            <w:r>
              <w:rPr>
                <w:rFonts w:ascii="Times New Roman" w:hAnsi="Times New Roman" w:cs="Times New Roman"/>
                <w:b w:val="0"/>
                <w:bCs w:val="0"/>
                <w:color w:val="auto"/>
                <w:sz w:val="21"/>
                <w:szCs w:val="21"/>
                <w:lang w:eastAsia="zh-CN"/>
              </w:rPr>
              <w:t>=0.78m</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与细格栅成套供应</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赛莱默、KSB、威乐、格兰富、蓝深、荏原、上海驰泉、利欧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19</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垃圾桶</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V＞0.6m³</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只</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20</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电动铸铁闸门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B×H=1200×1200，P=2.2kW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配套一体化执行机构，双向受压</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新浪环保、江苏一环、欧亚华都、中威环境、江苏通环、远大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手动葫芦</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W=3T，H=6m</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hint="default" w:ascii="Times New Roman" w:hAnsi="Times New Roman" w:cs="Times New Roman"/>
                <w:b w:val="0"/>
                <w:bCs w:val="0"/>
                <w:color w:val="auto"/>
                <w:sz w:val="21"/>
                <w:szCs w:val="21"/>
                <w:lang w:val="en-US" w:eastAsia="zh-CN"/>
              </w:rPr>
            </w:pPr>
            <w:r>
              <w:rPr>
                <w:rFonts w:ascii="Times New Roman" w:hAnsi="Times New Roman" w:cs="Times New Roman"/>
                <w:b w:val="0"/>
                <w:bCs w:val="0"/>
                <w:color w:val="auto"/>
                <w:sz w:val="21"/>
                <w:szCs w:val="21"/>
                <w:lang w:eastAsia="zh-CN"/>
              </w:rPr>
              <w:t>华建重工、河南大方、河南纽科伦、河南矿山</w:t>
            </w:r>
            <w:r>
              <w:rPr>
                <w:rFonts w:hint="eastAsia" w:ascii="Times New Roman" w:hAnsi="Times New Roman" w:cs="Times New Roman"/>
                <w:b w:val="0"/>
                <w:bCs w:val="0"/>
                <w:color w:val="auto"/>
                <w:sz w:val="21"/>
                <w:szCs w:val="21"/>
                <w:lang w:eastAsia="zh-CN"/>
              </w:rPr>
              <w:t>、</w:t>
            </w:r>
            <w:r>
              <w:rPr>
                <w:rFonts w:hint="eastAsia" w:ascii="Times New Roman" w:hAnsi="Times New Roman" w:cs="Times New Roman"/>
                <w:b w:val="0"/>
                <w:bCs w:val="0"/>
                <w:color w:val="auto"/>
                <w:sz w:val="21"/>
                <w:szCs w:val="21"/>
                <w:lang w:val="en-US" w:eastAsia="zh-CN"/>
              </w:rPr>
              <w:t>河南卫华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砂泵</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Q=20l/s，H=7.0m，P=4kW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近期1用1备</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飞力、KBS、ABS、格兰富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链板刮砂机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B=1.0m，P=0.55kW，L=23m</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长度为参考</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新浪环保、江苏一环、欧亚华都、江苏通环、华都琥珀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电动旋转式撇渣机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DN350，P=0.55kW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江苏天雨、江苏兆盛、无锡通用、宜兴泉溪、江苏新浪</w:t>
            </w:r>
            <w:r>
              <w:rPr>
                <w:rFonts w:hint="eastAsia" w:ascii="Times New Roman" w:hAnsi="Times New Roman" w:cs="Times New Roman"/>
                <w:b w:val="0"/>
                <w:bCs w:val="0"/>
                <w:color w:val="auto"/>
                <w:sz w:val="21"/>
                <w:szCs w:val="21"/>
                <w:lang w:eastAsia="zh-CN"/>
              </w:rPr>
              <w:t>、</w:t>
            </w:r>
            <w:r>
              <w:rPr>
                <w:rFonts w:hint="eastAsia" w:ascii="Times New Roman" w:hAnsi="Times New Roman" w:cs="Times New Roman"/>
                <w:b w:val="0"/>
                <w:bCs w:val="0"/>
                <w:color w:val="auto"/>
                <w:sz w:val="21"/>
                <w:szCs w:val="21"/>
                <w:lang w:val="en-US" w:eastAsia="zh-CN"/>
              </w:rPr>
              <w:t>欧亚华都、江苏通环、江苏一环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止回阀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DN800，L=470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只</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电动蝶阀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DN800，L=190，P=1.5kW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只</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6</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电动启闭装置采用德国欧玛（AUMA）、英国罗托克（ROTORK）、德国西博思(SIPOS)等相同或优于该品牌的产品，阀体采用上海标一、上海良工、佛山永泉、天津瓦特斯、远大、河南上碟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电动葫芦</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W=3T，H=6m，P=0.4+0.4kW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广州起重机械有限公司、广州泰克力起重机有限公司、广东永通起重机械实业有限公司、河南省矿山起重机械有限公司</w:t>
            </w:r>
            <w:r>
              <w:rPr>
                <w:rFonts w:hint="eastAsia" w:ascii="Times New Roman" w:hAnsi="Times New Roman" w:cs="Times New Roman"/>
                <w:b w:val="0"/>
                <w:bCs w:val="0"/>
                <w:color w:val="auto"/>
                <w:sz w:val="21"/>
                <w:szCs w:val="21"/>
                <w:lang w:eastAsia="zh-CN"/>
              </w:rPr>
              <w:t>、</w:t>
            </w:r>
            <w:r>
              <w:rPr>
                <w:rFonts w:ascii="Times New Roman" w:hAnsi="Times New Roman" w:cs="Times New Roman"/>
                <w:b w:val="0"/>
                <w:bCs w:val="0"/>
                <w:color w:val="auto"/>
                <w:sz w:val="21"/>
                <w:szCs w:val="21"/>
                <w:lang w:eastAsia="zh-CN"/>
              </w:rPr>
              <w:t>华建重工、河南大方、河南纽科伦、河南矿山</w:t>
            </w:r>
            <w:r>
              <w:rPr>
                <w:rFonts w:hint="eastAsia" w:ascii="Times New Roman" w:hAnsi="Times New Roman" w:cs="Times New Roman"/>
                <w:b w:val="0"/>
                <w:bCs w:val="0"/>
                <w:color w:val="auto"/>
                <w:sz w:val="21"/>
                <w:szCs w:val="21"/>
                <w:lang w:eastAsia="zh-CN"/>
              </w:rPr>
              <w:t>、</w:t>
            </w:r>
            <w:r>
              <w:rPr>
                <w:rFonts w:hint="eastAsia" w:ascii="Times New Roman" w:hAnsi="Times New Roman" w:cs="Times New Roman"/>
                <w:b w:val="0"/>
                <w:bCs w:val="0"/>
                <w:color w:val="auto"/>
                <w:sz w:val="21"/>
                <w:szCs w:val="21"/>
                <w:lang w:val="en-US" w:eastAsia="zh-CN"/>
              </w:rPr>
              <w:t>河南卫华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电磁流量计</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DN1200，L=1400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E+H、HACH、SIEMENS、</w:t>
            </w:r>
          </w:p>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Rosemount</w:t>
            </w:r>
            <w:r>
              <w:rPr>
                <w:rFonts w:ascii="Times New Roman" w:hAnsi="Times New Roman" w:cs="Times New Roman"/>
                <w:b w:val="0"/>
                <w:bCs w:val="0"/>
                <w:color w:val="auto"/>
                <w:sz w:val="21"/>
                <w:szCs w:val="21"/>
                <w:lang w:eastAsia="zh-CN"/>
              </w:rPr>
              <w:t>、科隆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restart"/>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多级AO池</w:t>
            </w: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手动调节堰门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B×H=1500mm×600mm</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6</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用于进水</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江苏天雨、江苏兆盛、无锡通用、宜兴泉溪、江苏新浪</w:t>
            </w:r>
            <w:r>
              <w:rPr>
                <w:rFonts w:hint="eastAsia" w:ascii="Times New Roman" w:hAnsi="Times New Roman" w:cs="Times New Roman"/>
                <w:b w:val="0"/>
                <w:bCs w:val="0"/>
                <w:color w:val="auto"/>
                <w:sz w:val="21"/>
                <w:szCs w:val="21"/>
                <w:lang w:eastAsia="zh-CN"/>
              </w:rPr>
              <w:t>、</w:t>
            </w:r>
            <w:r>
              <w:rPr>
                <w:rFonts w:hint="eastAsia" w:ascii="Times New Roman" w:hAnsi="Times New Roman" w:cs="Times New Roman"/>
                <w:b w:val="0"/>
                <w:bCs w:val="0"/>
                <w:color w:val="auto"/>
                <w:sz w:val="21"/>
                <w:szCs w:val="21"/>
                <w:lang w:val="en-US" w:eastAsia="zh-CN"/>
              </w:rPr>
              <w:t>欧亚华都、江苏通环、江苏一环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手动调节堰门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B×H=1500mm×600mm</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用于污泥回流</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江苏天雨、江苏兆盛、无锡通用、宜兴泉溪、江苏新浪</w:t>
            </w:r>
            <w:r>
              <w:rPr>
                <w:rFonts w:hint="eastAsia" w:ascii="Times New Roman" w:hAnsi="Times New Roman" w:cs="Times New Roman"/>
                <w:b w:val="0"/>
                <w:bCs w:val="0"/>
                <w:color w:val="auto"/>
                <w:sz w:val="21"/>
                <w:szCs w:val="21"/>
                <w:lang w:eastAsia="zh-CN"/>
              </w:rPr>
              <w:t>、</w:t>
            </w:r>
            <w:r>
              <w:rPr>
                <w:rFonts w:hint="eastAsia" w:ascii="Times New Roman" w:hAnsi="Times New Roman" w:cs="Times New Roman"/>
                <w:b w:val="0"/>
                <w:bCs w:val="0"/>
                <w:color w:val="auto"/>
                <w:sz w:val="21"/>
                <w:szCs w:val="21"/>
                <w:lang w:val="en-US" w:eastAsia="zh-CN"/>
              </w:rPr>
              <w:t>欧亚华都、江苏通环、江苏一环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潜水搅拌器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搅拌体积485m³P=3.7kW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功率由厂家确定，1库备，附安装吊杆和起吊装置</w:t>
            </w:r>
          </w:p>
        </w:tc>
        <w:tc>
          <w:tcPr>
            <w:tcW w:w="3544" w:type="dxa"/>
            <w:vAlign w:val="center"/>
          </w:tcPr>
          <w:p>
            <w:pPr>
              <w:spacing w:line="360" w:lineRule="auto"/>
              <w:rPr>
                <w:rFonts w:hint="default"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eastAsia="zh-CN"/>
              </w:rPr>
              <w:t>赛莱默、KSB、ABS、蓝深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潜水推流器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搅拌体积860m³P=3.7kW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14</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功率由厂家确定，2库备，附安装吊杆和起吊装置</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赛莱默、KSB、威乐、格兰富、蓝深、荏原、上海驰泉、利欧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混合液回流泵</w:t>
            </w:r>
            <w:r>
              <w:rPr>
                <w:rFonts w:ascii="Times New Roman" w:hAnsi="Times New Roman" w:cs="Times New Roman"/>
                <w:b w:val="0"/>
                <w:bCs w:val="0"/>
                <w:color w:val="auto"/>
                <w:sz w:val="21"/>
                <w:szCs w:val="21"/>
                <w:lang w:eastAsia="zh-CN"/>
              </w:rPr>
              <w:t>（污水）</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Q=290L/sH=0.8mP=4.0kW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变频，2用2备，附拍门</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赛莱默、KSB、威乐、格兰富、蓝深、荏原、上海驰泉、利欧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污泥回流泵</w:t>
            </w:r>
            <w:r>
              <w:rPr>
                <w:rFonts w:ascii="Times New Roman" w:hAnsi="Times New Roman" w:cs="Times New Roman"/>
                <w:b w:val="0"/>
                <w:bCs w:val="0"/>
                <w:color w:val="auto"/>
                <w:sz w:val="21"/>
                <w:szCs w:val="21"/>
                <w:lang w:eastAsia="zh-CN"/>
              </w:rPr>
              <w:t>（污水）</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Q=290L/sH=3.0mP=15kW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变频，2用2备，含井筒盖，钢套筒</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赛莱默、KSB、威乐、格兰富、蓝深、荏原、上海驰泉、利欧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剩余污泥泵</w:t>
            </w:r>
            <w:r>
              <w:rPr>
                <w:rFonts w:ascii="Times New Roman" w:hAnsi="Times New Roman" w:cs="Times New Roman"/>
                <w:b w:val="0"/>
                <w:bCs w:val="0"/>
                <w:color w:val="auto"/>
                <w:sz w:val="21"/>
                <w:szCs w:val="21"/>
                <w:lang w:eastAsia="zh-CN"/>
              </w:rPr>
              <w:t>（污水）</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Q=20L/sH=20.0mP=7.5kW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2用2备</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赛莱默、KSB、威乐、格兰富、蓝深、荏原、上海驰泉、利欧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电动葫芦</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起重量2TH=12mP=3.4kW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hint="default" w:ascii="Times New Roman" w:hAnsi="Times New Roman" w:cs="Times New Roman"/>
                <w:b w:val="0"/>
                <w:bCs w:val="0"/>
                <w:color w:val="auto"/>
                <w:sz w:val="21"/>
                <w:szCs w:val="21"/>
                <w:lang w:val="en-US" w:eastAsia="zh-CN"/>
              </w:rPr>
            </w:pPr>
            <w:r>
              <w:rPr>
                <w:rFonts w:ascii="Times New Roman" w:hAnsi="Times New Roman" w:cs="Times New Roman"/>
                <w:b w:val="0"/>
                <w:bCs w:val="0"/>
                <w:color w:val="auto"/>
                <w:sz w:val="21"/>
                <w:szCs w:val="21"/>
                <w:lang w:eastAsia="zh-CN"/>
              </w:rPr>
              <w:t>华建重工、河南大方、河南纽科伦、河南矿山</w:t>
            </w:r>
            <w:r>
              <w:rPr>
                <w:rFonts w:hint="eastAsia" w:ascii="Times New Roman" w:hAnsi="Times New Roman" w:cs="Times New Roman"/>
                <w:b w:val="0"/>
                <w:bCs w:val="0"/>
                <w:color w:val="auto"/>
                <w:sz w:val="21"/>
                <w:szCs w:val="21"/>
                <w:lang w:eastAsia="zh-CN"/>
              </w:rPr>
              <w:t>、</w:t>
            </w:r>
            <w:r>
              <w:rPr>
                <w:rFonts w:hint="eastAsia" w:ascii="Times New Roman" w:hAnsi="Times New Roman" w:cs="Times New Roman"/>
                <w:b w:val="0"/>
                <w:bCs w:val="0"/>
                <w:color w:val="auto"/>
                <w:sz w:val="21"/>
                <w:szCs w:val="21"/>
                <w:lang w:val="en-US" w:eastAsia="zh-CN"/>
              </w:rPr>
              <w:t>河南卫华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9</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曝气系统</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管式曝气器Q≥13.5m³/（h·m）</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m</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850</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OTT、瑞好</w:t>
            </w:r>
            <w:r>
              <w:rPr>
                <w:rFonts w:ascii="Times New Roman" w:hAnsi="Times New Roman" w:cs="Times New Roman"/>
                <w:b w:val="0"/>
                <w:bCs w:val="0"/>
                <w:color w:val="auto"/>
                <w:sz w:val="21"/>
                <w:szCs w:val="21"/>
                <w:lang w:eastAsia="zh-CN"/>
              </w:rPr>
              <w:t>、EDI</w:t>
            </w:r>
            <w:r>
              <w:rPr>
                <w:rFonts w:hint="eastAsia" w:ascii="Times New Roman" w:hAnsi="Times New Roman" w:cs="Times New Roman"/>
                <w:b w:val="0"/>
                <w:bCs w:val="0"/>
                <w:color w:val="auto"/>
                <w:sz w:val="21"/>
                <w:szCs w:val="21"/>
                <w:lang w:eastAsia="zh-CN"/>
              </w:rPr>
              <w:t>、宜兴文峰环境、无锡聚锐、欧亚华都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10</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精确曝气系统</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德国冰德、德国阀安格VAG、德国德阀机械TVD、</w:t>
            </w:r>
            <w:r>
              <w:rPr>
                <w:rFonts w:hint="eastAsia" w:ascii="Times New Roman" w:hAnsi="Times New Roman" w:cs="Times New Roman"/>
                <w:b w:val="0"/>
                <w:bCs w:val="0"/>
                <w:color w:val="auto"/>
                <w:sz w:val="21"/>
                <w:szCs w:val="21"/>
                <w:lang w:val="en-US" w:eastAsia="zh-CN"/>
              </w:rPr>
              <w:t>威立雅、苏伊士、</w:t>
            </w:r>
            <w:r>
              <w:rPr>
                <w:rFonts w:hint="eastAsia" w:ascii="Times New Roman" w:hAnsi="Times New Roman" w:cs="Times New Roman"/>
                <w:b w:val="0"/>
                <w:bCs w:val="0"/>
                <w:color w:val="auto"/>
                <w:sz w:val="21"/>
                <w:szCs w:val="21"/>
                <w:lang w:eastAsia="zh-CN"/>
              </w:rPr>
              <w:t>宜兴文峰环境、无锡聚锐、欧亚华都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手动蝶阀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DN150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24</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排空泵</w:t>
            </w:r>
            <w:r>
              <w:rPr>
                <w:rFonts w:ascii="Times New Roman" w:hAnsi="Times New Roman" w:cs="Times New Roman"/>
                <w:b w:val="0"/>
                <w:bCs w:val="0"/>
                <w:color w:val="auto"/>
                <w:sz w:val="21"/>
                <w:szCs w:val="21"/>
                <w:lang w:eastAsia="zh-CN"/>
              </w:rPr>
              <w:t>（污水）</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Q=53L/sH=12.0mP=11kW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库备，移动式安装潜污泵，每台配软管20m</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赛莱默、KSB、威乐、格兰富、蓝深、荏原、上海驰泉、利欧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手动蝶阀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DN300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放空</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0" w:hRule="atLeast"/>
        </w:trPr>
        <w:tc>
          <w:tcPr>
            <w:tcW w:w="886" w:type="dxa"/>
            <w:vMerge w:val="restart"/>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矩形二沉池</w:t>
            </w: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链式刮泥刮渣机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B=4.20m，L=52.0m，V=0.2~0.6m/min，N=2.0kW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含进水渠配水孔管，S304不锈钢导流板、出水堰板和挡渣板等配套设施</w:t>
            </w:r>
          </w:p>
        </w:tc>
        <w:tc>
          <w:tcPr>
            <w:tcW w:w="3544" w:type="dxa"/>
            <w:vMerge w:val="restart"/>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宝丽金、DAWE、 格马逊、芬诚FINNCHAIN、芬兰MORDIC默帝珂、欧亚华都、华都琥珀、西门子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vMerge w:val="restart"/>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1842" w:type="dxa"/>
            <w:vMerge w:val="restart"/>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液压排泥管及套筒阀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排泥管DN250，有效L=4.20m，</w:t>
            </w:r>
          </w:p>
        </w:tc>
        <w:tc>
          <w:tcPr>
            <w:tcW w:w="708" w:type="dxa"/>
            <w:vMerge w:val="restart"/>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vMerge w:val="restart"/>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35</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含液压排泥管与套筒阀的连接管</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1842"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3261"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套筒阀液位调节范围1.0m，不锈钢材质</w:t>
            </w:r>
          </w:p>
        </w:tc>
        <w:tc>
          <w:tcPr>
            <w:tcW w:w="708"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714"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由链式刮泥刮渣机配套提供</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电动旋转撇渣管</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DN300L=4.50mP=1.5kW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由链式刮泥刮渣机配套提供</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链板式刮泥机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B=1.85m，L=20mP=0.55kW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集泥槽用，由链式刮泥刮渣机配套提供</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链板式刮泥机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B=1.85m，L=31mP=0.55kW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集泥槽用，由链式刮泥刮渣机配套提供</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电动渠道闸门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B×H=700×1500P=1.1kW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单格池进水</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电动调节堰门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B×H=300×500P=1.1kW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排渣用，由链式刮泥刮渣机配套提供</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手动方闸门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B×H=700×700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双向受力，排泥用，由链式刮泥刮渣机配套提供</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9</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电动方闸门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B×H=1500×1500P=1.5kW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双向受力，进水用</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10</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电动闸门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DN1000P=1.5kW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出水用</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弹性座封闸阀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DN300PN1.0MPa</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放空用</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restart"/>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废水池、事故池、中间提升泵房、反硝化深床滤池及尾水泵房</w:t>
            </w: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轴流泵</w:t>
            </w:r>
            <w:r>
              <w:rPr>
                <w:rFonts w:ascii="Times New Roman" w:hAnsi="Times New Roman" w:cs="Times New Roman"/>
                <w:b w:val="0"/>
                <w:bCs w:val="0"/>
                <w:color w:val="auto"/>
                <w:sz w:val="21"/>
                <w:szCs w:val="21"/>
                <w:lang w:eastAsia="zh-CN"/>
              </w:rPr>
              <w:t>（污水）</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Q=347L/s，H=6.2m，P=37kW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变频，1用，用于中间提升泵房</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赛莱默、KSB、威乐、格兰富、蓝深、荏原、上海驰泉、利欧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轴流泵</w:t>
            </w:r>
            <w:r>
              <w:rPr>
                <w:rFonts w:ascii="Times New Roman" w:hAnsi="Times New Roman" w:cs="Times New Roman"/>
                <w:b w:val="0"/>
                <w:bCs w:val="0"/>
                <w:color w:val="auto"/>
                <w:sz w:val="21"/>
                <w:szCs w:val="21"/>
                <w:lang w:eastAsia="zh-CN"/>
              </w:rPr>
              <w:t>（污水）</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Q=578L/s，H=6.2m，P=55kW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变频，1用1备（可两用），用于中间提升泵房</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赛莱默、KSB、威乐、格兰富、蓝深、荏原、上海驰泉、利欧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电动葫芦</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起重量3.0t，起升高度12m，P=7.5+2x0.4kw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用于中间提升泵房</w:t>
            </w:r>
          </w:p>
        </w:tc>
        <w:tc>
          <w:tcPr>
            <w:tcW w:w="3544" w:type="dxa"/>
            <w:vAlign w:val="center"/>
          </w:tcPr>
          <w:p>
            <w:pPr>
              <w:spacing w:line="360" w:lineRule="auto"/>
              <w:rPr>
                <w:rFonts w:hint="default" w:ascii="Times New Roman" w:hAnsi="Times New Roman" w:cs="Times New Roman"/>
                <w:b w:val="0"/>
                <w:bCs w:val="0"/>
                <w:color w:val="auto"/>
                <w:sz w:val="21"/>
                <w:szCs w:val="21"/>
                <w:lang w:val="en-US" w:eastAsia="zh-CN"/>
              </w:rPr>
            </w:pPr>
            <w:r>
              <w:rPr>
                <w:rFonts w:ascii="Times New Roman" w:hAnsi="Times New Roman" w:cs="Times New Roman"/>
                <w:b w:val="0"/>
                <w:bCs w:val="0"/>
                <w:color w:val="auto"/>
                <w:sz w:val="21"/>
                <w:szCs w:val="21"/>
                <w:lang w:eastAsia="zh-CN"/>
              </w:rPr>
              <w:t>华建重工、河南大方、河南纽科伦、河南矿山</w:t>
            </w:r>
            <w:r>
              <w:rPr>
                <w:rFonts w:hint="eastAsia" w:ascii="Times New Roman" w:hAnsi="Times New Roman" w:cs="Times New Roman"/>
                <w:b w:val="0"/>
                <w:bCs w:val="0"/>
                <w:color w:val="auto"/>
                <w:sz w:val="21"/>
                <w:szCs w:val="21"/>
                <w:lang w:eastAsia="zh-CN"/>
              </w:rPr>
              <w:t>、</w:t>
            </w:r>
            <w:r>
              <w:rPr>
                <w:rFonts w:hint="eastAsia" w:ascii="Times New Roman" w:hAnsi="Times New Roman" w:cs="Times New Roman"/>
                <w:b w:val="0"/>
                <w:bCs w:val="0"/>
                <w:color w:val="auto"/>
                <w:sz w:val="21"/>
                <w:szCs w:val="21"/>
                <w:lang w:val="en-US" w:eastAsia="zh-CN"/>
              </w:rPr>
              <w:t>河南卫华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混合搅拌器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P=7.5Kw（暂定）</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变频</w:t>
            </w:r>
          </w:p>
        </w:tc>
        <w:tc>
          <w:tcPr>
            <w:tcW w:w="3544" w:type="dxa"/>
            <w:vAlign w:val="center"/>
          </w:tcPr>
          <w:p>
            <w:pPr>
              <w:spacing w:line="360" w:lineRule="auto"/>
              <w:rPr>
                <w:rFonts w:hint="eastAsia" w:ascii="Times New Roman" w:hAnsi="Times New Roman" w:cs="Times New Roman" w:eastAsiaTheme="minorEastAsia"/>
                <w:b w:val="0"/>
                <w:bCs w:val="0"/>
                <w:color w:val="auto"/>
                <w:sz w:val="21"/>
                <w:szCs w:val="21"/>
                <w:lang w:val="en-US" w:eastAsia="zh-CN"/>
              </w:rPr>
            </w:pPr>
            <w:r>
              <w:rPr>
                <w:rFonts w:hint="eastAsia" w:ascii="Times New Roman" w:hAnsi="Times New Roman" w:cs="Times New Roman"/>
                <w:b w:val="0"/>
                <w:bCs w:val="0"/>
                <w:color w:val="auto"/>
                <w:sz w:val="21"/>
                <w:szCs w:val="21"/>
                <w:lang w:eastAsia="zh-CN"/>
              </w:rPr>
              <w:t>赛莱默、KSB、ABS、蓝深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手动闸门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1000×1000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用于反硝化滤池进水</w:t>
            </w:r>
          </w:p>
        </w:tc>
        <w:tc>
          <w:tcPr>
            <w:tcW w:w="3544" w:type="dxa"/>
            <w:vMerge w:val="restart"/>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迪诺拉、赛莱默、浙江中昌、无锡聚锐环保、无锡侨盛环保、宜兴文峰环境、欧亚华都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气动闸门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600×600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用于反硝化滤池单格进水，配一体化执行机构</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配水配气滤砖</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单组尺寸：22.25m×3.50m</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组</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配套O型密封圈，滤砖两头封板以及安装紧固件等，二期增加4组</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进水堰板</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22250×240mm厚度4mm</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10</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含安装附件</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9</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承托层砾石</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天然鹅卵石，粒径3~38mm，滤床深度0.45m，5层级配</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不含损耗</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10</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石英砂滤料</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有效粒径2-3mm，滤床深度1.83m</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不含损耗</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0"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罗茨风机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Q=63m³/minP=73.5kPaN=110kW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2用1备，配套进出口/放空管消声过滤器、安全阀、弹性接头、止回阀、隔音罩、压力表等</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空压机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Q=1.14m³/minP=0.8MPaN=7.5kW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1用1备，配套前后置过滤器/干燥机等</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储气罐</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V=1.0m³，1.0MPa</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含压力表/安全阀等必要配套附件</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反洗水泵</w:t>
            </w:r>
            <w:r>
              <w:rPr>
                <w:rFonts w:ascii="Times New Roman" w:hAnsi="Times New Roman" w:cs="Times New Roman"/>
                <w:b w:val="0"/>
                <w:bCs w:val="0"/>
                <w:color w:val="auto"/>
                <w:sz w:val="21"/>
                <w:szCs w:val="21"/>
                <w:lang w:eastAsia="zh-CN"/>
              </w:rPr>
              <w:t>（清水）</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Q=1120m³/hH=11mN=55kW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1用1备，变频</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集水坑排放泵</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Q=10m³/hH=10mN=1.2kW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赛莱默、KSB、威乐、格兰富、蓝深、荏原、上海驰泉、利欧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气动调节蝶阀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DN600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滤池出水</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气动进水蝶阀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DN600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反冲洗进水</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气动出水蝶阀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DN700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反冲洗排水</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19</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气动蝶阀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DN500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反冲洗进气</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20</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电动蝶阀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DN150，P=0.05KW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风机放空</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电动启闭装置采用德国欧玛（AUMA）、英国罗托克（ROTORK）、德国西博思(SIPOS)等相同或优于该品牌的产品，阀体采用上海标一、上海良工、佛山永泉、天津瓦特斯、远大、河南上碟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手动蝶阀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DN700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用于反冲洗泵进水管</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手动蝶阀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DN600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用于反冲洗泵出水管</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止回阀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DN600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用于反冲洗泵出水管</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手动蝶阀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DN350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用于反冲洗风机</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止回阀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DN350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用于反冲洗风机</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电动单梁起重机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T=3tL=5.25mH=4mP=8.3kW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用于反冲洗风机起吊</w:t>
            </w:r>
          </w:p>
        </w:tc>
        <w:tc>
          <w:tcPr>
            <w:tcW w:w="3544" w:type="dxa"/>
            <w:vAlign w:val="center"/>
          </w:tcPr>
          <w:p>
            <w:pPr>
              <w:spacing w:line="360" w:lineRule="auto"/>
              <w:rPr>
                <w:rFonts w:hint="default"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eastAsia="zh-CN"/>
              </w:rPr>
              <w:t>华建重工、河南大方、河南纽科伦、河南矿山、</w:t>
            </w:r>
            <w:r>
              <w:rPr>
                <w:rFonts w:hint="eastAsia" w:ascii="Times New Roman" w:hAnsi="Times New Roman" w:cs="Times New Roman"/>
                <w:b w:val="0"/>
                <w:bCs w:val="0"/>
                <w:color w:val="auto"/>
                <w:sz w:val="21"/>
                <w:szCs w:val="21"/>
                <w:lang w:val="en-US" w:eastAsia="zh-CN"/>
              </w:rPr>
              <w:t>河南卫华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电动葫芦</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T=2tH=9.0mP=4.9kW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用于反冲洗阀门设备起吊</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华建重工、河南大方、河南纽科伦、河南矿山</w:t>
            </w:r>
            <w:r>
              <w:rPr>
                <w:rFonts w:hint="eastAsia" w:ascii="Times New Roman" w:hAnsi="Times New Roman" w:cs="Times New Roman"/>
                <w:b w:val="0"/>
                <w:bCs w:val="0"/>
                <w:color w:val="auto"/>
                <w:sz w:val="21"/>
                <w:szCs w:val="21"/>
                <w:lang w:eastAsia="zh-CN"/>
              </w:rPr>
              <w:t>、</w:t>
            </w:r>
            <w:r>
              <w:rPr>
                <w:rFonts w:hint="eastAsia" w:ascii="Times New Roman" w:hAnsi="Times New Roman" w:cs="Times New Roman"/>
                <w:b w:val="0"/>
                <w:bCs w:val="0"/>
                <w:color w:val="auto"/>
                <w:sz w:val="21"/>
                <w:szCs w:val="21"/>
                <w:lang w:val="en-US" w:eastAsia="zh-CN"/>
              </w:rPr>
              <w:t>河南卫华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电动葫芦</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T=3tH=9.0mP=4.9kW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用于反冲洗泵起吊</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华建重工、河南大方、河南纽科伦、河南矿山</w:t>
            </w:r>
            <w:r>
              <w:rPr>
                <w:rFonts w:hint="eastAsia" w:ascii="Times New Roman" w:hAnsi="Times New Roman" w:cs="Times New Roman"/>
                <w:b w:val="0"/>
                <w:bCs w:val="0"/>
                <w:color w:val="auto"/>
                <w:sz w:val="21"/>
                <w:szCs w:val="21"/>
                <w:lang w:eastAsia="zh-CN"/>
              </w:rPr>
              <w:t>、</w:t>
            </w:r>
            <w:r>
              <w:rPr>
                <w:rFonts w:hint="eastAsia" w:ascii="Times New Roman" w:hAnsi="Times New Roman" w:cs="Times New Roman"/>
                <w:b w:val="0"/>
                <w:bCs w:val="0"/>
                <w:color w:val="auto"/>
                <w:sz w:val="21"/>
                <w:szCs w:val="21"/>
                <w:lang w:val="en-US" w:eastAsia="zh-CN"/>
              </w:rPr>
              <w:t>河南卫华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29</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电动排气阀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DN150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位于反洗空气主管</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电动启闭装置采用德国欧玛（AUMA）、英国罗托克（ROTORK）、德国西博思(SIPOS)等相同或优于该品牌的产品，阀体采用上海标一、上海良工、佛山永泉、天津瓦特斯、远大、河南上碟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7"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30</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排气阀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DN50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位于反洗水管</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9"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电动单梁起重机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起重量3.0t，起升高度12m，P=7.5+2x0.4kw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用于尾水泵起吊</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华建重工、河南大方、河南纽科伦、河南矿山</w:t>
            </w:r>
            <w:r>
              <w:rPr>
                <w:rFonts w:hint="eastAsia" w:ascii="Times New Roman" w:hAnsi="Times New Roman" w:cs="Times New Roman"/>
                <w:b w:val="0"/>
                <w:bCs w:val="0"/>
                <w:color w:val="auto"/>
                <w:sz w:val="21"/>
                <w:szCs w:val="21"/>
                <w:lang w:eastAsia="zh-CN"/>
              </w:rPr>
              <w:t>、</w:t>
            </w:r>
            <w:r>
              <w:rPr>
                <w:rFonts w:hint="eastAsia" w:ascii="Times New Roman" w:hAnsi="Times New Roman" w:cs="Times New Roman"/>
                <w:b w:val="0"/>
                <w:bCs w:val="0"/>
                <w:color w:val="auto"/>
                <w:sz w:val="21"/>
                <w:szCs w:val="21"/>
                <w:lang w:val="en-US" w:eastAsia="zh-CN"/>
              </w:rPr>
              <w:t>河南卫华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电动蝶阀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DN700L=292，P=1.5kW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只</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用于尾水泵出水</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电动启闭装置采用德国欧玛</w:t>
            </w:r>
          </w:p>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（AUMA）、英国罗托克</w:t>
            </w:r>
          </w:p>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（ROTORK）、德国西博思(SIPOS)等相同或优于该品牌的产品，阀体采用上海标一、上海良工、佛山永泉、天津瓦特斯、远大、河南上碟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碟式止回阀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DN700L=430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只</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用于尾水泵出水</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手动蝶阀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DN700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只</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用于尾水泵出水</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潜污泵</w:t>
            </w:r>
            <w:r>
              <w:rPr>
                <w:rFonts w:ascii="Times New Roman" w:hAnsi="Times New Roman" w:cs="Times New Roman"/>
                <w:b w:val="0"/>
                <w:bCs w:val="0"/>
                <w:color w:val="auto"/>
                <w:sz w:val="21"/>
                <w:szCs w:val="21"/>
                <w:lang w:eastAsia="zh-CN"/>
              </w:rPr>
              <w:t>（污水）</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Q=347L/s，H=12m，P=75kW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变频，2用1备（可3用），用于尾水泵房</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赛莱默、KSB、威乐、格兰富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潜污泵</w:t>
            </w:r>
            <w:r>
              <w:rPr>
                <w:rFonts w:ascii="Times New Roman" w:hAnsi="Times New Roman" w:cs="Times New Roman"/>
                <w:b w:val="0"/>
                <w:bCs w:val="0"/>
                <w:color w:val="auto"/>
                <w:sz w:val="21"/>
                <w:szCs w:val="21"/>
                <w:lang w:eastAsia="zh-CN"/>
              </w:rPr>
              <w:t>（污水）</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Q=470m³/h，H=9.0m，P=18.5kW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变频，1用1备，用于废水调节池</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赛莱默、KSB、威乐、格兰富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电动葫芦</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起重量1.0t，起升高度12m，P=1.5+2x0.2kW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用于废水池、事故池潜污泵上方</w:t>
            </w:r>
          </w:p>
        </w:tc>
        <w:tc>
          <w:tcPr>
            <w:tcW w:w="3544" w:type="dxa"/>
            <w:vAlign w:val="center"/>
          </w:tcPr>
          <w:p>
            <w:pPr>
              <w:spacing w:line="360" w:lineRule="auto"/>
              <w:rPr>
                <w:rFonts w:hint="default" w:ascii="Times New Roman" w:hAnsi="Times New Roman" w:cs="Times New Roman"/>
                <w:b w:val="0"/>
                <w:bCs w:val="0"/>
                <w:color w:val="auto"/>
                <w:sz w:val="21"/>
                <w:szCs w:val="21"/>
                <w:lang w:val="en-US" w:eastAsia="zh-CN"/>
              </w:rPr>
            </w:pPr>
            <w:r>
              <w:rPr>
                <w:rFonts w:ascii="Times New Roman" w:hAnsi="Times New Roman" w:cs="Times New Roman"/>
                <w:b w:val="0"/>
                <w:bCs w:val="0"/>
                <w:color w:val="auto"/>
                <w:sz w:val="21"/>
                <w:szCs w:val="21"/>
                <w:lang w:eastAsia="zh-CN"/>
              </w:rPr>
              <w:t>华建重工、河南大方、河南纽科伦、河南矿山</w:t>
            </w:r>
            <w:r>
              <w:rPr>
                <w:rFonts w:hint="eastAsia" w:ascii="Times New Roman" w:hAnsi="Times New Roman" w:cs="Times New Roman"/>
                <w:b w:val="0"/>
                <w:bCs w:val="0"/>
                <w:color w:val="auto"/>
                <w:sz w:val="21"/>
                <w:szCs w:val="21"/>
                <w:lang w:eastAsia="zh-CN"/>
              </w:rPr>
              <w:t>、</w:t>
            </w:r>
            <w:r>
              <w:rPr>
                <w:rFonts w:hint="eastAsia" w:ascii="Times New Roman" w:hAnsi="Times New Roman" w:cs="Times New Roman"/>
                <w:b w:val="0"/>
                <w:bCs w:val="0"/>
                <w:color w:val="auto"/>
                <w:sz w:val="21"/>
                <w:szCs w:val="21"/>
                <w:lang w:val="en-US" w:eastAsia="zh-CN"/>
              </w:rPr>
              <w:t>河南卫华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潜水搅拌器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P=4.0KW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用于废水池</w:t>
            </w:r>
          </w:p>
        </w:tc>
        <w:tc>
          <w:tcPr>
            <w:tcW w:w="3544" w:type="dxa"/>
            <w:vAlign w:val="center"/>
          </w:tcPr>
          <w:p>
            <w:pPr>
              <w:spacing w:line="360" w:lineRule="auto"/>
              <w:rPr>
                <w:rFonts w:hint="default" w:ascii="Times New Roman" w:hAnsi="Times New Roman" w:cs="Times New Roman" w:eastAsiaTheme="minorEastAsia"/>
                <w:b w:val="0"/>
                <w:bCs w:val="0"/>
                <w:color w:val="auto"/>
                <w:sz w:val="21"/>
                <w:szCs w:val="21"/>
                <w:lang w:val="en-US" w:eastAsia="zh-CN"/>
              </w:rPr>
            </w:pPr>
            <w:r>
              <w:rPr>
                <w:rFonts w:hint="eastAsia" w:ascii="Times New Roman" w:hAnsi="Times New Roman" w:cs="Times New Roman"/>
                <w:b w:val="0"/>
                <w:bCs w:val="0"/>
                <w:color w:val="auto"/>
                <w:sz w:val="21"/>
                <w:szCs w:val="21"/>
                <w:lang w:eastAsia="zh-CN"/>
              </w:rPr>
              <w:t>赛莱默、KSB、ABS、蓝深</w:t>
            </w:r>
            <w:r>
              <w:rPr>
                <w:rFonts w:hint="eastAsia" w:ascii="Times New Roman" w:hAnsi="Times New Roman" w:cs="Times New Roman"/>
                <w:b w:val="0"/>
                <w:bCs w:val="0"/>
                <w:color w:val="auto"/>
                <w:sz w:val="21"/>
                <w:szCs w:val="21"/>
                <w:lang w:val="en-US" w:eastAsia="zh-CN"/>
              </w:rPr>
              <w:t>、威乐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39</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电动闸阀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DN300，P=0.55kW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用于废水泵</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电动启闭装置采用德国欧玛</w:t>
            </w:r>
          </w:p>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（AUMA）、英国罗托克</w:t>
            </w:r>
          </w:p>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（ROTORK）、德国西博思(SIPOS)等相同或优于该品牌的产品，阀体采用</w:t>
            </w:r>
            <w:r>
              <w:rPr>
                <w:rFonts w:hint="eastAsia"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40</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碟式止回阀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DN300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用于废水泵</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手动闸阀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DN300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用于废水泵</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气动调节阀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DN300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用于反冲洗水量调节</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手动闸阀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DN150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用于滤池排水管放空</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潜污泵</w:t>
            </w:r>
            <w:r>
              <w:rPr>
                <w:rFonts w:ascii="Times New Roman" w:hAnsi="Times New Roman" w:cs="Times New Roman"/>
                <w:b w:val="0"/>
                <w:bCs w:val="0"/>
                <w:color w:val="auto"/>
                <w:sz w:val="21"/>
                <w:szCs w:val="21"/>
                <w:lang w:eastAsia="zh-CN"/>
              </w:rPr>
              <w:t>（污水）</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Q=210m³/h，H=9.0m，P=11kW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变频，1用1备，用于事故池</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赛莱默、KSB、威乐、格兰富、蓝深、荏原、上海驰泉、利欧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潜水搅拌器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P=7.5KW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用于事故池</w:t>
            </w:r>
          </w:p>
        </w:tc>
        <w:tc>
          <w:tcPr>
            <w:tcW w:w="3544" w:type="dxa"/>
            <w:vAlign w:val="center"/>
          </w:tcPr>
          <w:p>
            <w:pPr>
              <w:spacing w:line="360" w:lineRule="auto"/>
              <w:rPr>
                <w:rFonts w:hint="default" w:ascii="Times New Roman" w:hAnsi="Times New Roman" w:cs="Times New Roman" w:eastAsiaTheme="minorEastAsia"/>
                <w:b w:val="0"/>
                <w:bCs w:val="0"/>
                <w:color w:val="auto"/>
                <w:sz w:val="21"/>
                <w:szCs w:val="21"/>
                <w:lang w:val="en-US" w:eastAsia="zh-CN"/>
              </w:rPr>
            </w:pPr>
            <w:r>
              <w:rPr>
                <w:rFonts w:hint="eastAsia" w:ascii="Times New Roman" w:hAnsi="Times New Roman" w:cs="Times New Roman"/>
                <w:b w:val="0"/>
                <w:bCs w:val="0"/>
                <w:color w:val="auto"/>
                <w:sz w:val="21"/>
                <w:szCs w:val="21"/>
                <w:lang w:eastAsia="zh-CN"/>
              </w:rPr>
              <w:t>赛莱默、KSB、ABS、蓝深</w:t>
            </w:r>
            <w:r>
              <w:rPr>
                <w:rFonts w:hint="eastAsia" w:ascii="Times New Roman" w:hAnsi="Times New Roman" w:cs="Times New Roman"/>
                <w:b w:val="0"/>
                <w:bCs w:val="0"/>
                <w:color w:val="auto"/>
                <w:sz w:val="21"/>
                <w:szCs w:val="21"/>
                <w:lang w:val="en-US" w:eastAsia="zh-CN"/>
              </w:rPr>
              <w:t>、威乐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电动闸阀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DN300，P=0.55kW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用于事故池</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电动启闭装置采用德国欧玛</w:t>
            </w:r>
          </w:p>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（AUMA）、英国罗托克</w:t>
            </w:r>
          </w:p>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（ROTORK）、德国西博思(SIPOS)等相同或优于该品牌的产品，阀体采用上海标一、上海良工、佛山永泉、天津瓦特斯、远大、河南上碟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碟式止回阀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DN300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用于事故池</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手动闸阀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DN300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用于事故池</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restart"/>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加氯接触池及中水泵房</w:t>
            </w: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卧式单级双吸离心泵组（清水）</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Q=875m³/h，H=55m，P=187kW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1用1备</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赛莱默、KSB、威乐、格兰富、</w:t>
            </w:r>
            <w:r>
              <w:rPr>
                <w:rFonts w:hint="eastAsia" w:ascii="Times New Roman" w:hAnsi="Times New Roman" w:cs="Times New Roman"/>
                <w:b w:val="0"/>
                <w:bCs w:val="0"/>
                <w:color w:val="auto"/>
                <w:sz w:val="21"/>
                <w:szCs w:val="21"/>
                <w:lang w:val="en-US" w:eastAsia="zh-CN"/>
              </w:rPr>
              <w:t>安德里茨、</w:t>
            </w:r>
            <w:r>
              <w:rPr>
                <w:rFonts w:hint="eastAsia" w:ascii="Times New Roman" w:hAnsi="Times New Roman" w:cs="Times New Roman"/>
                <w:b w:val="0"/>
                <w:bCs w:val="0"/>
                <w:color w:val="auto"/>
                <w:sz w:val="21"/>
                <w:szCs w:val="21"/>
                <w:lang w:eastAsia="zh-CN"/>
              </w:rPr>
              <w:t>蓝深、荏原、上海驰泉、利欧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插板闸门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1200×1200mm，配手电两用启闭机，N=1.5kW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新浪环保、江苏一环、欧亚华都、中威环境、江苏通环、远大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restart"/>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消防泵房</w:t>
            </w: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室内消火栓泵组</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单泵参数：H=0.70Pa，Q=40L/s，N=45kW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1用1备</w:t>
            </w:r>
          </w:p>
        </w:tc>
        <w:tc>
          <w:tcPr>
            <w:tcW w:w="3544" w:type="dxa"/>
            <w:vMerge w:val="restart"/>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广州市白云泵业集团有限公司、广州广一泵业有限公司、上广州昌宁机电设备有限公司、山东双轮、广东佛山水泵厂、上海驰泉、上海汇业、江西瑞康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室内消火栓稳压泵组</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单泵参数：H=0.60MPa，Q=1L/sN=2.2kw，1用1备；配隔膜式气压罐：Ф×H=1000×2300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组</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1用1备</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室内自动喷淋泵组</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单泵参数：H=0.55MPa，Q=50L/s，N=55kW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1用1备</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0"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室内自动喷淋泵稳压泵组</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单泵参数：H=0.40MPa，Q=1L/sN=2.2kw，1用1备；配隔膜式气压罐：Ф×H=1000×2300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组</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1用1备</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室外消火栓泵组</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单泵参数：H=0.55MPa，Q=30L/s，N=37.5kW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1用1备</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0"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室外消火栓稳压泵组</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单泵参数：H=0.45MPa，Q=1L/sN=2.2kw，1用1备；配隔膜式气压罐：Ф×H=1000×2300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组</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1用1备</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潜污泵</w:t>
            </w:r>
            <w:r>
              <w:rPr>
                <w:rFonts w:ascii="Times New Roman" w:hAnsi="Times New Roman" w:cs="Times New Roman"/>
                <w:b w:val="0"/>
                <w:bCs w:val="0"/>
                <w:color w:val="auto"/>
                <w:sz w:val="21"/>
                <w:szCs w:val="21"/>
                <w:lang w:eastAsia="zh-CN"/>
              </w:rPr>
              <w:t>（污水）</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Q=10L/s，H=20m，N=4.0kW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1用1备，变频</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eastAsia="zh-CN"/>
              </w:rPr>
              <w:t>赛莱默、KSB、威乐、格兰富、蓝深、荏原、上海驰泉、利欧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restart"/>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鼓风机房</w:t>
            </w: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磁悬浮鼓风机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Q=104m³/min，P=93kPa，N=240kW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2用1备</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hint="eastAsia" w:ascii="Times New Roman" w:hAnsi="Times New Roman" w:cs="Times New Roman"/>
                <w:b w:val="0"/>
                <w:bCs w:val="0"/>
                <w:color w:val="auto"/>
                <w:sz w:val="21"/>
                <w:szCs w:val="21"/>
                <w:lang w:val="en-US" w:eastAsia="zh-CN"/>
              </w:rPr>
              <w:t>ABS、豪顿、</w:t>
            </w:r>
            <w:r>
              <w:rPr>
                <w:rFonts w:ascii="Times New Roman" w:hAnsi="Times New Roman" w:cs="Times New Roman"/>
                <w:b w:val="0"/>
                <w:bCs w:val="0"/>
                <w:color w:val="auto"/>
                <w:sz w:val="21"/>
                <w:szCs w:val="21"/>
                <w:lang w:eastAsia="zh-CN"/>
              </w:rPr>
              <w:t>瑞典阿特拉斯、韩国TNE、德国凯撒、上海仁创、南京磁谷、天津亿昇、佛山格尼斯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空气卷帘过滤器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B×L=2000×2500mm，过滤效率80-90%，大于5μm，N=2kW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0" w:hRule="atLeast"/>
        </w:trPr>
        <w:tc>
          <w:tcPr>
            <w:tcW w:w="886" w:type="dxa"/>
            <w:vMerge w:val="restart"/>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加药间</w:t>
            </w: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乙酸钠计量泵</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Q=500L/h，H=0.4MPa，P=0.55kW，手调流量范围：10～100％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1用1备，生化池补充碳源</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米顿罗、普罗名特、格兰富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混凝剂隔膜计量泵</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Q=600L/h，H=60m，P=4kw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2用1备，生化池补充混凝剂</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米顿罗、普罗名特、格兰富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混凝剂隔膜计量泵</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Q=200L/h，H=60m，P=4kw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1用1备，污泥干化</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米顿罗、普罗名特、格兰富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乙酸钠原料罐</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V=20m，</w:t>
            </w:r>
            <w:r>
              <w:rPr>
                <w:rFonts w:hint="eastAsia" w:ascii="MS Mincho" w:hAnsi="MS Mincho" w:eastAsia="MS Mincho" w:cs="MS Mincho"/>
                <w:b w:val="0"/>
                <w:bCs w:val="0"/>
                <w:color w:val="auto"/>
                <w:sz w:val="21"/>
                <w:szCs w:val="21"/>
              </w:rPr>
              <w:t>∅</w:t>
            </w:r>
            <w:r>
              <w:rPr>
                <w:rFonts w:ascii="Times New Roman" w:hAnsi="Times New Roman" w:cs="Times New Roman"/>
                <w:b w:val="0"/>
                <w:bCs w:val="0"/>
                <w:color w:val="auto"/>
                <w:sz w:val="21"/>
                <w:szCs w:val="21"/>
              </w:rPr>
              <w:t>2710mm×2960mm</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个</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含液位计，罐体材质为PE</w:t>
            </w:r>
          </w:p>
        </w:tc>
        <w:tc>
          <w:tcPr>
            <w:tcW w:w="3544" w:type="dxa"/>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混凝剂原料罐</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V=20m，</w:t>
            </w:r>
            <w:r>
              <w:rPr>
                <w:rFonts w:hint="eastAsia" w:ascii="MS Mincho" w:hAnsi="MS Mincho" w:eastAsia="MS Mincho" w:cs="MS Mincho"/>
                <w:b w:val="0"/>
                <w:bCs w:val="0"/>
                <w:color w:val="auto"/>
                <w:sz w:val="21"/>
                <w:szCs w:val="21"/>
              </w:rPr>
              <w:t>∅</w:t>
            </w:r>
            <w:r>
              <w:rPr>
                <w:rFonts w:ascii="Times New Roman" w:hAnsi="Times New Roman" w:cs="Times New Roman"/>
                <w:b w:val="0"/>
                <w:bCs w:val="0"/>
                <w:color w:val="auto"/>
                <w:sz w:val="21"/>
                <w:szCs w:val="21"/>
              </w:rPr>
              <w:t>2710mm×2960mm</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个</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8</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含液位计，罐体材质为PE</w:t>
            </w:r>
          </w:p>
        </w:tc>
        <w:tc>
          <w:tcPr>
            <w:tcW w:w="3544" w:type="dxa"/>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洗眼器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Q=2~3L/s，PN0.2~0.4MPa</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0" w:hRule="atLeast"/>
        </w:trPr>
        <w:tc>
          <w:tcPr>
            <w:tcW w:w="886" w:type="dxa"/>
            <w:vMerge w:val="restart"/>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仓库</w:t>
            </w: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次氯酸钠计量泵</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Q=400L/h，H=0.4MPa，P=0.55kW，手调流量范围：10～100％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1用1备，消毒池消毒</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米顿罗、普罗名特、格兰富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0"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次氯酸钠计量泵</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Q=100L/h，H=0.4MPa，P=0.55kW，手调流量范围：10～100％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1用1备，再生水补氯</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米顿罗、普罗名特、格兰富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次氯酸钠原料罐</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V=20m，</w:t>
            </w:r>
            <w:r>
              <w:rPr>
                <w:rFonts w:hint="eastAsia" w:ascii="MS Mincho" w:hAnsi="MS Mincho" w:eastAsia="MS Mincho" w:cs="MS Mincho"/>
                <w:b w:val="0"/>
                <w:bCs w:val="0"/>
                <w:color w:val="auto"/>
                <w:sz w:val="21"/>
                <w:szCs w:val="21"/>
              </w:rPr>
              <w:t>∅</w:t>
            </w:r>
            <w:r>
              <w:rPr>
                <w:rFonts w:ascii="Times New Roman" w:hAnsi="Times New Roman" w:cs="Times New Roman"/>
                <w:b w:val="0"/>
                <w:bCs w:val="0"/>
                <w:color w:val="auto"/>
                <w:sz w:val="21"/>
                <w:szCs w:val="21"/>
              </w:rPr>
              <w:t>2710mm×2960mm</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个</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含液位计，罐体材质为PE</w:t>
            </w:r>
          </w:p>
        </w:tc>
        <w:tc>
          <w:tcPr>
            <w:tcW w:w="3544" w:type="dxa"/>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洗眼器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Q=2~3L/s，PN0.2~0.4MPa</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restart"/>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污泥浓缩池</w:t>
            </w: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悬挂式中心传动浓缩机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Φ7000，P=0.55kW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含稳流桶等附属设备，带浮渣撇除设施</w:t>
            </w:r>
          </w:p>
        </w:tc>
        <w:tc>
          <w:tcPr>
            <w:tcW w:w="3544" w:type="dxa"/>
            <w:vAlign w:val="center"/>
          </w:tcPr>
          <w:p>
            <w:pPr>
              <w:spacing w:line="360" w:lineRule="auto"/>
              <w:rPr>
                <w:rFonts w:hint="default" w:ascii="Times New Roman" w:hAnsi="Times New Roman" w:cs="Times New Roman"/>
                <w:b w:val="0"/>
                <w:bCs w:val="0"/>
                <w:color w:val="auto"/>
                <w:sz w:val="21"/>
                <w:szCs w:val="21"/>
                <w:lang w:val="en-US" w:eastAsia="zh-CN"/>
              </w:rPr>
            </w:pPr>
            <w:r>
              <w:rPr>
                <w:rFonts w:ascii="Times New Roman" w:hAnsi="Times New Roman" w:cs="Times New Roman"/>
                <w:b w:val="0"/>
                <w:bCs w:val="0"/>
                <w:color w:val="auto"/>
                <w:sz w:val="21"/>
                <w:szCs w:val="21"/>
                <w:lang w:eastAsia="zh-CN"/>
              </w:rPr>
              <w:t>江苏天雨、江苏兆盛、无锡通用、宜兴泉溪、江苏新浪</w:t>
            </w:r>
            <w:r>
              <w:rPr>
                <w:rFonts w:hint="eastAsia" w:ascii="Times New Roman" w:hAnsi="Times New Roman" w:cs="Times New Roman"/>
                <w:b w:val="0"/>
                <w:bCs w:val="0"/>
                <w:color w:val="auto"/>
                <w:sz w:val="21"/>
                <w:szCs w:val="21"/>
                <w:lang w:eastAsia="zh-CN"/>
              </w:rPr>
              <w:t>、</w:t>
            </w:r>
            <w:r>
              <w:rPr>
                <w:rFonts w:hint="eastAsia" w:ascii="Times New Roman" w:hAnsi="Times New Roman" w:cs="Times New Roman"/>
                <w:b w:val="0"/>
                <w:bCs w:val="0"/>
                <w:color w:val="auto"/>
                <w:sz w:val="21"/>
                <w:szCs w:val="21"/>
                <w:lang w:val="en-US" w:eastAsia="zh-CN"/>
              </w:rPr>
              <w:t>欧亚华都、江苏一环、江苏通环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放空阀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DN250，1.0MPa</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个</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6</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用于上清液排出管</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蝶阀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DN150，1.0MPa</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个</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用于进出泥管</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沼气报警装置</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个</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电动葫芦</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起重量3T，起升高度12m，P=3.4kW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个</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Align w:val="center"/>
          </w:tcPr>
          <w:p>
            <w:pPr>
              <w:spacing w:line="360" w:lineRule="auto"/>
              <w:rPr>
                <w:rFonts w:hint="default" w:ascii="Times New Roman" w:hAnsi="Times New Roman" w:cs="Times New Roman"/>
                <w:b w:val="0"/>
                <w:bCs w:val="0"/>
                <w:color w:val="auto"/>
                <w:sz w:val="21"/>
                <w:szCs w:val="21"/>
                <w:lang w:val="en-US" w:eastAsia="zh-CN"/>
              </w:rPr>
            </w:pPr>
            <w:r>
              <w:rPr>
                <w:rFonts w:ascii="Times New Roman" w:hAnsi="Times New Roman" w:cs="Times New Roman"/>
                <w:b w:val="0"/>
                <w:bCs w:val="0"/>
                <w:color w:val="auto"/>
                <w:sz w:val="21"/>
                <w:szCs w:val="21"/>
                <w:lang w:eastAsia="zh-CN"/>
              </w:rPr>
              <w:t>华建重工、河南大方、河南纽科伦、河南矿山</w:t>
            </w:r>
            <w:r>
              <w:rPr>
                <w:rFonts w:hint="eastAsia" w:ascii="Times New Roman" w:hAnsi="Times New Roman" w:cs="Times New Roman"/>
                <w:b w:val="0"/>
                <w:bCs w:val="0"/>
                <w:color w:val="auto"/>
                <w:sz w:val="21"/>
                <w:szCs w:val="21"/>
                <w:lang w:eastAsia="zh-CN"/>
              </w:rPr>
              <w:t>、</w:t>
            </w:r>
            <w:r>
              <w:rPr>
                <w:rFonts w:hint="eastAsia" w:ascii="Times New Roman" w:hAnsi="Times New Roman" w:cs="Times New Roman"/>
                <w:b w:val="0"/>
                <w:bCs w:val="0"/>
                <w:color w:val="auto"/>
                <w:sz w:val="21"/>
                <w:szCs w:val="21"/>
                <w:lang w:val="en-US" w:eastAsia="zh-CN"/>
              </w:rPr>
              <w:t>河南卫华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出水固定堰板</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B=250mm</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米</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150</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含适量配件</w:t>
            </w:r>
          </w:p>
        </w:tc>
        <w:tc>
          <w:tcPr>
            <w:tcW w:w="3544" w:type="dxa"/>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污泥排放泵</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Q=65m³/h，H=20m，</w:t>
            </w:r>
            <w:r>
              <w:rPr>
                <w:rFonts w:ascii="Times New Roman" w:hAnsi="Times New Roman" w:cs="Times New Roman"/>
                <w:b w:val="0"/>
                <w:bCs w:val="0"/>
                <w:color w:val="auto"/>
                <w:sz w:val="21"/>
                <w:szCs w:val="21"/>
                <w:lang w:eastAsia="zh-CN"/>
              </w:rPr>
              <w:t>P=15</w:t>
            </w:r>
            <w:r>
              <w:rPr>
                <w:rFonts w:ascii="Times New Roman" w:hAnsi="Times New Roman" w:cs="Times New Roman"/>
                <w:b w:val="0"/>
                <w:bCs w:val="0"/>
                <w:color w:val="auto"/>
                <w:sz w:val="21"/>
                <w:szCs w:val="21"/>
              </w:rPr>
              <w:t>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个</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 xml:space="preserve">近期1用1备 </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飞力、KSB、ABS、耐驰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缓闭止回阀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DN150，1.0MPa</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 xml:space="preserve">底泥排出管 </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9</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手动闸阀（法兰式）</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DN150，1.0MPa</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底泥排出管</w:t>
            </w:r>
          </w:p>
        </w:tc>
        <w:tc>
          <w:tcPr>
            <w:tcW w:w="3544" w:type="dxa"/>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10</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泥位计</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H=0~10m</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统计于自控</w:t>
            </w:r>
          </w:p>
        </w:tc>
        <w:tc>
          <w:tcPr>
            <w:tcW w:w="3544" w:type="dxa"/>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MLSS计</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统计于自控</w:t>
            </w:r>
          </w:p>
        </w:tc>
        <w:tc>
          <w:tcPr>
            <w:tcW w:w="3544" w:type="dxa"/>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restart"/>
            <w:shd w:val="clear" w:color="auto" w:fill="auto"/>
            <w:vAlign w:val="center"/>
          </w:tcPr>
          <w:p>
            <w:pPr>
              <w:spacing w:line="360" w:lineRule="auto"/>
              <w:jc w:val="center"/>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污泥脱水干化、碳化车间</w:t>
            </w: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调质池搅拌器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D400，N=4kW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Merge w:val="restart"/>
            <w:vAlign w:val="center"/>
          </w:tcPr>
          <w:p>
            <w:pPr>
              <w:spacing w:line="360" w:lineRule="auto"/>
              <w:rPr>
                <w:rFonts w:hint="default" w:ascii="Times New Roman" w:hAnsi="Times New Roman" w:cs="Times New Roman"/>
                <w:b w:val="0"/>
                <w:bCs w:val="0"/>
                <w:color w:val="auto"/>
                <w:sz w:val="21"/>
                <w:szCs w:val="21"/>
                <w:lang w:val="en-US" w:eastAsia="zh-CN"/>
              </w:rPr>
            </w:pPr>
            <w:r>
              <w:rPr>
                <w:rFonts w:ascii="Times New Roman" w:hAnsi="Times New Roman" w:cs="Times New Roman"/>
                <w:b w:val="0"/>
                <w:bCs w:val="0"/>
                <w:color w:val="auto"/>
                <w:sz w:val="21"/>
                <w:szCs w:val="21"/>
                <w:lang w:eastAsia="zh-CN"/>
              </w:rPr>
              <w:t>污泥脱水干化、碳化车间设备属于功能包，</w:t>
            </w:r>
            <w:r>
              <w:rPr>
                <w:rFonts w:hint="eastAsia" w:ascii="Times New Roman" w:hAnsi="Times New Roman" w:cs="Times New Roman"/>
                <w:b w:val="0"/>
                <w:bCs w:val="0"/>
                <w:color w:val="auto"/>
                <w:sz w:val="21"/>
                <w:szCs w:val="21"/>
                <w:lang w:eastAsia="zh-CN"/>
              </w:rPr>
              <w:t>上海复洁、景津环保、浙江天通新、上海仁创、广州晟启、</w:t>
            </w:r>
            <w:r>
              <w:rPr>
                <w:rFonts w:hint="eastAsia" w:ascii="Times New Roman" w:hAnsi="Times New Roman" w:cs="Times New Roman"/>
                <w:b w:val="0"/>
                <w:bCs w:val="0"/>
                <w:color w:val="auto"/>
                <w:sz w:val="21"/>
                <w:szCs w:val="21"/>
                <w:lang w:val="en-US" w:eastAsia="zh-CN"/>
              </w:rPr>
              <w:t>得利满、鼎久、山东金孚环境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絮凝剂配制装置</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4000L/h，N=5kW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主机进料泵</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Q=63m³/h，H=100m，N=37kW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变频</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污泥切割机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Q=100m³/h，N=3kW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絮凝剂加药泵</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Q=2.5m³/h，H=20m，N=2.2kW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变频</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静态混合器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DN150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低温真空脱水干化一体机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DZG-2000/600，N=22kW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干化主机密闭罩</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DZG-2000/600型</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9</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污泥脱水干化成套设备控制软件</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V2.0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10</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热水箱</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V=50m³</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11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热水箱冷凝器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A=5㎡</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12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压榨泵</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Q=30m³/h，H=100m，N=15kW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13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加热泵</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Q=200m³/h，H=20m，N=18.5kW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14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热水循环泵</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Q=180m³/h，H=20m，N=18.5kW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15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热泵</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制热量1000kW，N=406kW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16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真空泵</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43m³/min，15kPa，N=55kW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17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冷凝器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A=180m²</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18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缓冲罐</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0.8m³</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19</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冷凝液储罐</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1.5m³</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20</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冷却水泵</w:t>
            </w:r>
            <w:r>
              <w:rPr>
                <w:rFonts w:ascii="Times New Roman" w:hAnsi="Times New Roman" w:cs="Times New Roman"/>
                <w:b w:val="0"/>
                <w:bCs w:val="0"/>
                <w:color w:val="auto"/>
                <w:sz w:val="21"/>
                <w:szCs w:val="21"/>
                <w:lang w:eastAsia="zh-CN"/>
              </w:rPr>
              <w:t>（清水）</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Q=150m³/h，H=20m,N=15kW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21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清洗泵</w:t>
            </w:r>
            <w:r>
              <w:rPr>
                <w:rFonts w:ascii="Times New Roman" w:hAnsi="Times New Roman" w:cs="Times New Roman"/>
                <w:b w:val="0"/>
                <w:bCs w:val="0"/>
                <w:color w:val="auto"/>
                <w:sz w:val="21"/>
                <w:szCs w:val="21"/>
                <w:lang w:eastAsia="zh-CN"/>
              </w:rPr>
              <w:t>（清水）</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Q=40m³/h，H=30m，N=7.5kW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22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螺杆式空压机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P=10.5bar，2.1m³/min，N=15kW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23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冷冻式干燥机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2.4m³/min，N=0.85kW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24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压缩空气储罐</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8m³，1.05MPa</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25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压缩空气储罐</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1m³，1.05MPa</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26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螺旋输送机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20t/h，N=11kW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27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刮板输送系统</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20t/h，N=30kW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28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干污泥料仓</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60m³，N=40kW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29</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电动葫芦</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起吊重量3t，N=4.9kW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30</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潜污泵</w:t>
            </w:r>
            <w:r>
              <w:rPr>
                <w:rFonts w:ascii="Times New Roman" w:hAnsi="Times New Roman" w:cs="Times New Roman"/>
                <w:b w:val="0"/>
                <w:bCs w:val="0"/>
                <w:color w:val="auto"/>
                <w:sz w:val="21"/>
                <w:szCs w:val="21"/>
                <w:lang w:eastAsia="zh-CN"/>
              </w:rPr>
              <w:t>（污水）</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Q=20m³/h，H=20m，N=7.5kW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近期1用1备，</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31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控制柜(PLC柜)</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32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仪表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33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阀门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shd w:val="clear" w:color="auto" w:fill="auto"/>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34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刮板输送机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10t/h，N=22kW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35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干污泥缓存料仓</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D=2000mm，N=3kW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36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气动插板阀</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DN300</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37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进料密封螺旋</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Q=1.5m³/h，N=4.5kW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变频</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38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热解炉</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ϕ1000*10m，N=4.5kW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变频</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39</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热风炉</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ϕ1000*9.0m</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40</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低氮燃烧器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主火功率100×104Kcal/h,N=3kW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变频</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41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配风机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Q=1600Nm³/h，P=3kPa，N=4.5kW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变频</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42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旋风除尘器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D=500mm</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43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防爆引风机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Q=600Nm³/h，P=30kPa,N=15kW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44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稳压罐</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V=20m³</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45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尿素溶液投加系统</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投加量Q=5kg/h,N=3kW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变频</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46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尿素溶液储罐</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V=200L</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47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烟气冷却器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换热量Q=500kw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48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烟气冷却水泵</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Q=150m³/h，H=30m，N=22kW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变频</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49</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消石灰喷射系统</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投加量Q=20kg/h,N=3kW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变频</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50</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消石灰储仓</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V=1.5m³</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51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活性炭喷射系统</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投加量Q=5kg/h,N=3kW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变频</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52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活性炭储仓</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V=200L</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53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布袋除尘系统</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Q=2000Nm³/h,N=5kW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54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引风机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Q=2000Nm³/hP=4kPa，N=22kW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变频</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55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烟囱</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D=800mmH=30m</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56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水冷出渣螺旋</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Q=1.5m³/h，N=3kW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57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刮板输送机</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Q=5m³/h/h，N=15kW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58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生物炭料仓</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D=3000mmV=30m³，N=7.5kW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59</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螺旋输送机(装车)</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Q=20m³/h，N=11kW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60</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刮板输送机(装车)</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Q=20m³/h，N=22kW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61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电动葫芦</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起吊重量3t，N=4.9kW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 xml:space="preserve">远期增加1台， </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62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控制柜(PLC柜)</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N=5.0kW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63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仪表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N=3.0kW</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eastAsia="等线" w:cs="Times New Roman"/>
                <w:b w:val="0"/>
                <w:bCs w:val="0"/>
                <w:color w:val="auto"/>
                <w:sz w:val="21"/>
                <w:szCs w:val="21"/>
              </w:rPr>
              <w:t>64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阀门</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　</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套</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restart"/>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除臭</w:t>
            </w: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生物除臭设备</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Q=23000m³/h</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用于预处理区</w:t>
            </w:r>
          </w:p>
        </w:tc>
        <w:tc>
          <w:tcPr>
            <w:tcW w:w="3544" w:type="dxa"/>
            <w:vMerge w:val="restart"/>
            <w:vAlign w:val="center"/>
          </w:tcPr>
          <w:p>
            <w:pPr>
              <w:spacing w:line="360" w:lineRule="auto"/>
              <w:rPr>
                <w:rFonts w:hint="default"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eastAsia="zh-CN"/>
              </w:rPr>
              <w:t>南方环保、江苏博恩、西源、宜兴文峰环境、中威环境、连邦环境、</w:t>
            </w:r>
            <w:r>
              <w:rPr>
                <w:rFonts w:hint="eastAsia" w:ascii="Times New Roman" w:hAnsi="Times New Roman" w:cs="Times New Roman"/>
                <w:b w:val="0"/>
                <w:bCs w:val="0"/>
                <w:color w:val="auto"/>
                <w:sz w:val="21"/>
                <w:szCs w:val="21"/>
                <w:lang w:val="en-US" w:eastAsia="zh-CN"/>
              </w:rPr>
              <w:t>广州金鹏、</w:t>
            </w:r>
            <w:r>
              <w:rPr>
                <w:rFonts w:hint="eastAsia" w:ascii="Times New Roman" w:hAnsi="Times New Roman" w:cs="Times New Roman"/>
                <w:b w:val="0"/>
                <w:bCs w:val="0"/>
                <w:color w:val="auto"/>
                <w:sz w:val="21"/>
                <w:szCs w:val="21"/>
                <w:lang w:eastAsia="zh-CN"/>
              </w:rPr>
              <w:t>新之地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2</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生物除臭设备</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Q=30000m³/h</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用于生物处理好氧段</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生物除臭设备</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Q=11000m³/h</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用于生物处理厌氧、缺氧段</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4</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生物除臭设备</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Q=20000m³/h</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用于二沉池</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5</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生物除臭设备</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Q=18000m³/h</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用于反硝化深床滤池、中间提升泵房及废水池</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6</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生物除臭设备</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Q=24000m³/h</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3</w:t>
            </w:r>
          </w:p>
        </w:tc>
        <w:tc>
          <w:tcPr>
            <w:tcW w:w="2263" w:type="dxa"/>
            <w:vMerge w:val="restart"/>
            <w:shd w:val="clear" w:color="auto" w:fill="auto"/>
            <w:vAlign w:val="center"/>
          </w:tcPr>
          <w:p>
            <w:pPr>
              <w:spacing w:line="360" w:lineRule="auto"/>
              <w:rPr>
                <w:rFonts w:ascii="Times New Roman" w:hAnsi="Times New Roman" w:cs="Times New Roman"/>
                <w:b w:val="0"/>
                <w:bCs w:val="0"/>
                <w:color w:val="auto"/>
                <w:sz w:val="21"/>
                <w:szCs w:val="21"/>
                <w:lang w:eastAsia="zh-CN"/>
              </w:rPr>
            </w:pPr>
            <w:r>
              <w:rPr>
                <w:rFonts w:ascii="Times New Roman" w:hAnsi="Times New Roman" w:cs="Times New Roman"/>
                <w:b w:val="0"/>
                <w:bCs w:val="0"/>
                <w:color w:val="auto"/>
                <w:sz w:val="21"/>
                <w:szCs w:val="21"/>
                <w:lang w:eastAsia="zh-CN"/>
              </w:rPr>
              <w:t>用于污泥浓缩、干化处理区</w:t>
            </w:r>
          </w:p>
        </w:tc>
        <w:tc>
          <w:tcPr>
            <w:tcW w:w="3544" w:type="dxa"/>
            <w:vMerge w:val="continue"/>
            <w:vAlign w:val="center"/>
          </w:tcPr>
          <w:p>
            <w:pPr>
              <w:spacing w:line="360" w:lineRule="auto"/>
              <w:rPr>
                <w:rFonts w:ascii="Times New Roman" w:hAnsi="Times New Roman"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lang w:eastAsia="zh-CN"/>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7</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生物除臭设备</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Q=18000m³/h</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vMerge w:val="continue"/>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8</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生物除臭设备</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Q=30000m³/h</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vMerge w:val="continue"/>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9</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生物除臭设备</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Q=36000m³/h</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vMerge w:val="restart"/>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用于污泥碳化处理区</w:t>
            </w: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886" w:type="dxa"/>
            <w:vMerge w:val="continue"/>
            <w:vAlign w:val="center"/>
          </w:tcPr>
          <w:p>
            <w:pPr>
              <w:spacing w:line="360" w:lineRule="auto"/>
              <w:rPr>
                <w:rFonts w:ascii="Times New Roman" w:hAnsi="Times New Roman" w:cs="Times New Roman"/>
                <w:b w:val="0"/>
                <w:bCs w:val="0"/>
                <w:color w:val="auto"/>
                <w:sz w:val="21"/>
                <w:szCs w:val="21"/>
              </w:rPr>
            </w:pPr>
          </w:p>
        </w:tc>
        <w:tc>
          <w:tcPr>
            <w:tcW w:w="67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10</w:t>
            </w:r>
          </w:p>
        </w:tc>
        <w:tc>
          <w:tcPr>
            <w:tcW w:w="1842"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生物除臭设备</w:t>
            </w:r>
          </w:p>
        </w:tc>
        <w:tc>
          <w:tcPr>
            <w:tcW w:w="3261"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Q=7000m³/h</w:t>
            </w:r>
          </w:p>
        </w:tc>
        <w:tc>
          <w:tcPr>
            <w:tcW w:w="708"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台</w:t>
            </w:r>
          </w:p>
        </w:tc>
        <w:tc>
          <w:tcPr>
            <w:tcW w:w="714" w:type="dxa"/>
            <w:shd w:val="clear" w:color="auto" w:fill="auto"/>
            <w:vAlign w:val="center"/>
          </w:tcPr>
          <w:p>
            <w:pPr>
              <w:spacing w:line="360" w:lineRule="auto"/>
              <w:rPr>
                <w:rFonts w:ascii="Times New Roman" w:hAnsi="Times New Roman" w:cs="Times New Roman"/>
                <w:b w:val="0"/>
                <w:bCs w:val="0"/>
                <w:color w:val="auto"/>
                <w:sz w:val="21"/>
                <w:szCs w:val="21"/>
              </w:rPr>
            </w:pPr>
            <w:r>
              <w:rPr>
                <w:rFonts w:ascii="Times New Roman" w:hAnsi="Times New Roman" w:cs="Times New Roman"/>
                <w:b w:val="0"/>
                <w:bCs w:val="0"/>
                <w:color w:val="auto"/>
                <w:sz w:val="21"/>
                <w:szCs w:val="21"/>
              </w:rPr>
              <w:t>1</w:t>
            </w:r>
          </w:p>
        </w:tc>
        <w:tc>
          <w:tcPr>
            <w:tcW w:w="2263" w:type="dxa"/>
            <w:vMerge w:val="continue"/>
            <w:vAlign w:val="center"/>
          </w:tcPr>
          <w:p>
            <w:pPr>
              <w:spacing w:line="360" w:lineRule="auto"/>
              <w:rPr>
                <w:rFonts w:ascii="Times New Roman" w:hAnsi="Times New Roman" w:cs="Times New Roman"/>
                <w:b w:val="0"/>
                <w:bCs w:val="0"/>
                <w:color w:val="auto"/>
                <w:sz w:val="21"/>
                <w:szCs w:val="21"/>
              </w:rPr>
            </w:pPr>
          </w:p>
        </w:tc>
        <w:tc>
          <w:tcPr>
            <w:tcW w:w="3544" w:type="dxa"/>
            <w:vMerge w:val="continue"/>
            <w:vAlign w:val="center"/>
          </w:tcPr>
          <w:p>
            <w:pPr>
              <w:spacing w:line="360" w:lineRule="auto"/>
              <w:rPr>
                <w:rFonts w:ascii="Times New Roman" w:hAnsi="Times New Roman" w:cs="Times New Roman"/>
                <w:b w:val="0"/>
                <w:bCs w:val="0"/>
                <w:color w:val="auto"/>
                <w:sz w:val="21"/>
                <w:szCs w:val="21"/>
              </w:rPr>
            </w:pPr>
          </w:p>
        </w:tc>
      </w:tr>
      <w:bookmarkEnd w:id="25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restart"/>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通风</w:t>
            </w: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1842" w:type="dxa"/>
            <w:vMerge w:val="restart"/>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座地箱式离心风机</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风量：45000CMH 余压：350Pa 参考功率：15KW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restart"/>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德通，南方，英飞，洛森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风量：31500CMH 余压：300Pa 参考功率：11KW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3</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风量：14000CMH 余压：250Pa 参考功率：4.0KW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4</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风量：8000CMH 余压：200Pa 参考功率：1.5KW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5</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风量：9000CMH 余压：200Pa 参考功率：1.5KW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6</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风量：26500CMH 余压：350Pa 参考功率：7.5KW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7</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风量：23500CMH 余压：300Pa 参考功率：7.5KW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8</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风量：26500CMH 余压：350Pa 参考功率：7.5KW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9</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风量：23500CMH 余压：300Pa 参考功率：7.5KW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10</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风量：24000CMH 余压：350Pa 参考功率：7.5KW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11</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风量：21500CMH 余压：300Pa 参考功率：7.5KW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12</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风量：18000CMH 余压：350Pa 参考功率：5.5KW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13</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风量：13000CMH 余压：300Pa 参考功率：3.0KW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14</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风量：13000CMH 余压：250Pa 参考功率：3.0KW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15</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风量：12000CMH 余压：250Pa 参考功率：3.0KW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16</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风量：10000CMH 余压：200Pa 参考功率：3.0KW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17</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风量：11000CMH 余压：250Pa 参考功率：3.0KW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18</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风量：7000CMH 余压：200Pa 参考功率：0.45KW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19</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风量：6500CMH 余压：200Pa 参考功率：0.45KW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20</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风量：41500CMH 余压：300Pa 参考功率：18.5KW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21</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风量：46500CMH 余压：300Pa 参考功率：18.5KW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22</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风量：15000CMH 余压：300Pa 参考功率：4.0KW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23</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风量：15000CMH 余压：200Pa 参考功率：4.0KW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24</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风量：24000CMH 余压：250Pa 参考功率：7.5KW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25</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风量：24000CMH 余压：280Pa 参考功率：7.5KW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26</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风量：17000CMH 余压：250Pa 参考功率：4.0KW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27</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风量：17000CMH 余压：250Pa 参考功率：4.0KW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28</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风量：17000CMH 余压：250Pa 参考功率：4.0KW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29</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风量：13000CMH 余压：250Pa 参考功率：4.0KW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30</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风量：24000CMH 余压：250Pa 参考功率：7.5KW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31</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风量：26500CMH 余压：250Pa 参考功率：7.5KW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32</w:t>
            </w:r>
          </w:p>
        </w:tc>
        <w:tc>
          <w:tcPr>
            <w:tcW w:w="1842" w:type="dxa"/>
            <w:vMerge w:val="restart"/>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吊装箱式离心风机</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风量：13000CMH 余压：200Pa 参考功率：3.0KW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33</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风量：12000CMH 余压：250Pa 参考功率：3.0KW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34</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风量：10000CMH 余压：200Pa 参考功率：3.0KW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35</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风量：11000CMH 余压：250Pa 参考功率：3.0KW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36</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风量：4000CMH 余压：150Pa 参考功率：0.45KW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37</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风量：4500CMH 余压：100Pa 参考功率：0.45KW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38</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风量：4000CMH 余压：100Pa 参考功率：0.45KW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39</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风量：4500CMH 余压：100Pa 参考功率：0.45KW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40</w:t>
            </w:r>
          </w:p>
        </w:tc>
        <w:tc>
          <w:tcPr>
            <w:tcW w:w="1842" w:type="dxa"/>
            <w:vMerge w:val="restart"/>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吊装防爆离心风机</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风量：3000CMH 余压：150Pa 参考功率：0.37KW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41</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风量：3000CMH 余压：150Pa 参考功率：0.37KW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42</w:t>
            </w:r>
          </w:p>
        </w:tc>
        <w:tc>
          <w:tcPr>
            <w:tcW w:w="1842"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吊装管道风机</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风量：300CMH 余压：100Pa 参考功率：120W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43</w:t>
            </w:r>
          </w:p>
        </w:tc>
        <w:tc>
          <w:tcPr>
            <w:tcW w:w="1842" w:type="dxa"/>
            <w:vMerge w:val="restart"/>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座地箱式双速离心风机</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平时低速 风量：26500CMH 余压：300Pa 参考功率：7.5KW</w:t>
            </w:r>
          </w:p>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消防高速 风量：37000CMH 余压：600Pa 参考功率：15KW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44</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平时低速 风量：26500CMH 余压：300Pa 参考功率：7.5KW       消防高速 风量：37000CMH 余压：600Pa 参考功率：15KW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45</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平时低速 风量：26500CMH 余压：300Pa 参考功率：7.5KW</w:t>
            </w:r>
          </w:p>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消防高速 风量：36000CMH 余压：600Pa 参考功率：15KW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46</w:t>
            </w:r>
          </w:p>
        </w:tc>
        <w:tc>
          <w:tcPr>
            <w:tcW w:w="1842" w:type="dxa"/>
            <w:vMerge w:val="restart"/>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吊装轴流风机</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风量：20000CMH 全压：350Pa 参考功率：4.0KW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47</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风量：11000CMH 全压：300Pa 参考功率：3.0KW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3</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48</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风量：30000CMH 全压：350Pa 参考功率：5.5KW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49</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风量：20000CMH 全压：350Pa 参考功率：4.0KW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50</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风量：11000CMH 全压：300Pa 参考功率：3.0KW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51</w:t>
            </w:r>
          </w:p>
        </w:tc>
        <w:tc>
          <w:tcPr>
            <w:tcW w:w="1842" w:type="dxa"/>
            <w:vMerge w:val="restart"/>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墙式轴流风机</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风量：2000CMH 全压：50Pa 参考功率：0.55KW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52</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风量：3500CMH 全压：50Pa 参考功率：0.55KW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53</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风量：2500CMH 全压：50Pa 参考功率：0.55KW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54</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风量：4000CMH 全压：50Pa 参考功率：0.55KW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55</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风量：5500CMH 全压：50Pa 参考功率：0.55KW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56</w:t>
            </w:r>
          </w:p>
        </w:tc>
        <w:tc>
          <w:tcPr>
            <w:tcW w:w="1842"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明装风管式多联机室内机</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MG71   制冷量：7.1KW 参考功率：200W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restart"/>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日立，美的，格力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57</w:t>
            </w:r>
          </w:p>
        </w:tc>
        <w:tc>
          <w:tcPr>
            <w:tcW w:w="1842"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MG80   制冷量：8.0KW 参考功率：250W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58</w:t>
            </w:r>
          </w:p>
        </w:tc>
        <w:tc>
          <w:tcPr>
            <w:tcW w:w="1842"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MG125  制冷量：12.5KW 参考功率：300W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9</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59</w:t>
            </w:r>
          </w:p>
        </w:tc>
        <w:tc>
          <w:tcPr>
            <w:tcW w:w="1842"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直流变频多联室外机（冷媒为环保冷媒）</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xml:space="preserve">多联机室外机38HP制冷量:107KW  机外静压≥75Pa 参考功率:35.7KW  </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60</w:t>
            </w:r>
          </w:p>
        </w:tc>
        <w:tc>
          <w:tcPr>
            <w:tcW w:w="1842"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xml:space="preserve">多联机室外机8HP制冷量:22.4KW  机外静压≥75Pa 参考功率:5.3KW  </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61</w:t>
            </w:r>
          </w:p>
        </w:tc>
        <w:tc>
          <w:tcPr>
            <w:tcW w:w="1842"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变频风管机3P</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制冷量：7200W        参考功率：2200W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3</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62</w:t>
            </w:r>
          </w:p>
        </w:tc>
        <w:tc>
          <w:tcPr>
            <w:tcW w:w="1842"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分体空调3P</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制冷量：7200W        参考功率：1950W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3</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63</w:t>
            </w:r>
          </w:p>
        </w:tc>
        <w:tc>
          <w:tcPr>
            <w:tcW w:w="1842" w:type="dxa"/>
            <w:vMerge w:val="restart"/>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窗（墙）式排气扇</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12" 风量:1200CMH  参考功率:60W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32</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restart"/>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金羚，正野，绿岛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64</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6" 风量:500CMH  参考功率:60W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65</w:t>
            </w:r>
          </w:p>
        </w:tc>
        <w:tc>
          <w:tcPr>
            <w:tcW w:w="1842" w:type="dxa"/>
            <w:vMerge w:val="continue"/>
            <w:vAlign w:val="center"/>
          </w:tcPr>
          <w:p>
            <w:pPr>
              <w:widowControl/>
              <w:rPr>
                <w:rFonts w:ascii="Times New Roman" w:hAnsi="Times New Roman" w:eastAsia="宋体" w:cs="Times New Roman"/>
                <w:b w:val="0"/>
                <w:bCs w:val="0"/>
                <w:color w:val="auto"/>
                <w:sz w:val="21"/>
                <w:szCs w:val="21"/>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4" 风量:250CMH  参考功率:60W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2</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66</w:t>
            </w:r>
          </w:p>
        </w:tc>
        <w:tc>
          <w:tcPr>
            <w:tcW w:w="1842"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天花式排气扇</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P1.5  风量：300CMH 余压：10Pa 参考功率：50W</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13</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continue"/>
            <w:vAlign w:val="center"/>
          </w:tcPr>
          <w:p>
            <w:pPr>
              <w:widowControl/>
              <w:rPr>
                <w:rFonts w:ascii="Times New Roman" w:hAnsi="Times New Roman" w:eastAsia="宋体" w:cs="Times New Roman"/>
                <w:b w:val="0"/>
                <w:bCs w:val="0"/>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67</w:t>
            </w:r>
          </w:p>
        </w:tc>
        <w:tc>
          <w:tcPr>
            <w:tcW w:w="1842"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防火包裹</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一批</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华利，赢胜，洛克威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68</w:t>
            </w:r>
          </w:p>
        </w:tc>
        <w:tc>
          <w:tcPr>
            <w:tcW w:w="1842" w:type="dxa"/>
            <w:vMerge w:val="restart"/>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风道式光等离子除臭设备</w:t>
            </w:r>
          </w:p>
        </w:tc>
        <w:tc>
          <w:tcPr>
            <w:tcW w:w="3261"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xml:space="preserve">处理风量：28000CMH 参考功率：2500W  </w:t>
            </w:r>
          </w:p>
        </w:tc>
        <w:tc>
          <w:tcPr>
            <w:tcW w:w="708"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　</w:t>
            </w:r>
          </w:p>
        </w:tc>
        <w:tc>
          <w:tcPr>
            <w:tcW w:w="3544" w:type="dxa"/>
            <w:vMerge w:val="restart"/>
            <w:shd w:val="clear" w:color="auto" w:fill="auto"/>
            <w:vAlign w:val="center"/>
          </w:tcPr>
          <w:p>
            <w:pPr>
              <w:widowControl/>
              <w:rPr>
                <w:rFonts w:ascii="Times New Roman" w:hAnsi="Times New Roman" w:eastAsia="宋体" w:cs="Times New Roman"/>
                <w:b w:val="0"/>
                <w:bCs w:val="0"/>
                <w:color w:val="auto"/>
                <w:sz w:val="21"/>
                <w:szCs w:val="21"/>
                <w:lang w:eastAsia="zh-CN"/>
              </w:rPr>
            </w:pPr>
            <w:r>
              <w:rPr>
                <w:rFonts w:ascii="Times New Roman" w:hAnsi="Times New Roman" w:eastAsia="宋体" w:cs="Times New Roman"/>
                <w:b w:val="0"/>
                <w:bCs w:val="0"/>
                <w:color w:val="auto"/>
                <w:sz w:val="21"/>
                <w:szCs w:val="21"/>
                <w:lang w:eastAsia="zh-CN"/>
              </w:rPr>
              <w:t>国内知名品牌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69</w:t>
            </w:r>
          </w:p>
        </w:tc>
        <w:tc>
          <w:tcPr>
            <w:tcW w:w="1842" w:type="dxa"/>
            <w:vMerge w:val="continue"/>
            <w:vAlign w:val="center"/>
          </w:tcPr>
          <w:p>
            <w:pPr>
              <w:widowControl/>
              <w:rPr>
                <w:rFonts w:ascii="Times New Roman" w:hAnsi="Times New Roman" w:eastAsia="宋体" w:cs="Times New Roman"/>
                <w:b w:val="0"/>
                <w:bCs w:val="0"/>
                <w:color w:val="auto"/>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xml:space="preserve">处理风量：23000CMH 参考功率：2500W  </w:t>
            </w:r>
          </w:p>
        </w:tc>
        <w:tc>
          <w:tcPr>
            <w:tcW w:w="708"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2</w:t>
            </w:r>
          </w:p>
        </w:tc>
        <w:tc>
          <w:tcPr>
            <w:tcW w:w="2263"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w:t>
            </w:r>
          </w:p>
        </w:tc>
        <w:tc>
          <w:tcPr>
            <w:tcW w:w="3544" w:type="dxa"/>
            <w:vMerge w:val="continue"/>
            <w:vAlign w:val="center"/>
          </w:tcPr>
          <w:p>
            <w:pPr>
              <w:widowControl/>
              <w:rPr>
                <w:rFonts w:ascii="Times New Roman" w:hAnsi="Times New Roman" w:eastAsia="宋体" w:cs="Times New Roman"/>
                <w:b w:val="0"/>
                <w:bCs w:val="0"/>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70</w:t>
            </w:r>
          </w:p>
        </w:tc>
        <w:tc>
          <w:tcPr>
            <w:tcW w:w="1842" w:type="dxa"/>
            <w:vMerge w:val="continue"/>
            <w:vAlign w:val="center"/>
          </w:tcPr>
          <w:p>
            <w:pPr>
              <w:widowControl/>
              <w:rPr>
                <w:rFonts w:ascii="Times New Roman" w:hAnsi="Times New Roman" w:eastAsia="宋体" w:cs="Times New Roman"/>
                <w:b w:val="0"/>
                <w:bCs w:val="0"/>
                <w:color w:val="auto"/>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xml:space="preserve">处理风量：28000CMH 参考功率：2500W  </w:t>
            </w:r>
          </w:p>
        </w:tc>
        <w:tc>
          <w:tcPr>
            <w:tcW w:w="708"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w:t>
            </w:r>
          </w:p>
        </w:tc>
        <w:tc>
          <w:tcPr>
            <w:tcW w:w="3544" w:type="dxa"/>
            <w:vMerge w:val="continue"/>
            <w:vAlign w:val="center"/>
          </w:tcPr>
          <w:p>
            <w:pPr>
              <w:widowControl/>
              <w:rPr>
                <w:rFonts w:ascii="Times New Roman" w:hAnsi="Times New Roman" w:eastAsia="宋体" w:cs="Times New Roman"/>
                <w:b w:val="0"/>
                <w:bCs w:val="0"/>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71</w:t>
            </w:r>
          </w:p>
        </w:tc>
        <w:tc>
          <w:tcPr>
            <w:tcW w:w="1842" w:type="dxa"/>
            <w:vMerge w:val="continue"/>
            <w:vAlign w:val="center"/>
          </w:tcPr>
          <w:p>
            <w:pPr>
              <w:widowControl/>
              <w:rPr>
                <w:rFonts w:ascii="Times New Roman" w:hAnsi="Times New Roman" w:eastAsia="宋体" w:cs="Times New Roman"/>
                <w:b w:val="0"/>
                <w:bCs w:val="0"/>
                <w:color w:val="auto"/>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xml:space="preserve">处理风量：28000CMH 参考功率：2500W  </w:t>
            </w:r>
          </w:p>
        </w:tc>
        <w:tc>
          <w:tcPr>
            <w:tcW w:w="708"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w:t>
            </w:r>
          </w:p>
        </w:tc>
        <w:tc>
          <w:tcPr>
            <w:tcW w:w="3544" w:type="dxa"/>
            <w:vMerge w:val="continue"/>
            <w:vAlign w:val="center"/>
          </w:tcPr>
          <w:p>
            <w:pPr>
              <w:widowControl/>
              <w:rPr>
                <w:rFonts w:ascii="Times New Roman" w:hAnsi="Times New Roman" w:eastAsia="宋体" w:cs="Times New Roman"/>
                <w:b w:val="0"/>
                <w:bCs w:val="0"/>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72</w:t>
            </w:r>
          </w:p>
        </w:tc>
        <w:tc>
          <w:tcPr>
            <w:tcW w:w="1842" w:type="dxa"/>
            <w:vMerge w:val="continue"/>
            <w:vAlign w:val="center"/>
          </w:tcPr>
          <w:p>
            <w:pPr>
              <w:widowControl/>
              <w:rPr>
                <w:rFonts w:ascii="Times New Roman" w:hAnsi="Times New Roman" w:eastAsia="宋体" w:cs="Times New Roman"/>
                <w:b w:val="0"/>
                <w:bCs w:val="0"/>
                <w:color w:val="auto"/>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处理风量：25000CMH 参考功率：2500W</w:t>
            </w:r>
          </w:p>
        </w:tc>
        <w:tc>
          <w:tcPr>
            <w:tcW w:w="708"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w:t>
            </w:r>
          </w:p>
        </w:tc>
        <w:tc>
          <w:tcPr>
            <w:tcW w:w="3544" w:type="dxa"/>
            <w:vMerge w:val="continue"/>
            <w:vAlign w:val="center"/>
          </w:tcPr>
          <w:p>
            <w:pPr>
              <w:widowControl/>
              <w:rPr>
                <w:rFonts w:ascii="Times New Roman" w:hAnsi="Times New Roman" w:eastAsia="宋体" w:cs="Times New Roman"/>
                <w:b w:val="0"/>
                <w:bCs w:val="0"/>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73</w:t>
            </w:r>
          </w:p>
        </w:tc>
        <w:tc>
          <w:tcPr>
            <w:tcW w:w="1842" w:type="dxa"/>
            <w:vMerge w:val="continue"/>
            <w:vAlign w:val="center"/>
          </w:tcPr>
          <w:p>
            <w:pPr>
              <w:widowControl/>
              <w:rPr>
                <w:rFonts w:ascii="Times New Roman" w:hAnsi="Times New Roman" w:eastAsia="宋体" w:cs="Times New Roman"/>
                <w:b w:val="0"/>
                <w:bCs w:val="0"/>
                <w:color w:val="auto"/>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xml:space="preserve">处理风量：20000CMH 参考功率：2500W  </w:t>
            </w:r>
          </w:p>
        </w:tc>
        <w:tc>
          <w:tcPr>
            <w:tcW w:w="708"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w:t>
            </w:r>
          </w:p>
        </w:tc>
        <w:tc>
          <w:tcPr>
            <w:tcW w:w="3544" w:type="dxa"/>
            <w:vMerge w:val="continue"/>
            <w:vAlign w:val="center"/>
          </w:tcPr>
          <w:p>
            <w:pPr>
              <w:widowControl/>
              <w:rPr>
                <w:rFonts w:ascii="Times New Roman" w:hAnsi="Times New Roman" w:eastAsia="宋体" w:cs="Times New Roman"/>
                <w:b w:val="0"/>
                <w:bCs w:val="0"/>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74</w:t>
            </w:r>
          </w:p>
        </w:tc>
        <w:tc>
          <w:tcPr>
            <w:tcW w:w="1842" w:type="dxa"/>
            <w:vMerge w:val="continue"/>
            <w:vAlign w:val="center"/>
          </w:tcPr>
          <w:p>
            <w:pPr>
              <w:widowControl/>
              <w:rPr>
                <w:rFonts w:ascii="Times New Roman" w:hAnsi="Times New Roman" w:eastAsia="宋体" w:cs="Times New Roman"/>
                <w:b w:val="0"/>
                <w:bCs w:val="0"/>
                <w:color w:val="auto"/>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xml:space="preserve">处理风量：28000CMH 参考功率：2500W  </w:t>
            </w:r>
          </w:p>
        </w:tc>
        <w:tc>
          <w:tcPr>
            <w:tcW w:w="708"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2</w:t>
            </w:r>
          </w:p>
        </w:tc>
        <w:tc>
          <w:tcPr>
            <w:tcW w:w="2263"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w:t>
            </w:r>
          </w:p>
        </w:tc>
        <w:tc>
          <w:tcPr>
            <w:tcW w:w="3544" w:type="dxa"/>
            <w:vMerge w:val="continue"/>
            <w:vAlign w:val="center"/>
          </w:tcPr>
          <w:p>
            <w:pPr>
              <w:widowControl/>
              <w:rPr>
                <w:rFonts w:ascii="Times New Roman" w:hAnsi="Times New Roman" w:eastAsia="宋体" w:cs="Times New Roman"/>
                <w:b w:val="0"/>
                <w:bCs w:val="0"/>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75</w:t>
            </w:r>
          </w:p>
        </w:tc>
        <w:tc>
          <w:tcPr>
            <w:tcW w:w="1842" w:type="dxa"/>
            <w:vMerge w:val="continue"/>
            <w:vAlign w:val="center"/>
          </w:tcPr>
          <w:p>
            <w:pPr>
              <w:widowControl/>
              <w:rPr>
                <w:rFonts w:ascii="Times New Roman" w:hAnsi="Times New Roman" w:eastAsia="宋体" w:cs="Times New Roman"/>
                <w:b w:val="0"/>
                <w:bCs w:val="0"/>
                <w:color w:val="auto"/>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xml:space="preserve">处理风量：13000CMH 参考功率：1500W  </w:t>
            </w:r>
          </w:p>
        </w:tc>
        <w:tc>
          <w:tcPr>
            <w:tcW w:w="708"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w:t>
            </w:r>
          </w:p>
        </w:tc>
        <w:tc>
          <w:tcPr>
            <w:tcW w:w="3544" w:type="dxa"/>
            <w:vMerge w:val="continue"/>
            <w:vAlign w:val="center"/>
          </w:tcPr>
          <w:p>
            <w:pPr>
              <w:widowControl/>
              <w:rPr>
                <w:rFonts w:ascii="Times New Roman" w:hAnsi="Times New Roman" w:eastAsia="宋体" w:cs="Times New Roman"/>
                <w:b w:val="0"/>
                <w:bCs w:val="0"/>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76</w:t>
            </w:r>
          </w:p>
        </w:tc>
        <w:tc>
          <w:tcPr>
            <w:tcW w:w="1842" w:type="dxa"/>
            <w:vMerge w:val="continue"/>
            <w:vAlign w:val="center"/>
          </w:tcPr>
          <w:p>
            <w:pPr>
              <w:widowControl/>
              <w:rPr>
                <w:rFonts w:ascii="Times New Roman" w:hAnsi="Times New Roman" w:eastAsia="宋体" w:cs="Times New Roman"/>
                <w:b w:val="0"/>
                <w:bCs w:val="0"/>
                <w:color w:val="auto"/>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xml:space="preserve">处理风量：8000CMH 参考功率：1000W  </w:t>
            </w:r>
          </w:p>
        </w:tc>
        <w:tc>
          <w:tcPr>
            <w:tcW w:w="708"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w:t>
            </w:r>
          </w:p>
        </w:tc>
        <w:tc>
          <w:tcPr>
            <w:tcW w:w="3544" w:type="dxa"/>
            <w:vMerge w:val="continue"/>
            <w:vAlign w:val="center"/>
          </w:tcPr>
          <w:p>
            <w:pPr>
              <w:widowControl/>
              <w:rPr>
                <w:rFonts w:ascii="Times New Roman" w:hAnsi="Times New Roman" w:eastAsia="宋体" w:cs="Times New Roman"/>
                <w:b w:val="0"/>
                <w:bCs w:val="0"/>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77</w:t>
            </w:r>
          </w:p>
        </w:tc>
        <w:tc>
          <w:tcPr>
            <w:tcW w:w="1842" w:type="dxa"/>
            <w:vMerge w:val="restart"/>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管道式光等离子发生器</w:t>
            </w:r>
          </w:p>
        </w:tc>
        <w:tc>
          <w:tcPr>
            <w:tcW w:w="3261"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xml:space="preserve">处理风量：25000CMH 参考功率：2500W  </w:t>
            </w:r>
          </w:p>
        </w:tc>
        <w:tc>
          <w:tcPr>
            <w:tcW w:w="708"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w:t>
            </w:r>
          </w:p>
        </w:tc>
        <w:tc>
          <w:tcPr>
            <w:tcW w:w="3544" w:type="dxa"/>
            <w:vMerge w:val="continue"/>
            <w:vAlign w:val="center"/>
          </w:tcPr>
          <w:p>
            <w:pPr>
              <w:widowControl/>
              <w:rPr>
                <w:rFonts w:ascii="Times New Roman" w:hAnsi="Times New Roman" w:eastAsia="宋体" w:cs="Times New Roman"/>
                <w:b w:val="0"/>
                <w:bCs w:val="0"/>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78</w:t>
            </w:r>
          </w:p>
        </w:tc>
        <w:tc>
          <w:tcPr>
            <w:tcW w:w="1842" w:type="dxa"/>
            <w:vMerge w:val="continue"/>
            <w:vAlign w:val="center"/>
          </w:tcPr>
          <w:p>
            <w:pPr>
              <w:widowControl/>
              <w:rPr>
                <w:rFonts w:ascii="Times New Roman" w:hAnsi="Times New Roman" w:eastAsia="宋体" w:cs="Times New Roman"/>
                <w:b w:val="0"/>
                <w:bCs w:val="0"/>
                <w:color w:val="auto"/>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xml:space="preserve">处理风量：33000CMH 参考功率：3000W  </w:t>
            </w:r>
          </w:p>
        </w:tc>
        <w:tc>
          <w:tcPr>
            <w:tcW w:w="708"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w:t>
            </w:r>
          </w:p>
        </w:tc>
        <w:tc>
          <w:tcPr>
            <w:tcW w:w="3544" w:type="dxa"/>
            <w:vMerge w:val="continue"/>
            <w:vAlign w:val="center"/>
          </w:tcPr>
          <w:p>
            <w:pPr>
              <w:widowControl/>
              <w:rPr>
                <w:rFonts w:ascii="Times New Roman" w:hAnsi="Times New Roman" w:eastAsia="宋体" w:cs="Times New Roman"/>
                <w:b w:val="0"/>
                <w:bCs w:val="0"/>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79</w:t>
            </w:r>
          </w:p>
        </w:tc>
        <w:tc>
          <w:tcPr>
            <w:tcW w:w="1842" w:type="dxa"/>
            <w:vMerge w:val="continue"/>
            <w:vAlign w:val="center"/>
          </w:tcPr>
          <w:p>
            <w:pPr>
              <w:widowControl/>
              <w:rPr>
                <w:rFonts w:ascii="Times New Roman" w:hAnsi="Times New Roman" w:eastAsia="宋体" w:cs="Times New Roman"/>
                <w:b w:val="0"/>
                <w:bCs w:val="0"/>
                <w:color w:val="auto"/>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xml:space="preserve">处理风量：15000CMH 参考功率：1500W  </w:t>
            </w:r>
          </w:p>
        </w:tc>
        <w:tc>
          <w:tcPr>
            <w:tcW w:w="708"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w:t>
            </w:r>
          </w:p>
        </w:tc>
        <w:tc>
          <w:tcPr>
            <w:tcW w:w="3544" w:type="dxa"/>
            <w:vMerge w:val="continue"/>
            <w:vAlign w:val="center"/>
          </w:tcPr>
          <w:p>
            <w:pPr>
              <w:widowControl/>
              <w:rPr>
                <w:rFonts w:ascii="Times New Roman" w:hAnsi="Times New Roman" w:eastAsia="宋体" w:cs="Times New Roman"/>
                <w:b w:val="0"/>
                <w:bCs w:val="0"/>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80</w:t>
            </w:r>
          </w:p>
        </w:tc>
        <w:tc>
          <w:tcPr>
            <w:tcW w:w="1842" w:type="dxa"/>
            <w:vMerge w:val="continue"/>
            <w:vAlign w:val="center"/>
          </w:tcPr>
          <w:p>
            <w:pPr>
              <w:widowControl/>
              <w:rPr>
                <w:rFonts w:ascii="Times New Roman" w:hAnsi="Times New Roman" w:eastAsia="宋体" w:cs="Times New Roman"/>
                <w:b w:val="0"/>
                <w:bCs w:val="0"/>
                <w:color w:val="auto"/>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xml:space="preserve">处理风量：18000CMH 参考功率：1500W  </w:t>
            </w:r>
          </w:p>
        </w:tc>
        <w:tc>
          <w:tcPr>
            <w:tcW w:w="708"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3</w:t>
            </w:r>
          </w:p>
        </w:tc>
        <w:tc>
          <w:tcPr>
            <w:tcW w:w="2263"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w:t>
            </w:r>
          </w:p>
        </w:tc>
        <w:tc>
          <w:tcPr>
            <w:tcW w:w="3544" w:type="dxa"/>
            <w:vMerge w:val="continue"/>
            <w:vAlign w:val="center"/>
          </w:tcPr>
          <w:p>
            <w:pPr>
              <w:widowControl/>
              <w:rPr>
                <w:rFonts w:ascii="Times New Roman" w:hAnsi="Times New Roman" w:eastAsia="宋体" w:cs="Times New Roman"/>
                <w:b w:val="0"/>
                <w:bCs w:val="0"/>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81</w:t>
            </w:r>
          </w:p>
        </w:tc>
        <w:tc>
          <w:tcPr>
            <w:tcW w:w="1842" w:type="dxa"/>
            <w:vMerge w:val="continue"/>
            <w:vAlign w:val="center"/>
          </w:tcPr>
          <w:p>
            <w:pPr>
              <w:widowControl/>
              <w:rPr>
                <w:rFonts w:ascii="Times New Roman" w:hAnsi="Times New Roman" w:eastAsia="宋体" w:cs="Times New Roman"/>
                <w:b w:val="0"/>
                <w:bCs w:val="0"/>
                <w:color w:val="auto"/>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xml:space="preserve">处理风量：15000CMH 参考功率：1500W  </w:t>
            </w:r>
          </w:p>
        </w:tc>
        <w:tc>
          <w:tcPr>
            <w:tcW w:w="708"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w:t>
            </w:r>
          </w:p>
        </w:tc>
        <w:tc>
          <w:tcPr>
            <w:tcW w:w="3544" w:type="dxa"/>
            <w:vMerge w:val="continue"/>
            <w:vAlign w:val="center"/>
          </w:tcPr>
          <w:p>
            <w:pPr>
              <w:widowControl/>
              <w:rPr>
                <w:rFonts w:ascii="Times New Roman" w:hAnsi="Times New Roman" w:eastAsia="宋体" w:cs="Times New Roman"/>
                <w:b w:val="0"/>
                <w:bCs w:val="0"/>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886" w:type="dxa"/>
            <w:vMerge w:val="continue"/>
            <w:vAlign w:val="center"/>
          </w:tcPr>
          <w:p>
            <w:pPr>
              <w:widowControl/>
              <w:rPr>
                <w:rFonts w:ascii="Times New Roman" w:hAnsi="Times New Roman" w:eastAsia="宋体" w:cs="Times New Roman"/>
                <w:b w:val="0"/>
                <w:bCs w:val="0"/>
                <w:color w:val="auto"/>
                <w:lang w:eastAsia="zh-CN"/>
              </w:rPr>
            </w:pPr>
          </w:p>
        </w:tc>
        <w:tc>
          <w:tcPr>
            <w:tcW w:w="67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82</w:t>
            </w:r>
          </w:p>
        </w:tc>
        <w:tc>
          <w:tcPr>
            <w:tcW w:w="1842" w:type="dxa"/>
            <w:vMerge w:val="continue"/>
            <w:vAlign w:val="center"/>
          </w:tcPr>
          <w:p>
            <w:pPr>
              <w:widowControl/>
              <w:rPr>
                <w:rFonts w:ascii="Times New Roman" w:hAnsi="Times New Roman" w:eastAsia="宋体" w:cs="Times New Roman"/>
                <w:b w:val="0"/>
                <w:bCs w:val="0"/>
                <w:color w:val="auto"/>
                <w:lang w:eastAsia="zh-CN"/>
              </w:rPr>
            </w:pPr>
          </w:p>
        </w:tc>
        <w:tc>
          <w:tcPr>
            <w:tcW w:w="3261"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xml:space="preserve">处理风量：28000CMH 参考功率：2500W  </w:t>
            </w:r>
          </w:p>
        </w:tc>
        <w:tc>
          <w:tcPr>
            <w:tcW w:w="708"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台</w:t>
            </w:r>
          </w:p>
        </w:tc>
        <w:tc>
          <w:tcPr>
            <w:tcW w:w="714"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1</w:t>
            </w:r>
          </w:p>
        </w:tc>
        <w:tc>
          <w:tcPr>
            <w:tcW w:w="2263" w:type="dxa"/>
            <w:shd w:val="clear" w:color="auto" w:fill="auto"/>
            <w:vAlign w:val="center"/>
          </w:tcPr>
          <w:p>
            <w:pPr>
              <w:widowControl/>
              <w:rPr>
                <w:rFonts w:ascii="Times New Roman" w:hAnsi="Times New Roman" w:eastAsia="宋体" w:cs="Times New Roman"/>
                <w:b w:val="0"/>
                <w:bCs w:val="0"/>
                <w:color w:val="auto"/>
                <w:lang w:eastAsia="zh-CN"/>
              </w:rPr>
            </w:pPr>
            <w:r>
              <w:rPr>
                <w:rFonts w:ascii="Times New Roman" w:hAnsi="Times New Roman" w:eastAsia="宋体" w:cs="Times New Roman"/>
                <w:b w:val="0"/>
                <w:bCs w:val="0"/>
                <w:color w:val="auto"/>
                <w:lang w:eastAsia="zh-CN"/>
              </w:rPr>
              <w:t>　</w:t>
            </w:r>
          </w:p>
        </w:tc>
        <w:tc>
          <w:tcPr>
            <w:tcW w:w="3544" w:type="dxa"/>
            <w:vMerge w:val="continue"/>
            <w:vAlign w:val="center"/>
          </w:tcPr>
          <w:p>
            <w:pPr>
              <w:widowControl/>
              <w:rPr>
                <w:rFonts w:ascii="Times New Roman" w:hAnsi="Times New Roman" w:eastAsia="宋体" w:cs="Times New Roman"/>
                <w:b w:val="0"/>
                <w:bCs w:val="0"/>
                <w:color w:val="auto"/>
                <w:lang w:eastAsia="zh-CN"/>
              </w:rPr>
            </w:pPr>
          </w:p>
        </w:tc>
      </w:tr>
    </w:tbl>
    <w:p>
      <w:pPr>
        <w:pStyle w:val="29"/>
        <w:ind w:firstLine="472"/>
        <w:rPr>
          <w:color w:val="auto"/>
        </w:rPr>
      </w:pPr>
      <w:r>
        <w:rPr>
          <w:color w:val="auto"/>
        </w:rPr>
        <w:t>注</w:t>
      </w:r>
      <w:r>
        <w:rPr>
          <w:rFonts w:hint="eastAsia"/>
          <w:color w:val="auto"/>
        </w:rPr>
        <w:t>：</w:t>
      </w:r>
      <w:r>
        <w:rPr>
          <w:rFonts w:ascii="Calibri" w:hAnsi="Calibri" w:eastAsia="Calibri" w:cs="Calibri"/>
          <w:color w:val="auto"/>
        </w:rPr>
        <w:t>1</w:t>
      </w:r>
      <w:r>
        <w:rPr>
          <w:color w:val="auto"/>
        </w:rPr>
        <w:t>、本表所列电气设备仅对应于本节所述方案的主要电气设备，投标人投标人须根据投标方案合理调整电气设备材料，并包含在合同报价之内。</w:t>
      </w:r>
    </w:p>
    <w:p>
      <w:pPr>
        <w:pStyle w:val="29"/>
        <w:ind w:firstLine="472"/>
        <w:rPr>
          <w:color w:val="auto"/>
        </w:rPr>
      </w:pPr>
      <w:r>
        <w:rPr>
          <w:rFonts w:ascii="Calibri" w:hAnsi="Calibri" w:eastAsia="Calibri" w:cs="Calibri"/>
          <w:color w:val="auto"/>
        </w:rPr>
        <w:t>2</w:t>
      </w:r>
      <w:r>
        <w:rPr>
          <w:color w:val="auto"/>
        </w:rPr>
        <w:t>、与污水厂相同类型设备采用相同品牌。</w:t>
      </w:r>
    </w:p>
    <w:p>
      <w:pPr>
        <w:spacing w:before="9"/>
        <w:rPr>
          <w:rFonts w:ascii="宋体" w:hAnsi="宋体" w:eastAsia="宋体" w:cs="宋体"/>
          <w:color w:val="auto"/>
          <w:sz w:val="14"/>
          <w:szCs w:val="14"/>
          <w:lang w:eastAsia="zh-CN"/>
        </w:rPr>
      </w:pPr>
    </w:p>
    <w:p>
      <w:pPr>
        <w:spacing w:line="278" w:lineRule="auto"/>
        <w:jc w:val="center"/>
        <w:rPr>
          <w:rFonts w:ascii="宋体" w:hAnsi="宋体" w:eastAsia="宋体" w:cs="宋体"/>
          <w:color w:val="auto"/>
          <w:sz w:val="21"/>
          <w:szCs w:val="21"/>
          <w:lang w:eastAsia="zh-CN"/>
        </w:rPr>
        <w:sectPr>
          <w:footerReference r:id="rId9" w:type="default"/>
          <w:pgSz w:w="16840" w:h="11910" w:orient="landscape"/>
          <w:pgMar w:top="1100" w:right="1280" w:bottom="1140" w:left="1700" w:header="0" w:footer="955" w:gutter="0"/>
          <w:cols w:space="720" w:num="1"/>
          <w:docGrid w:linePitch="299" w:charSpace="0"/>
        </w:sectPr>
      </w:pPr>
    </w:p>
    <w:p>
      <w:pPr>
        <w:pStyle w:val="30"/>
        <w:spacing w:before="120" w:after="120"/>
        <w:rPr>
          <w:color w:val="auto"/>
        </w:rPr>
      </w:pPr>
      <w:bookmarkStart w:id="253" w:name="_Toc117181367"/>
      <w:r>
        <w:rPr>
          <w:color w:val="auto"/>
        </w:rPr>
        <w:t>粗格栅及提升泵房设备</w:t>
      </w:r>
      <w:bookmarkEnd w:id="253"/>
    </w:p>
    <w:p>
      <w:pPr>
        <w:pStyle w:val="31"/>
        <w:rPr>
          <w:color w:val="auto"/>
        </w:rPr>
      </w:pPr>
      <w:r>
        <w:rPr>
          <w:color w:val="auto"/>
        </w:rPr>
        <w:t>钢丝绳牵引式粗格栅机</w:t>
      </w:r>
    </w:p>
    <w:tbl>
      <w:tblPr>
        <w:tblStyle w:val="23"/>
        <w:tblW w:w="8726"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1"/>
        <w:gridCol w:w="3241"/>
        <w:gridCol w:w="3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blHeader/>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bookmarkStart w:id="254" w:name="RANGE!A2"/>
            <w:r>
              <w:rPr>
                <w:rFonts w:hint="eastAsia" w:ascii="宋体" w:hAnsi="宋体" w:eastAsia="宋体" w:cs="宋体"/>
                <w:color w:val="auto"/>
                <w:sz w:val="21"/>
                <w:szCs w:val="21"/>
                <w:lang w:eastAsia="zh-CN"/>
              </w:rPr>
              <w:t>项目</w:t>
            </w:r>
            <w:bookmarkEnd w:id="254"/>
          </w:p>
        </w:tc>
        <w:tc>
          <w:tcPr>
            <w:tcW w:w="7035" w:type="dxa"/>
            <w:gridSpan w:val="2"/>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数量</w:t>
            </w:r>
          </w:p>
        </w:tc>
        <w:tc>
          <w:tcPr>
            <w:tcW w:w="7035" w:type="dxa"/>
            <w:gridSpan w:val="2"/>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ascii="Times New Roman" w:hAnsi="Times New Roman" w:eastAsia="等线" w:cs="Times New Roman"/>
                <w:color w:val="auto"/>
                <w:sz w:val="21"/>
                <w:szCs w:val="21"/>
                <w:lang w:eastAsia="zh-CN"/>
              </w:rPr>
              <w:t>2</w:t>
            </w:r>
            <w:r>
              <w:rPr>
                <w:rFonts w:hint="eastAsia" w:ascii="宋体" w:hAnsi="宋体" w:eastAsia="宋体" w:cs="Times New Roman"/>
                <w:color w:val="auto"/>
                <w:sz w:val="21"/>
                <w:szCs w:val="21"/>
                <w:lang w:eastAsia="zh-CN"/>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691" w:type="dxa"/>
            <w:vMerge w:val="restart"/>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技术规格</w:t>
            </w: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格栅形式</w:t>
            </w:r>
          </w:p>
        </w:tc>
        <w:tc>
          <w:tcPr>
            <w:tcW w:w="3794"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钢丝绳牵引式粗格栅机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介质</w:t>
            </w:r>
          </w:p>
        </w:tc>
        <w:tc>
          <w:tcPr>
            <w:tcW w:w="3794"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城市污水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格栅渠宽</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1600mm</w:t>
            </w:r>
            <w:r>
              <w:rPr>
                <w:rFonts w:hint="eastAsia" w:ascii="宋体" w:hAnsi="宋体"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格栅宽</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1500mm</w:t>
            </w:r>
            <w:r>
              <w:rPr>
                <w:rFonts w:hint="eastAsia" w:ascii="宋体" w:hAnsi="宋体"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渠道深度</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7000mm</w:t>
            </w:r>
            <w:r>
              <w:rPr>
                <w:rFonts w:hint="eastAsia" w:ascii="宋体" w:hAnsi="宋体"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栅条间距</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20mm</w:t>
            </w:r>
            <w:r>
              <w:rPr>
                <w:rFonts w:hint="eastAsia" w:ascii="宋体" w:hAnsi="宋体"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卸料口高度</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1200mm</w:t>
            </w:r>
            <w:r>
              <w:rPr>
                <w:rFonts w:hint="eastAsia" w:ascii="宋体" w:hAnsi="宋体"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安装角度</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耙齿速度</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≤6m/min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升降电机功率</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1.5</w:t>
            </w:r>
            <w:r>
              <w:rPr>
                <w:rFonts w:hint="eastAsia" w:ascii="Times New Roman" w:hAnsi="Times New Roman" w:eastAsia="等线" w:cs="Times New Roman"/>
                <w:color w:val="auto"/>
                <w:sz w:val="21"/>
                <w:szCs w:val="21"/>
                <w:lang w:eastAsia="zh-CN"/>
              </w:rPr>
              <w:t>k</w:t>
            </w:r>
            <w:r>
              <w:rPr>
                <w:rFonts w:ascii="Times New Roman" w:hAnsi="Times New Roman" w:eastAsia="等线" w:cs="Times New Roman"/>
                <w:color w:val="auto"/>
                <w:sz w:val="21"/>
                <w:szCs w:val="21"/>
                <w:lang w:eastAsia="zh-CN"/>
              </w:rPr>
              <w: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开闭耙电机功率</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1.5kW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电机防护等级</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IP55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电机防护等级</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F</w:t>
            </w:r>
            <w:r>
              <w:rPr>
                <w:rFonts w:hint="eastAsia" w:ascii="宋体" w:hAnsi="宋体" w:eastAsia="宋体" w:cs="Times New Roman"/>
                <w:color w:val="auto"/>
                <w:sz w:val="21"/>
                <w:szCs w:val="21"/>
                <w:lang w:eastAsia="zh-CN"/>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691" w:type="dxa"/>
            <w:vMerge w:val="restart"/>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材质</w:t>
            </w: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机架</w:t>
            </w:r>
          </w:p>
        </w:tc>
        <w:tc>
          <w:tcPr>
            <w:tcW w:w="3794"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不锈钢</w:t>
            </w:r>
            <w:r>
              <w:rPr>
                <w:rFonts w:ascii="Times New Roman" w:hAnsi="Times New Roman" w:eastAsia="宋体" w:cs="Times New Roman"/>
                <w:color w:val="auto"/>
                <w:sz w:val="21"/>
                <w:szCs w:val="21"/>
                <w:lang w:eastAsia="zh-CN"/>
              </w:rPr>
              <w:t>304L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格栅框架</w:t>
            </w:r>
          </w:p>
        </w:tc>
        <w:tc>
          <w:tcPr>
            <w:tcW w:w="3794"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不锈钢</w:t>
            </w:r>
            <w:r>
              <w:rPr>
                <w:rFonts w:hint="eastAsia" w:ascii="Times New Roman" w:hAnsi="Times New Roman" w:eastAsia="宋体" w:cs="Times New Roman"/>
                <w:color w:val="auto"/>
                <w:sz w:val="21"/>
                <w:szCs w:val="21"/>
                <w:lang w:val="en-US" w:eastAsia="zh-CN"/>
              </w:rPr>
              <w:t>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栅条</w:t>
            </w:r>
          </w:p>
        </w:tc>
        <w:tc>
          <w:tcPr>
            <w:tcW w:w="3794"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不锈钢</w:t>
            </w:r>
            <w:r>
              <w:rPr>
                <w:rFonts w:hint="eastAsia" w:ascii="Times New Roman" w:hAnsi="Times New Roman" w:eastAsia="宋体" w:cs="Times New Roman"/>
                <w:color w:val="auto"/>
                <w:sz w:val="21"/>
                <w:szCs w:val="21"/>
                <w:lang w:val="en-US" w:eastAsia="zh-CN"/>
              </w:rPr>
              <w:t>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拦污挡板</w:t>
            </w:r>
          </w:p>
        </w:tc>
        <w:tc>
          <w:tcPr>
            <w:tcW w:w="3794"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不锈钢</w:t>
            </w:r>
            <w:r>
              <w:rPr>
                <w:rFonts w:hint="eastAsia" w:ascii="Times New Roman" w:hAnsi="Times New Roman" w:eastAsia="宋体" w:cs="Times New Roman"/>
                <w:color w:val="auto"/>
                <w:sz w:val="21"/>
                <w:szCs w:val="21"/>
                <w:lang w:val="en-US" w:eastAsia="zh-CN"/>
              </w:rPr>
              <w:t>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钢丝绳</w:t>
            </w:r>
          </w:p>
        </w:tc>
        <w:tc>
          <w:tcPr>
            <w:tcW w:w="3794" w:type="dxa"/>
            <w:shd w:val="clear" w:color="auto" w:fill="auto"/>
            <w:vAlign w:val="center"/>
          </w:tcPr>
          <w:p>
            <w:pPr>
              <w:widowControl/>
              <w:spacing w:line="360" w:lineRule="auto"/>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不锈钢</w:t>
            </w:r>
            <w:r>
              <w:rPr>
                <w:rFonts w:hint="eastAsia" w:ascii="Times New Roman" w:hAnsi="Times New Roman" w:eastAsia="宋体" w:cs="Times New Roman"/>
                <w:color w:val="auto"/>
                <w:sz w:val="21"/>
                <w:szCs w:val="21"/>
                <w:lang w:val="en-US" w:eastAsia="zh-CN"/>
              </w:rPr>
              <w:t>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耙齿</w:t>
            </w:r>
          </w:p>
        </w:tc>
        <w:tc>
          <w:tcPr>
            <w:tcW w:w="3794"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不锈钢</w:t>
            </w:r>
            <w:r>
              <w:rPr>
                <w:rFonts w:ascii="Times New Roman" w:hAnsi="Times New Roman" w:eastAsia="宋体" w:cs="Times New Roman"/>
                <w:color w:val="auto"/>
                <w:sz w:val="21"/>
                <w:szCs w:val="21"/>
                <w:lang w:eastAsia="zh-CN"/>
              </w:rPr>
              <w:t>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691" w:type="dxa"/>
            <w:vMerge w:val="continue"/>
            <w:vAlign w:val="center"/>
          </w:tcPr>
          <w:p>
            <w:pPr>
              <w:widowControl/>
              <w:spacing w:line="360" w:lineRule="auto"/>
              <w:jc w:val="center"/>
              <w:rPr>
                <w:rFonts w:ascii="宋体" w:hAnsi="宋体" w:eastAsia="宋体" w:cs="宋体"/>
                <w:color w:val="auto"/>
                <w:sz w:val="21"/>
                <w:szCs w:val="21"/>
                <w:lang w:eastAsia="zh-CN"/>
              </w:rPr>
            </w:pP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驱动保护罩</w:t>
            </w:r>
          </w:p>
        </w:tc>
        <w:tc>
          <w:tcPr>
            <w:tcW w:w="3794"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不锈钢</w:t>
            </w:r>
            <w:r>
              <w:rPr>
                <w:rFonts w:ascii="Times New Roman" w:hAnsi="Times New Roman" w:eastAsia="宋体" w:cs="Times New Roman"/>
                <w:color w:val="auto"/>
                <w:sz w:val="21"/>
                <w:szCs w:val="21"/>
                <w:lang w:eastAsia="zh-CN"/>
              </w:rPr>
              <w:t>304L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设计安装相关标准</w:t>
            </w:r>
          </w:p>
        </w:tc>
        <w:tc>
          <w:tcPr>
            <w:tcW w:w="324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平面格栅除污机</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CJ/T304L8-95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水处理设备制造技术条件</w:t>
            </w:r>
          </w:p>
        </w:tc>
        <w:tc>
          <w:tcPr>
            <w:tcW w:w="7035" w:type="dxa"/>
            <w:gridSpan w:val="2"/>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JB2932-99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水处理设备油漆、包装技术条件</w:t>
            </w:r>
          </w:p>
        </w:tc>
        <w:tc>
          <w:tcPr>
            <w:tcW w:w="7035" w:type="dxa"/>
            <w:gridSpan w:val="2"/>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ZBJ98003-87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钢结构设计规范</w:t>
            </w:r>
          </w:p>
        </w:tc>
        <w:tc>
          <w:tcPr>
            <w:tcW w:w="7035" w:type="dxa"/>
            <w:gridSpan w:val="2"/>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GBJ17-88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安装机械焊接件通用技术条件</w:t>
            </w:r>
          </w:p>
        </w:tc>
        <w:tc>
          <w:tcPr>
            <w:tcW w:w="7035" w:type="dxa"/>
            <w:gridSpan w:val="2"/>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JB/ZQ3011-88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涂装前钢材表面锈蚀等级和除锈等级</w:t>
            </w:r>
          </w:p>
        </w:tc>
        <w:tc>
          <w:tcPr>
            <w:tcW w:w="7035" w:type="dxa"/>
            <w:gridSpan w:val="2"/>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GB8923-88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碳素结构钢</w:t>
            </w:r>
          </w:p>
        </w:tc>
        <w:tc>
          <w:tcPr>
            <w:tcW w:w="7035" w:type="dxa"/>
            <w:gridSpan w:val="2"/>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GB700-88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不锈钢热轧钢板</w:t>
            </w:r>
          </w:p>
        </w:tc>
        <w:tc>
          <w:tcPr>
            <w:tcW w:w="7035" w:type="dxa"/>
            <w:gridSpan w:val="2"/>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GB4237-84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碳素钢焊条</w:t>
            </w:r>
          </w:p>
        </w:tc>
        <w:tc>
          <w:tcPr>
            <w:tcW w:w="7035" w:type="dxa"/>
            <w:gridSpan w:val="2"/>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GB/T5117-1995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气焊、手工电弧焊及气体保护焊焊缝坡口的基本形式和尺寸</w:t>
            </w:r>
          </w:p>
        </w:tc>
        <w:tc>
          <w:tcPr>
            <w:tcW w:w="7035" w:type="dxa"/>
            <w:gridSpan w:val="2"/>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GB985-88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焊接件通用技术要求</w:t>
            </w:r>
          </w:p>
        </w:tc>
        <w:tc>
          <w:tcPr>
            <w:tcW w:w="7035" w:type="dxa"/>
            <w:gridSpan w:val="2"/>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JB/ZQ4000²3-86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产品检验通用技术要求</w:t>
            </w:r>
          </w:p>
        </w:tc>
        <w:tc>
          <w:tcPr>
            <w:tcW w:w="7035" w:type="dxa"/>
            <w:gridSpan w:val="2"/>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JB/ZQ4000²1-86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3"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低压开关设备和控制设备控制电路电器和开关元件，机电式控制电路电器</w:t>
            </w:r>
          </w:p>
        </w:tc>
        <w:tc>
          <w:tcPr>
            <w:tcW w:w="7035" w:type="dxa"/>
            <w:gridSpan w:val="2"/>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GB14048.5-93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运行技术及工艺要求</w:t>
            </w:r>
          </w:p>
        </w:tc>
        <w:tc>
          <w:tcPr>
            <w:tcW w:w="7035" w:type="dxa"/>
            <w:gridSpan w:val="2"/>
            <w:shd w:val="clear" w:color="auto" w:fill="auto"/>
            <w:vAlign w:val="center"/>
          </w:tcPr>
          <w:p>
            <w:pPr>
              <w:widowControl/>
              <w:spacing w:line="360" w:lineRule="auto"/>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格栅机安装于渠道的整个深度，把栅面截留原污水中的垃圾等污物耙除。在正常情况下格栅除污机为间歇运行，也能连续24小时运行。</w:t>
            </w:r>
          </w:p>
          <w:p>
            <w:pPr>
              <w:widowControl/>
              <w:spacing w:line="360" w:lineRule="auto"/>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格栅配备带配重的安全型无噪声卸污机构，并保证能全部清除抓斗提升上来的污物，铰接结构和卸料臂钢性强，设计合理，可防止因抓斗负载过重格栅除污机为三索钢丝绳式前耙型除污机，格栅采用间距相等的平直栅条，易去除栅条上的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电器部分</w:t>
            </w:r>
          </w:p>
        </w:tc>
        <w:tc>
          <w:tcPr>
            <w:tcW w:w="7035" w:type="dxa"/>
            <w:gridSpan w:val="2"/>
            <w:shd w:val="clear" w:color="auto" w:fill="auto"/>
            <w:vAlign w:val="center"/>
          </w:tcPr>
          <w:p>
            <w:pPr>
              <w:widowControl/>
              <w:spacing w:line="360" w:lineRule="auto"/>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电机制动、行程开关、抓斗、耙齿、卸料机构及控制系统都可调整并方便调节。</w:t>
            </w:r>
          </w:p>
          <w:p>
            <w:pPr>
              <w:widowControl/>
              <w:spacing w:line="360" w:lineRule="auto"/>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每台格栅配备独立的控制柜，分别控制。电控箱采用就地控制箱材质为不锈钢防护等级IP55，控制箱内主要元器件采用西门子公司产品。格栅的操作方式为就地手动、自动控制，控制面板上设有自动/手动转换开关、控制按钮、信号灯。控制箱预留与自控系统的输入、输出接口。输入：开停机；输出：运行、故障、自控系统准操作，接口均采用无源继电器式。电控箱设有过载保护功能，一旦出现故障，可发出报警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7"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耙污机构</w:t>
            </w:r>
          </w:p>
        </w:tc>
        <w:tc>
          <w:tcPr>
            <w:tcW w:w="7035" w:type="dxa"/>
            <w:gridSpan w:val="2"/>
            <w:shd w:val="clear" w:color="auto" w:fill="auto"/>
            <w:vAlign w:val="center"/>
          </w:tcPr>
          <w:p>
            <w:pPr>
              <w:widowControl/>
              <w:spacing w:line="360" w:lineRule="auto"/>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齿耙为重载型大容量“耙斗式”结构，它由耙斗本体、耙齿及两侧滚轮的导向车组成。除污耙及其卷扬装置提升能力不小于100kg的栅污物。在耙斗两侧侧板与移动小车采用铰轴连接，铰轴的前端侧板设有吊环，与升降兼合耙的钢索连结，靠铰轴外端的耙斗中部高吊环，与升降兼开耙的钢索连结，耙斗在打开状态时，斗齿与栅条相距尺寸大于400mm（暂定），保证其容量清污时的挖掘作用。材料为不锈钢321。齿板设置了足够数量的泄水孔，当耙板在爬升时污物不致跟随水向两边外溢。起吊用钢丝绳采用偏心布置，以便更好的服务于清除操作，耙污速度≤6m/min。材质为不锈钢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3"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格栅机架</w:t>
            </w:r>
          </w:p>
        </w:tc>
        <w:tc>
          <w:tcPr>
            <w:tcW w:w="7035" w:type="dxa"/>
            <w:gridSpan w:val="2"/>
            <w:shd w:val="clear" w:color="auto" w:fill="auto"/>
            <w:vAlign w:val="center"/>
          </w:tcPr>
          <w:p>
            <w:pPr>
              <w:widowControl/>
              <w:spacing w:line="360" w:lineRule="auto"/>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除污机的机架是用不锈钢制成，采用焊接连接。格栅支架用来支撑格栅，且带有导轨和固定措施。格栅支架两侧固定在混凝土渠道上，为拆卸式，安装方便，格栅置入后渠道内的污水全部流经格栅，水渠两侧无死角。为使格栅底部不积聚垃圾，格栅从井的底部安装使格栅在整个高度内便于耙污。栅条及支架能承受大量漂浮物体的荷载，耙污机构的运行无明显偏移、损伤或变形。机架上设置了各行程位置到位的接近开关，确保了设备控制的准确与灵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6" w:hRule="atLeast"/>
        </w:trPr>
        <w:tc>
          <w:tcPr>
            <w:tcW w:w="169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驱动装置</w:t>
            </w:r>
          </w:p>
        </w:tc>
        <w:tc>
          <w:tcPr>
            <w:tcW w:w="7035" w:type="dxa"/>
            <w:gridSpan w:val="2"/>
            <w:shd w:val="clear" w:color="auto" w:fill="auto"/>
            <w:vAlign w:val="center"/>
          </w:tcPr>
          <w:p>
            <w:pPr>
              <w:widowControl/>
              <w:spacing w:line="360" w:lineRule="auto"/>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每台除污机驱动装置稳固地安装在机械平台上，减速机为齿轮型（国际知名品牌），齿轮材料为合金结构钢，渗碳处理，齿面硬度大于HRC58~62，全密闭油浴式，轴承寿命（L10）10万小时，并具有可靠的制动特性。服务系数＞1.4，电机防护等级IP55，F级绝缘，B级升温。</w:t>
            </w:r>
          </w:p>
        </w:tc>
      </w:tr>
    </w:tbl>
    <w:p>
      <w:pPr>
        <w:pStyle w:val="31"/>
        <w:rPr>
          <w:color w:val="auto"/>
        </w:rPr>
      </w:pPr>
      <w:r>
        <w:rPr>
          <w:color w:val="auto"/>
        </w:rPr>
        <w:t>潜水污水泵</w:t>
      </w:r>
      <w:r>
        <w:rPr>
          <w:rFonts w:hint="eastAsia"/>
          <w:color w:val="auto"/>
        </w:rPr>
        <w:t>（污水）</w:t>
      </w:r>
    </w:p>
    <w:p>
      <w:pPr>
        <w:pStyle w:val="29"/>
        <w:ind w:firstLine="472"/>
        <w:rPr>
          <w:color w:val="auto"/>
        </w:rPr>
      </w:pPr>
      <w:r>
        <w:rPr>
          <w:rFonts w:hint="eastAsia"/>
          <w:color w:val="auto"/>
        </w:rPr>
        <w:t>（1）大泵</w:t>
      </w:r>
    </w:p>
    <w:tbl>
      <w:tblPr>
        <w:tblStyle w:val="25"/>
        <w:tblW w:w="868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1"/>
        <w:gridCol w:w="1843"/>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Header/>
        </w:trPr>
        <w:tc>
          <w:tcPr>
            <w:tcW w:w="2444" w:type="dxa"/>
            <w:gridSpan w:val="2"/>
            <w:vAlign w:val="center"/>
          </w:tcPr>
          <w:p>
            <w:pPr>
              <w:pStyle w:val="27"/>
              <w:tabs>
                <w:tab w:val="left" w:pos="427"/>
              </w:tabs>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项目</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restart"/>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技术规格</w:t>
            </w: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水泵型式</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离心式潜水泵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数量</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介质</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城市污水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安装方式</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可拆卸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pacing w:val="-1"/>
                <w:sz w:val="21"/>
                <w:szCs w:val="21"/>
              </w:rPr>
              <w:t>工况点设计流量(m³/s)</w:t>
            </w:r>
          </w:p>
        </w:tc>
        <w:tc>
          <w:tcPr>
            <w:tcW w:w="6236" w:type="dxa"/>
            <w:vAlign w:val="center"/>
          </w:tcPr>
          <w:p>
            <w:pPr>
              <w:pStyle w:val="27"/>
              <w:spacing w:line="360" w:lineRule="auto"/>
              <w:rPr>
                <w:rFonts w:ascii="Times New Roman" w:hAnsi="Times New Roman" w:eastAsia="宋体" w:cs="Times New Roman"/>
                <w:color w:val="auto"/>
                <w:sz w:val="17"/>
                <w:szCs w:val="17"/>
              </w:rPr>
            </w:pPr>
          </w:p>
          <w:p>
            <w:pPr>
              <w:pStyle w:val="27"/>
              <w:spacing w:line="360" w:lineRule="auto"/>
              <w:jc w:val="center"/>
              <w:rPr>
                <w:rFonts w:ascii="Times New Roman" w:hAnsi="Times New Roman" w:eastAsia="宋体" w:cs="Times New Roman"/>
                <w:color w:val="auto"/>
                <w:sz w:val="21"/>
                <w:szCs w:val="21"/>
              </w:rPr>
            </w:pPr>
            <w:r>
              <w:rPr>
                <w:rFonts w:ascii="Times New Roman" w:hAnsi="Times New Roman" w:cs="Times New Roman"/>
                <w:color w:val="auto"/>
                <w:sz w:val="21"/>
              </w:rPr>
              <w:t>579L/s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扬程</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6.5m（暂定）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工况点水泵效率(%)</w:t>
            </w:r>
          </w:p>
        </w:tc>
        <w:tc>
          <w:tcPr>
            <w:tcW w:w="6236" w:type="dxa"/>
            <w:vAlign w:val="center"/>
          </w:tcPr>
          <w:p>
            <w:pPr>
              <w:pStyle w:val="27"/>
              <w:spacing w:line="360" w:lineRule="auto"/>
              <w:rPr>
                <w:rFonts w:ascii="Times New Roman" w:hAnsi="Times New Roman" w:eastAsia="宋体" w:cs="Times New Roman"/>
                <w:color w:val="auto"/>
                <w:sz w:val="16"/>
                <w:szCs w:val="16"/>
              </w:rPr>
            </w:pPr>
          </w:p>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w:t>
            </w:r>
            <w:r>
              <w:rPr>
                <w:rFonts w:hint="eastAsia" w:ascii="Times New Roman" w:hAnsi="Times New Roman" w:eastAsia="宋体" w:cs="Times New Roman"/>
                <w:color w:val="auto"/>
                <w:sz w:val="21"/>
                <w:szCs w:val="21"/>
                <w:lang w:val="en-US" w:eastAsia="zh-CN"/>
              </w:rPr>
              <w:t>75</w:t>
            </w:r>
            <w:r>
              <w:rPr>
                <w:rFonts w:ascii="Times New Roman" w:hAnsi="Times New Roman" w:eastAsia="宋体" w:cs="Times New Roman"/>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电机效率(%)</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启动方式</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软启动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叶轮型式</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无阻塞叶轮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参考功率(KW)</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61</w:t>
            </w:r>
            <w:r>
              <w:rPr>
                <w:rFonts w:hint="eastAsia" w:ascii="Times New Roman" w:hAnsi="Times New Roman"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工作制</w:t>
            </w:r>
          </w:p>
        </w:tc>
        <w:tc>
          <w:tcPr>
            <w:tcW w:w="6236" w:type="dxa"/>
            <w:vAlign w:val="center"/>
          </w:tcPr>
          <w:p>
            <w:pPr>
              <w:pStyle w:val="27"/>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24h/d连续运行并可以间歇运行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lang w:eastAsia="zh-CN"/>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冷却方式</w:t>
            </w:r>
          </w:p>
        </w:tc>
        <w:tc>
          <w:tcPr>
            <w:tcW w:w="6236" w:type="dxa"/>
            <w:vAlign w:val="center"/>
          </w:tcPr>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2"/>
                <w:sz w:val="21"/>
                <w:szCs w:val="21"/>
                <w:lang w:eastAsia="zh-CN"/>
              </w:rPr>
              <w:t>电机冷却需采用直接冷却或油冷却系统，即使在潜水电机全部露出水</w:t>
            </w:r>
            <w:r>
              <w:rPr>
                <w:rFonts w:ascii="Times New Roman" w:hAnsi="Times New Roman" w:eastAsia="宋体" w:cs="Times New Roman"/>
                <w:color w:val="auto"/>
                <w:sz w:val="21"/>
                <w:szCs w:val="21"/>
                <w:lang w:eastAsia="zh-CN"/>
              </w:rPr>
              <w:t>面的运转情况下，仍应有足够的电机冷却能力。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lang w:eastAsia="zh-CN"/>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供电电源</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cs="Times New Roman"/>
                <w:color w:val="auto"/>
                <w:sz w:val="21"/>
              </w:rPr>
              <w:t>3Ph/50Hz/380V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防护等级</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cs="Times New Roman"/>
                <w:color w:val="auto"/>
                <w:sz w:val="21"/>
              </w:rPr>
              <w:t>IP68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出口口径</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500mm</w:t>
            </w:r>
            <w:r>
              <w:rPr>
                <w:rFonts w:hint="eastAsia" w:ascii="Times New Roman" w:hAnsi="Times New Roman"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pacing w:val="-1"/>
                <w:sz w:val="21"/>
                <w:szCs w:val="21"/>
              </w:rPr>
              <w:t>颗粒通过能</w:t>
            </w:r>
            <w:r>
              <w:rPr>
                <w:rFonts w:ascii="Times New Roman" w:hAnsi="Times New Roman" w:eastAsia="宋体" w:cs="Times New Roman"/>
                <w:color w:val="auto"/>
                <w:sz w:val="21"/>
                <w:szCs w:val="21"/>
              </w:rPr>
              <w:t>力</w:t>
            </w:r>
          </w:p>
        </w:tc>
        <w:tc>
          <w:tcPr>
            <w:tcW w:w="6236" w:type="dxa"/>
            <w:vAlign w:val="center"/>
          </w:tcPr>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有通过颗粒直径为50mm以上及纤维长度为350mm的能力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lang w:eastAsia="zh-CN"/>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噪声(dB(A))</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≤80DB(A)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电缆长度</w:t>
            </w:r>
          </w:p>
        </w:tc>
        <w:tc>
          <w:tcPr>
            <w:tcW w:w="6236" w:type="dxa"/>
            <w:vAlign w:val="center"/>
          </w:tcPr>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18</w:t>
            </w:r>
            <w:r>
              <w:rPr>
                <w:rFonts w:ascii="Times New Roman" w:hAnsi="Times New Roman" w:eastAsia="宋体" w:cs="Times New Roman"/>
                <w:color w:val="auto"/>
                <w:spacing w:val="-5"/>
                <w:sz w:val="21"/>
                <w:szCs w:val="21"/>
                <w:lang w:eastAsia="zh-CN"/>
              </w:rPr>
              <w:t>米/根（暂定），与水泵配套，完好无接驳口，达到规范要求的防水</w:t>
            </w:r>
            <w:r>
              <w:rPr>
                <w:rFonts w:ascii="Times New Roman" w:hAnsi="Times New Roman" w:eastAsia="宋体" w:cs="Times New Roman"/>
                <w:color w:val="auto"/>
                <w:sz w:val="21"/>
                <w:szCs w:val="21"/>
                <w:lang w:eastAsia="zh-CN"/>
              </w:rPr>
              <w:t>等级及绝缘等级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lang w:eastAsia="zh-CN"/>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pacing w:val="-1"/>
                <w:sz w:val="21"/>
                <w:szCs w:val="21"/>
              </w:rPr>
              <w:t>最小绝缘等</w:t>
            </w:r>
            <w:r>
              <w:rPr>
                <w:rFonts w:ascii="Times New Roman" w:hAnsi="Times New Roman" w:eastAsia="宋体" w:cs="Times New Roman"/>
                <w:color w:val="auto"/>
                <w:sz w:val="21"/>
                <w:szCs w:val="21"/>
              </w:rPr>
              <w:t>级</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cs="Times New Roman"/>
                <w:color w:val="auto"/>
                <w:sz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机械密封的使用寿命</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不低于30000小时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pacing w:val="-1"/>
                <w:sz w:val="21"/>
                <w:szCs w:val="21"/>
              </w:rPr>
              <w:t>轴承寿命</w:t>
            </w:r>
            <w:r>
              <w:rPr>
                <w:rFonts w:ascii="Times New Roman" w:hAnsi="Times New Roman" w:eastAsia="宋体" w:cs="Times New Roman"/>
                <w:color w:val="auto"/>
                <w:sz w:val="21"/>
                <w:szCs w:val="21"/>
              </w:rPr>
              <w:t>(L10)</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不得少于100000</w:t>
            </w:r>
            <w:r>
              <w:rPr>
                <w:rFonts w:ascii="Times New Roman" w:hAnsi="Times New Roman" w:eastAsia="宋体" w:cs="Times New Roman"/>
                <w:color w:val="auto"/>
                <w:spacing w:val="-3"/>
                <w:sz w:val="21"/>
                <w:szCs w:val="21"/>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能够在20m水深下持续长期运行安全运行时间</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至少为20000小时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1"/>
                <w:sz w:val="21"/>
                <w:szCs w:val="21"/>
                <w:lang w:eastAsia="zh-CN"/>
              </w:rPr>
              <w:t>允许每小时</w:t>
            </w:r>
            <w:r>
              <w:rPr>
                <w:rFonts w:ascii="Times New Roman" w:hAnsi="Times New Roman" w:eastAsia="宋体" w:cs="Times New Roman"/>
                <w:color w:val="auto"/>
                <w:sz w:val="21"/>
                <w:szCs w:val="21"/>
                <w:lang w:eastAsia="zh-CN"/>
              </w:rPr>
              <w:t>启动次数(次)</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restart"/>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材质</w:t>
            </w: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pacing w:val="-6"/>
                <w:sz w:val="21"/>
                <w:szCs w:val="21"/>
              </w:rPr>
              <w:t>泵壳、电机壳</w:t>
            </w:r>
          </w:p>
        </w:tc>
        <w:tc>
          <w:tcPr>
            <w:tcW w:w="6236" w:type="dxa"/>
            <w:vAlign w:val="center"/>
          </w:tcPr>
          <w:p>
            <w:pPr>
              <w:pStyle w:val="27"/>
              <w:tabs>
                <w:tab w:val="left" w:pos="1159"/>
              </w:tabs>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pacing w:val="-1"/>
                <w:sz w:val="21"/>
                <w:szCs w:val="21"/>
              </w:rPr>
              <w:t>球墨铸铁</w:t>
            </w:r>
            <w:r>
              <w:rPr>
                <w:rFonts w:ascii="Times New Roman" w:hAnsi="Times New Roman" w:eastAsia="宋体" w:cs="Times New Roman"/>
                <w:color w:val="auto"/>
                <w:spacing w:val="-2"/>
                <w:sz w:val="21"/>
                <w:szCs w:val="21"/>
              </w:rPr>
              <w:t>QT400-10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叶轮</w:t>
            </w:r>
          </w:p>
        </w:tc>
        <w:tc>
          <w:tcPr>
            <w:tcW w:w="6236" w:type="dxa"/>
            <w:vAlign w:val="center"/>
          </w:tcPr>
          <w:p>
            <w:pPr>
              <w:pStyle w:val="27"/>
              <w:tabs>
                <w:tab w:val="left" w:pos="1159"/>
              </w:tabs>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pacing w:val="-1"/>
                <w:sz w:val="21"/>
                <w:szCs w:val="21"/>
              </w:rPr>
              <w:t>球墨铸铁</w:t>
            </w:r>
            <w:r>
              <w:rPr>
                <w:rFonts w:ascii="Times New Roman" w:hAnsi="Times New Roman" w:eastAsia="宋体" w:cs="Times New Roman"/>
                <w:color w:val="auto"/>
                <w:spacing w:val="-2"/>
                <w:sz w:val="21"/>
                <w:szCs w:val="21"/>
              </w:rPr>
              <w:t>QT400-10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主轴</w:t>
            </w:r>
          </w:p>
        </w:tc>
        <w:tc>
          <w:tcPr>
            <w:tcW w:w="6236" w:type="dxa"/>
            <w:vAlign w:val="center"/>
          </w:tcPr>
          <w:p>
            <w:pPr>
              <w:pStyle w:val="27"/>
              <w:spacing w:line="360" w:lineRule="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不锈钢0Cr26Ni5Mo2(AISI329)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磨损环</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不锈钢316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机械密封</w:t>
            </w:r>
          </w:p>
        </w:tc>
        <w:tc>
          <w:tcPr>
            <w:tcW w:w="6236" w:type="dxa"/>
            <w:vAlign w:val="center"/>
          </w:tcPr>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耐腐蚀碳化钨或碳化硅，介质酸碱度范围为</w:t>
            </w:r>
            <w:r>
              <w:rPr>
                <w:rFonts w:ascii="Times New Roman" w:hAnsi="Times New Roman" w:eastAsia="宋体" w:cs="Times New Roman"/>
                <w:color w:val="auto"/>
                <w:spacing w:val="-3"/>
                <w:sz w:val="21"/>
                <w:szCs w:val="21"/>
                <w:lang w:eastAsia="zh-CN"/>
              </w:rPr>
              <w:t>pH6～10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lang w:eastAsia="zh-CN"/>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螺栓、螺母</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不锈钢304L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导向索/导轨</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不锈钢1Cr18Ni9Ti(316)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吊链/吊架</w:t>
            </w:r>
          </w:p>
        </w:tc>
        <w:tc>
          <w:tcPr>
            <w:tcW w:w="6236"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不锈钢1Cr18Ni9Ti(316)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所有连接附</w:t>
            </w:r>
            <w:r>
              <w:rPr>
                <w:rFonts w:ascii="Times New Roman" w:hAnsi="Times New Roman" w:eastAsia="宋体" w:cs="Times New Roman"/>
                <w:color w:val="auto"/>
                <w:spacing w:val="-6"/>
                <w:sz w:val="21"/>
                <w:szCs w:val="21"/>
                <w:lang w:eastAsia="zh-CN"/>
              </w:rPr>
              <w:t>件、地脚螺栓</w:t>
            </w:r>
          </w:p>
        </w:tc>
        <w:tc>
          <w:tcPr>
            <w:tcW w:w="6236" w:type="dxa"/>
            <w:vAlign w:val="center"/>
          </w:tcPr>
          <w:p>
            <w:pPr>
              <w:pStyle w:val="27"/>
              <w:spacing w:line="360" w:lineRule="auto"/>
              <w:rPr>
                <w:rFonts w:ascii="Times New Roman" w:hAnsi="Times New Roman" w:eastAsia="宋体" w:cs="Times New Roman"/>
                <w:color w:val="auto"/>
                <w:sz w:val="16"/>
                <w:szCs w:val="16"/>
                <w:lang w:eastAsia="zh-CN"/>
              </w:rPr>
            </w:pPr>
          </w:p>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不锈钢304L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Align w:val="center"/>
          </w:tcPr>
          <w:p>
            <w:pPr>
              <w:pStyle w:val="27"/>
              <w:spacing w:line="360" w:lineRule="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附件</w:t>
            </w: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电气专用保护元件</w:t>
            </w:r>
          </w:p>
        </w:tc>
        <w:tc>
          <w:tcPr>
            <w:tcW w:w="6236" w:type="dxa"/>
            <w:vAlign w:val="center"/>
          </w:tcPr>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2"/>
                <w:sz w:val="21"/>
                <w:szCs w:val="21"/>
                <w:lang w:eastAsia="zh-CN"/>
              </w:rPr>
              <w:t>有机械密封泄漏传感器和电机湿度传感器、轴承温度传感器、定子绕</w:t>
            </w:r>
            <w:r>
              <w:rPr>
                <w:rFonts w:ascii="Times New Roman" w:hAnsi="Times New Roman" w:eastAsia="宋体" w:cs="Times New Roman"/>
                <w:color w:val="auto"/>
                <w:sz w:val="21"/>
                <w:szCs w:val="21"/>
                <w:lang w:eastAsia="zh-CN"/>
              </w:rPr>
              <w:t>组温度传感器、水泵综合保护器等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Align w:val="center"/>
          </w:tcPr>
          <w:p>
            <w:pPr>
              <w:spacing w:line="360" w:lineRule="auto"/>
              <w:rPr>
                <w:rFonts w:ascii="Times New Roman" w:hAnsi="Times New Roman" w:cs="Times New Roman"/>
                <w:color w:val="auto"/>
                <w:lang w:eastAsia="zh-CN"/>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综合保护器</w:t>
            </w:r>
          </w:p>
        </w:tc>
        <w:tc>
          <w:tcPr>
            <w:tcW w:w="6236" w:type="dxa"/>
            <w:vAlign w:val="center"/>
          </w:tcPr>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2"/>
                <w:sz w:val="21"/>
                <w:szCs w:val="21"/>
                <w:lang w:eastAsia="zh-CN"/>
              </w:rPr>
              <w:t>每台潜水泵均应配备原厂综合保护器，用于水泵的保护报警信号的监</w:t>
            </w:r>
            <w:r>
              <w:rPr>
                <w:rFonts w:ascii="Times New Roman" w:hAnsi="Times New Roman" w:eastAsia="宋体" w:cs="Times New Roman"/>
                <w:color w:val="auto"/>
                <w:sz w:val="21"/>
                <w:szCs w:val="21"/>
                <w:lang w:eastAsia="zh-CN"/>
              </w:rPr>
              <w:t>控，应能向泵站控制室PLC传输状态显示信号并接受PLC输出信号的控制，监控继电器应安装在相应的低压配电柜。</w:t>
            </w:r>
          </w:p>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应向</w:t>
            </w:r>
            <w:r>
              <w:rPr>
                <w:rFonts w:ascii="Times New Roman" w:hAnsi="Times New Roman" w:eastAsia="宋体" w:cs="Times New Roman"/>
                <w:color w:val="auto"/>
                <w:spacing w:val="-3"/>
                <w:sz w:val="21"/>
                <w:szCs w:val="21"/>
                <w:lang w:eastAsia="zh-CN"/>
              </w:rPr>
              <w:t>中</w:t>
            </w:r>
            <w:r>
              <w:rPr>
                <w:rFonts w:ascii="Times New Roman" w:hAnsi="Times New Roman" w:eastAsia="宋体" w:cs="Times New Roman"/>
                <w:color w:val="auto"/>
                <w:sz w:val="21"/>
                <w:szCs w:val="21"/>
                <w:lang w:eastAsia="zh-CN"/>
              </w:rPr>
              <w:t>控</w:t>
            </w:r>
            <w:r>
              <w:rPr>
                <w:rFonts w:ascii="Times New Roman" w:hAnsi="Times New Roman" w:eastAsia="宋体" w:cs="Times New Roman"/>
                <w:color w:val="auto"/>
                <w:spacing w:val="-3"/>
                <w:sz w:val="21"/>
                <w:szCs w:val="21"/>
                <w:lang w:eastAsia="zh-CN"/>
              </w:rPr>
              <w:t>室</w:t>
            </w:r>
            <w:r>
              <w:rPr>
                <w:rFonts w:ascii="Times New Roman" w:hAnsi="Times New Roman" w:eastAsia="宋体" w:cs="Times New Roman"/>
                <w:color w:val="auto"/>
                <w:sz w:val="21"/>
                <w:szCs w:val="21"/>
                <w:lang w:eastAsia="zh-CN"/>
              </w:rPr>
              <w:t>输</w:t>
            </w:r>
            <w:r>
              <w:rPr>
                <w:rFonts w:ascii="Times New Roman" w:hAnsi="Times New Roman" w:eastAsia="宋体" w:cs="Times New Roman"/>
                <w:color w:val="auto"/>
                <w:spacing w:val="-3"/>
                <w:sz w:val="21"/>
                <w:szCs w:val="21"/>
                <w:lang w:eastAsia="zh-CN"/>
              </w:rPr>
              <w:t>出</w:t>
            </w:r>
            <w:r>
              <w:rPr>
                <w:rFonts w:ascii="Times New Roman" w:hAnsi="Times New Roman" w:eastAsia="宋体" w:cs="Times New Roman"/>
                <w:color w:val="auto"/>
                <w:sz w:val="21"/>
                <w:szCs w:val="21"/>
                <w:lang w:eastAsia="zh-CN"/>
              </w:rPr>
              <w:t>“</w:t>
            </w:r>
            <w:r>
              <w:rPr>
                <w:rFonts w:ascii="Times New Roman" w:hAnsi="Times New Roman" w:eastAsia="宋体" w:cs="Times New Roman"/>
                <w:color w:val="auto"/>
                <w:spacing w:val="-3"/>
                <w:sz w:val="21"/>
                <w:szCs w:val="21"/>
                <w:lang w:eastAsia="zh-CN"/>
              </w:rPr>
              <w:t>电</w:t>
            </w:r>
            <w:r>
              <w:rPr>
                <w:rFonts w:ascii="Times New Roman" w:hAnsi="Times New Roman" w:eastAsia="宋体" w:cs="Times New Roman"/>
                <w:color w:val="auto"/>
                <w:sz w:val="21"/>
                <w:szCs w:val="21"/>
                <w:lang w:eastAsia="zh-CN"/>
              </w:rPr>
              <w:t>机</w:t>
            </w:r>
            <w:r>
              <w:rPr>
                <w:rFonts w:ascii="Times New Roman" w:hAnsi="Times New Roman" w:eastAsia="宋体" w:cs="Times New Roman"/>
                <w:color w:val="auto"/>
                <w:spacing w:val="-3"/>
                <w:sz w:val="21"/>
                <w:szCs w:val="21"/>
                <w:lang w:eastAsia="zh-CN"/>
              </w:rPr>
              <w:t>轴</w:t>
            </w:r>
            <w:r>
              <w:rPr>
                <w:rFonts w:ascii="Times New Roman" w:hAnsi="Times New Roman" w:eastAsia="宋体" w:cs="Times New Roman"/>
                <w:color w:val="auto"/>
                <w:sz w:val="21"/>
                <w:szCs w:val="21"/>
                <w:lang w:eastAsia="zh-CN"/>
              </w:rPr>
              <w:t>承超</w:t>
            </w:r>
            <w:r>
              <w:rPr>
                <w:rFonts w:ascii="Times New Roman" w:hAnsi="Times New Roman" w:eastAsia="宋体" w:cs="Times New Roman"/>
                <w:color w:val="auto"/>
                <w:spacing w:val="-3"/>
                <w:sz w:val="21"/>
                <w:szCs w:val="21"/>
                <w:lang w:eastAsia="zh-CN"/>
              </w:rPr>
              <w:t>温</w:t>
            </w:r>
            <w:r>
              <w:rPr>
                <w:rFonts w:ascii="Times New Roman" w:hAnsi="Times New Roman" w:eastAsia="宋体" w:cs="Times New Roman"/>
                <w:color w:val="auto"/>
                <w:sz w:val="21"/>
                <w:szCs w:val="21"/>
                <w:lang w:eastAsia="zh-CN"/>
              </w:rPr>
              <w:t>”</w:t>
            </w:r>
            <w:r>
              <w:rPr>
                <w:rFonts w:ascii="Times New Roman" w:hAnsi="Times New Roman" w:eastAsia="宋体" w:cs="Times New Roman"/>
                <w:color w:val="auto"/>
                <w:spacing w:val="-3"/>
                <w:sz w:val="21"/>
                <w:szCs w:val="21"/>
                <w:lang w:eastAsia="zh-CN"/>
              </w:rPr>
              <w:t>报</w:t>
            </w:r>
            <w:r>
              <w:rPr>
                <w:rFonts w:ascii="Times New Roman" w:hAnsi="Times New Roman" w:eastAsia="宋体" w:cs="Times New Roman"/>
                <w:color w:val="auto"/>
                <w:sz w:val="21"/>
                <w:szCs w:val="21"/>
                <w:lang w:eastAsia="zh-CN"/>
              </w:rPr>
              <w:t>警</w:t>
            </w:r>
            <w:r>
              <w:rPr>
                <w:rFonts w:ascii="Times New Roman" w:hAnsi="Times New Roman" w:eastAsia="宋体" w:cs="Times New Roman"/>
                <w:color w:val="auto"/>
                <w:spacing w:val="-108"/>
                <w:sz w:val="21"/>
                <w:szCs w:val="21"/>
                <w:lang w:eastAsia="zh-CN"/>
              </w:rPr>
              <w:t>、</w:t>
            </w:r>
            <w:r>
              <w:rPr>
                <w:rFonts w:ascii="Times New Roman" w:hAnsi="Times New Roman" w:eastAsia="宋体" w:cs="Times New Roman"/>
                <w:color w:val="auto"/>
                <w:sz w:val="21"/>
                <w:szCs w:val="21"/>
                <w:lang w:eastAsia="zh-CN"/>
              </w:rPr>
              <w:t>“</w:t>
            </w:r>
            <w:r>
              <w:rPr>
                <w:rFonts w:ascii="Times New Roman" w:hAnsi="Times New Roman" w:eastAsia="宋体" w:cs="Times New Roman"/>
                <w:color w:val="auto"/>
                <w:spacing w:val="-3"/>
                <w:sz w:val="21"/>
                <w:szCs w:val="21"/>
                <w:lang w:eastAsia="zh-CN"/>
              </w:rPr>
              <w:t>电</w:t>
            </w:r>
            <w:r>
              <w:rPr>
                <w:rFonts w:ascii="Times New Roman" w:hAnsi="Times New Roman" w:eastAsia="宋体" w:cs="Times New Roman"/>
                <w:color w:val="auto"/>
                <w:sz w:val="21"/>
                <w:szCs w:val="21"/>
                <w:lang w:eastAsia="zh-CN"/>
              </w:rPr>
              <w:t>机</w:t>
            </w:r>
            <w:r>
              <w:rPr>
                <w:rFonts w:ascii="Times New Roman" w:hAnsi="Times New Roman" w:eastAsia="宋体" w:cs="Times New Roman"/>
                <w:color w:val="auto"/>
                <w:spacing w:val="-3"/>
                <w:sz w:val="21"/>
                <w:szCs w:val="21"/>
                <w:lang w:eastAsia="zh-CN"/>
              </w:rPr>
              <w:t>绕组</w:t>
            </w:r>
            <w:r>
              <w:rPr>
                <w:rFonts w:ascii="Times New Roman" w:hAnsi="Times New Roman" w:eastAsia="宋体" w:cs="Times New Roman"/>
                <w:color w:val="auto"/>
                <w:sz w:val="21"/>
                <w:szCs w:val="21"/>
                <w:lang w:eastAsia="zh-CN"/>
              </w:rPr>
              <w:t>超温</w:t>
            </w:r>
            <w:r>
              <w:rPr>
                <w:rFonts w:ascii="Times New Roman" w:hAnsi="Times New Roman" w:eastAsia="宋体" w:cs="Times New Roman"/>
                <w:color w:val="auto"/>
                <w:spacing w:val="-3"/>
                <w:sz w:val="21"/>
                <w:szCs w:val="21"/>
                <w:lang w:eastAsia="zh-CN"/>
              </w:rPr>
              <w:t>”</w:t>
            </w:r>
            <w:r>
              <w:rPr>
                <w:rFonts w:ascii="Times New Roman" w:hAnsi="Times New Roman" w:eastAsia="宋体" w:cs="Times New Roman"/>
                <w:color w:val="auto"/>
                <w:sz w:val="21"/>
                <w:szCs w:val="21"/>
                <w:lang w:eastAsia="zh-CN"/>
              </w:rPr>
              <w:t>报</w:t>
            </w:r>
            <w:r>
              <w:rPr>
                <w:rFonts w:ascii="Times New Roman" w:hAnsi="Times New Roman" w:eastAsia="宋体" w:cs="Times New Roman"/>
                <w:color w:val="auto"/>
                <w:spacing w:val="-3"/>
                <w:sz w:val="21"/>
                <w:szCs w:val="21"/>
                <w:lang w:eastAsia="zh-CN"/>
              </w:rPr>
              <w:t>警</w:t>
            </w:r>
            <w:r>
              <w:rPr>
                <w:rFonts w:ascii="Times New Roman" w:hAnsi="Times New Roman" w:eastAsia="宋体" w:cs="Times New Roman"/>
                <w:color w:val="auto"/>
                <w:spacing w:val="-106"/>
                <w:sz w:val="21"/>
                <w:szCs w:val="21"/>
                <w:lang w:eastAsia="zh-CN"/>
              </w:rPr>
              <w:t>、</w:t>
            </w:r>
            <w:r>
              <w:rPr>
                <w:rFonts w:ascii="Times New Roman" w:hAnsi="Times New Roman" w:eastAsia="宋体" w:cs="Times New Roman"/>
                <w:color w:val="auto"/>
                <w:spacing w:val="-3"/>
                <w:sz w:val="21"/>
                <w:szCs w:val="21"/>
                <w:lang w:eastAsia="zh-CN"/>
              </w:rPr>
              <w:t>“</w:t>
            </w:r>
            <w:r>
              <w:rPr>
                <w:rFonts w:ascii="Times New Roman" w:hAnsi="Times New Roman" w:eastAsia="宋体" w:cs="Times New Roman"/>
                <w:color w:val="auto"/>
                <w:sz w:val="21"/>
                <w:szCs w:val="21"/>
                <w:lang w:eastAsia="zh-CN"/>
              </w:rPr>
              <w:t>电机湿</w:t>
            </w:r>
            <w:r>
              <w:rPr>
                <w:rFonts w:ascii="Times New Roman" w:hAnsi="Times New Roman" w:eastAsia="宋体" w:cs="Times New Roman"/>
                <w:color w:val="auto"/>
                <w:spacing w:val="-3"/>
                <w:sz w:val="21"/>
                <w:szCs w:val="21"/>
                <w:lang w:eastAsia="zh-CN"/>
              </w:rPr>
              <w:t>度</w:t>
            </w:r>
            <w:r>
              <w:rPr>
                <w:rFonts w:ascii="Times New Roman" w:hAnsi="Times New Roman" w:eastAsia="宋体" w:cs="Times New Roman"/>
                <w:color w:val="auto"/>
                <w:sz w:val="21"/>
                <w:szCs w:val="21"/>
                <w:lang w:eastAsia="zh-CN"/>
              </w:rPr>
              <w:t>”</w:t>
            </w:r>
            <w:r>
              <w:rPr>
                <w:rFonts w:ascii="Times New Roman" w:hAnsi="Times New Roman" w:eastAsia="宋体" w:cs="Times New Roman"/>
                <w:color w:val="auto"/>
                <w:spacing w:val="-3"/>
                <w:sz w:val="21"/>
                <w:szCs w:val="21"/>
                <w:lang w:eastAsia="zh-CN"/>
              </w:rPr>
              <w:t>报</w:t>
            </w:r>
            <w:r>
              <w:rPr>
                <w:rFonts w:ascii="Times New Roman" w:hAnsi="Times New Roman" w:eastAsia="宋体" w:cs="Times New Roman"/>
                <w:color w:val="auto"/>
                <w:sz w:val="21"/>
                <w:szCs w:val="21"/>
                <w:lang w:eastAsia="zh-CN"/>
              </w:rPr>
              <w:t>警</w:t>
            </w:r>
            <w:r>
              <w:rPr>
                <w:rFonts w:ascii="Times New Roman" w:hAnsi="Times New Roman" w:eastAsia="宋体" w:cs="Times New Roman"/>
                <w:color w:val="auto"/>
                <w:spacing w:val="-108"/>
                <w:sz w:val="21"/>
                <w:szCs w:val="21"/>
                <w:lang w:eastAsia="zh-CN"/>
              </w:rPr>
              <w:t>、</w:t>
            </w:r>
            <w:r>
              <w:rPr>
                <w:rFonts w:ascii="Times New Roman" w:hAnsi="Times New Roman" w:eastAsia="宋体" w:cs="Times New Roman"/>
                <w:color w:val="auto"/>
                <w:sz w:val="21"/>
                <w:szCs w:val="21"/>
                <w:lang w:eastAsia="zh-CN"/>
              </w:rPr>
              <w:t>“</w:t>
            </w:r>
            <w:r>
              <w:rPr>
                <w:rFonts w:ascii="Times New Roman" w:hAnsi="Times New Roman" w:eastAsia="宋体" w:cs="Times New Roman"/>
                <w:color w:val="auto"/>
                <w:spacing w:val="-3"/>
                <w:sz w:val="21"/>
                <w:szCs w:val="21"/>
                <w:lang w:eastAsia="zh-CN"/>
              </w:rPr>
              <w:t>泵</w:t>
            </w:r>
            <w:r>
              <w:rPr>
                <w:rFonts w:ascii="Times New Roman" w:hAnsi="Times New Roman" w:eastAsia="宋体" w:cs="Times New Roman"/>
                <w:color w:val="auto"/>
                <w:sz w:val="21"/>
                <w:szCs w:val="21"/>
                <w:lang w:eastAsia="zh-CN"/>
              </w:rPr>
              <w:t>端</w:t>
            </w:r>
            <w:r>
              <w:rPr>
                <w:rFonts w:ascii="Times New Roman" w:hAnsi="Times New Roman" w:eastAsia="宋体" w:cs="Times New Roman"/>
                <w:color w:val="auto"/>
                <w:spacing w:val="-3"/>
                <w:sz w:val="21"/>
                <w:szCs w:val="21"/>
                <w:lang w:eastAsia="zh-CN"/>
              </w:rPr>
              <w:t>轴承</w:t>
            </w:r>
            <w:r>
              <w:rPr>
                <w:rFonts w:ascii="Times New Roman" w:hAnsi="Times New Roman" w:eastAsia="宋体" w:cs="Times New Roman"/>
                <w:color w:val="auto"/>
                <w:sz w:val="21"/>
                <w:szCs w:val="21"/>
                <w:lang w:eastAsia="zh-CN"/>
              </w:rPr>
              <w:t>超温</w:t>
            </w:r>
            <w:r>
              <w:rPr>
                <w:rFonts w:ascii="Times New Roman" w:hAnsi="Times New Roman" w:eastAsia="宋体" w:cs="Times New Roman"/>
                <w:color w:val="auto"/>
                <w:spacing w:val="-3"/>
                <w:sz w:val="21"/>
                <w:szCs w:val="21"/>
                <w:lang w:eastAsia="zh-CN"/>
              </w:rPr>
              <w:t>”</w:t>
            </w:r>
            <w:r>
              <w:rPr>
                <w:rFonts w:ascii="Times New Roman" w:hAnsi="Times New Roman" w:eastAsia="宋体" w:cs="Times New Roman"/>
                <w:color w:val="auto"/>
                <w:sz w:val="21"/>
                <w:szCs w:val="21"/>
                <w:lang w:eastAsia="zh-CN"/>
              </w:rPr>
              <w:t>报</w:t>
            </w:r>
            <w:r>
              <w:rPr>
                <w:rFonts w:ascii="Times New Roman" w:hAnsi="Times New Roman" w:eastAsia="宋体" w:cs="Times New Roman"/>
                <w:color w:val="auto"/>
                <w:spacing w:val="-3"/>
                <w:sz w:val="21"/>
                <w:szCs w:val="21"/>
                <w:lang w:eastAsia="zh-CN"/>
              </w:rPr>
              <w:t>警</w:t>
            </w:r>
            <w:r>
              <w:rPr>
                <w:rFonts w:ascii="Times New Roman" w:hAnsi="Times New Roman" w:eastAsia="宋体" w:cs="Times New Roman"/>
                <w:color w:val="auto"/>
                <w:spacing w:val="-106"/>
                <w:sz w:val="21"/>
                <w:szCs w:val="21"/>
                <w:lang w:eastAsia="zh-CN"/>
              </w:rPr>
              <w:t>、</w:t>
            </w:r>
            <w:r>
              <w:rPr>
                <w:rFonts w:ascii="Times New Roman" w:hAnsi="Times New Roman" w:eastAsia="宋体" w:cs="Times New Roman"/>
                <w:color w:val="auto"/>
                <w:spacing w:val="-3"/>
                <w:sz w:val="21"/>
                <w:szCs w:val="21"/>
                <w:lang w:eastAsia="zh-CN"/>
              </w:rPr>
              <w:t>“</w:t>
            </w:r>
            <w:r>
              <w:rPr>
                <w:rFonts w:ascii="Times New Roman" w:hAnsi="Times New Roman" w:eastAsia="宋体" w:cs="Times New Roman"/>
                <w:color w:val="auto"/>
                <w:sz w:val="21"/>
                <w:szCs w:val="21"/>
                <w:lang w:eastAsia="zh-CN"/>
              </w:rPr>
              <w:t>密</w:t>
            </w:r>
            <w:r>
              <w:rPr>
                <w:rFonts w:ascii="Times New Roman" w:hAnsi="Times New Roman" w:eastAsia="宋体" w:cs="Times New Roman"/>
                <w:color w:val="auto"/>
                <w:spacing w:val="-3"/>
                <w:sz w:val="21"/>
                <w:szCs w:val="21"/>
                <w:lang w:eastAsia="zh-CN"/>
              </w:rPr>
              <w:t>封</w:t>
            </w:r>
            <w:r>
              <w:rPr>
                <w:rFonts w:ascii="Times New Roman" w:hAnsi="Times New Roman" w:eastAsia="宋体" w:cs="Times New Roman"/>
                <w:color w:val="auto"/>
                <w:sz w:val="21"/>
                <w:szCs w:val="21"/>
                <w:lang w:eastAsia="zh-CN"/>
              </w:rPr>
              <w:t>泄</w:t>
            </w:r>
            <w:r>
              <w:rPr>
                <w:rFonts w:ascii="Times New Roman" w:hAnsi="Times New Roman" w:eastAsia="宋体" w:cs="Times New Roman"/>
                <w:color w:val="auto"/>
                <w:spacing w:val="-3"/>
                <w:sz w:val="21"/>
                <w:szCs w:val="21"/>
                <w:lang w:eastAsia="zh-CN"/>
              </w:rPr>
              <w:t>漏”</w:t>
            </w:r>
            <w:r>
              <w:rPr>
                <w:rFonts w:ascii="Times New Roman" w:hAnsi="Times New Roman" w:eastAsia="宋体" w:cs="Times New Roman"/>
                <w:color w:val="auto"/>
                <w:sz w:val="21"/>
                <w:szCs w:val="21"/>
                <w:lang w:eastAsia="zh-CN"/>
              </w:rPr>
              <w:t>报警</w:t>
            </w:r>
            <w:r>
              <w:rPr>
                <w:rFonts w:ascii="Times New Roman" w:hAnsi="Times New Roman" w:eastAsia="宋体" w:cs="Times New Roman"/>
                <w:color w:val="auto"/>
                <w:spacing w:val="-3"/>
                <w:sz w:val="21"/>
                <w:szCs w:val="21"/>
                <w:lang w:eastAsia="zh-CN"/>
              </w:rPr>
              <w:t>信</w:t>
            </w:r>
            <w:r>
              <w:rPr>
                <w:rFonts w:ascii="Times New Roman" w:hAnsi="Times New Roman" w:eastAsia="宋体" w:cs="Times New Roman"/>
                <w:color w:val="auto"/>
                <w:sz w:val="21"/>
                <w:szCs w:val="21"/>
                <w:lang w:eastAsia="zh-CN"/>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Align w:val="center"/>
          </w:tcPr>
          <w:p>
            <w:pPr>
              <w:spacing w:line="360" w:lineRule="auto"/>
              <w:rPr>
                <w:rFonts w:ascii="Times New Roman" w:hAnsi="Times New Roman" w:cs="Times New Roman"/>
                <w:color w:val="auto"/>
                <w:lang w:eastAsia="zh-CN"/>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电缆接线盒</w:t>
            </w:r>
          </w:p>
        </w:tc>
        <w:tc>
          <w:tcPr>
            <w:tcW w:w="6236" w:type="dxa"/>
            <w:vAlign w:val="center"/>
          </w:tcPr>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为每台功率大于15KW</w:t>
            </w:r>
            <w:r>
              <w:rPr>
                <w:rFonts w:ascii="Times New Roman" w:hAnsi="Times New Roman" w:eastAsia="宋体" w:cs="Times New Roman"/>
                <w:color w:val="auto"/>
                <w:spacing w:val="-5"/>
                <w:sz w:val="21"/>
                <w:szCs w:val="21"/>
                <w:lang w:eastAsia="zh-CN"/>
              </w:rPr>
              <w:t>的潜水泵提供一只现场电缆接线盒，并负责指导</w:t>
            </w:r>
            <w:r>
              <w:rPr>
                <w:rFonts w:ascii="Times New Roman" w:hAnsi="Times New Roman" w:eastAsia="宋体" w:cs="Times New Roman"/>
                <w:color w:val="auto"/>
                <w:spacing w:val="-2"/>
                <w:sz w:val="21"/>
                <w:szCs w:val="21"/>
                <w:lang w:eastAsia="zh-CN"/>
              </w:rPr>
              <w:t>安装工作。从一台水泵电机引出的潜水电力电缆和控制电缆应共用一个电缆接线盒，接线盒外壳应采用防腐材料制作，防护等级应不小于</w:t>
            </w:r>
            <w:r>
              <w:rPr>
                <w:rFonts w:ascii="Times New Roman" w:hAnsi="Times New Roman" w:eastAsia="宋体" w:cs="Times New Roman"/>
                <w:color w:val="auto"/>
                <w:spacing w:val="-3"/>
                <w:sz w:val="21"/>
                <w:szCs w:val="21"/>
                <w:lang w:eastAsia="zh-CN"/>
              </w:rPr>
              <w:t>IP65；接线盒内应有供电力电缆和控制电缆可靠连接用的铜接线排(或</w:t>
            </w:r>
            <w:r>
              <w:rPr>
                <w:rFonts w:ascii="Times New Roman" w:hAnsi="Times New Roman" w:eastAsia="宋体" w:cs="Times New Roman"/>
                <w:color w:val="auto"/>
                <w:spacing w:val="-4"/>
                <w:sz w:val="21"/>
                <w:szCs w:val="21"/>
                <w:lang w:eastAsia="zh-CN"/>
              </w:rPr>
              <w:t>接线端子)，接线排或接线端子应能满足水泵电机在额定和故障状态下</w:t>
            </w:r>
            <w:r>
              <w:rPr>
                <w:rFonts w:ascii="Times New Roman" w:hAnsi="Times New Roman" w:eastAsia="宋体" w:cs="Times New Roman"/>
                <w:color w:val="auto"/>
                <w:spacing w:val="-2"/>
                <w:sz w:val="21"/>
                <w:szCs w:val="21"/>
                <w:lang w:eastAsia="zh-CN"/>
              </w:rPr>
              <w:t>电气强度要求；从电缆接线盒至低压配电柜的延长电缆部分列入设备</w:t>
            </w:r>
            <w:r>
              <w:rPr>
                <w:rFonts w:ascii="Times New Roman" w:hAnsi="Times New Roman" w:eastAsia="宋体" w:cs="Times New Roman"/>
                <w:color w:val="auto"/>
                <w:sz w:val="21"/>
                <w:szCs w:val="21"/>
                <w:lang w:eastAsia="zh-CN"/>
              </w:rPr>
              <w:t>安装工程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Align w:val="center"/>
          </w:tcPr>
          <w:p>
            <w:pPr>
              <w:spacing w:line="360" w:lineRule="auto"/>
              <w:rPr>
                <w:rFonts w:ascii="Times New Roman" w:hAnsi="Times New Roman" w:cs="Times New Roman"/>
                <w:color w:val="auto"/>
                <w:lang w:eastAsia="zh-CN"/>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其它</w:t>
            </w:r>
          </w:p>
        </w:tc>
        <w:tc>
          <w:tcPr>
            <w:tcW w:w="6236" w:type="dxa"/>
            <w:vAlign w:val="center"/>
          </w:tcPr>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2"/>
                <w:sz w:val="21"/>
                <w:szCs w:val="21"/>
                <w:lang w:eastAsia="zh-CN"/>
              </w:rPr>
              <w:t>配备就地控制箱、软启动器、原厂综合保护器、耦合用导向杆、90°</w:t>
            </w:r>
            <w:r>
              <w:rPr>
                <w:rFonts w:ascii="Times New Roman" w:hAnsi="Times New Roman" w:eastAsia="宋体" w:cs="Times New Roman"/>
                <w:color w:val="auto"/>
                <w:spacing w:val="-6"/>
                <w:sz w:val="21"/>
                <w:szCs w:val="21"/>
                <w:lang w:eastAsia="zh-CN"/>
              </w:rPr>
              <w:t>出水弯座、提升链、水下电缆、基础螺栓、电缆接线盒(功率大于</w:t>
            </w:r>
            <w:r>
              <w:rPr>
                <w:rFonts w:ascii="Times New Roman" w:hAnsi="Times New Roman" w:eastAsia="宋体" w:cs="Times New Roman"/>
                <w:color w:val="auto"/>
                <w:sz w:val="21"/>
                <w:szCs w:val="21"/>
                <w:lang w:eastAsia="zh-CN"/>
              </w:rPr>
              <w:t>15kw时)等有效和安全运行所必需的附件。</w:t>
            </w:r>
          </w:p>
        </w:tc>
      </w:tr>
    </w:tbl>
    <w:p>
      <w:pPr>
        <w:pStyle w:val="29"/>
        <w:ind w:firstLine="472"/>
        <w:rPr>
          <w:color w:val="auto"/>
        </w:rPr>
      </w:pPr>
    </w:p>
    <w:p>
      <w:pPr>
        <w:pStyle w:val="29"/>
        <w:ind w:firstLine="472"/>
        <w:rPr>
          <w:color w:val="auto"/>
        </w:rPr>
      </w:pPr>
      <w:r>
        <w:rPr>
          <w:rFonts w:hint="eastAsia"/>
          <w:color w:val="auto"/>
        </w:rPr>
        <w:t>（</w:t>
      </w:r>
      <w:r>
        <w:rPr>
          <w:color w:val="auto"/>
        </w:rPr>
        <w:t>2</w:t>
      </w:r>
      <w:r>
        <w:rPr>
          <w:rFonts w:hint="eastAsia"/>
          <w:color w:val="auto"/>
        </w:rPr>
        <w:t>）小泵</w:t>
      </w:r>
    </w:p>
    <w:tbl>
      <w:tblPr>
        <w:tblStyle w:val="25"/>
        <w:tblW w:w="853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1"/>
        <w:gridCol w:w="184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Header/>
        </w:trPr>
        <w:tc>
          <w:tcPr>
            <w:tcW w:w="2444" w:type="dxa"/>
            <w:gridSpan w:val="2"/>
            <w:vAlign w:val="center"/>
          </w:tcPr>
          <w:p>
            <w:pPr>
              <w:pStyle w:val="27"/>
              <w:tabs>
                <w:tab w:val="left" w:pos="427"/>
              </w:tabs>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项目</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restart"/>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技术规格</w:t>
            </w: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水泵型式</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离心式潜水泵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数量</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介质</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城市污水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安装方式</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可拆卸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pacing w:val="-1"/>
                <w:sz w:val="21"/>
                <w:szCs w:val="21"/>
              </w:rPr>
              <w:t>工况点设计流量(m³/s)</w:t>
            </w:r>
          </w:p>
        </w:tc>
        <w:tc>
          <w:tcPr>
            <w:tcW w:w="6095" w:type="dxa"/>
            <w:vAlign w:val="center"/>
          </w:tcPr>
          <w:p>
            <w:pPr>
              <w:pStyle w:val="27"/>
              <w:spacing w:line="360" w:lineRule="auto"/>
              <w:rPr>
                <w:rFonts w:ascii="Times New Roman" w:hAnsi="Times New Roman" w:eastAsia="宋体" w:cs="Times New Roman"/>
                <w:color w:val="auto"/>
                <w:sz w:val="17"/>
                <w:szCs w:val="17"/>
              </w:rPr>
            </w:pPr>
          </w:p>
          <w:p>
            <w:pPr>
              <w:pStyle w:val="27"/>
              <w:spacing w:line="360" w:lineRule="auto"/>
              <w:jc w:val="center"/>
              <w:rPr>
                <w:rFonts w:ascii="Times New Roman" w:hAnsi="Times New Roman" w:eastAsia="宋体" w:cs="Times New Roman"/>
                <w:color w:val="auto"/>
                <w:sz w:val="21"/>
                <w:szCs w:val="21"/>
              </w:rPr>
            </w:pPr>
            <w:r>
              <w:rPr>
                <w:rFonts w:ascii="Times New Roman" w:hAnsi="Times New Roman" w:cs="Times New Roman"/>
                <w:color w:val="auto"/>
                <w:sz w:val="21"/>
              </w:rPr>
              <w:t>347L/s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扬程</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6.5m（暂定）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工况点水泵效率(%)</w:t>
            </w:r>
          </w:p>
        </w:tc>
        <w:tc>
          <w:tcPr>
            <w:tcW w:w="6095" w:type="dxa"/>
            <w:vAlign w:val="center"/>
          </w:tcPr>
          <w:p>
            <w:pPr>
              <w:pStyle w:val="27"/>
              <w:spacing w:line="360" w:lineRule="auto"/>
              <w:rPr>
                <w:rFonts w:ascii="Times New Roman" w:hAnsi="Times New Roman" w:eastAsia="宋体" w:cs="Times New Roman"/>
                <w:color w:val="auto"/>
                <w:sz w:val="16"/>
                <w:szCs w:val="16"/>
              </w:rPr>
            </w:pPr>
          </w:p>
          <w:p>
            <w:pPr>
              <w:pStyle w:val="27"/>
              <w:spacing w:line="360" w:lineRule="auto"/>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电机效率(%)</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启动方式</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软启动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叶轮型式</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无阻塞叶轮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参考功率(KW)</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37</w:t>
            </w:r>
            <w:r>
              <w:rPr>
                <w:rFonts w:hint="eastAsia" w:ascii="Times New Roman" w:hAnsi="Times New Roman"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工作制</w:t>
            </w:r>
          </w:p>
        </w:tc>
        <w:tc>
          <w:tcPr>
            <w:tcW w:w="6095" w:type="dxa"/>
            <w:vAlign w:val="center"/>
          </w:tcPr>
          <w:p>
            <w:pPr>
              <w:pStyle w:val="27"/>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24h/d连续运行并可以间歇运行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lang w:eastAsia="zh-CN"/>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冷却方式</w:t>
            </w:r>
          </w:p>
        </w:tc>
        <w:tc>
          <w:tcPr>
            <w:tcW w:w="6095" w:type="dxa"/>
            <w:vAlign w:val="center"/>
          </w:tcPr>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2"/>
                <w:sz w:val="21"/>
                <w:szCs w:val="21"/>
                <w:lang w:eastAsia="zh-CN"/>
              </w:rPr>
              <w:t>电机冷却需采用直接冷却或油冷却系统，即使在潜水电机全部露出水</w:t>
            </w:r>
            <w:r>
              <w:rPr>
                <w:rFonts w:ascii="Times New Roman" w:hAnsi="Times New Roman" w:eastAsia="宋体" w:cs="Times New Roman"/>
                <w:color w:val="auto"/>
                <w:sz w:val="21"/>
                <w:szCs w:val="21"/>
                <w:lang w:eastAsia="zh-CN"/>
              </w:rPr>
              <w:t>面的运转情况下，仍应有足够的电机冷却能力。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lang w:eastAsia="zh-CN"/>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供电电源</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cs="Times New Roman"/>
                <w:color w:val="auto"/>
                <w:sz w:val="21"/>
              </w:rPr>
              <w:t>3Ph/50Hz/380V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防护等级</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cs="Times New Roman"/>
                <w:color w:val="auto"/>
                <w:sz w:val="21"/>
              </w:rPr>
              <w:t>IP68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出口口径</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350</w:t>
            </w:r>
            <w:r>
              <w:rPr>
                <w:rFonts w:hint="eastAsia" w:ascii="Times New Roman" w:hAnsi="Times New Roman" w:eastAsia="宋体" w:cs="Times New Roman"/>
                <w:color w:val="auto"/>
                <w:sz w:val="21"/>
                <w:szCs w:val="21"/>
                <w:lang w:eastAsia="zh-CN"/>
              </w:rPr>
              <w:t>mm暂定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pacing w:val="-1"/>
                <w:sz w:val="21"/>
                <w:szCs w:val="21"/>
              </w:rPr>
              <w:t>颗粒通过能</w:t>
            </w:r>
            <w:r>
              <w:rPr>
                <w:rFonts w:ascii="Times New Roman" w:hAnsi="Times New Roman" w:eastAsia="宋体" w:cs="Times New Roman"/>
                <w:color w:val="auto"/>
                <w:sz w:val="21"/>
                <w:szCs w:val="21"/>
              </w:rPr>
              <w:t>力</w:t>
            </w:r>
          </w:p>
        </w:tc>
        <w:tc>
          <w:tcPr>
            <w:tcW w:w="6095" w:type="dxa"/>
            <w:vAlign w:val="center"/>
          </w:tcPr>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有通过颗粒直径为50mm以上及纤维长度为350mm的能力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lang w:eastAsia="zh-CN"/>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噪声(dB(A))</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≤80DB(A)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电缆长度</w:t>
            </w:r>
          </w:p>
        </w:tc>
        <w:tc>
          <w:tcPr>
            <w:tcW w:w="6095" w:type="dxa"/>
            <w:vAlign w:val="center"/>
          </w:tcPr>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18</w:t>
            </w:r>
            <w:r>
              <w:rPr>
                <w:rFonts w:ascii="Times New Roman" w:hAnsi="Times New Roman" w:eastAsia="宋体" w:cs="Times New Roman"/>
                <w:color w:val="auto"/>
                <w:spacing w:val="-5"/>
                <w:sz w:val="21"/>
                <w:szCs w:val="21"/>
                <w:lang w:eastAsia="zh-CN"/>
              </w:rPr>
              <w:t>米/根（暂定），与水泵配套，完好无接驳口，达到规范要求的防水</w:t>
            </w:r>
            <w:r>
              <w:rPr>
                <w:rFonts w:ascii="Times New Roman" w:hAnsi="Times New Roman" w:eastAsia="宋体" w:cs="Times New Roman"/>
                <w:color w:val="auto"/>
                <w:sz w:val="21"/>
                <w:szCs w:val="21"/>
                <w:lang w:eastAsia="zh-CN"/>
              </w:rPr>
              <w:t>等级及绝缘等级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lang w:eastAsia="zh-CN"/>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pacing w:val="-1"/>
                <w:sz w:val="21"/>
                <w:szCs w:val="21"/>
              </w:rPr>
              <w:t>最小绝缘等</w:t>
            </w:r>
            <w:r>
              <w:rPr>
                <w:rFonts w:ascii="Times New Roman" w:hAnsi="Times New Roman" w:eastAsia="宋体" w:cs="Times New Roman"/>
                <w:color w:val="auto"/>
                <w:sz w:val="21"/>
                <w:szCs w:val="21"/>
              </w:rPr>
              <w:t>级</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cs="Times New Roman"/>
                <w:color w:val="auto"/>
                <w:sz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机械密封的使用寿命</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不低于30000小时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pacing w:val="-1"/>
                <w:sz w:val="21"/>
                <w:szCs w:val="21"/>
              </w:rPr>
              <w:t>轴承寿命</w:t>
            </w:r>
            <w:r>
              <w:rPr>
                <w:rFonts w:ascii="Times New Roman" w:hAnsi="Times New Roman" w:eastAsia="宋体" w:cs="Times New Roman"/>
                <w:color w:val="auto"/>
                <w:sz w:val="21"/>
                <w:szCs w:val="21"/>
              </w:rPr>
              <w:t>(L10)</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不得少于100000</w:t>
            </w:r>
            <w:r>
              <w:rPr>
                <w:rFonts w:ascii="Times New Roman" w:hAnsi="Times New Roman" w:eastAsia="宋体" w:cs="Times New Roman"/>
                <w:color w:val="auto"/>
                <w:spacing w:val="-3"/>
                <w:sz w:val="21"/>
                <w:szCs w:val="21"/>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能够在20m水深下持续长期运行安全运行时间</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至少为20000小时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1"/>
                <w:sz w:val="21"/>
                <w:szCs w:val="21"/>
                <w:lang w:eastAsia="zh-CN"/>
              </w:rPr>
              <w:t>允许每小时</w:t>
            </w:r>
            <w:r>
              <w:rPr>
                <w:rFonts w:ascii="Times New Roman" w:hAnsi="Times New Roman" w:eastAsia="宋体" w:cs="Times New Roman"/>
                <w:color w:val="auto"/>
                <w:sz w:val="21"/>
                <w:szCs w:val="21"/>
                <w:lang w:eastAsia="zh-CN"/>
              </w:rPr>
              <w:t>启动次数(次)</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restart"/>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材质</w:t>
            </w: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pacing w:val="-6"/>
                <w:sz w:val="21"/>
                <w:szCs w:val="21"/>
              </w:rPr>
              <w:t>泵壳、电机壳</w:t>
            </w:r>
          </w:p>
        </w:tc>
        <w:tc>
          <w:tcPr>
            <w:tcW w:w="6095" w:type="dxa"/>
            <w:vAlign w:val="center"/>
          </w:tcPr>
          <w:p>
            <w:pPr>
              <w:pStyle w:val="27"/>
              <w:tabs>
                <w:tab w:val="left" w:pos="1159"/>
              </w:tabs>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pacing w:val="-1"/>
                <w:sz w:val="21"/>
                <w:szCs w:val="21"/>
              </w:rPr>
              <w:t>球墨铸铁</w:t>
            </w:r>
            <w:r>
              <w:rPr>
                <w:rFonts w:ascii="Times New Roman" w:hAnsi="Times New Roman" w:eastAsia="宋体" w:cs="Times New Roman"/>
                <w:color w:val="auto"/>
                <w:spacing w:val="-2"/>
                <w:sz w:val="21"/>
                <w:szCs w:val="21"/>
              </w:rPr>
              <w:t>QT400-10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叶轮</w:t>
            </w:r>
          </w:p>
        </w:tc>
        <w:tc>
          <w:tcPr>
            <w:tcW w:w="6095" w:type="dxa"/>
            <w:vAlign w:val="center"/>
          </w:tcPr>
          <w:p>
            <w:pPr>
              <w:pStyle w:val="27"/>
              <w:tabs>
                <w:tab w:val="left" w:pos="1159"/>
              </w:tabs>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pacing w:val="-1"/>
                <w:sz w:val="21"/>
                <w:szCs w:val="21"/>
              </w:rPr>
              <w:t>球墨铸铁</w:t>
            </w:r>
            <w:r>
              <w:rPr>
                <w:rFonts w:ascii="Times New Roman" w:hAnsi="Times New Roman" w:eastAsia="宋体" w:cs="Times New Roman"/>
                <w:color w:val="auto"/>
                <w:spacing w:val="-2"/>
                <w:sz w:val="21"/>
                <w:szCs w:val="21"/>
              </w:rPr>
              <w:t>QT400-10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主轴</w:t>
            </w:r>
          </w:p>
        </w:tc>
        <w:tc>
          <w:tcPr>
            <w:tcW w:w="6095" w:type="dxa"/>
            <w:vAlign w:val="center"/>
          </w:tcPr>
          <w:p>
            <w:pPr>
              <w:pStyle w:val="27"/>
              <w:spacing w:line="360" w:lineRule="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不锈钢0Cr26Ni5Mo2(AISI329)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磨损环</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不锈钢316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机械密封</w:t>
            </w:r>
          </w:p>
        </w:tc>
        <w:tc>
          <w:tcPr>
            <w:tcW w:w="6095" w:type="dxa"/>
            <w:vAlign w:val="center"/>
          </w:tcPr>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耐腐蚀碳化钨或碳化硅，介质酸碱度范围为</w:t>
            </w:r>
            <w:r>
              <w:rPr>
                <w:rFonts w:ascii="Times New Roman" w:hAnsi="Times New Roman" w:eastAsia="宋体" w:cs="Times New Roman"/>
                <w:color w:val="auto"/>
                <w:spacing w:val="-3"/>
                <w:sz w:val="21"/>
                <w:szCs w:val="21"/>
                <w:lang w:eastAsia="zh-CN"/>
              </w:rPr>
              <w:t>pH6～10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lang w:eastAsia="zh-CN"/>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螺栓、螺母</w:t>
            </w:r>
          </w:p>
        </w:tc>
        <w:tc>
          <w:tcPr>
            <w:tcW w:w="6095"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不锈钢304L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导向索/导轨</w:t>
            </w:r>
          </w:p>
        </w:tc>
        <w:tc>
          <w:tcPr>
            <w:tcW w:w="6095" w:type="dxa"/>
            <w:vAlign w:val="center"/>
          </w:tcPr>
          <w:p>
            <w:pPr>
              <w:pStyle w:val="27"/>
              <w:spacing w:line="360" w:lineRule="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不锈钢1Cr18Ni9Ti(316)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吊链/吊架</w:t>
            </w:r>
          </w:p>
        </w:tc>
        <w:tc>
          <w:tcPr>
            <w:tcW w:w="6095" w:type="dxa"/>
            <w:vAlign w:val="center"/>
          </w:tcPr>
          <w:p>
            <w:pPr>
              <w:pStyle w:val="27"/>
              <w:spacing w:line="360" w:lineRule="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不锈钢1Cr18Ni9Ti(316)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Merge w:val="continue"/>
            <w:vAlign w:val="center"/>
          </w:tcPr>
          <w:p>
            <w:pPr>
              <w:spacing w:line="360" w:lineRule="auto"/>
              <w:rPr>
                <w:rFonts w:ascii="Times New Roman" w:hAnsi="Times New Roman" w:cs="Times New Roman"/>
                <w:color w:val="auto"/>
              </w:rPr>
            </w:pPr>
          </w:p>
        </w:tc>
        <w:tc>
          <w:tcPr>
            <w:tcW w:w="1843" w:type="dxa"/>
            <w:vAlign w:val="center"/>
          </w:tcPr>
          <w:p>
            <w:pPr>
              <w:pStyle w:val="27"/>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所有连接附</w:t>
            </w:r>
            <w:r>
              <w:rPr>
                <w:rFonts w:ascii="Times New Roman" w:hAnsi="Times New Roman" w:eastAsia="宋体" w:cs="Times New Roman"/>
                <w:color w:val="auto"/>
                <w:spacing w:val="-6"/>
                <w:sz w:val="21"/>
                <w:szCs w:val="21"/>
                <w:lang w:eastAsia="zh-CN"/>
              </w:rPr>
              <w:t>件、地脚螺栓</w:t>
            </w:r>
          </w:p>
        </w:tc>
        <w:tc>
          <w:tcPr>
            <w:tcW w:w="6095" w:type="dxa"/>
            <w:vAlign w:val="center"/>
          </w:tcPr>
          <w:p>
            <w:pPr>
              <w:pStyle w:val="27"/>
              <w:spacing w:line="360" w:lineRule="auto"/>
              <w:rPr>
                <w:rFonts w:ascii="Times New Roman" w:hAnsi="Times New Roman" w:eastAsia="宋体" w:cs="Times New Roman"/>
                <w:color w:val="auto"/>
                <w:sz w:val="16"/>
                <w:szCs w:val="16"/>
                <w:lang w:eastAsia="zh-CN"/>
              </w:rPr>
            </w:pPr>
          </w:p>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不锈钢304L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Align w:val="center"/>
          </w:tcPr>
          <w:p>
            <w:pPr>
              <w:pStyle w:val="27"/>
              <w:spacing w:line="360" w:lineRule="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附件</w:t>
            </w:r>
          </w:p>
        </w:tc>
        <w:tc>
          <w:tcPr>
            <w:tcW w:w="1843" w:type="dxa"/>
            <w:vAlign w:val="center"/>
          </w:tcPr>
          <w:p>
            <w:pPr>
              <w:pStyle w:val="27"/>
              <w:spacing w:line="360" w:lineRule="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电气专用保护元件</w:t>
            </w:r>
          </w:p>
        </w:tc>
        <w:tc>
          <w:tcPr>
            <w:tcW w:w="6095" w:type="dxa"/>
            <w:vAlign w:val="center"/>
          </w:tcPr>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2"/>
                <w:sz w:val="21"/>
                <w:szCs w:val="21"/>
                <w:lang w:eastAsia="zh-CN"/>
              </w:rPr>
              <w:t>有机械密封泄漏传感器和电机湿度传感器、轴承温度传感器、定子绕</w:t>
            </w:r>
            <w:r>
              <w:rPr>
                <w:rFonts w:ascii="Times New Roman" w:hAnsi="Times New Roman" w:eastAsia="宋体" w:cs="Times New Roman"/>
                <w:color w:val="auto"/>
                <w:sz w:val="21"/>
                <w:szCs w:val="21"/>
                <w:lang w:eastAsia="zh-CN"/>
              </w:rPr>
              <w:t>组温度传感器、水泵综合保护器等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Align w:val="center"/>
          </w:tcPr>
          <w:p>
            <w:pPr>
              <w:spacing w:line="360" w:lineRule="auto"/>
              <w:rPr>
                <w:rFonts w:ascii="Times New Roman" w:hAnsi="Times New Roman" w:cs="Times New Roman"/>
                <w:color w:val="auto"/>
                <w:lang w:eastAsia="zh-CN"/>
              </w:rPr>
            </w:pPr>
          </w:p>
        </w:tc>
        <w:tc>
          <w:tcPr>
            <w:tcW w:w="1843" w:type="dxa"/>
            <w:vAlign w:val="center"/>
          </w:tcPr>
          <w:p>
            <w:pPr>
              <w:pStyle w:val="27"/>
              <w:spacing w:line="360" w:lineRule="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综合保护器</w:t>
            </w:r>
          </w:p>
        </w:tc>
        <w:tc>
          <w:tcPr>
            <w:tcW w:w="6095" w:type="dxa"/>
            <w:vAlign w:val="center"/>
          </w:tcPr>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2"/>
                <w:sz w:val="21"/>
                <w:szCs w:val="21"/>
                <w:lang w:eastAsia="zh-CN"/>
              </w:rPr>
              <w:t>每台潜水泵均应配备原厂综合保护器，用于水泵的保护报警信号的监</w:t>
            </w:r>
            <w:r>
              <w:rPr>
                <w:rFonts w:ascii="Times New Roman" w:hAnsi="Times New Roman" w:eastAsia="宋体" w:cs="Times New Roman"/>
                <w:color w:val="auto"/>
                <w:sz w:val="21"/>
                <w:szCs w:val="21"/>
                <w:lang w:eastAsia="zh-CN"/>
              </w:rPr>
              <w:t>控，应能向泵站控制室PLC传输状态显示信号并接受PLC输出信号的控制，监控继电器应安装在相应的低压配电柜。</w:t>
            </w:r>
          </w:p>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应向</w:t>
            </w:r>
            <w:r>
              <w:rPr>
                <w:rFonts w:ascii="Times New Roman" w:hAnsi="Times New Roman" w:eastAsia="宋体" w:cs="Times New Roman"/>
                <w:color w:val="auto"/>
                <w:spacing w:val="-3"/>
                <w:sz w:val="21"/>
                <w:szCs w:val="21"/>
                <w:lang w:eastAsia="zh-CN"/>
              </w:rPr>
              <w:t>中</w:t>
            </w:r>
            <w:r>
              <w:rPr>
                <w:rFonts w:ascii="Times New Roman" w:hAnsi="Times New Roman" w:eastAsia="宋体" w:cs="Times New Roman"/>
                <w:color w:val="auto"/>
                <w:sz w:val="21"/>
                <w:szCs w:val="21"/>
                <w:lang w:eastAsia="zh-CN"/>
              </w:rPr>
              <w:t>控</w:t>
            </w:r>
            <w:r>
              <w:rPr>
                <w:rFonts w:ascii="Times New Roman" w:hAnsi="Times New Roman" w:eastAsia="宋体" w:cs="Times New Roman"/>
                <w:color w:val="auto"/>
                <w:spacing w:val="-3"/>
                <w:sz w:val="21"/>
                <w:szCs w:val="21"/>
                <w:lang w:eastAsia="zh-CN"/>
              </w:rPr>
              <w:t>室</w:t>
            </w:r>
            <w:r>
              <w:rPr>
                <w:rFonts w:ascii="Times New Roman" w:hAnsi="Times New Roman" w:eastAsia="宋体" w:cs="Times New Roman"/>
                <w:color w:val="auto"/>
                <w:sz w:val="21"/>
                <w:szCs w:val="21"/>
                <w:lang w:eastAsia="zh-CN"/>
              </w:rPr>
              <w:t>输</w:t>
            </w:r>
            <w:r>
              <w:rPr>
                <w:rFonts w:ascii="Times New Roman" w:hAnsi="Times New Roman" w:eastAsia="宋体" w:cs="Times New Roman"/>
                <w:color w:val="auto"/>
                <w:spacing w:val="-3"/>
                <w:sz w:val="21"/>
                <w:szCs w:val="21"/>
                <w:lang w:eastAsia="zh-CN"/>
              </w:rPr>
              <w:t>出</w:t>
            </w:r>
            <w:r>
              <w:rPr>
                <w:rFonts w:ascii="Times New Roman" w:hAnsi="Times New Roman" w:eastAsia="宋体" w:cs="Times New Roman"/>
                <w:color w:val="auto"/>
                <w:sz w:val="21"/>
                <w:szCs w:val="21"/>
                <w:lang w:eastAsia="zh-CN"/>
              </w:rPr>
              <w:t>“</w:t>
            </w:r>
            <w:r>
              <w:rPr>
                <w:rFonts w:ascii="Times New Roman" w:hAnsi="Times New Roman" w:eastAsia="宋体" w:cs="Times New Roman"/>
                <w:color w:val="auto"/>
                <w:spacing w:val="-3"/>
                <w:sz w:val="21"/>
                <w:szCs w:val="21"/>
                <w:lang w:eastAsia="zh-CN"/>
              </w:rPr>
              <w:t>电</w:t>
            </w:r>
            <w:r>
              <w:rPr>
                <w:rFonts w:ascii="Times New Roman" w:hAnsi="Times New Roman" w:eastAsia="宋体" w:cs="Times New Roman"/>
                <w:color w:val="auto"/>
                <w:sz w:val="21"/>
                <w:szCs w:val="21"/>
                <w:lang w:eastAsia="zh-CN"/>
              </w:rPr>
              <w:t>机</w:t>
            </w:r>
            <w:r>
              <w:rPr>
                <w:rFonts w:ascii="Times New Roman" w:hAnsi="Times New Roman" w:eastAsia="宋体" w:cs="Times New Roman"/>
                <w:color w:val="auto"/>
                <w:spacing w:val="-3"/>
                <w:sz w:val="21"/>
                <w:szCs w:val="21"/>
                <w:lang w:eastAsia="zh-CN"/>
              </w:rPr>
              <w:t>轴</w:t>
            </w:r>
            <w:r>
              <w:rPr>
                <w:rFonts w:ascii="Times New Roman" w:hAnsi="Times New Roman" w:eastAsia="宋体" w:cs="Times New Roman"/>
                <w:color w:val="auto"/>
                <w:sz w:val="21"/>
                <w:szCs w:val="21"/>
                <w:lang w:eastAsia="zh-CN"/>
              </w:rPr>
              <w:t>承超</w:t>
            </w:r>
            <w:r>
              <w:rPr>
                <w:rFonts w:ascii="Times New Roman" w:hAnsi="Times New Roman" w:eastAsia="宋体" w:cs="Times New Roman"/>
                <w:color w:val="auto"/>
                <w:spacing w:val="-3"/>
                <w:sz w:val="21"/>
                <w:szCs w:val="21"/>
                <w:lang w:eastAsia="zh-CN"/>
              </w:rPr>
              <w:t>温</w:t>
            </w:r>
            <w:r>
              <w:rPr>
                <w:rFonts w:ascii="Times New Roman" w:hAnsi="Times New Roman" w:eastAsia="宋体" w:cs="Times New Roman"/>
                <w:color w:val="auto"/>
                <w:sz w:val="21"/>
                <w:szCs w:val="21"/>
                <w:lang w:eastAsia="zh-CN"/>
              </w:rPr>
              <w:t>”</w:t>
            </w:r>
            <w:r>
              <w:rPr>
                <w:rFonts w:ascii="Times New Roman" w:hAnsi="Times New Roman" w:eastAsia="宋体" w:cs="Times New Roman"/>
                <w:color w:val="auto"/>
                <w:spacing w:val="-3"/>
                <w:sz w:val="21"/>
                <w:szCs w:val="21"/>
                <w:lang w:eastAsia="zh-CN"/>
              </w:rPr>
              <w:t>报</w:t>
            </w:r>
            <w:r>
              <w:rPr>
                <w:rFonts w:ascii="Times New Roman" w:hAnsi="Times New Roman" w:eastAsia="宋体" w:cs="Times New Roman"/>
                <w:color w:val="auto"/>
                <w:sz w:val="21"/>
                <w:szCs w:val="21"/>
                <w:lang w:eastAsia="zh-CN"/>
              </w:rPr>
              <w:t>警</w:t>
            </w:r>
            <w:r>
              <w:rPr>
                <w:rFonts w:ascii="Times New Roman" w:hAnsi="Times New Roman" w:eastAsia="宋体" w:cs="Times New Roman"/>
                <w:color w:val="auto"/>
                <w:spacing w:val="-108"/>
                <w:sz w:val="21"/>
                <w:szCs w:val="21"/>
                <w:lang w:eastAsia="zh-CN"/>
              </w:rPr>
              <w:t>、</w:t>
            </w:r>
            <w:r>
              <w:rPr>
                <w:rFonts w:ascii="Times New Roman" w:hAnsi="Times New Roman" w:eastAsia="宋体" w:cs="Times New Roman"/>
                <w:color w:val="auto"/>
                <w:sz w:val="21"/>
                <w:szCs w:val="21"/>
                <w:lang w:eastAsia="zh-CN"/>
              </w:rPr>
              <w:t>“</w:t>
            </w:r>
            <w:r>
              <w:rPr>
                <w:rFonts w:ascii="Times New Roman" w:hAnsi="Times New Roman" w:eastAsia="宋体" w:cs="Times New Roman"/>
                <w:color w:val="auto"/>
                <w:spacing w:val="-3"/>
                <w:sz w:val="21"/>
                <w:szCs w:val="21"/>
                <w:lang w:eastAsia="zh-CN"/>
              </w:rPr>
              <w:t>电</w:t>
            </w:r>
            <w:r>
              <w:rPr>
                <w:rFonts w:ascii="Times New Roman" w:hAnsi="Times New Roman" w:eastAsia="宋体" w:cs="Times New Roman"/>
                <w:color w:val="auto"/>
                <w:sz w:val="21"/>
                <w:szCs w:val="21"/>
                <w:lang w:eastAsia="zh-CN"/>
              </w:rPr>
              <w:t>机</w:t>
            </w:r>
            <w:r>
              <w:rPr>
                <w:rFonts w:ascii="Times New Roman" w:hAnsi="Times New Roman" w:eastAsia="宋体" w:cs="Times New Roman"/>
                <w:color w:val="auto"/>
                <w:spacing w:val="-3"/>
                <w:sz w:val="21"/>
                <w:szCs w:val="21"/>
                <w:lang w:eastAsia="zh-CN"/>
              </w:rPr>
              <w:t>绕组</w:t>
            </w:r>
            <w:r>
              <w:rPr>
                <w:rFonts w:ascii="Times New Roman" w:hAnsi="Times New Roman" w:eastAsia="宋体" w:cs="Times New Roman"/>
                <w:color w:val="auto"/>
                <w:sz w:val="21"/>
                <w:szCs w:val="21"/>
                <w:lang w:eastAsia="zh-CN"/>
              </w:rPr>
              <w:t>超温</w:t>
            </w:r>
            <w:r>
              <w:rPr>
                <w:rFonts w:ascii="Times New Roman" w:hAnsi="Times New Roman" w:eastAsia="宋体" w:cs="Times New Roman"/>
                <w:color w:val="auto"/>
                <w:spacing w:val="-3"/>
                <w:sz w:val="21"/>
                <w:szCs w:val="21"/>
                <w:lang w:eastAsia="zh-CN"/>
              </w:rPr>
              <w:t>”</w:t>
            </w:r>
            <w:r>
              <w:rPr>
                <w:rFonts w:ascii="Times New Roman" w:hAnsi="Times New Roman" w:eastAsia="宋体" w:cs="Times New Roman"/>
                <w:color w:val="auto"/>
                <w:sz w:val="21"/>
                <w:szCs w:val="21"/>
                <w:lang w:eastAsia="zh-CN"/>
              </w:rPr>
              <w:t>报</w:t>
            </w:r>
            <w:r>
              <w:rPr>
                <w:rFonts w:ascii="Times New Roman" w:hAnsi="Times New Roman" w:eastAsia="宋体" w:cs="Times New Roman"/>
                <w:color w:val="auto"/>
                <w:spacing w:val="-3"/>
                <w:sz w:val="21"/>
                <w:szCs w:val="21"/>
                <w:lang w:eastAsia="zh-CN"/>
              </w:rPr>
              <w:t>警</w:t>
            </w:r>
            <w:r>
              <w:rPr>
                <w:rFonts w:ascii="Times New Roman" w:hAnsi="Times New Roman" w:eastAsia="宋体" w:cs="Times New Roman"/>
                <w:color w:val="auto"/>
                <w:spacing w:val="-106"/>
                <w:sz w:val="21"/>
                <w:szCs w:val="21"/>
                <w:lang w:eastAsia="zh-CN"/>
              </w:rPr>
              <w:t>、</w:t>
            </w:r>
            <w:r>
              <w:rPr>
                <w:rFonts w:ascii="Times New Roman" w:hAnsi="Times New Roman" w:eastAsia="宋体" w:cs="Times New Roman"/>
                <w:color w:val="auto"/>
                <w:spacing w:val="-3"/>
                <w:sz w:val="21"/>
                <w:szCs w:val="21"/>
                <w:lang w:eastAsia="zh-CN"/>
              </w:rPr>
              <w:t>“</w:t>
            </w:r>
            <w:r>
              <w:rPr>
                <w:rFonts w:ascii="Times New Roman" w:hAnsi="Times New Roman" w:eastAsia="宋体" w:cs="Times New Roman"/>
                <w:color w:val="auto"/>
                <w:sz w:val="21"/>
                <w:szCs w:val="21"/>
                <w:lang w:eastAsia="zh-CN"/>
              </w:rPr>
              <w:t>电机湿</w:t>
            </w:r>
            <w:r>
              <w:rPr>
                <w:rFonts w:ascii="Times New Roman" w:hAnsi="Times New Roman" w:eastAsia="宋体" w:cs="Times New Roman"/>
                <w:color w:val="auto"/>
                <w:spacing w:val="-3"/>
                <w:sz w:val="21"/>
                <w:szCs w:val="21"/>
                <w:lang w:eastAsia="zh-CN"/>
              </w:rPr>
              <w:t>度</w:t>
            </w:r>
            <w:r>
              <w:rPr>
                <w:rFonts w:ascii="Times New Roman" w:hAnsi="Times New Roman" w:eastAsia="宋体" w:cs="Times New Roman"/>
                <w:color w:val="auto"/>
                <w:sz w:val="21"/>
                <w:szCs w:val="21"/>
                <w:lang w:eastAsia="zh-CN"/>
              </w:rPr>
              <w:t>”</w:t>
            </w:r>
            <w:r>
              <w:rPr>
                <w:rFonts w:ascii="Times New Roman" w:hAnsi="Times New Roman" w:eastAsia="宋体" w:cs="Times New Roman"/>
                <w:color w:val="auto"/>
                <w:spacing w:val="-3"/>
                <w:sz w:val="21"/>
                <w:szCs w:val="21"/>
                <w:lang w:eastAsia="zh-CN"/>
              </w:rPr>
              <w:t>报</w:t>
            </w:r>
            <w:r>
              <w:rPr>
                <w:rFonts w:ascii="Times New Roman" w:hAnsi="Times New Roman" w:eastAsia="宋体" w:cs="Times New Roman"/>
                <w:color w:val="auto"/>
                <w:sz w:val="21"/>
                <w:szCs w:val="21"/>
                <w:lang w:eastAsia="zh-CN"/>
              </w:rPr>
              <w:t>警</w:t>
            </w:r>
            <w:r>
              <w:rPr>
                <w:rFonts w:ascii="Times New Roman" w:hAnsi="Times New Roman" w:eastAsia="宋体" w:cs="Times New Roman"/>
                <w:color w:val="auto"/>
                <w:spacing w:val="-108"/>
                <w:sz w:val="21"/>
                <w:szCs w:val="21"/>
                <w:lang w:eastAsia="zh-CN"/>
              </w:rPr>
              <w:t>、</w:t>
            </w:r>
            <w:r>
              <w:rPr>
                <w:rFonts w:ascii="Times New Roman" w:hAnsi="Times New Roman" w:eastAsia="宋体" w:cs="Times New Roman"/>
                <w:color w:val="auto"/>
                <w:sz w:val="21"/>
                <w:szCs w:val="21"/>
                <w:lang w:eastAsia="zh-CN"/>
              </w:rPr>
              <w:t>“</w:t>
            </w:r>
            <w:r>
              <w:rPr>
                <w:rFonts w:ascii="Times New Roman" w:hAnsi="Times New Roman" w:eastAsia="宋体" w:cs="Times New Roman"/>
                <w:color w:val="auto"/>
                <w:spacing w:val="-3"/>
                <w:sz w:val="21"/>
                <w:szCs w:val="21"/>
                <w:lang w:eastAsia="zh-CN"/>
              </w:rPr>
              <w:t>泵</w:t>
            </w:r>
            <w:r>
              <w:rPr>
                <w:rFonts w:ascii="Times New Roman" w:hAnsi="Times New Roman" w:eastAsia="宋体" w:cs="Times New Roman"/>
                <w:color w:val="auto"/>
                <w:sz w:val="21"/>
                <w:szCs w:val="21"/>
                <w:lang w:eastAsia="zh-CN"/>
              </w:rPr>
              <w:t>端</w:t>
            </w:r>
            <w:r>
              <w:rPr>
                <w:rFonts w:ascii="Times New Roman" w:hAnsi="Times New Roman" w:eastAsia="宋体" w:cs="Times New Roman"/>
                <w:color w:val="auto"/>
                <w:spacing w:val="-3"/>
                <w:sz w:val="21"/>
                <w:szCs w:val="21"/>
                <w:lang w:eastAsia="zh-CN"/>
              </w:rPr>
              <w:t>轴承</w:t>
            </w:r>
            <w:r>
              <w:rPr>
                <w:rFonts w:ascii="Times New Roman" w:hAnsi="Times New Roman" w:eastAsia="宋体" w:cs="Times New Roman"/>
                <w:color w:val="auto"/>
                <w:sz w:val="21"/>
                <w:szCs w:val="21"/>
                <w:lang w:eastAsia="zh-CN"/>
              </w:rPr>
              <w:t>超温</w:t>
            </w:r>
            <w:r>
              <w:rPr>
                <w:rFonts w:ascii="Times New Roman" w:hAnsi="Times New Roman" w:eastAsia="宋体" w:cs="Times New Roman"/>
                <w:color w:val="auto"/>
                <w:spacing w:val="-3"/>
                <w:sz w:val="21"/>
                <w:szCs w:val="21"/>
                <w:lang w:eastAsia="zh-CN"/>
              </w:rPr>
              <w:t>”</w:t>
            </w:r>
            <w:r>
              <w:rPr>
                <w:rFonts w:ascii="Times New Roman" w:hAnsi="Times New Roman" w:eastAsia="宋体" w:cs="Times New Roman"/>
                <w:color w:val="auto"/>
                <w:sz w:val="21"/>
                <w:szCs w:val="21"/>
                <w:lang w:eastAsia="zh-CN"/>
              </w:rPr>
              <w:t>报</w:t>
            </w:r>
            <w:r>
              <w:rPr>
                <w:rFonts w:ascii="Times New Roman" w:hAnsi="Times New Roman" w:eastAsia="宋体" w:cs="Times New Roman"/>
                <w:color w:val="auto"/>
                <w:spacing w:val="-3"/>
                <w:sz w:val="21"/>
                <w:szCs w:val="21"/>
                <w:lang w:eastAsia="zh-CN"/>
              </w:rPr>
              <w:t>警</w:t>
            </w:r>
            <w:r>
              <w:rPr>
                <w:rFonts w:ascii="Times New Roman" w:hAnsi="Times New Roman" w:eastAsia="宋体" w:cs="Times New Roman"/>
                <w:color w:val="auto"/>
                <w:spacing w:val="-106"/>
                <w:sz w:val="21"/>
                <w:szCs w:val="21"/>
                <w:lang w:eastAsia="zh-CN"/>
              </w:rPr>
              <w:t>、</w:t>
            </w:r>
            <w:r>
              <w:rPr>
                <w:rFonts w:ascii="Times New Roman" w:hAnsi="Times New Roman" w:eastAsia="宋体" w:cs="Times New Roman"/>
                <w:color w:val="auto"/>
                <w:spacing w:val="-3"/>
                <w:sz w:val="21"/>
                <w:szCs w:val="21"/>
                <w:lang w:eastAsia="zh-CN"/>
              </w:rPr>
              <w:t>“</w:t>
            </w:r>
            <w:r>
              <w:rPr>
                <w:rFonts w:ascii="Times New Roman" w:hAnsi="Times New Roman" w:eastAsia="宋体" w:cs="Times New Roman"/>
                <w:color w:val="auto"/>
                <w:sz w:val="21"/>
                <w:szCs w:val="21"/>
                <w:lang w:eastAsia="zh-CN"/>
              </w:rPr>
              <w:t>密</w:t>
            </w:r>
            <w:r>
              <w:rPr>
                <w:rFonts w:ascii="Times New Roman" w:hAnsi="Times New Roman" w:eastAsia="宋体" w:cs="Times New Roman"/>
                <w:color w:val="auto"/>
                <w:spacing w:val="-3"/>
                <w:sz w:val="21"/>
                <w:szCs w:val="21"/>
                <w:lang w:eastAsia="zh-CN"/>
              </w:rPr>
              <w:t>封</w:t>
            </w:r>
            <w:r>
              <w:rPr>
                <w:rFonts w:ascii="Times New Roman" w:hAnsi="Times New Roman" w:eastAsia="宋体" w:cs="Times New Roman"/>
                <w:color w:val="auto"/>
                <w:sz w:val="21"/>
                <w:szCs w:val="21"/>
                <w:lang w:eastAsia="zh-CN"/>
              </w:rPr>
              <w:t>泄</w:t>
            </w:r>
            <w:r>
              <w:rPr>
                <w:rFonts w:ascii="Times New Roman" w:hAnsi="Times New Roman" w:eastAsia="宋体" w:cs="Times New Roman"/>
                <w:color w:val="auto"/>
                <w:spacing w:val="-3"/>
                <w:sz w:val="21"/>
                <w:szCs w:val="21"/>
                <w:lang w:eastAsia="zh-CN"/>
              </w:rPr>
              <w:t>漏”</w:t>
            </w:r>
            <w:r>
              <w:rPr>
                <w:rFonts w:ascii="Times New Roman" w:hAnsi="Times New Roman" w:eastAsia="宋体" w:cs="Times New Roman"/>
                <w:color w:val="auto"/>
                <w:sz w:val="21"/>
                <w:szCs w:val="21"/>
                <w:lang w:eastAsia="zh-CN"/>
              </w:rPr>
              <w:t>报警</w:t>
            </w:r>
            <w:r>
              <w:rPr>
                <w:rFonts w:ascii="Times New Roman" w:hAnsi="Times New Roman" w:eastAsia="宋体" w:cs="Times New Roman"/>
                <w:color w:val="auto"/>
                <w:spacing w:val="-3"/>
                <w:sz w:val="21"/>
                <w:szCs w:val="21"/>
                <w:lang w:eastAsia="zh-CN"/>
              </w:rPr>
              <w:t>信</w:t>
            </w:r>
            <w:r>
              <w:rPr>
                <w:rFonts w:ascii="Times New Roman" w:hAnsi="Times New Roman" w:eastAsia="宋体" w:cs="Times New Roman"/>
                <w:color w:val="auto"/>
                <w:sz w:val="21"/>
                <w:szCs w:val="21"/>
                <w:lang w:eastAsia="zh-CN"/>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Align w:val="center"/>
          </w:tcPr>
          <w:p>
            <w:pPr>
              <w:spacing w:line="360" w:lineRule="auto"/>
              <w:rPr>
                <w:rFonts w:ascii="Times New Roman" w:hAnsi="Times New Roman" w:cs="Times New Roman"/>
                <w:color w:val="auto"/>
                <w:lang w:eastAsia="zh-CN"/>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电缆接线盒</w:t>
            </w:r>
          </w:p>
        </w:tc>
        <w:tc>
          <w:tcPr>
            <w:tcW w:w="6095" w:type="dxa"/>
            <w:vAlign w:val="center"/>
          </w:tcPr>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为每台功率大于15KW</w:t>
            </w:r>
            <w:r>
              <w:rPr>
                <w:rFonts w:ascii="Times New Roman" w:hAnsi="Times New Roman" w:eastAsia="宋体" w:cs="Times New Roman"/>
                <w:color w:val="auto"/>
                <w:spacing w:val="-5"/>
                <w:sz w:val="21"/>
                <w:szCs w:val="21"/>
                <w:lang w:eastAsia="zh-CN"/>
              </w:rPr>
              <w:t>的潜水泵提供一只现场电缆接线盒，并负责指导</w:t>
            </w:r>
            <w:r>
              <w:rPr>
                <w:rFonts w:ascii="Times New Roman" w:hAnsi="Times New Roman" w:eastAsia="宋体" w:cs="Times New Roman"/>
                <w:color w:val="auto"/>
                <w:spacing w:val="-2"/>
                <w:sz w:val="21"/>
                <w:szCs w:val="21"/>
                <w:lang w:eastAsia="zh-CN"/>
              </w:rPr>
              <w:t>安装工作。从一台水泵电机引出的潜水电力电缆和控制电缆应共用一个电缆接线盒，接线盒外壳应采用防腐材料制作，防护等级应不小于</w:t>
            </w:r>
            <w:r>
              <w:rPr>
                <w:rFonts w:ascii="Times New Roman" w:hAnsi="Times New Roman" w:eastAsia="宋体" w:cs="Times New Roman"/>
                <w:color w:val="auto"/>
                <w:spacing w:val="-3"/>
                <w:sz w:val="21"/>
                <w:szCs w:val="21"/>
                <w:lang w:eastAsia="zh-CN"/>
              </w:rPr>
              <w:t>IP65；接线盒内应有供电力电缆和控制电缆可靠连接用的铜接线排(或</w:t>
            </w:r>
            <w:r>
              <w:rPr>
                <w:rFonts w:ascii="Times New Roman" w:hAnsi="Times New Roman" w:eastAsia="宋体" w:cs="Times New Roman"/>
                <w:color w:val="auto"/>
                <w:spacing w:val="-4"/>
                <w:sz w:val="21"/>
                <w:szCs w:val="21"/>
                <w:lang w:eastAsia="zh-CN"/>
              </w:rPr>
              <w:t>接线端子)，接线排或接线端子应能满足水泵电机在额定和故障状态下</w:t>
            </w:r>
            <w:r>
              <w:rPr>
                <w:rFonts w:ascii="Times New Roman" w:hAnsi="Times New Roman" w:eastAsia="宋体" w:cs="Times New Roman"/>
                <w:color w:val="auto"/>
                <w:spacing w:val="-2"/>
                <w:sz w:val="21"/>
                <w:szCs w:val="21"/>
                <w:lang w:eastAsia="zh-CN"/>
              </w:rPr>
              <w:t>电气强度要求；从电缆接线盒至低压配电柜的延长电缆部分列入设备</w:t>
            </w:r>
            <w:r>
              <w:rPr>
                <w:rFonts w:ascii="Times New Roman" w:hAnsi="Times New Roman" w:eastAsia="宋体" w:cs="Times New Roman"/>
                <w:color w:val="auto"/>
                <w:sz w:val="21"/>
                <w:szCs w:val="21"/>
                <w:lang w:eastAsia="zh-CN"/>
              </w:rPr>
              <w:t>安装工程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01" w:type="dxa"/>
            <w:vAlign w:val="center"/>
          </w:tcPr>
          <w:p>
            <w:pPr>
              <w:spacing w:line="360" w:lineRule="auto"/>
              <w:rPr>
                <w:rFonts w:ascii="Times New Roman" w:hAnsi="Times New Roman" w:cs="Times New Roman"/>
                <w:color w:val="auto"/>
                <w:lang w:eastAsia="zh-CN"/>
              </w:rPr>
            </w:pPr>
          </w:p>
        </w:tc>
        <w:tc>
          <w:tcPr>
            <w:tcW w:w="1843" w:type="dxa"/>
            <w:vAlign w:val="center"/>
          </w:tcPr>
          <w:p>
            <w:pPr>
              <w:pStyle w:val="27"/>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其它</w:t>
            </w:r>
          </w:p>
        </w:tc>
        <w:tc>
          <w:tcPr>
            <w:tcW w:w="6095" w:type="dxa"/>
            <w:vAlign w:val="center"/>
          </w:tcPr>
          <w:p>
            <w:pPr>
              <w:pStyle w:val="27"/>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2"/>
                <w:sz w:val="21"/>
                <w:szCs w:val="21"/>
                <w:lang w:eastAsia="zh-CN"/>
              </w:rPr>
              <w:t>配备就地控制箱、软启动器、原厂综合保护器、耦合用导向杆、90°</w:t>
            </w:r>
            <w:r>
              <w:rPr>
                <w:rFonts w:ascii="Times New Roman" w:hAnsi="Times New Roman" w:eastAsia="宋体" w:cs="Times New Roman"/>
                <w:color w:val="auto"/>
                <w:spacing w:val="-6"/>
                <w:sz w:val="21"/>
                <w:szCs w:val="21"/>
                <w:lang w:eastAsia="zh-CN"/>
              </w:rPr>
              <w:t>出水弯座、提升链、水下电缆、基础螺栓、电缆接线盒(功率大于</w:t>
            </w:r>
            <w:r>
              <w:rPr>
                <w:rFonts w:ascii="Times New Roman" w:hAnsi="Times New Roman" w:eastAsia="宋体" w:cs="Times New Roman"/>
                <w:color w:val="auto"/>
                <w:sz w:val="21"/>
                <w:szCs w:val="21"/>
                <w:lang w:eastAsia="zh-CN"/>
              </w:rPr>
              <w:t>15kw时)等有效和安全运行所必需的附件。</w:t>
            </w:r>
          </w:p>
        </w:tc>
      </w:tr>
    </w:tbl>
    <w:p>
      <w:pPr>
        <w:pStyle w:val="29"/>
        <w:ind w:firstLine="472"/>
        <w:rPr>
          <w:rFonts w:cs="宋体"/>
          <w:color w:val="auto"/>
        </w:rPr>
      </w:pPr>
    </w:p>
    <w:p>
      <w:pPr>
        <w:pStyle w:val="31"/>
        <w:rPr>
          <w:color w:val="auto"/>
        </w:rPr>
      </w:pPr>
      <w:r>
        <w:rPr>
          <w:rFonts w:hint="eastAsia"/>
          <w:color w:val="auto"/>
        </w:rPr>
        <w:t>皮带输送机</w:t>
      </w:r>
    </w:p>
    <w:tbl>
      <w:tblPr>
        <w:tblStyle w:val="23"/>
        <w:tblW w:w="8750" w:type="dxa"/>
        <w:tblInd w:w="113" w:type="dxa"/>
        <w:tblLayout w:type="fixed"/>
        <w:tblCellMar>
          <w:top w:w="0" w:type="dxa"/>
          <w:left w:w="108" w:type="dxa"/>
          <w:bottom w:w="0" w:type="dxa"/>
          <w:right w:w="108" w:type="dxa"/>
        </w:tblCellMar>
      </w:tblPr>
      <w:tblGrid>
        <w:gridCol w:w="726"/>
        <w:gridCol w:w="2070"/>
        <w:gridCol w:w="2325"/>
        <w:gridCol w:w="828"/>
        <w:gridCol w:w="709"/>
        <w:gridCol w:w="2092"/>
      </w:tblGrid>
      <w:tr>
        <w:tblPrEx>
          <w:tblLayout w:type="fixed"/>
          <w:tblCellMar>
            <w:top w:w="0" w:type="dxa"/>
            <w:left w:w="108" w:type="dxa"/>
            <w:bottom w:w="0" w:type="dxa"/>
            <w:right w:w="108" w:type="dxa"/>
          </w:tblCellMar>
        </w:tblPrEx>
        <w:trPr>
          <w:trHeight w:val="470" w:hRule="atLeast"/>
        </w:trPr>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lang w:eastAsia="zh-CN"/>
              </w:rPr>
            </w:pPr>
            <w:r>
              <w:rPr>
                <w:rFonts w:hint="eastAsia"/>
                <w:color w:val="auto"/>
              </w:rPr>
              <w:t>序号</w:t>
            </w:r>
          </w:p>
        </w:tc>
        <w:tc>
          <w:tcPr>
            <w:tcW w:w="20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lang w:eastAsia="zh-CN"/>
              </w:rPr>
            </w:pPr>
            <w:r>
              <w:rPr>
                <w:rFonts w:hint="eastAsia"/>
                <w:color w:val="auto"/>
              </w:rPr>
              <w:t>名称</w:t>
            </w:r>
          </w:p>
        </w:tc>
        <w:tc>
          <w:tcPr>
            <w:tcW w:w="23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lang w:eastAsia="zh-CN"/>
              </w:rPr>
            </w:pPr>
            <w:r>
              <w:rPr>
                <w:rFonts w:hint="eastAsia"/>
                <w:color w:val="auto"/>
              </w:rPr>
              <w:t>规格</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lang w:eastAsia="zh-CN"/>
              </w:rPr>
            </w:pPr>
            <w:r>
              <w:rPr>
                <w:rFonts w:hint="eastAsia"/>
                <w:color w:val="auto"/>
              </w:rPr>
              <w:t>单位</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lang w:eastAsia="zh-CN"/>
              </w:rPr>
            </w:pPr>
            <w:r>
              <w:rPr>
                <w:rFonts w:hint="eastAsia"/>
                <w:color w:val="auto"/>
              </w:rPr>
              <w:t>数量</w:t>
            </w:r>
          </w:p>
        </w:tc>
        <w:tc>
          <w:tcPr>
            <w:tcW w:w="209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lang w:eastAsia="zh-CN"/>
              </w:rPr>
            </w:pPr>
            <w:r>
              <w:rPr>
                <w:rFonts w:hint="eastAsia"/>
                <w:color w:val="auto"/>
              </w:rPr>
              <w:t>备注</w:t>
            </w:r>
          </w:p>
        </w:tc>
      </w:tr>
      <w:tr>
        <w:tblPrEx>
          <w:tblLayout w:type="fixed"/>
          <w:tblCellMar>
            <w:top w:w="0" w:type="dxa"/>
            <w:left w:w="108" w:type="dxa"/>
            <w:bottom w:w="0" w:type="dxa"/>
            <w:right w:w="108" w:type="dxa"/>
          </w:tblCellMar>
        </w:tblPrEx>
        <w:trPr>
          <w:trHeight w:val="470" w:hRule="atLeast"/>
        </w:trPr>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lang w:eastAsia="zh-CN"/>
              </w:rPr>
            </w:pPr>
            <w:r>
              <w:rPr>
                <w:rFonts w:ascii="宋体" w:hAnsi="宋体" w:eastAsia="宋体" w:cs="宋体"/>
                <w:color w:val="auto"/>
                <w:lang w:eastAsia="zh-CN"/>
              </w:rPr>
              <w:t>1</w:t>
            </w:r>
          </w:p>
        </w:tc>
        <w:tc>
          <w:tcPr>
            <w:tcW w:w="20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lang w:eastAsia="zh-CN"/>
              </w:rPr>
            </w:pPr>
            <w:r>
              <w:rPr>
                <w:rFonts w:hint="eastAsia" w:ascii="宋体" w:hAnsi="宋体" w:eastAsia="宋体" w:cs="宋体"/>
                <w:color w:val="auto"/>
                <w:lang w:eastAsia="zh-CN"/>
              </w:rPr>
              <w:t>皮带输送机</w:t>
            </w:r>
          </w:p>
        </w:tc>
        <w:tc>
          <w:tcPr>
            <w:tcW w:w="23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lang w:eastAsia="zh-CN"/>
              </w:rPr>
            </w:pPr>
            <w:r>
              <w:rPr>
                <w:rFonts w:hint="eastAsia" w:ascii="宋体" w:hAnsi="宋体" w:eastAsia="宋体" w:cs="宋体"/>
                <w:color w:val="auto"/>
                <w:lang w:eastAsia="zh-CN"/>
              </w:rPr>
              <w:t>D=350mm，L=11.0m，P=1.5kW</w:t>
            </w:r>
          </w:p>
        </w:tc>
        <w:tc>
          <w:tcPr>
            <w:tcW w:w="8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lang w:eastAsia="zh-CN"/>
              </w:rPr>
            </w:pPr>
            <w:r>
              <w:rPr>
                <w:rFonts w:hint="eastAsia" w:ascii="宋体" w:hAnsi="宋体" w:eastAsia="宋体" w:cs="宋体"/>
                <w:color w:val="auto"/>
                <w:lang w:eastAsia="zh-CN"/>
              </w:rPr>
              <w:t>台</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lang w:eastAsia="zh-CN"/>
              </w:rPr>
            </w:pPr>
            <w:r>
              <w:rPr>
                <w:rFonts w:hint="eastAsia" w:ascii="宋体" w:hAnsi="宋体" w:eastAsia="宋体" w:cs="宋体"/>
                <w:color w:val="auto"/>
                <w:lang w:eastAsia="zh-CN"/>
              </w:rPr>
              <w:t>1</w:t>
            </w:r>
          </w:p>
        </w:tc>
        <w:tc>
          <w:tcPr>
            <w:tcW w:w="209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lang w:eastAsia="zh-CN"/>
              </w:rPr>
            </w:pPr>
            <w:r>
              <w:rPr>
                <w:rFonts w:hint="eastAsia" w:ascii="宋体" w:hAnsi="宋体" w:eastAsia="宋体" w:cs="宋体"/>
                <w:color w:val="auto"/>
                <w:lang w:eastAsia="zh-CN"/>
              </w:rPr>
              <w:t>　</w:t>
            </w:r>
          </w:p>
        </w:tc>
      </w:tr>
      <w:tr>
        <w:tblPrEx>
          <w:tblLayout w:type="fixed"/>
          <w:tblCellMar>
            <w:top w:w="0" w:type="dxa"/>
            <w:left w:w="108" w:type="dxa"/>
            <w:bottom w:w="0" w:type="dxa"/>
            <w:right w:w="108" w:type="dxa"/>
          </w:tblCellMar>
        </w:tblPrEx>
        <w:trPr>
          <w:trHeight w:val="470" w:hRule="atLeast"/>
        </w:trPr>
        <w:tc>
          <w:tcPr>
            <w:tcW w:w="875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29"/>
              <w:ind w:firstLine="0" w:firstLineChars="0"/>
              <w:rPr>
                <w:rFonts w:ascii="宋体" w:hAnsi="宋体" w:eastAsia="宋体" w:cs="宋体"/>
                <w:color w:val="auto"/>
              </w:rPr>
            </w:pPr>
            <w:r>
              <w:rPr>
                <w:rFonts w:hint="eastAsia" w:cs="Times New Roman"/>
                <w:b/>
                <w:bCs/>
                <w:color w:val="auto"/>
                <w:sz w:val="21"/>
                <w:szCs w:val="21"/>
              </w:rPr>
              <w:t>设计和现场条件</w:t>
            </w:r>
          </w:p>
        </w:tc>
      </w:tr>
      <w:tr>
        <w:tblPrEx>
          <w:tblLayout w:type="fixed"/>
          <w:tblCellMar>
            <w:top w:w="0" w:type="dxa"/>
            <w:left w:w="108" w:type="dxa"/>
            <w:bottom w:w="0" w:type="dxa"/>
            <w:right w:w="108" w:type="dxa"/>
          </w:tblCellMar>
        </w:tblPrEx>
        <w:trPr>
          <w:trHeight w:val="470" w:hRule="atLeast"/>
        </w:trPr>
        <w:tc>
          <w:tcPr>
            <w:tcW w:w="875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29"/>
              <w:ind w:firstLine="416"/>
              <w:rPr>
                <w:rFonts w:cs="Times New Roman"/>
                <w:color w:val="auto"/>
                <w:spacing w:val="-2"/>
                <w:sz w:val="21"/>
                <w:szCs w:val="21"/>
              </w:rPr>
            </w:pPr>
            <w:r>
              <w:rPr>
                <w:rFonts w:hint="eastAsia" w:cs="Times New Roman"/>
                <w:color w:val="auto"/>
                <w:spacing w:val="-2"/>
                <w:sz w:val="21"/>
                <w:szCs w:val="21"/>
              </w:rPr>
              <w:t>a</w:t>
            </w:r>
            <w:r>
              <w:rPr>
                <w:rFonts w:cs="Times New Roman"/>
                <w:color w:val="auto"/>
                <w:spacing w:val="-2"/>
                <w:sz w:val="21"/>
                <w:szCs w:val="21"/>
              </w:rPr>
              <w:t>.</w:t>
            </w:r>
            <w:r>
              <w:rPr>
                <w:rFonts w:hint="eastAsia" w:cs="Times New Roman"/>
                <w:color w:val="auto"/>
                <w:spacing w:val="-2"/>
                <w:sz w:val="21"/>
                <w:szCs w:val="21"/>
              </w:rPr>
              <w:t>带式输送机应能适合于多台并列粗格栅清污机同时卸料的输送。输送机的配合尺寸应符合招标图的要求，进、出料接口应与粗格栅、垃圾桶流水线连接。</w:t>
            </w:r>
          </w:p>
          <w:p>
            <w:pPr>
              <w:pStyle w:val="29"/>
              <w:ind w:firstLine="416"/>
              <w:rPr>
                <w:rFonts w:cs="Times New Roman"/>
                <w:color w:val="auto"/>
                <w:spacing w:val="-2"/>
                <w:sz w:val="21"/>
                <w:szCs w:val="21"/>
              </w:rPr>
            </w:pPr>
            <w:r>
              <w:rPr>
                <w:rFonts w:hint="eastAsia" w:cs="Times New Roman"/>
                <w:color w:val="auto"/>
                <w:spacing w:val="-2"/>
                <w:sz w:val="21"/>
                <w:szCs w:val="21"/>
              </w:rPr>
              <w:t>b</w:t>
            </w:r>
            <w:r>
              <w:rPr>
                <w:rFonts w:cs="Times New Roman"/>
                <w:color w:val="auto"/>
                <w:spacing w:val="-2"/>
                <w:sz w:val="21"/>
                <w:szCs w:val="21"/>
              </w:rPr>
              <w:t>.</w:t>
            </w:r>
            <w:r>
              <w:rPr>
                <w:rFonts w:hint="eastAsia" w:cs="Times New Roman"/>
                <w:color w:val="auto"/>
                <w:spacing w:val="-2"/>
                <w:sz w:val="21"/>
                <w:szCs w:val="21"/>
              </w:rPr>
              <w:t>栅渣性质为城市污水中的漂浮杂物，所输送栅渣的含水率可达90%。</w:t>
            </w:r>
          </w:p>
          <w:p>
            <w:pPr>
              <w:pStyle w:val="29"/>
              <w:ind w:firstLine="416"/>
              <w:rPr>
                <w:rFonts w:cs="Times New Roman"/>
                <w:color w:val="auto"/>
                <w:spacing w:val="-2"/>
                <w:sz w:val="21"/>
                <w:szCs w:val="21"/>
              </w:rPr>
            </w:pPr>
            <w:r>
              <w:rPr>
                <w:rFonts w:hint="eastAsia" w:cs="Times New Roman"/>
                <w:color w:val="auto"/>
                <w:spacing w:val="-2"/>
                <w:sz w:val="21"/>
                <w:szCs w:val="21"/>
              </w:rPr>
              <w:t>c</w:t>
            </w:r>
            <w:r>
              <w:rPr>
                <w:rFonts w:cs="Times New Roman"/>
                <w:color w:val="auto"/>
                <w:spacing w:val="-2"/>
                <w:sz w:val="21"/>
                <w:szCs w:val="21"/>
              </w:rPr>
              <w:t>.</w:t>
            </w:r>
            <w:r>
              <w:rPr>
                <w:rFonts w:hint="eastAsia" w:cs="Times New Roman"/>
                <w:color w:val="auto"/>
                <w:spacing w:val="-2"/>
                <w:sz w:val="21"/>
                <w:szCs w:val="21"/>
              </w:rPr>
              <w:t>每台格栅清污机的卸料槽的宽度为</w:t>
            </w:r>
            <w:r>
              <w:rPr>
                <w:rFonts w:cs="Times New Roman"/>
                <w:color w:val="auto"/>
                <w:spacing w:val="-2"/>
                <w:sz w:val="21"/>
                <w:szCs w:val="21"/>
              </w:rPr>
              <w:t>35</w:t>
            </w:r>
            <w:r>
              <w:rPr>
                <w:rFonts w:hint="eastAsia" w:cs="Times New Roman"/>
                <w:color w:val="auto"/>
                <w:spacing w:val="-2"/>
                <w:sz w:val="21"/>
                <w:szCs w:val="21"/>
              </w:rPr>
              <w:t>0mm，卸料量25m³/h，最大瞬时卸料量0.05m³。</w:t>
            </w:r>
          </w:p>
        </w:tc>
      </w:tr>
      <w:tr>
        <w:tblPrEx>
          <w:tblLayout w:type="fixed"/>
          <w:tblCellMar>
            <w:top w:w="0" w:type="dxa"/>
            <w:left w:w="108" w:type="dxa"/>
            <w:bottom w:w="0" w:type="dxa"/>
            <w:right w:w="108" w:type="dxa"/>
          </w:tblCellMar>
        </w:tblPrEx>
        <w:trPr>
          <w:trHeight w:val="470" w:hRule="atLeast"/>
        </w:trPr>
        <w:tc>
          <w:tcPr>
            <w:tcW w:w="875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29"/>
              <w:ind w:firstLine="0" w:firstLineChars="0"/>
              <w:rPr>
                <w:rFonts w:cs="Times New Roman"/>
                <w:color w:val="auto"/>
                <w:spacing w:val="-2"/>
                <w:sz w:val="21"/>
                <w:szCs w:val="21"/>
              </w:rPr>
            </w:pPr>
            <w:r>
              <w:rPr>
                <w:rFonts w:hint="eastAsia" w:cs="Times New Roman"/>
                <w:b/>
                <w:bCs/>
                <w:color w:val="auto"/>
                <w:sz w:val="21"/>
                <w:szCs w:val="21"/>
              </w:rPr>
              <w:t>性能结构</w:t>
            </w:r>
          </w:p>
        </w:tc>
      </w:tr>
      <w:tr>
        <w:tblPrEx>
          <w:tblLayout w:type="fixed"/>
          <w:tblCellMar>
            <w:top w:w="0" w:type="dxa"/>
            <w:left w:w="108" w:type="dxa"/>
            <w:bottom w:w="0" w:type="dxa"/>
            <w:right w:w="108" w:type="dxa"/>
          </w:tblCellMar>
        </w:tblPrEx>
        <w:trPr>
          <w:trHeight w:val="470" w:hRule="atLeast"/>
        </w:trPr>
        <w:tc>
          <w:tcPr>
            <w:tcW w:w="875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29"/>
              <w:ind w:firstLine="416"/>
              <w:rPr>
                <w:rFonts w:cs="Times New Roman"/>
                <w:color w:val="auto"/>
                <w:spacing w:val="-2"/>
                <w:sz w:val="21"/>
                <w:szCs w:val="21"/>
              </w:rPr>
            </w:pPr>
            <w:r>
              <w:rPr>
                <w:rFonts w:hint="eastAsia" w:cs="Times New Roman"/>
                <w:color w:val="auto"/>
                <w:spacing w:val="-2"/>
                <w:sz w:val="21"/>
                <w:szCs w:val="21"/>
              </w:rPr>
              <w:t>a.输送机应采用固定式槽型托辊输送的型式。应适用于污水厂格栅栅渣等含水、有机物、腐蚀性物质的输送。</w:t>
            </w:r>
          </w:p>
          <w:p>
            <w:pPr>
              <w:pStyle w:val="29"/>
              <w:ind w:firstLine="416"/>
              <w:rPr>
                <w:rFonts w:cs="Times New Roman"/>
                <w:color w:val="auto"/>
                <w:spacing w:val="-2"/>
                <w:sz w:val="21"/>
                <w:szCs w:val="21"/>
              </w:rPr>
            </w:pPr>
            <w:r>
              <w:rPr>
                <w:rFonts w:hint="eastAsia" w:cs="Times New Roman"/>
                <w:color w:val="auto"/>
                <w:spacing w:val="-2"/>
                <w:sz w:val="21"/>
                <w:szCs w:val="21"/>
              </w:rPr>
              <w:t>b.带式输送机的设计和制造应以下列标准为准。</w:t>
            </w:r>
          </w:p>
          <w:p>
            <w:pPr>
              <w:pStyle w:val="29"/>
              <w:ind w:firstLine="416"/>
              <w:rPr>
                <w:rFonts w:cs="Times New Roman"/>
                <w:color w:val="auto"/>
                <w:spacing w:val="-2"/>
                <w:sz w:val="21"/>
                <w:szCs w:val="21"/>
              </w:rPr>
            </w:pPr>
            <w:r>
              <w:rPr>
                <w:rFonts w:hint="eastAsia" w:cs="Times New Roman"/>
                <w:color w:val="auto"/>
                <w:spacing w:val="-2"/>
                <w:sz w:val="21"/>
                <w:szCs w:val="21"/>
              </w:rPr>
              <w:t>GB/T10595－1989“带式输送机技术条件”</w:t>
            </w:r>
          </w:p>
          <w:p>
            <w:pPr>
              <w:pStyle w:val="29"/>
              <w:ind w:firstLine="416"/>
              <w:rPr>
                <w:rFonts w:cs="Times New Roman"/>
                <w:color w:val="auto"/>
                <w:spacing w:val="-2"/>
                <w:sz w:val="21"/>
                <w:szCs w:val="21"/>
              </w:rPr>
            </w:pPr>
            <w:r>
              <w:rPr>
                <w:rFonts w:hint="eastAsia" w:cs="Times New Roman"/>
                <w:color w:val="auto"/>
                <w:spacing w:val="-2"/>
                <w:sz w:val="21"/>
                <w:szCs w:val="21"/>
              </w:rPr>
              <w:t>GB/T988－1991“带式输送机滚筒基本参数与尺寸”</w:t>
            </w:r>
          </w:p>
          <w:p>
            <w:pPr>
              <w:pStyle w:val="29"/>
              <w:ind w:firstLine="416"/>
              <w:rPr>
                <w:rFonts w:cs="Times New Roman"/>
                <w:color w:val="auto"/>
                <w:spacing w:val="-2"/>
                <w:sz w:val="21"/>
                <w:szCs w:val="21"/>
              </w:rPr>
            </w:pPr>
            <w:r>
              <w:rPr>
                <w:rFonts w:hint="eastAsia" w:cs="Times New Roman"/>
                <w:color w:val="auto"/>
                <w:spacing w:val="-2"/>
                <w:sz w:val="21"/>
                <w:szCs w:val="21"/>
              </w:rPr>
              <w:t>GB/T990－1991“带式输送机托辊基本参数与尺寸”</w:t>
            </w:r>
          </w:p>
          <w:p>
            <w:pPr>
              <w:pStyle w:val="29"/>
              <w:ind w:firstLine="416"/>
              <w:rPr>
                <w:rFonts w:cs="Times New Roman"/>
                <w:color w:val="auto"/>
                <w:spacing w:val="-2"/>
                <w:sz w:val="21"/>
                <w:szCs w:val="21"/>
              </w:rPr>
            </w:pPr>
            <w:r>
              <w:rPr>
                <w:rFonts w:hint="eastAsia" w:cs="Times New Roman"/>
                <w:color w:val="auto"/>
                <w:spacing w:val="-2"/>
                <w:sz w:val="21"/>
                <w:szCs w:val="21"/>
              </w:rPr>
              <w:t>GB14784－1993“带式输送机安全规范”</w:t>
            </w:r>
          </w:p>
          <w:p>
            <w:pPr>
              <w:pStyle w:val="29"/>
              <w:ind w:firstLine="416"/>
              <w:rPr>
                <w:rFonts w:cs="Times New Roman"/>
                <w:color w:val="auto"/>
                <w:spacing w:val="-2"/>
                <w:sz w:val="21"/>
                <w:szCs w:val="21"/>
              </w:rPr>
            </w:pPr>
            <w:r>
              <w:rPr>
                <w:rFonts w:hint="eastAsia" w:cs="Times New Roman"/>
                <w:color w:val="auto"/>
                <w:spacing w:val="-2"/>
                <w:sz w:val="21"/>
                <w:szCs w:val="21"/>
              </w:rPr>
              <w:t>GB/T2647－1995“带式输送机包装技术条件”</w:t>
            </w:r>
          </w:p>
          <w:p>
            <w:pPr>
              <w:pStyle w:val="29"/>
              <w:ind w:firstLine="416"/>
              <w:rPr>
                <w:rFonts w:cs="Times New Roman"/>
                <w:color w:val="auto"/>
                <w:spacing w:val="-2"/>
                <w:sz w:val="21"/>
                <w:szCs w:val="21"/>
              </w:rPr>
            </w:pPr>
            <w:r>
              <w:rPr>
                <w:rFonts w:hint="eastAsia" w:cs="Times New Roman"/>
                <w:color w:val="auto"/>
                <w:spacing w:val="-2"/>
                <w:sz w:val="21"/>
                <w:szCs w:val="21"/>
              </w:rPr>
              <w:t>GB/T17119－1997“带式输送机运行功率和张力计算”</w:t>
            </w:r>
          </w:p>
          <w:p>
            <w:pPr>
              <w:pStyle w:val="29"/>
              <w:ind w:firstLine="416"/>
              <w:rPr>
                <w:rFonts w:cs="Times New Roman"/>
                <w:color w:val="auto"/>
                <w:spacing w:val="-2"/>
                <w:sz w:val="21"/>
                <w:szCs w:val="21"/>
              </w:rPr>
            </w:pPr>
            <w:r>
              <w:rPr>
                <w:rFonts w:hint="eastAsia" w:cs="Times New Roman"/>
                <w:color w:val="auto"/>
                <w:spacing w:val="-2"/>
                <w:sz w:val="21"/>
                <w:szCs w:val="21"/>
              </w:rPr>
              <w:t>GB/T9015－1999“带式输送机用逆止器”</w:t>
            </w:r>
          </w:p>
          <w:p>
            <w:pPr>
              <w:pStyle w:val="29"/>
              <w:ind w:firstLine="416"/>
              <w:rPr>
                <w:rFonts w:cs="Times New Roman"/>
                <w:color w:val="auto"/>
                <w:spacing w:val="-2"/>
                <w:sz w:val="21"/>
                <w:szCs w:val="21"/>
              </w:rPr>
            </w:pPr>
            <w:r>
              <w:rPr>
                <w:rFonts w:hint="eastAsia" w:cs="Times New Roman"/>
                <w:color w:val="auto"/>
                <w:spacing w:val="-2"/>
                <w:sz w:val="21"/>
                <w:szCs w:val="21"/>
              </w:rPr>
              <w:t>GB/T7330－1994“电动滚筒”</w:t>
            </w:r>
          </w:p>
          <w:p>
            <w:pPr>
              <w:pStyle w:val="29"/>
              <w:ind w:firstLine="416"/>
              <w:rPr>
                <w:rFonts w:cs="Times New Roman"/>
                <w:color w:val="auto"/>
                <w:spacing w:val="-2"/>
                <w:sz w:val="21"/>
                <w:szCs w:val="21"/>
              </w:rPr>
            </w:pPr>
            <w:r>
              <w:rPr>
                <w:rFonts w:hint="eastAsia" w:cs="Times New Roman"/>
                <w:color w:val="auto"/>
                <w:spacing w:val="-2"/>
                <w:sz w:val="21"/>
                <w:szCs w:val="21"/>
              </w:rPr>
              <w:t>c.带式输送机应包括安装在相配支架上的电机驱动滚筒、改向张紧轮、槽型托辊、回程平托辊、导向（自动调心）托辊、输送带、清扫器、导料侧板、机架护罩（除位于清污机的除臭护罩外，其余露天的部分应沿长度方向设置可开合结构形式的机罩）、螺旋张紧器、出口集料槽等部件。</w:t>
            </w:r>
          </w:p>
          <w:p>
            <w:pPr>
              <w:pStyle w:val="29"/>
              <w:ind w:firstLine="416"/>
              <w:rPr>
                <w:rFonts w:cs="Times New Roman"/>
                <w:color w:val="auto"/>
                <w:spacing w:val="-2"/>
                <w:sz w:val="21"/>
                <w:szCs w:val="21"/>
              </w:rPr>
            </w:pPr>
            <w:r>
              <w:rPr>
                <w:rFonts w:hint="eastAsia" w:cs="Times New Roman"/>
                <w:color w:val="auto"/>
                <w:spacing w:val="-2"/>
                <w:sz w:val="21"/>
                <w:szCs w:val="21"/>
              </w:rPr>
              <w:t>d.输送机的带宽为</w:t>
            </w:r>
            <w:r>
              <w:rPr>
                <w:rFonts w:cs="Times New Roman"/>
                <w:color w:val="auto"/>
                <w:spacing w:val="-2"/>
                <w:sz w:val="21"/>
                <w:szCs w:val="21"/>
              </w:rPr>
              <w:t>35</w:t>
            </w:r>
            <w:r>
              <w:rPr>
                <w:rFonts w:hint="eastAsia" w:cs="Times New Roman"/>
                <w:color w:val="auto"/>
                <w:spacing w:val="-2"/>
                <w:sz w:val="21"/>
                <w:szCs w:val="21"/>
              </w:rPr>
              <w:t>0mm，带速应≤1m/s，输送带应采用尼龙帆布芯，覆盖胶厚度&gt;3mm，磨耗减量&lt;0.8cm³/1.61km。输送带不得采用搭扣的连接方式。</w:t>
            </w:r>
          </w:p>
          <w:p>
            <w:pPr>
              <w:pStyle w:val="29"/>
              <w:ind w:firstLine="416"/>
              <w:rPr>
                <w:rFonts w:cs="Times New Roman"/>
                <w:color w:val="auto"/>
                <w:spacing w:val="-2"/>
                <w:sz w:val="21"/>
                <w:szCs w:val="21"/>
              </w:rPr>
            </w:pPr>
            <w:r>
              <w:rPr>
                <w:rFonts w:hint="eastAsia" w:cs="Times New Roman"/>
                <w:color w:val="auto"/>
                <w:spacing w:val="-2"/>
                <w:sz w:val="21"/>
                <w:szCs w:val="21"/>
              </w:rPr>
              <w:t>e.输送机应能每日24小时连续运行。</w:t>
            </w:r>
          </w:p>
          <w:p>
            <w:pPr>
              <w:pStyle w:val="29"/>
              <w:ind w:firstLine="416"/>
              <w:rPr>
                <w:rFonts w:cs="Times New Roman"/>
                <w:color w:val="auto"/>
                <w:spacing w:val="-2"/>
                <w:sz w:val="21"/>
                <w:szCs w:val="21"/>
              </w:rPr>
            </w:pPr>
            <w:r>
              <w:rPr>
                <w:rFonts w:hint="eastAsia" w:cs="Times New Roman"/>
                <w:color w:val="auto"/>
                <w:spacing w:val="-2"/>
                <w:sz w:val="21"/>
                <w:szCs w:val="21"/>
              </w:rPr>
              <w:t>f.输送机应设置过载和胶带跑偏的保护和报警。驱动滚动应适用于户外使用，其防护等级为IP55。</w:t>
            </w:r>
          </w:p>
        </w:tc>
      </w:tr>
      <w:tr>
        <w:tblPrEx>
          <w:tblLayout w:type="fixed"/>
          <w:tblCellMar>
            <w:top w:w="0" w:type="dxa"/>
            <w:left w:w="108" w:type="dxa"/>
            <w:bottom w:w="0" w:type="dxa"/>
            <w:right w:w="108" w:type="dxa"/>
          </w:tblCellMar>
        </w:tblPrEx>
        <w:trPr>
          <w:trHeight w:val="470" w:hRule="atLeast"/>
        </w:trPr>
        <w:tc>
          <w:tcPr>
            <w:tcW w:w="875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29"/>
              <w:ind w:firstLine="0" w:firstLineChars="0"/>
              <w:rPr>
                <w:rFonts w:cs="Times New Roman"/>
                <w:color w:val="auto"/>
                <w:spacing w:val="-2"/>
                <w:sz w:val="21"/>
                <w:szCs w:val="21"/>
              </w:rPr>
            </w:pPr>
            <w:r>
              <w:rPr>
                <w:rFonts w:hint="eastAsia" w:cs="Times New Roman"/>
                <w:b/>
                <w:bCs/>
                <w:color w:val="auto"/>
                <w:sz w:val="21"/>
                <w:szCs w:val="21"/>
              </w:rPr>
              <w:t>主要材料</w:t>
            </w:r>
          </w:p>
        </w:tc>
      </w:tr>
      <w:tr>
        <w:tblPrEx>
          <w:tblLayout w:type="fixed"/>
          <w:tblCellMar>
            <w:top w:w="0" w:type="dxa"/>
            <w:left w:w="108" w:type="dxa"/>
            <w:bottom w:w="0" w:type="dxa"/>
            <w:right w:w="108" w:type="dxa"/>
          </w:tblCellMar>
        </w:tblPrEx>
        <w:trPr>
          <w:trHeight w:val="470" w:hRule="atLeast"/>
        </w:trPr>
        <w:tc>
          <w:tcPr>
            <w:tcW w:w="875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29"/>
              <w:ind w:firstLine="416"/>
              <w:rPr>
                <w:rFonts w:cs="Times New Roman"/>
                <w:color w:val="auto"/>
                <w:spacing w:val="-2"/>
                <w:sz w:val="21"/>
                <w:szCs w:val="21"/>
              </w:rPr>
            </w:pPr>
            <w:r>
              <w:rPr>
                <w:rFonts w:hint="eastAsia" w:cs="Times New Roman"/>
                <w:color w:val="auto"/>
                <w:spacing w:val="-2"/>
                <w:sz w:val="21"/>
                <w:szCs w:val="21"/>
              </w:rPr>
              <w:t>机架：不锈钢304</w:t>
            </w:r>
          </w:p>
          <w:p>
            <w:pPr>
              <w:pStyle w:val="29"/>
              <w:ind w:firstLine="416"/>
              <w:rPr>
                <w:rFonts w:cs="Times New Roman"/>
                <w:color w:val="auto"/>
                <w:spacing w:val="-2"/>
                <w:sz w:val="21"/>
                <w:szCs w:val="21"/>
              </w:rPr>
            </w:pPr>
            <w:r>
              <w:rPr>
                <w:rFonts w:hint="eastAsia" w:cs="Times New Roman"/>
                <w:color w:val="auto"/>
                <w:spacing w:val="-2"/>
                <w:sz w:val="21"/>
                <w:szCs w:val="21"/>
              </w:rPr>
              <w:t>输料口集料漏斗、连接管、导料挡板：不锈钢304</w:t>
            </w:r>
          </w:p>
          <w:p>
            <w:pPr>
              <w:pStyle w:val="29"/>
              <w:ind w:firstLine="416"/>
              <w:rPr>
                <w:rFonts w:cs="Times New Roman"/>
                <w:color w:val="auto"/>
                <w:spacing w:val="-2"/>
                <w:sz w:val="21"/>
                <w:szCs w:val="21"/>
              </w:rPr>
            </w:pPr>
            <w:r>
              <w:rPr>
                <w:rFonts w:hint="eastAsia" w:cs="Times New Roman"/>
                <w:color w:val="auto"/>
                <w:spacing w:val="-2"/>
                <w:sz w:val="21"/>
                <w:szCs w:val="21"/>
              </w:rPr>
              <w:t>托辊和滚筒：无缝钢管，表面衬胶（塑）</w:t>
            </w:r>
          </w:p>
          <w:p>
            <w:pPr>
              <w:pStyle w:val="29"/>
              <w:ind w:firstLine="416"/>
              <w:rPr>
                <w:rFonts w:cs="Times New Roman"/>
                <w:color w:val="auto"/>
                <w:spacing w:val="-2"/>
                <w:sz w:val="21"/>
                <w:szCs w:val="21"/>
              </w:rPr>
            </w:pPr>
            <w:r>
              <w:rPr>
                <w:rFonts w:hint="eastAsia" w:cs="Times New Roman"/>
                <w:color w:val="auto"/>
                <w:spacing w:val="-2"/>
                <w:sz w:val="21"/>
                <w:szCs w:val="21"/>
              </w:rPr>
              <w:t>清扫器：不锈钢、耐油橡胶板</w:t>
            </w:r>
          </w:p>
          <w:p>
            <w:pPr>
              <w:pStyle w:val="29"/>
              <w:ind w:firstLine="416"/>
              <w:rPr>
                <w:rFonts w:cs="Times New Roman"/>
                <w:color w:val="auto"/>
                <w:spacing w:val="-2"/>
                <w:sz w:val="21"/>
                <w:szCs w:val="21"/>
              </w:rPr>
            </w:pPr>
            <w:r>
              <w:rPr>
                <w:rFonts w:hint="eastAsia" w:cs="Times New Roman"/>
                <w:color w:val="auto"/>
                <w:spacing w:val="-2"/>
                <w:sz w:val="21"/>
                <w:szCs w:val="21"/>
              </w:rPr>
              <w:t>张紧螺杆：不锈钢316</w:t>
            </w:r>
          </w:p>
          <w:p>
            <w:pPr>
              <w:pStyle w:val="29"/>
              <w:ind w:firstLine="416"/>
              <w:rPr>
                <w:rFonts w:cs="Times New Roman"/>
                <w:color w:val="auto"/>
                <w:spacing w:val="-2"/>
                <w:sz w:val="21"/>
                <w:szCs w:val="21"/>
              </w:rPr>
            </w:pPr>
            <w:r>
              <w:rPr>
                <w:rFonts w:hint="eastAsia" w:cs="Times New Roman"/>
                <w:color w:val="auto"/>
                <w:spacing w:val="-2"/>
                <w:sz w:val="21"/>
                <w:szCs w:val="21"/>
              </w:rPr>
              <w:t>螺栓、螺母和垫圈：不锈钢304</w:t>
            </w:r>
          </w:p>
          <w:p>
            <w:pPr>
              <w:pStyle w:val="29"/>
              <w:ind w:firstLine="416"/>
              <w:rPr>
                <w:rFonts w:cs="Times New Roman"/>
                <w:color w:val="auto"/>
                <w:spacing w:val="-2"/>
                <w:sz w:val="21"/>
                <w:szCs w:val="21"/>
              </w:rPr>
            </w:pPr>
            <w:r>
              <w:rPr>
                <w:rFonts w:hint="eastAsia" w:cs="Times New Roman"/>
                <w:color w:val="auto"/>
                <w:spacing w:val="-2"/>
                <w:sz w:val="21"/>
                <w:szCs w:val="21"/>
              </w:rPr>
              <w:t>尼龙输送带覆盖胶：丁腈橡胶</w:t>
            </w:r>
          </w:p>
        </w:tc>
      </w:tr>
      <w:tr>
        <w:tblPrEx>
          <w:tblLayout w:type="fixed"/>
          <w:tblCellMar>
            <w:top w:w="0" w:type="dxa"/>
            <w:left w:w="108" w:type="dxa"/>
            <w:bottom w:w="0" w:type="dxa"/>
            <w:right w:w="108" w:type="dxa"/>
          </w:tblCellMar>
        </w:tblPrEx>
        <w:trPr>
          <w:trHeight w:val="470" w:hRule="atLeast"/>
        </w:trPr>
        <w:tc>
          <w:tcPr>
            <w:tcW w:w="875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29"/>
              <w:ind w:firstLine="0" w:firstLineChars="0"/>
              <w:rPr>
                <w:rFonts w:cs="Times New Roman"/>
                <w:color w:val="auto"/>
                <w:spacing w:val="-2"/>
                <w:sz w:val="21"/>
                <w:szCs w:val="21"/>
              </w:rPr>
            </w:pPr>
            <w:r>
              <w:rPr>
                <w:rFonts w:hint="eastAsia" w:cs="Times New Roman"/>
                <w:b/>
                <w:bCs/>
                <w:color w:val="auto"/>
                <w:sz w:val="21"/>
                <w:szCs w:val="21"/>
              </w:rPr>
              <w:t>抗腐蚀</w:t>
            </w:r>
          </w:p>
        </w:tc>
      </w:tr>
      <w:tr>
        <w:tblPrEx>
          <w:tblLayout w:type="fixed"/>
          <w:tblCellMar>
            <w:top w:w="0" w:type="dxa"/>
            <w:left w:w="108" w:type="dxa"/>
            <w:bottom w:w="0" w:type="dxa"/>
            <w:right w:w="108" w:type="dxa"/>
          </w:tblCellMar>
        </w:tblPrEx>
        <w:trPr>
          <w:trHeight w:val="470" w:hRule="atLeast"/>
        </w:trPr>
        <w:tc>
          <w:tcPr>
            <w:tcW w:w="875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29"/>
              <w:ind w:firstLine="416"/>
              <w:rPr>
                <w:rFonts w:cs="Times New Roman"/>
                <w:color w:val="auto"/>
                <w:spacing w:val="-2"/>
                <w:sz w:val="21"/>
                <w:szCs w:val="21"/>
              </w:rPr>
            </w:pPr>
            <w:r>
              <w:rPr>
                <w:rFonts w:hint="eastAsia" w:cs="Times New Roman"/>
                <w:color w:val="auto"/>
                <w:spacing w:val="-2"/>
                <w:sz w:val="21"/>
                <w:szCs w:val="21"/>
              </w:rPr>
              <w:t>制造带式输送机的全部材料应适用于污水腐蚀环境，未经保护或非防腐性材料应按制造厂标准进行除锈和涂装处理。</w:t>
            </w:r>
          </w:p>
        </w:tc>
      </w:tr>
      <w:tr>
        <w:tblPrEx>
          <w:tblLayout w:type="fixed"/>
          <w:tblCellMar>
            <w:top w:w="0" w:type="dxa"/>
            <w:left w:w="108" w:type="dxa"/>
            <w:bottom w:w="0" w:type="dxa"/>
            <w:right w:w="108" w:type="dxa"/>
          </w:tblCellMar>
        </w:tblPrEx>
        <w:trPr>
          <w:trHeight w:val="470" w:hRule="atLeast"/>
        </w:trPr>
        <w:tc>
          <w:tcPr>
            <w:tcW w:w="875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29"/>
              <w:ind w:firstLine="0" w:firstLineChars="0"/>
              <w:rPr>
                <w:rFonts w:cs="Times New Roman"/>
                <w:color w:val="auto"/>
                <w:spacing w:val="-2"/>
                <w:sz w:val="21"/>
                <w:szCs w:val="21"/>
              </w:rPr>
            </w:pPr>
            <w:r>
              <w:rPr>
                <w:rFonts w:hint="eastAsia" w:cs="Times New Roman"/>
                <w:b/>
                <w:bCs/>
                <w:color w:val="auto"/>
                <w:sz w:val="21"/>
                <w:szCs w:val="21"/>
              </w:rPr>
              <w:t>控制系统</w:t>
            </w:r>
          </w:p>
        </w:tc>
      </w:tr>
      <w:tr>
        <w:tblPrEx>
          <w:tblLayout w:type="fixed"/>
          <w:tblCellMar>
            <w:top w:w="0" w:type="dxa"/>
            <w:left w:w="108" w:type="dxa"/>
            <w:bottom w:w="0" w:type="dxa"/>
            <w:right w:w="108" w:type="dxa"/>
          </w:tblCellMar>
        </w:tblPrEx>
        <w:trPr>
          <w:trHeight w:val="470" w:hRule="atLeast"/>
        </w:trPr>
        <w:tc>
          <w:tcPr>
            <w:tcW w:w="875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29"/>
              <w:ind w:firstLine="472"/>
              <w:rPr>
                <w:rFonts w:cs="Times New Roman"/>
                <w:color w:val="auto"/>
                <w:spacing w:val="-2"/>
                <w:sz w:val="21"/>
                <w:szCs w:val="21"/>
              </w:rPr>
            </w:pPr>
            <w:r>
              <w:rPr>
                <w:rFonts w:hint="eastAsia"/>
                <w:color w:val="auto"/>
                <w:szCs w:val="28"/>
              </w:rPr>
              <w:t>由配套供应的电控箱控制，</w:t>
            </w:r>
            <w:r>
              <w:rPr>
                <w:rFonts w:hint="eastAsia" w:ascii="宋体" w:hAnsi="宋体"/>
                <w:color w:val="auto"/>
                <w:spacing w:val="8"/>
                <w:szCs w:val="20"/>
              </w:rPr>
              <w:t>输送机与格栅除污机共用一套电控箱。</w:t>
            </w:r>
          </w:p>
        </w:tc>
      </w:tr>
    </w:tbl>
    <w:p>
      <w:pPr>
        <w:pStyle w:val="29"/>
        <w:ind w:firstLine="472"/>
        <w:rPr>
          <w:rFonts w:cs="宋体"/>
          <w:color w:val="auto"/>
        </w:rPr>
      </w:pPr>
    </w:p>
    <w:p>
      <w:pPr>
        <w:pStyle w:val="31"/>
        <w:rPr>
          <w:color w:val="auto"/>
        </w:rPr>
      </w:pPr>
      <w:r>
        <w:rPr>
          <w:rFonts w:hint="eastAsia"/>
          <w:color w:val="auto"/>
        </w:rPr>
        <w:t>闸门及阀门</w:t>
      </w:r>
    </w:p>
    <w:tbl>
      <w:tblPr>
        <w:tblStyle w:val="2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559"/>
        <w:gridCol w:w="2694"/>
        <w:gridCol w:w="850"/>
        <w:gridCol w:w="70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Align w:val="center"/>
          </w:tcPr>
          <w:p>
            <w:pPr>
              <w:pStyle w:val="29"/>
              <w:ind w:firstLine="0" w:firstLineChars="0"/>
              <w:rPr>
                <w:rFonts w:cs="Times New Roman"/>
                <w:color w:val="auto"/>
                <w:sz w:val="21"/>
                <w:szCs w:val="21"/>
              </w:rPr>
            </w:pPr>
            <w:r>
              <w:rPr>
                <w:rFonts w:hint="eastAsia" w:cs="Times New Roman"/>
                <w:color w:val="auto"/>
                <w:sz w:val="21"/>
                <w:szCs w:val="21"/>
              </w:rPr>
              <w:t>序号</w:t>
            </w:r>
          </w:p>
        </w:tc>
        <w:tc>
          <w:tcPr>
            <w:tcW w:w="1559" w:type="dxa"/>
            <w:vAlign w:val="center"/>
          </w:tcPr>
          <w:p>
            <w:pPr>
              <w:pStyle w:val="29"/>
              <w:ind w:firstLine="0" w:firstLineChars="0"/>
              <w:rPr>
                <w:rFonts w:cs="Times New Roman"/>
                <w:color w:val="auto"/>
                <w:sz w:val="21"/>
                <w:szCs w:val="21"/>
              </w:rPr>
            </w:pPr>
            <w:r>
              <w:rPr>
                <w:rFonts w:cs="Times New Roman"/>
                <w:color w:val="auto"/>
                <w:sz w:val="21"/>
                <w:szCs w:val="21"/>
              </w:rPr>
              <w:t>设备名称</w:t>
            </w:r>
          </w:p>
        </w:tc>
        <w:tc>
          <w:tcPr>
            <w:tcW w:w="2694" w:type="dxa"/>
            <w:vAlign w:val="center"/>
          </w:tcPr>
          <w:p>
            <w:pPr>
              <w:pStyle w:val="29"/>
              <w:ind w:firstLine="0" w:firstLineChars="0"/>
              <w:rPr>
                <w:rFonts w:cs="Times New Roman"/>
                <w:color w:val="auto"/>
                <w:sz w:val="21"/>
                <w:szCs w:val="21"/>
              </w:rPr>
            </w:pPr>
            <w:r>
              <w:rPr>
                <w:rFonts w:cs="Times New Roman"/>
                <w:color w:val="auto"/>
                <w:sz w:val="21"/>
                <w:szCs w:val="21"/>
              </w:rPr>
              <w:t>规格</w:t>
            </w:r>
          </w:p>
        </w:tc>
        <w:tc>
          <w:tcPr>
            <w:tcW w:w="850" w:type="dxa"/>
            <w:vAlign w:val="center"/>
          </w:tcPr>
          <w:p>
            <w:pPr>
              <w:pStyle w:val="29"/>
              <w:ind w:firstLine="0" w:firstLineChars="0"/>
              <w:rPr>
                <w:rFonts w:cs="Times New Roman"/>
                <w:color w:val="auto"/>
                <w:sz w:val="21"/>
                <w:szCs w:val="21"/>
              </w:rPr>
            </w:pPr>
            <w:r>
              <w:rPr>
                <w:rFonts w:cs="Times New Roman"/>
                <w:color w:val="auto"/>
                <w:sz w:val="21"/>
                <w:szCs w:val="21"/>
              </w:rPr>
              <w:t>数量</w:t>
            </w:r>
          </w:p>
        </w:tc>
        <w:tc>
          <w:tcPr>
            <w:tcW w:w="709" w:type="dxa"/>
            <w:vAlign w:val="center"/>
          </w:tcPr>
          <w:p>
            <w:pPr>
              <w:pStyle w:val="29"/>
              <w:ind w:firstLine="0" w:firstLineChars="0"/>
              <w:rPr>
                <w:rFonts w:cs="Times New Roman"/>
                <w:color w:val="auto"/>
                <w:sz w:val="21"/>
                <w:szCs w:val="21"/>
              </w:rPr>
            </w:pPr>
            <w:r>
              <w:rPr>
                <w:rFonts w:cs="Times New Roman"/>
                <w:color w:val="auto"/>
                <w:sz w:val="21"/>
                <w:szCs w:val="21"/>
              </w:rPr>
              <w:t>单位</w:t>
            </w:r>
          </w:p>
        </w:tc>
        <w:tc>
          <w:tcPr>
            <w:tcW w:w="2268" w:type="dxa"/>
            <w:vAlign w:val="center"/>
          </w:tcPr>
          <w:p>
            <w:pPr>
              <w:pStyle w:val="29"/>
              <w:ind w:firstLine="0" w:firstLineChars="0"/>
              <w:rPr>
                <w:rFonts w:cs="Times New Roman"/>
                <w:color w:val="auto"/>
                <w:sz w:val="21"/>
                <w:szCs w:val="21"/>
              </w:rPr>
            </w:pPr>
            <w:r>
              <w:rPr>
                <w:rFonts w:cs="Times New Roman"/>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Align w:val="center"/>
          </w:tcPr>
          <w:p>
            <w:pPr>
              <w:pStyle w:val="29"/>
              <w:ind w:firstLine="0" w:firstLineChars="0"/>
              <w:rPr>
                <w:rFonts w:cs="Times New Roman"/>
                <w:color w:val="auto"/>
                <w:sz w:val="21"/>
                <w:szCs w:val="21"/>
              </w:rPr>
            </w:pPr>
            <w:r>
              <w:rPr>
                <w:rFonts w:hint="eastAsia" w:cs="Times New Roman"/>
                <w:color w:val="auto"/>
                <w:sz w:val="21"/>
                <w:szCs w:val="21"/>
              </w:rPr>
              <w:t>1</w:t>
            </w:r>
          </w:p>
        </w:tc>
        <w:tc>
          <w:tcPr>
            <w:tcW w:w="1559" w:type="dxa"/>
            <w:vAlign w:val="center"/>
          </w:tcPr>
          <w:p>
            <w:pPr>
              <w:pStyle w:val="29"/>
              <w:ind w:firstLine="0" w:firstLineChars="0"/>
              <w:rPr>
                <w:rFonts w:cs="Times New Roman"/>
                <w:color w:val="auto"/>
                <w:sz w:val="21"/>
                <w:szCs w:val="21"/>
              </w:rPr>
            </w:pPr>
            <w:r>
              <w:rPr>
                <w:rFonts w:cs="Times New Roman"/>
                <w:color w:val="auto"/>
                <w:sz w:val="21"/>
                <w:szCs w:val="21"/>
              </w:rPr>
              <w:t>速闭式闸门</w:t>
            </w:r>
          </w:p>
        </w:tc>
        <w:tc>
          <w:tcPr>
            <w:tcW w:w="2694" w:type="dxa"/>
            <w:vAlign w:val="center"/>
          </w:tcPr>
          <w:p>
            <w:pPr>
              <w:pStyle w:val="29"/>
              <w:ind w:firstLine="0" w:firstLineChars="0"/>
              <w:rPr>
                <w:rFonts w:cs="Times New Roman"/>
                <w:color w:val="auto"/>
                <w:sz w:val="21"/>
                <w:szCs w:val="21"/>
              </w:rPr>
            </w:pPr>
            <w:r>
              <w:rPr>
                <w:rFonts w:cs="Times New Roman"/>
                <w:color w:val="auto"/>
                <w:sz w:val="21"/>
                <w:szCs w:val="21"/>
              </w:rPr>
              <w:t>φ1500，P=2.2kW</w:t>
            </w:r>
          </w:p>
        </w:tc>
        <w:tc>
          <w:tcPr>
            <w:tcW w:w="850" w:type="dxa"/>
            <w:vAlign w:val="center"/>
          </w:tcPr>
          <w:p>
            <w:pPr>
              <w:pStyle w:val="29"/>
              <w:ind w:firstLine="0" w:firstLineChars="0"/>
              <w:rPr>
                <w:rFonts w:cs="Times New Roman"/>
                <w:color w:val="auto"/>
                <w:sz w:val="21"/>
                <w:szCs w:val="21"/>
              </w:rPr>
            </w:pPr>
            <w:r>
              <w:rPr>
                <w:rFonts w:cs="Times New Roman"/>
                <w:color w:val="auto"/>
                <w:sz w:val="21"/>
                <w:szCs w:val="21"/>
              </w:rPr>
              <w:t>2</w:t>
            </w:r>
          </w:p>
        </w:tc>
        <w:tc>
          <w:tcPr>
            <w:tcW w:w="709" w:type="dxa"/>
            <w:vAlign w:val="center"/>
          </w:tcPr>
          <w:p>
            <w:pPr>
              <w:pStyle w:val="29"/>
              <w:ind w:firstLine="0" w:firstLineChars="0"/>
              <w:rPr>
                <w:rFonts w:cs="Times New Roman"/>
                <w:color w:val="auto"/>
                <w:sz w:val="21"/>
                <w:szCs w:val="21"/>
              </w:rPr>
            </w:pPr>
            <w:r>
              <w:rPr>
                <w:rFonts w:cs="Times New Roman"/>
                <w:color w:val="auto"/>
                <w:sz w:val="21"/>
                <w:szCs w:val="21"/>
              </w:rPr>
              <w:t>台</w:t>
            </w:r>
          </w:p>
        </w:tc>
        <w:tc>
          <w:tcPr>
            <w:tcW w:w="2268" w:type="dxa"/>
            <w:vAlign w:val="center"/>
          </w:tcPr>
          <w:p>
            <w:pPr>
              <w:pStyle w:val="29"/>
              <w:ind w:firstLine="0" w:firstLineChars="0"/>
              <w:rPr>
                <w:rFonts w:cs="Times New Roman"/>
                <w:color w:val="auto"/>
                <w:sz w:val="21"/>
                <w:szCs w:val="21"/>
              </w:rPr>
            </w:pPr>
            <w:r>
              <w:rPr>
                <w:rFonts w:cs="Times New Roman"/>
                <w:color w:val="auto"/>
                <w:sz w:val="21"/>
                <w:szCs w:val="21"/>
              </w:rPr>
              <w:t>配套一体化执行机构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Align w:val="center"/>
          </w:tcPr>
          <w:p>
            <w:pPr>
              <w:pStyle w:val="29"/>
              <w:ind w:firstLine="0" w:firstLineChars="0"/>
              <w:rPr>
                <w:rFonts w:cs="Times New Roman"/>
                <w:color w:val="auto"/>
                <w:sz w:val="21"/>
                <w:szCs w:val="21"/>
              </w:rPr>
            </w:pPr>
            <w:r>
              <w:rPr>
                <w:rFonts w:hint="eastAsia" w:cs="Times New Roman"/>
                <w:color w:val="auto"/>
                <w:sz w:val="21"/>
                <w:szCs w:val="21"/>
              </w:rPr>
              <w:t>2</w:t>
            </w:r>
          </w:p>
        </w:tc>
        <w:tc>
          <w:tcPr>
            <w:tcW w:w="1559" w:type="dxa"/>
            <w:vAlign w:val="center"/>
          </w:tcPr>
          <w:p>
            <w:pPr>
              <w:pStyle w:val="29"/>
              <w:ind w:firstLine="0" w:firstLineChars="0"/>
              <w:rPr>
                <w:rFonts w:cs="Times New Roman"/>
                <w:color w:val="auto"/>
                <w:sz w:val="21"/>
                <w:szCs w:val="21"/>
              </w:rPr>
            </w:pPr>
            <w:r>
              <w:rPr>
                <w:rFonts w:cs="Times New Roman"/>
                <w:color w:val="auto"/>
                <w:sz w:val="21"/>
                <w:szCs w:val="21"/>
              </w:rPr>
              <w:t>电动铸铁闸门</w:t>
            </w:r>
          </w:p>
        </w:tc>
        <w:tc>
          <w:tcPr>
            <w:tcW w:w="2694" w:type="dxa"/>
            <w:vAlign w:val="center"/>
          </w:tcPr>
          <w:p>
            <w:pPr>
              <w:pStyle w:val="29"/>
              <w:ind w:firstLine="0" w:firstLineChars="0"/>
              <w:rPr>
                <w:rFonts w:cs="Times New Roman"/>
                <w:color w:val="auto"/>
                <w:sz w:val="21"/>
                <w:szCs w:val="21"/>
              </w:rPr>
            </w:pPr>
            <w:r>
              <w:rPr>
                <w:rFonts w:cs="Times New Roman"/>
                <w:color w:val="auto"/>
                <w:sz w:val="21"/>
                <w:szCs w:val="21"/>
              </w:rPr>
              <w:t>φ1600，P=2.2kW</w:t>
            </w:r>
          </w:p>
        </w:tc>
        <w:tc>
          <w:tcPr>
            <w:tcW w:w="850" w:type="dxa"/>
            <w:vAlign w:val="center"/>
          </w:tcPr>
          <w:p>
            <w:pPr>
              <w:pStyle w:val="29"/>
              <w:ind w:firstLine="0" w:firstLineChars="0"/>
              <w:rPr>
                <w:rFonts w:cs="Times New Roman"/>
                <w:color w:val="auto"/>
                <w:sz w:val="21"/>
                <w:szCs w:val="21"/>
              </w:rPr>
            </w:pPr>
            <w:r>
              <w:rPr>
                <w:rFonts w:cs="Times New Roman"/>
                <w:color w:val="auto"/>
                <w:sz w:val="21"/>
                <w:szCs w:val="21"/>
              </w:rPr>
              <w:t>4</w:t>
            </w:r>
          </w:p>
        </w:tc>
        <w:tc>
          <w:tcPr>
            <w:tcW w:w="709" w:type="dxa"/>
            <w:vAlign w:val="center"/>
          </w:tcPr>
          <w:p>
            <w:pPr>
              <w:pStyle w:val="29"/>
              <w:ind w:firstLine="0" w:firstLineChars="0"/>
              <w:rPr>
                <w:rFonts w:cs="Times New Roman"/>
                <w:color w:val="auto"/>
                <w:sz w:val="21"/>
                <w:szCs w:val="21"/>
              </w:rPr>
            </w:pPr>
            <w:r>
              <w:rPr>
                <w:rFonts w:cs="Times New Roman"/>
                <w:color w:val="auto"/>
                <w:sz w:val="21"/>
                <w:szCs w:val="21"/>
              </w:rPr>
              <w:t>台</w:t>
            </w:r>
          </w:p>
        </w:tc>
        <w:tc>
          <w:tcPr>
            <w:tcW w:w="2268" w:type="dxa"/>
            <w:vAlign w:val="center"/>
          </w:tcPr>
          <w:p>
            <w:pPr>
              <w:pStyle w:val="29"/>
              <w:ind w:firstLine="0" w:firstLineChars="0"/>
              <w:rPr>
                <w:rFonts w:cs="Times New Roman"/>
                <w:color w:val="auto"/>
                <w:sz w:val="21"/>
                <w:szCs w:val="21"/>
              </w:rPr>
            </w:pPr>
            <w:r>
              <w:rPr>
                <w:rFonts w:cs="Times New Roman"/>
                <w:color w:val="auto"/>
                <w:sz w:val="21"/>
                <w:szCs w:val="21"/>
              </w:rPr>
              <w:t>配套一体化执行机构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Align w:val="center"/>
          </w:tcPr>
          <w:p>
            <w:pPr>
              <w:pStyle w:val="29"/>
              <w:ind w:firstLine="0" w:firstLineChars="0"/>
              <w:rPr>
                <w:rFonts w:cs="Times New Roman"/>
                <w:color w:val="auto"/>
                <w:sz w:val="21"/>
                <w:szCs w:val="21"/>
              </w:rPr>
            </w:pPr>
            <w:r>
              <w:rPr>
                <w:rFonts w:hint="eastAsia" w:cs="Times New Roman"/>
                <w:color w:val="auto"/>
                <w:sz w:val="21"/>
                <w:szCs w:val="21"/>
              </w:rPr>
              <w:t>3</w:t>
            </w:r>
          </w:p>
        </w:tc>
        <w:tc>
          <w:tcPr>
            <w:tcW w:w="1559" w:type="dxa"/>
            <w:vAlign w:val="center"/>
          </w:tcPr>
          <w:p>
            <w:pPr>
              <w:pStyle w:val="29"/>
              <w:ind w:firstLine="0" w:firstLineChars="0"/>
              <w:rPr>
                <w:rFonts w:cs="Times New Roman"/>
                <w:color w:val="auto"/>
                <w:sz w:val="21"/>
                <w:szCs w:val="21"/>
              </w:rPr>
            </w:pPr>
            <w:r>
              <w:rPr>
                <w:rFonts w:cs="Times New Roman"/>
                <w:color w:val="auto"/>
                <w:sz w:val="21"/>
                <w:szCs w:val="21"/>
              </w:rPr>
              <w:t>电动铸铁闸门</w:t>
            </w:r>
          </w:p>
        </w:tc>
        <w:tc>
          <w:tcPr>
            <w:tcW w:w="2694" w:type="dxa"/>
            <w:vAlign w:val="center"/>
          </w:tcPr>
          <w:p>
            <w:pPr>
              <w:pStyle w:val="29"/>
              <w:ind w:firstLine="0" w:firstLineChars="0"/>
              <w:rPr>
                <w:rFonts w:cs="Times New Roman"/>
                <w:color w:val="auto"/>
                <w:sz w:val="21"/>
                <w:szCs w:val="21"/>
              </w:rPr>
            </w:pPr>
            <w:r>
              <w:rPr>
                <w:rFonts w:cs="Times New Roman"/>
                <w:color w:val="auto"/>
                <w:sz w:val="21"/>
                <w:szCs w:val="21"/>
              </w:rPr>
              <w:t>B×H=1200×1200，P=2.2kW</w:t>
            </w:r>
          </w:p>
        </w:tc>
        <w:tc>
          <w:tcPr>
            <w:tcW w:w="850" w:type="dxa"/>
            <w:vAlign w:val="center"/>
          </w:tcPr>
          <w:p>
            <w:pPr>
              <w:pStyle w:val="29"/>
              <w:ind w:firstLine="0" w:firstLineChars="0"/>
              <w:rPr>
                <w:rFonts w:cs="Times New Roman"/>
                <w:color w:val="auto"/>
                <w:sz w:val="21"/>
                <w:szCs w:val="21"/>
              </w:rPr>
            </w:pPr>
            <w:r>
              <w:rPr>
                <w:rFonts w:cs="Times New Roman"/>
                <w:color w:val="auto"/>
                <w:sz w:val="21"/>
                <w:szCs w:val="21"/>
              </w:rPr>
              <w:t>1</w:t>
            </w:r>
          </w:p>
        </w:tc>
        <w:tc>
          <w:tcPr>
            <w:tcW w:w="709" w:type="dxa"/>
            <w:vAlign w:val="center"/>
          </w:tcPr>
          <w:p>
            <w:pPr>
              <w:pStyle w:val="29"/>
              <w:ind w:firstLine="0" w:firstLineChars="0"/>
              <w:rPr>
                <w:rFonts w:cs="Times New Roman"/>
                <w:color w:val="auto"/>
                <w:sz w:val="21"/>
                <w:szCs w:val="21"/>
              </w:rPr>
            </w:pPr>
            <w:r>
              <w:rPr>
                <w:rFonts w:cs="Times New Roman"/>
                <w:color w:val="auto"/>
                <w:sz w:val="21"/>
                <w:szCs w:val="21"/>
              </w:rPr>
              <w:t>台</w:t>
            </w:r>
          </w:p>
        </w:tc>
        <w:tc>
          <w:tcPr>
            <w:tcW w:w="2268" w:type="dxa"/>
            <w:vAlign w:val="center"/>
          </w:tcPr>
          <w:p>
            <w:pPr>
              <w:pStyle w:val="29"/>
              <w:ind w:firstLine="0" w:firstLineChars="0"/>
              <w:rPr>
                <w:rFonts w:cs="Times New Roman"/>
                <w:color w:val="auto"/>
                <w:sz w:val="21"/>
                <w:szCs w:val="21"/>
              </w:rPr>
            </w:pPr>
            <w:r>
              <w:rPr>
                <w:rFonts w:cs="Times New Roman"/>
                <w:color w:val="auto"/>
                <w:sz w:val="21"/>
                <w:szCs w:val="21"/>
              </w:rPr>
              <w:t>配套一体化执行机构，双向受压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Align w:val="center"/>
          </w:tcPr>
          <w:p>
            <w:pPr>
              <w:pStyle w:val="29"/>
              <w:ind w:firstLine="0" w:firstLineChars="0"/>
              <w:rPr>
                <w:rFonts w:cs="Times New Roman"/>
                <w:color w:val="auto"/>
                <w:sz w:val="21"/>
                <w:szCs w:val="21"/>
              </w:rPr>
            </w:pPr>
            <w:r>
              <w:rPr>
                <w:rFonts w:hint="eastAsia" w:cs="Times New Roman"/>
                <w:color w:val="auto"/>
                <w:sz w:val="21"/>
                <w:szCs w:val="21"/>
              </w:rPr>
              <w:t>4</w:t>
            </w:r>
          </w:p>
        </w:tc>
        <w:tc>
          <w:tcPr>
            <w:tcW w:w="1559" w:type="dxa"/>
            <w:vAlign w:val="center"/>
          </w:tcPr>
          <w:p>
            <w:pPr>
              <w:pStyle w:val="29"/>
              <w:ind w:firstLine="0" w:firstLineChars="0"/>
              <w:rPr>
                <w:rFonts w:cs="Times New Roman"/>
                <w:color w:val="auto"/>
                <w:sz w:val="21"/>
                <w:szCs w:val="21"/>
              </w:rPr>
            </w:pPr>
            <w:r>
              <w:rPr>
                <w:rFonts w:cs="Times New Roman"/>
                <w:color w:val="auto"/>
                <w:sz w:val="21"/>
                <w:szCs w:val="21"/>
              </w:rPr>
              <w:t>止回阀</w:t>
            </w:r>
          </w:p>
        </w:tc>
        <w:tc>
          <w:tcPr>
            <w:tcW w:w="2694" w:type="dxa"/>
            <w:vAlign w:val="center"/>
          </w:tcPr>
          <w:p>
            <w:pPr>
              <w:pStyle w:val="29"/>
              <w:ind w:firstLine="0" w:firstLineChars="0"/>
              <w:rPr>
                <w:rFonts w:cs="Times New Roman"/>
                <w:color w:val="auto"/>
                <w:sz w:val="21"/>
                <w:szCs w:val="21"/>
              </w:rPr>
            </w:pPr>
            <w:r>
              <w:rPr>
                <w:rFonts w:cs="Times New Roman"/>
                <w:color w:val="auto"/>
                <w:sz w:val="21"/>
                <w:szCs w:val="21"/>
              </w:rPr>
              <w:t>DN800，L=470</w:t>
            </w:r>
          </w:p>
        </w:tc>
        <w:tc>
          <w:tcPr>
            <w:tcW w:w="850" w:type="dxa"/>
            <w:vAlign w:val="center"/>
          </w:tcPr>
          <w:p>
            <w:pPr>
              <w:pStyle w:val="29"/>
              <w:ind w:firstLine="0" w:firstLineChars="0"/>
              <w:rPr>
                <w:rFonts w:cs="Times New Roman"/>
                <w:color w:val="auto"/>
                <w:sz w:val="21"/>
                <w:szCs w:val="21"/>
              </w:rPr>
            </w:pPr>
            <w:r>
              <w:rPr>
                <w:rFonts w:cs="Times New Roman"/>
                <w:color w:val="auto"/>
                <w:sz w:val="21"/>
                <w:szCs w:val="21"/>
              </w:rPr>
              <w:t>3</w:t>
            </w:r>
          </w:p>
        </w:tc>
        <w:tc>
          <w:tcPr>
            <w:tcW w:w="709" w:type="dxa"/>
            <w:vAlign w:val="center"/>
          </w:tcPr>
          <w:p>
            <w:pPr>
              <w:pStyle w:val="29"/>
              <w:ind w:firstLine="0" w:firstLineChars="0"/>
              <w:rPr>
                <w:rFonts w:cs="Times New Roman"/>
                <w:color w:val="auto"/>
                <w:sz w:val="21"/>
                <w:szCs w:val="21"/>
              </w:rPr>
            </w:pPr>
            <w:r>
              <w:rPr>
                <w:rFonts w:cs="Times New Roman"/>
                <w:color w:val="auto"/>
                <w:sz w:val="21"/>
                <w:szCs w:val="21"/>
              </w:rPr>
              <w:t>台</w:t>
            </w:r>
          </w:p>
        </w:tc>
        <w:tc>
          <w:tcPr>
            <w:tcW w:w="2268" w:type="dxa"/>
            <w:vAlign w:val="center"/>
          </w:tcPr>
          <w:p>
            <w:pPr>
              <w:pStyle w:val="29"/>
              <w:ind w:firstLine="0" w:firstLineChars="0"/>
              <w:rPr>
                <w:rFonts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Align w:val="center"/>
          </w:tcPr>
          <w:p>
            <w:pPr>
              <w:pStyle w:val="29"/>
              <w:ind w:firstLine="0" w:firstLineChars="0"/>
              <w:rPr>
                <w:rFonts w:cs="Times New Roman"/>
                <w:color w:val="auto"/>
                <w:sz w:val="21"/>
                <w:szCs w:val="21"/>
              </w:rPr>
            </w:pPr>
            <w:r>
              <w:rPr>
                <w:rFonts w:hint="eastAsia" w:cs="Times New Roman"/>
                <w:color w:val="auto"/>
                <w:sz w:val="21"/>
                <w:szCs w:val="21"/>
              </w:rPr>
              <w:t>5</w:t>
            </w:r>
          </w:p>
        </w:tc>
        <w:tc>
          <w:tcPr>
            <w:tcW w:w="1559" w:type="dxa"/>
            <w:vAlign w:val="center"/>
          </w:tcPr>
          <w:p>
            <w:pPr>
              <w:pStyle w:val="29"/>
              <w:ind w:firstLine="0" w:firstLineChars="0"/>
              <w:rPr>
                <w:rFonts w:cs="Times New Roman"/>
                <w:color w:val="auto"/>
                <w:sz w:val="21"/>
                <w:szCs w:val="21"/>
              </w:rPr>
            </w:pPr>
            <w:r>
              <w:rPr>
                <w:rFonts w:cs="Times New Roman"/>
                <w:color w:val="auto"/>
                <w:sz w:val="21"/>
                <w:szCs w:val="21"/>
              </w:rPr>
              <w:t>电动蝶阀</w:t>
            </w:r>
          </w:p>
        </w:tc>
        <w:tc>
          <w:tcPr>
            <w:tcW w:w="2694" w:type="dxa"/>
            <w:vAlign w:val="center"/>
          </w:tcPr>
          <w:p>
            <w:pPr>
              <w:pStyle w:val="29"/>
              <w:ind w:firstLine="0" w:firstLineChars="0"/>
              <w:rPr>
                <w:rFonts w:cs="Times New Roman"/>
                <w:color w:val="auto"/>
                <w:sz w:val="21"/>
                <w:szCs w:val="21"/>
              </w:rPr>
            </w:pPr>
            <w:r>
              <w:rPr>
                <w:rFonts w:cs="Times New Roman"/>
                <w:color w:val="auto"/>
                <w:sz w:val="21"/>
                <w:szCs w:val="21"/>
              </w:rPr>
              <w:t>DN800，L=190，P=1.5kW</w:t>
            </w:r>
          </w:p>
        </w:tc>
        <w:tc>
          <w:tcPr>
            <w:tcW w:w="850" w:type="dxa"/>
            <w:vAlign w:val="center"/>
          </w:tcPr>
          <w:p>
            <w:pPr>
              <w:pStyle w:val="29"/>
              <w:ind w:firstLine="0" w:firstLineChars="0"/>
              <w:rPr>
                <w:rFonts w:cs="Times New Roman"/>
                <w:color w:val="auto"/>
                <w:sz w:val="21"/>
                <w:szCs w:val="21"/>
              </w:rPr>
            </w:pPr>
            <w:r>
              <w:rPr>
                <w:rFonts w:cs="Times New Roman"/>
                <w:color w:val="auto"/>
                <w:sz w:val="21"/>
                <w:szCs w:val="21"/>
              </w:rPr>
              <w:t>6</w:t>
            </w:r>
          </w:p>
        </w:tc>
        <w:tc>
          <w:tcPr>
            <w:tcW w:w="709" w:type="dxa"/>
            <w:vAlign w:val="center"/>
          </w:tcPr>
          <w:p>
            <w:pPr>
              <w:pStyle w:val="29"/>
              <w:ind w:firstLine="0" w:firstLineChars="0"/>
              <w:rPr>
                <w:rFonts w:cs="Times New Roman"/>
                <w:color w:val="auto"/>
                <w:sz w:val="21"/>
                <w:szCs w:val="21"/>
              </w:rPr>
            </w:pPr>
            <w:r>
              <w:rPr>
                <w:rFonts w:cs="Times New Roman"/>
                <w:color w:val="auto"/>
                <w:sz w:val="21"/>
                <w:szCs w:val="21"/>
              </w:rPr>
              <w:t>台</w:t>
            </w:r>
          </w:p>
        </w:tc>
        <w:tc>
          <w:tcPr>
            <w:tcW w:w="2268" w:type="dxa"/>
            <w:vAlign w:val="center"/>
          </w:tcPr>
          <w:p>
            <w:pPr>
              <w:pStyle w:val="29"/>
              <w:ind w:firstLine="0" w:firstLineChars="0"/>
              <w:rPr>
                <w:rFonts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89" w:type="dxa"/>
            <w:gridSpan w:val="6"/>
            <w:vAlign w:val="center"/>
          </w:tcPr>
          <w:p>
            <w:pPr>
              <w:pStyle w:val="29"/>
              <w:ind w:firstLine="0" w:firstLineChars="0"/>
              <w:rPr>
                <w:rFonts w:cs="Times New Roman"/>
                <w:b/>
                <w:bCs/>
                <w:color w:val="auto"/>
                <w:sz w:val="21"/>
                <w:szCs w:val="21"/>
              </w:rPr>
            </w:pPr>
            <w:r>
              <w:rPr>
                <w:rFonts w:cs="Times New Roman"/>
                <w:b/>
                <w:bCs/>
                <w:color w:val="auto"/>
                <w:sz w:val="21"/>
                <w:szCs w:val="21"/>
              </w:rPr>
              <w:t>相关技术说明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89" w:type="dxa"/>
            <w:gridSpan w:val="6"/>
            <w:vAlign w:val="center"/>
          </w:tcPr>
          <w:p>
            <w:pPr>
              <w:pStyle w:val="29"/>
              <w:ind w:firstLine="412"/>
              <w:rPr>
                <w:rFonts w:cs="Times New Roman"/>
                <w:color w:val="auto"/>
                <w:sz w:val="21"/>
                <w:szCs w:val="21"/>
              </w:rPr>
            </w:pPr>
            <w:r>
              <w:rPr>
                <w:rFonts w:cs="Times New Roman"/>
                <w:color w:val="auto"/>
                <w:sz w:val="21"/>
                <w:szCs w:val="21"/>
              </w:rPr>
              <w:t>1、闸门</w:t>
            </w:r>
          </w:p>
          <w:p>
            <w:pPr>
              <w:pStyle w:val="29"/>
              <w:ind w:firstLine="416"/>
              <w:rPr>
                <w:rFonts w:cs="Times New Roman"/>
                <w:color w:val="auto"/>
                <w:sz w:val="21"/>
                <w:szCs w:val="21"/>
              </w:rPr>
            </w:pPr>
            <w:r>
              <w:rPr>
                <w:rFonts w:cs="Times New Roman"/>
                <w:color w:val="auto"/>
                <w:spacing w:val="-2"/>
                <w:sz w:val="21"/>
                <w:szCs w:val="21"/>
              </w:rPr>
              <w:t>1.1、闸门采用明杆式，墙式安装和孔口镶铜密封的形式，门板的密封采用橡胶对金属的密</w:t>
            </w:r>
            <w:r>
              <w:rPr>
                <w:rFonts w:cs="Times New Roman"/>
                <w:color w:val="auto"/>
                <w:sz w:val="21"/>
                <w:szCs w:val="21"/>
              </w:rPr>
              <w:t>封。闸门应适合于开敞的明渠安装，三边止水，闸门关闭后，门板应高于最高设计水位≥</w:t>
            </w:r>
            <w:r>
              <w:rPr>
                <w:rFonts w:cs="Times New Roman"/>
                <w:color w:val="auto"/>
                <w:spacing w:val="-3"/>
                <w:sz w:val="21"/>
                <w:szCs w:val="21"/>
              </w:rPr>
              <w:t>100mm。门板为梁板式结构应采用</w:t>
            </w:r>
            <w:r>
              <w:rPr>
                <w:rFonts w:cs="Times New Roman"/>
                <w:color w:val="auto"/>
                <w:sz w:val="21"/>
                <w:szCs w:val="21"/>
              </w:rPr>
              <w:t>304L</w:t>
            </w:r>
            <w:r>
              <w:rPr>
                <w:rFonts w:cs="Times New Roman"/>
                <w:color w:val="auto"/>
                <w:spacing w:val="-3"/>
                <w:sz w:val="21"/>
                <w:szCs w:val="21"/>
              </w:rPr>
              <w:t>不锈钢制造，在最大受压条件下应具有足够的强度和刚度。钢板的厚度不低于8mm，挠度不大于1/1000。保证受压后无变形，双向密封的泄漏量</w:t>
            </w:r>
            <w:r>
              <w:rPr>
                <w:rFonts w:cs="Times New Roman"/>
                <w:color w:val="auto"/>
                <w:sz w:val="21"/>
                <w:szCs w:val="21"/>
              </w:rPr>
              <w:t>均不大于0.01L/min.m(密封长度)。</w:t>
            </w:r>
          </w:p>
          <w:p>
            <w:pPr>
              <w:pStyle w:val="29"/>
              <w:ind w:firstLine="412"/>
              <w:rPr>
                <w:rFonts w:cs="Times New Roman"/>
                <w:color w:val="auto"/>
                <w:sz w:val="21"/>
                <w:szCs w:val="21"/>
              </w:rPr>
            </w:pPr>
            <w:r>
              <w:rPr>
                <w:rFonts w:cs="Times New Roman"/>
                <w:color w:val="auto"/>
                <w:sz w:val="21"/>
                <w:szCs w:val="21"/>
              </w:rPr>
              <w:t>1.2、性能和结构</w:t>
            </w:r>
          </w:p>
          <w:p>
            <w:pPr>
              <w:pStyle w:val="29"/>
              <w:ind w:firstLine="412"/>
              <w:rPr>
                <w:rFonts w:cs="Times New Roman"/>
                <w:color w:val="auto"/>
                <w:sz w:val="21"/>
                <w:szCs w:val="21"/>
              </w:rPr>
            </w:pPr>
            <w:r>
              <w:rPr>
                <w:rFonts w:cs="Times New Roman"/>
                <w:color w:val="auto"/>
                <w:sz w:val="21"/>
                <w:szCs w:val="21"/>
              </w:rPr>
              <w:t>a.电动闸门的启闭速度应小于0.5m/min，大于0.2m/min。b.闸门的泄漏量不大于1.25L/min.m（密封长度）。</w:t>
            </w:r>
          </w:p>
          <w:p>
            <w:pPr>
              <w:pStyle w:val="29"/>
              <w:ind w:firstLine="408"/>
              <w:rPr>
                <w:rFonts w:cs="Times New Roman"/>
                <w:color w:val="auto"/>
                <w:sz w:val="21"/>
                <w:szCs w:val="21"/>
              </w:rPr>
            </w:pPr>
            <w:r>
              <w:rPr>
                <w:rFonts w:cs="Times New Roman"/>
                <w:color w:val="auto"/>
                <w:spacing w:val="-6"/>
                <w:sz w:val="21"/>
                <w:szCs w:val="21"/>
              </w:rPr>
              <w:t>c.门杆的导向支承间距与门杆回转半径之比（柔度）应大于200，且门杆直径不得小于</w:t>
            </w:r>
            <w:r>
              <w:rPr>
                <w:rFonts w:cs="Times New Roman"/>
                <w:color w:val="auto"/>
                <w:sz w:val="21"/>
                <w:szCs w:val="21"/>
              </w:rPr>
              <w:t>50mm</w:t>
            </w:r>
          </w:p>
          <w:p>
            <w:pPr>
              <w:pStyle w:val="29"/>
              <w:ind w:firstLine="412"/>
              <w:rPr>
                <w:rFonts w:cs="Times New Roman"/>
                <w:color w:val="auto"/>
                <w:sz w:val="21"/>
                <w:szCs w:val="21"/>
              </w:rPr>
            </w:pPr>
            <w:r>
              <w:rPr>
                <w:rFonts w:cs="Times New Roman"/>
                <w:color w:val="auto"/>
                <w:sz w:val="21"/>
                <w:szCs w:val="21"/>
              </w:rPr>
              <w:t>d.闸门的设计和制造应遵照CJ/T3006-92标准的规定，电动装置的设计和制造应遵照ZBJ16002-87标准的规定。</w:t>
            </w:r>
          </w:p>
          <w:p>
            <w:pPr>
              <w:pStyle w:val="29"/>
              <w:ind w:firstLine="412"/>
              <w:rPr>
                <w:rFonts w:cs="Times New Roman"/>
                <w:color w:val="auto"/>
                <w:sz w:val="21"/>
                <w:szCs w:val="21"/>
              </w:rPr>
            </w:pPr>
            <w:r>
              <w:rPr>
                <w:rFonts w:cs="Times New Roman"/>
                <w:color w:val="auto"/>
                <w:sz w:val="21"/>
                <w:szCs w:val="21"/>
              </w:rPr>
              <w:t>e.电动启闭装置的电机最大转矩应大于额定转矩的3</w:t>
            </w:r>
            <w:r>
              <w:rPr>
                <w:rFonts w:cs="Times New Roman"/>
                <w:color w:val="auto"/>
                <w:spacing w:val="-5"/>
                <w:sz w:val="21"/>
                <w:szCs w:val="21"/>
              </w:rPr>
              <w:t>倍，应满足户外使用的要求，其防护等</w:t>
            </w:r>
            <w:r>
              <w:rPr>
                <w:rFonts w:cs="Times New Roman"/>
                <w:color w:val="auto"/>
                <w:sz w:val="21"/>
                <w:szCs w:val="21"/>
              </w:rPr>
              <w:t>级为IP65。电动启闭装置的机械外壳应为双密封机构，并具有防捶击保护功能。驱动电机的连续运转时间应不低于15分钟。</w:t>
            </w:r>
          </w:p>
          <w:p>
            <w:pPr>
              <w:pStyle w:val="29"/>
              <w:ind w:firstLine="412"/>
              <w:rPr>
                <w:rFonts w:cs="Times New Roman"/>
                <w:color w:val="auto"/>
                <w:sz w:val="21"/>
                <w:szCs w:val="21"/>
              </w:rPr>
            </w:pPr>
            <w:r>
              <w:rPr>
                <w:rFonts w:cs="Times New Roman"/>
                <w:color w:val="auto"/>
                <w:sz w:val="21"/>
                <w:szCs w:val="21"/>
              </w:rPr>
              <w:t>f.电动启闭机应设指示开度计、双向过力矩保护装置及螺杆的护罩。</w:t>
            </w:r>
          </w:p>
          <w:p>
            <w:pPr>
              <w:pStyle w:val="29"/>
              <w:ind w:firstLine="412"/>
              <w:rPr>
                <w:rFonts w:cs="Times New Roman"/>
                <w:color w:val="auto"/>
                <w:sz w:val="21"/>
                <w:szCs w:val="21"/>
              </w:rPr>
            </w:pPr>
            <w:r>
              <w:rPr>
                <w:rFonts w:cs="Times New Roman"/>
                <w:color w:val="auto"/>
                <w:sz w:val="21"/>
                <w:szCs w:val="21"/>
              </w:rPr>
              <w:t>g.电动执行机构采用手轮操作时，手操作力不得大于150N。h.设备启动和运行的噪声应≤150N。</w:t>
            </w:r>
          </w:p>
          <w:p>
            <w:pPr>
              <w:pStyle w:val="29"/>
              <w:ind w:firstLine="412"/>
              <w:rPr>
                <w:rFonts w:cs="Times New Roman"/>
                <w:color w:val="auto"/>
                <w:sz w:val="21"/>
                <w:szCs w:val="21"/>
              </w:rPr>
            </w:pPr>
            <w:r>
              <w:rPr>
                <w:rFonts w:cs="Times New Roman"/>
                <w:color w:val="auto"/>
                <w:sz w:val="21"/>
                <w:szCs w:val="21"/>
              </w:rPr>
              <w:t>1.3、主要材料：</w:t>
            </w:r>
          </w:p>
          <w:p>
            <w:pPr>
              <w:pStyle w:val="29"/>
              <w:ind w:firstLine="402"/>
              <w:rPr>
                <w:rFonts w:cs="Times New Roman"/>
                <w:color w:val="auto"/>
                <w:sz w:val="21"/>
                <w:szCs w:val="21"/>
              </w:rPr>
            </w:pPr>
            <w:r>
              <w:rPr>
                <w:rFonts w:cs="Times New Roman"/>
                <w:color w:val="auto"/>
                <w:spacing w:val="-9"/>
                <w:sz w:val="21"/>
                <w:szCs w:val="21"/>
              </w:rPr>
              <w:t>门板（板与梁组合体）：不锈钢</w:t>
            </w:r>
            <w:r>
              <w:rPr>
                <w:rFonts w:cs="Times New Roman"/>
                <w:color w:val="auto"/>
                <w:spacing w:val="-1"/>
                <w:sz w:val="21"/>
                <w:szCs w:val="21"/>
              </w:rPr>
              <w:t>304L；</w:t>
            </w:r>
            <w:r>
              <w:rPr>
                <w:rFonts w:cs="Times New Roman"/>
                <w:color w:val="auto"/>
                <w:spacing w:val="-2"/>
                <w:sz w:val="21"/>
                <w:szCs w:val="21"/>
              </w:rPr>
              <w:t>闸槽：不锈钢</w:t>
            </w:r>
            <w:r>
              <w:rPr>
                <w:rFonts w:cs="Times New Roman"/>
                <w:color w:val="auto"/>
                <w:spacing w:val="-1"/>
                <w:sz w:val="21"/>
                <w:szCs w:val="21"/>
              </w:rPr>
              <w:t>304L；</w:t>
            </w:r>
            <w:r>
              <w:rPr>
                <w:rFonts w:cs="Times New Roman"/>
                <w:color w:val="auto"/>
                <w:spacing w:val="-2"/>
                <w:sz w:val="21"/>
                <w:szCs w:val="21"/>
              </w:rPr>
              <w:t>密封条：</w:t>
            </w:r>
            <w:r>
              <w:rPr>
                <w:rFonts w:cs="Times New Roman"/>
                <w:color w:val="auto"/>
                <w:spacing w:val="-1"/>
                <w:sz w:val="21"/>
                <w:szCs w:val="21"/>
              </w:rPr>
              <w:t>铜合金</w:t>
            </w:r>
            <w:r>
              <w:rPr>
                <w:rFonts w:cs="Times New Roman"/>
                <w:color w:val="auto"/>
                <w:sz w:val="21"/>
                <w:szCs w:val="21"/>
              </w:rPr>
              <w:t>门杆：不锈钢304L；推力螺母：铜合金</w:t>
            </w:r>
          </w:p>
          <w:p>
            <w:pPr>
              <w:pStyle w:val="29"/>
              <w:ind w:firstLine="412"/>
              <w:rPr>
                <w:rFonts w:cs="Times New Roman"/>
                <w:color w:val="auto"/>
                <w:sz w:val="21"/>
                <w:szCs w:val="21"/>
              </w:rPr>
            </w:pPr>
            <w:r>
              <w:rPr>
                <w:rFonts w:cs="Times New Roman"/>
                <w:color w:val="auto"/>
                <w:sz w:val="21"/>
                <w:szCs w:val="21"/>
              </w:rPr>
              <w:t>门架或横梁：不锈钢304L；螺栓、螺母、垫圈：不锈钢304L；基础螺栓：不锈钢304L</w:t>
            </w:r>
          </w:p>
          <w:p>
            <w:pPr>
              <w:pStyle w:val="27"/>
              <w:spacing w:line="360" w:lineRule="auto"/>
              <w:ind w:firstLine="419"/>
              <w:jc w:val="both"/>
              <w:rPr>
                <w:rFonts w:ascii="Times New Roman" w:hAnsi="Times New Roman" w:cs="Times New Roman"/>
                <w:color w:val="auto"/>
                <w:spacing w:val="-6"/>
                <w:sz w:val="21"/>
                <w:szCs w:val="21"/>
                <w:lang w:eastAsia="zh-CN"/>
              </w:rPr>
            </w:pPr>
            <w:r>
              <w:rPr>
                <w:rFonts w:ascii="Times New Roman" w:hAnsi="Times New Roman" w:cs="Times New Roman"/>
                <w:color w:val="auto"/>
                <w:spacing w:val="-6"/>
                <w:sz w:val="21"/>
                <w:szCs w:val="21"/>
                <w:lang w:eastAsia="zh-CN"/>
              </w:rPr>
              <w:t>1.4、启闭机材质</w:t>
            </w:r>
          </w:p>
          <w:p>
            <w:pPr>
              <w:pStyle w:val="27"/>
              <w:spacing w:line="360" w:lineRule="auto"/>
              <w:ind w:firstLine="419"/>
              <w:jc w:val="both"/>
              <w:rPr>
                <w:rFonts w:ascii="Times New Roman" w:hAnsi="Times New Roman" w:cs="Times New Roman"/>
                <w:color w:val="auto"/>
                <w:spacing w:val="-6"/>
                <w:sz w:val="21"/>
                <w:szCs w:val="21"/>
                <w:lang w:eastAsia="zh-CN"/>
              </w:rPr>
            </w:pPr>
            <w:r>
              <w:rPr>
                <w:rFonts w:ascii="Times New Roman" w:hAnsi="Times New Roman" w:cs="Times New Roman"/>
                <w:color w:val="auto"/>
                <w:spacing w:val="-6"/>
                <w:sz w:val="21"/>
                <w:szCs w:val="21"/>
                <w:lang w:eastAsia="zh-CN"/>
              </w:rPr>
              <w:t>手轮:球墨铸（QT450-10）轴承座:球墨铸铁(QT450-10)、启闭架:球墨铸铁(QT450-10)丝杆:不锈钢(AISI420)。紧固件:不锈钢(AISI304L</w:t>
            </w:r>
          </w:p>
          <w:p>
            <w:pPr>
              <w:pStyle w:val="27"/>
              <w:spacing w:line="360" w:lineRule="auto"/>
              <w:ind w:firstLine="419"/>
              <w:jc w:val="both"/>
              <w:rPr>
                <w:rFonts w:ascii="Times New Roman" w:hAnsi="Times New Roman" w:cs="Times New Roman"/>
                <w:color w:val="auto"/>
                <w:spacing w:val="-6"/>
                <w:sz w:val="21"/>
                <w:szCs w:val="21"/>
                <w:lang w:eastAsia="zh-CN"/>
              </w:rPr>
            </w:pPr>
            <w:r>
              <w:rPr>
                <w:rFonts w:ascii="Times New Roman" w:hAnsi="Times New Roman" w:cs="Times New Roman"/>
                <w:color w:val="auto"/>
                <w:spacing w:val="-6"/>
                <w:sz w:val="21"/>
                <w:szCs w:val="21"/>
                <w:lang w:eastAsia="zh-CN"/>
              </w:rPr>
              <w:t>1.5、电动启闭装置的选型应采用德国欧玛(AUMA）、英国罗托克(ROTORK)、德国西博思(SIPOS)等相同或优于该品牌的产品。</w:t>
            </w:r>
          </w:p>
          <w:p>
            <w:pPr>
              <w:pStyle w:val="29"/>
              <w:ind w:firstLine="412"/>
              <w:rPr>
                <w:rFonts w:cs="Times New Roman"/>
                <w:color w:val="auto"/>
                <w:sz w:val="21"/>
                <w:szCs w:val="21"/>
              </w:rPr>
            </w:pPr>
            <w:r>
              <w:rPr>
                <w:rFonts w:cs="Times New Roman"/>
                <w:color w:val="auto"/>
                <w:sz w:val="21"/>
                <w:szCs w:val="21"/>
              </w:rPr>
              <w:t>2、止回阀</w:t>
            </w:r>
          </w:p>
          <w:p>
            <w:pPr>
              <w:pStyle w:val="29"/>
              <w:ind w:firstLine="412"/>
              <w:rPr>
                <w:rFonts w:cs="Times New Roman"/>
                <w:color w:val="auto"/>
                <w:sz w:val="21"/>
                <w:szCs w:val="21"/>
              </w:rPr>
            </w:pPr>
            <w:r>
              <w:rPr>
                <w:rFonts w:cs="Times New Roman"/>
                <w:color w:val="auto"/>
                <w:sz w:val="21"/>
                <w:szCs w:val="21"/>
              </w:rPr>
              <w:t>2.1设计要求</w:t>
            </w:r>
          </w:p>
          <w:p>
            <w:pPr>
              <w:pStyle w:val="29"/>
              <w:ind w:firstLine="414"/>
              <w:rPr>
                <w:rFonts w:cs="Times New Roman"/>
                <w:color w:val="auto"/>
                <w:spacing w:val="-3"/>
                <w:sz w:val="21"/>
                <w:szCs w:val="21"/>
              </w:rPr>
            </w:pPr>
            <w:r>
              <w:rPr>
                <w:rFonts w:hint="eastAsia" w:cs="Times New Roman"/>
                <w:color w:val="auto"/>
                <w:spacing w:val="-3"/>
                <w:sz w:val="21"/>
                <w:szCs w:val="21"/>
              </w:rPr>
              <w:t xml:space="preserve">止回阀应安装在泵的出口，靠介质压力推动蝶板开启，靠蝶板自重和重锤以及介质倒流压力 推动蝶板，并利用油缸的阻尼作用，实行快和满二阶段关闭，总的关闭时间应小于 120s（可调） </w:t>
            </w:r>
          </w:p>
          <w:p>
            <w:pPr>
              <w:pStyle w:val="29"/>
              <w:ind w:firstLine="414"/>
              <w:rPr>
                <w:rFonts w:cs="Times New Roman"/>
                <w:color w:val="auto"/>
                <w:spacing w:val="-3"/>
                <w:sz w:val="21"/>
                <w:szCs w:val="21"/>
              </w:rPr>
            </w:pPr>
            <w:r>
              <w:rPr>
                <w:rFonts w:hint="eastAsia" w:cs="Times New Roman"/>
                <w:color w:val="auto"/>
                <w:spacing w:val="-3"/>
                <w:sz w:val="21"/>
                <w:szCs w:val="21"/>
              </w:rPr>
              <w:t>2.2、性能和结构</w:t>
            </w:r>
          </w:p>
          <w:p>
            <w:pPr>
              <w:pStyle w:val="29"/>
              <w:ind w:firstLine="414"/>
              <w:rPr>
                <w:rFonts w:cs="Times New Roman"/>
                <w:color w:val="auto"/>
                <w:spacing w:val="-3"/>
                <w:sz w:val="21"/>
                <w:szCs w:val="21"/>
              </w:rPr>
            </w:pPr>
            <w:r>
              <w:rPr>
                <w:rFonts w:hint="eastAsia" w:cs="Times New Roman"/>
                <w:color w:val="auto"/>
                <w:spacing w:val="-3"/>
                <w:sz w:val="21"/>
                <w:szCs w:val="21"/>
              </w:rPr>
              <w:t>止回阀的结构应符合 CJ/T282-200“蝶形缓闭止回阀”标准，端面法兰按 GB/T17241 PN10（Bar 的规定，结构长度按 GB/T12221-2005 的规定。</w:t>
            </w:r>
          </w:p>
          <w:p>
            <w:pPr>
              <w:pStyle w:val="29"/>
              <w:ind w:firstLine="414"/>
              <w:rPr>
                <w:rFonts w:cs="Times New Roman"/>
                <w:color w:val="auto"/>
                <w:spacing w:val="-3"/>
                <w:sz w:val="21"/>
                <w:szCs w:val="21"/>
              </w:rPr>
            </w:pPr>
            <w:r>
              <w:rPr>
                <w:rFonts w:hint="eastAsia" w:cs="Times New Roman"/>
                <w:color w:val="auto"/>
                <w:spacing w:val="-3"/>
                <w:sz w:val="21"/>
                <w:szCs w:val="21"/>
              </w:rPr>
              <w:t>阀轴采用整体轴，也可采用两个分开的“短轴”式，嵌入轴孔的长度不小于轴径的 1.5 倍， 阀轴与阀板的连接强度应保证阀轴能传递最大扭矩。</w:t>
            </w:r>
          </w:p>
          <w:p>
            <w:pPr>
              <w:pStyle w:val="29"/>
              <w:ind w:firstLine="414"/>
              <w:rPr>
                <w:rFonts w:cs="Times New Roman"/>
                <w:color w:val="auto"/>
                <w:spacing w:val="-3"/>
                <w:sz w:val="21"/>
                <w:szCs w:val="21"/>
              </w:rPr>
            </w:pPr>
            <w:r>
              <w:rPr>
                <w:rFonts w:hint="eastAsia" w:cs="Times New Roman"/>
                <w:color w:val="auto"/>
                <w:spacing w:val="-3"/>
                <w:sz w:val="21"/>
                <w:szCs w:val="21"/>
              </w:rPr>
              <w:t>阀轴的轴套应使用不需要任何外加润滑的自润滑轴承。 阀板的金属密封座为斜置方式，由不锈钢螺母和螺钉紧固在阀板上，阀体密封座可采用铸造</w:t>
            </w:r>
          </w:p>
          <w:p>
            <w:pPr>
              <w:pStyle w:val="29"/>
              <w:ind w:firstLine="414"/>
              <w:rPr>
                <w:rFonts w:cs="Times New Roman"/>
                <w:color w:val="auto"/>
                <w:spacing w:val="-3"/>
                <w:sz w:val="21"/>
                <w:szCs w:val="21"/>
              </w:rPr>
            </w:pPr>
            <w:r>
              <w:rPr>
                <w:rFonts w:hint="eastAsia" w:cs="Times New Roman"/>
                <w:color w:val="auto"/>
                <w:spacing w:val="-3"/>
                <w:sz w:val="21"/>
                <w:szCs w:val="21"/>
              </w:rPr>
              <w:t>不锈钢或堆焊的形式与阀体连成一体，阀板密封座与阀体密封座二者需有硬度差。 阀板必须具有足够的强度和刚度。</w:t>
            </w:r>
          </w:p>
          <w:p>
            <w:pPr>
              <w:pStyle w:val="29"/>
              <w:ind w:firstLine="414"/>
              <w:rPr>
                <w:rFonts w:cs="Times New Roman"/>
                <w:color w:val="auto"/>
                <w:spacing w:val="-3"/>
                <w:sz w:val="21"/>
                <w:szCs w:val="21"/>
              </w:rPr>
            </w:pPr>
            <w:r>
              <w:rPr>
                <w:rFonts w:hint="eastAsia" w:cs="Times New Roman"/>
                <w:color w:val="auto"/>
                <w:spacing w:val="-3"/>
                <w:sz w:val="21"/>
                <w:szCs w:val="21"/>
              </w:rPr>
              <w:t>轴伸出穿过阀体外，应提供轴密封装置，密封装置采用 O 型或 V 密封橡胶密封圈，且不少于 2道</w:t>
            </w:r>
            <w:r>
              <w:rPr>
                <w:rFonts w:cs="Times New Roman"/>
                <w:color w:val="auto"/>
                <w:spacing w:val="-3"/>
                <w:sz w:val="21"/>
                <w:szCs w:val="21"/>
              </w:rPr>
              <w:t>。</w:t>
            </w:r>
          </w:p>
          <w:p>
            <w:pPr>
              <w:pStyle w:val="29"/>
              <w:ind w:firstLine="412"/>
              <w:rPr>
                <w:rFonts w:cs="Times New Roman"/>
                <w:color w:val="auto"/>
                <w:sz w:val="21"/>
                <w:szCs w:val="21"/>
              </w:rPr>
            </w:pPr>
            <w:r>
              <w:rPr>
                <w:rFonts w:hint="eastAsia" w:cs="Times New Roman"/>
                <w:color w:val="auto"/>
                <w:sz w:val="21"/>
                <w:szCs w:val="21"/>
              </w:rPr>
              <w:t>2.3、主要材料：</w:t>
            </w:r>
          </w:p>
          <w:p>
            <w:pPr>
              <w:pStyle w:val="29"/>
              <w:ind w:firstLine="412"/>
              <w:rPr>
                <w:rFonts w:cs="Times New Roman"/>
                <w:color w:val="auto"/>
                <w:sz w:val="21"/>
                <w:szCs w:val="21"/>
              </w:rPr>
            </w:pPr>
            <w:r>
              <w:rPr>
                <w:rFonts w:hint="eastAsia" w:cs="Times New Roman"/>
                <w:color w:val="auto"/>
                <w:sz w:val="21"/>
                <w:szCs w:val="21"/>
              </w:rPr>
              <w:t>阀体 QT450-10 蝶板 QT450-10</w:t>
            </w:r>
          </w:p>
          <w:p>
            <w:pPr>
              <w:pStyle w:val="29"/>
              <w:ind w:firstLine="412"/>
              <w:rPr>
                <w:rFonts w:cs="Times New Roman"/>
                <w:color w:val="auto"/>
                <w:sz w:val="21"/>
                <w:szCs w:val="21"/>
              </w:rPr>
            </w:pPr>
            <w:r>
              <w:rPr>
                <w:rFonts w:hint="eastAsia" w:cs="Times New Roman"/>
                <w:color w:val="auto"/>
                <w:sz w:val="21"/>
                <w:szCs w:val="21"/>
              </w:rPr>
              <w:t>阀轴 2Cr13</w:t>
            </w:r>
          </w:p>
          <w:p>
            <w:pPr>
              <w:pStyle w:val="29"/>
              <w:ind w:firstLine="412"/>
              <w:rPr>
                <w:rFonts w:cs="Times New Roman"/>
                <w:color w:val="auto"/>
                <w:sz w:val="21"/>
                <w:szCs w:val="21"/>
              </w:rPr>
            </w:pPr>
            <w:r>
              <w:rPr>
                <w:rFonts w:hint="eastAsia" w:cs="Times New Roman"/>
                <w:color w:val="auto"/>
                <w:sz w:val="21"/>
                <w:szCs w:val="21"/>
              </w:rPr>
              <w:t>紧固件 06Cr17Ni12Mo2 阀座 06Cr17Ni12Mo2 密封圈 NBR</w:t>
            </w:r>
          </w:p>
          <w:p>
            <w:pPr>
              <w:pStyle w:val="29"/>
              <w:ind w:firstLine="412"/>
              <w:rPr>
                <w:rFonts w:cs="Times New Roman"/>
                <w:color w:val="auto"/>
                <w:sz w:val="21"/>
                <w:szCs w:val="21"/>
              </w:rPr>
            </w:pPr>
            <w:r>
              <w:rPr>
                <w:rFonts w:hint="eastAsia" w:cs="Times New Roman"/>
                <w:color w:val="auto"/>
                <w:sz w:val="21"/>
                <w:szCs w:val="21"/>
              </w:rPr>
              <w:t>轴承 ZCuAl10Fe3</w:t>
            </w:r>
          </w:p>
          <w:p>
            <w:pPr>
              <w:pStyle w:val="29"/>
              <w:ind w:firstLine="412"/>
              <w:rPr>
                <w:rFonts w:cs="Times New Roman"/>
                <w:color w:val="auto"/>
                <w:sz w:val="21"/>
                <w:szCs w:val="21"/>
              </w:rPr>
            </w:pPr>
            <w:r>
              <w:rPr>
                <w:rFonts w:hint="eastAsia" w:cs="Times New Roman"/>
                <w:color w:val="auto"/>
                <w:sz w:val="21"/>
                <w:szCs w:val="21"/>
              </w:rPr>
              <w:t>3、电动蝶阀</w:t>
            </w:r>
          </w:p>
          <w:p>
            <w:pPr>
              <w:pStyle w:val="29"/>
              <w:ind w:firstLine="412"/>
              <w:rPr>
                <w:rFonts w:cs="Times New Roman"/>
                <w:color w:val="auto"/>
                <w:sz w:val="21"/>
                <w:szCs w:val="21"/>
              </w:rPr>
            </w:pPr>
            <w:r>
              <w:rPr>
                <w:rFonts w:cs="Times New Roman"/>
                <w:color w:val="auto"/>
                <w:sz w:val="21"/>
                <w:szCs w:val="21"/>
              </w:rPr>
              <w:t>3</w:t>
            </w:r>
            <w:r>
              <w:rPr>
                <w:rFonts w:hint="eastAsia" w:cs="Times New Roman"/>
                <w:color w:val="auto"/>
                <w:sz w:val="21"/>
                <w:szCs w:val="21"/>
              </w:rPr>
              <w:t>.1 设计要求</w:t>
            </w:r>
          </w:p>
          <w:p>
            <w:pPr>
              <w:pStyle w:val="29"/>
              <w:ind w:firstLine="412"/>
              <w:rPr>
                <w:rFonts w:cs="Times New Roman"/>
                <w:color w:val="auto"/>
                <w:sz w:val="21"/>
                <w:szCs w:val="21"/>
              </w:rPr>
            </w:pPr>
            <w:r>
              <w:rPr>
                <w:rFonts w:hint="eastAsia" w:cs="Times New Roman"/>
                <w:color w:val="auto"/>
                <w:sz w:val="21"/>
                <w:szCs w:val="21"/>
              </w:rPr>
              <w:t>蝶阀应采用双（三）偏心式金属密封蝶阀，阀门全开或全关所需的时间应小于 2 分钟。</w:t>
            </w:r>
          </w:p>
          <w:p>
            <w:pPr>
              <w:pStyle w:val="29"/>
              <w:ind w:firstLine="412"/>
              <w:rPr>
                <w:rFonts w:cs="Times New Roman"/>
                <w:color w:val="auto"/>
                <w:sz w:val="21"/>
                <w:szCs w:val="21"/>
              </w:rPr>
            </w:pPr>
            <w:r>
              <w:rPr>
                <w:rFonts w:cs="Times New Roman"/>
                <w:color w:val="auto"/>
                <w:sz w:val="21"/>
                <w:szCs w:val="21"/>
              </w:rPr>
              <w:t>3</w:t>
            </w:r>
            <w:r>
              <w:rPr>
                <w:rFonts w:hint="eastAsia" w:cs="Times New Roman"/>
                <w:color w:val="auto"/>
                <w:sz w:val="21"/>
                <w:szCs w:val="21"/>
              </w:rPr>
              <w:t>.2 结构和材料</w:t>
            </w:r>
          </w:p>
          <w:p>
            <w:pPr>
              <w:pStyle w:val="29"/>
              <w:ind w:firstLine="412"/>
              <w:rPr>
                <w:rFonts w:cs="Times New Roman"/>
                <w:color w:val="auto"/>
                <w:sz w:val="21"/>
                <w:szCs w:val="21"/>
              </w:rPr>
            </w:pPr>
            <w:r>
              <w:rPr>
                <w:rFonts w:hint="eastAsia" w:cs="Times New Roman"/>
                <w:color w:val="auto"/>
                <w:sz w:val="21"/>
                <w:szCs w:val="21"/>
              </w:rPr>
              <w:t>法兰应符合 ISO PN10（Bar）标准，法兰到法兰的尺寸应符合 ISO 或 GB 标准。 阀门的轴应由 1Cr17Ni2 不锈钢或更好材料制作，阀轴采用整体轴，也可采用两个分开的</w:t>
            </w:r>
          </w:p>
          <w:p>
            <w:pPr>
              <w:pStyle w:val="29"/>
              <w:ind w:firstLine="412"/>
              <w:rPr>
                <w:rFonts w:cs="Times New Roman"/>
                <w:color w:val="auto"/>
                <w:sz w:val="21"/>
                <w:szCs w:val="21"/>
              </w:rPr>
            </w:pPr>
            <w:r>
              <w:rPr>
                <w:rFonts w:hint="eastAsia" w:cs="Times New Roman"/>
                <w:color w:val="auto"/>
                <w:sz w:val="21"/>
                <w:szCs w:val="21"/>
              </w:rPr>
              <w:t>“短轴”式，嵌入轴孔的长度不小于轴径的 1.5 倍，阀轴与阀板的连接强度应保证阀轴能传 递最大扭矩。</w:t>
            </w:r>
          </w:p>
          <w:p>
            <w:pPr>
              <w:pStyle w:val="29"/>
              <w:ind w:firstLine="412"/>
              <w:rPr>
                <w:rFonts w:cs="Times New Roman"/>
                <w:color w:val="auto"/>
                <w:sz w:val="21"/>
                <w:szCs w:val="21"/>
              </w:rPr>
            </w:pPr>
            <w:r>
              <w:rPr>
                <w:rFonts w:hint="eastAsia" w:cs="Times New Roman"/>
                <w:color w:val="auto"/>
                <w:sz w:val="21"/>
                <w:szCs w:val="21"/>
              </w:rPr>
              <w:t>阀轴的轴套应使用不需要任何外加润滑的自润滑轴承。 阀板的金属密封座为不锈钢复合体，由不锈钢螺母和螺钉紧固在阀板上，阀体密封座可</w:t>
            </w:r>
          </w:p>
          <w:p>
            <w:pPr>
              <w:pStyle w:val="29"/>
              <w:ind w:firstLine="412"/>
              <w:rPr>
                <w:rFonts w:cs="Times New Roman"/>
                <w:color w:val="auto"/>
                <w:sz w:val="21"/>
                <w:szCs w:val="21"/>
              </w:rPr>
            </w:pPr>
            <w:r>
              <w:rPr>
                <w:rFonts w:hint="eastAsia" w:cs="Times New Roman"/>
                <w:color w:val="auto"/>
                <w:sz w:val="21"/>
                <w:szCs w:val="21"/>
              </w:rPr>
              <w:t>采用铸造不锈钢或堆焊的形式与阀体连成一体，阀板密封座与阀体密封座二者需有硬度差 阀板采用球墨铸铁制造，必须具有足够的强度和刚度。 轴伸出穿过阀体外，应提供轴密封装置，密封装置最好设计成标准 O 型密封，O 型环密</w:t>
            </w:r>
          </w:p>
          <w:p>
            <w:pPr>
              <w:pStyle w:val="29"/>
              <w:ind w:firstLine="412"/>
              <w:rPr>
                <w:rFonts w:cs="Times New Roman"/>
                <w:color w:val="auto"/>
                <w:sz w:val="21"/>
                <w:szCs w:val="21"/>
              </w:rPr>
            </w:pPr>
            <w:r>
              <w:rPr>
                <w:rFonts w:hint="eastAsia" w:cs="Times New Roman"/>
                <w:color w:val="auto"/>
                <w:sz w:val="21"/>
                <w:szCs w:val="21"/>
              </w:rPr>
              <w:t>封应装在一个防腐的可移动凹槽内。 1.3 蝶阀的电动装置</w:t>
            </w:r>
          </w:p>
          <w:p>
            <w:pPr>
              <w:pStyle w:val="29"/>
              <w:ind w:firstLine="412"/>
              <w:rPr>
                <w:rFonts w:cs="Times New Roman"/>
                <w:color w:val="auto"/>
                <w:sz w:val="21"/>
                <w:szCs w:val="21"/>
              </w:rPr>
            </w:pPr>
            <w:r>
              <w:rPr>
                <w:rFonts w:hint="eastAsia" w:cs="Times New Roman"/>
                <w:color w:val="auto"/>
                <w:sz w:val="21"/>
                <w:szCs w:val="21"/>
              </w:rPr>
              <w:t>电动装置应是户外式防水型的（IP55），电动装置的尺寸应满足当阀二边的压差为 0.6MPa 时，足以阀门的启闭操作。阀用电动装置为卧式安装。</w:t>
            </w:r>
          </w:p>
          <w:p>
            <w:pPr>
              <w:pStyle w:val="29"/>
              <w:ind w:firstLine="412"/>
              <w:rPr>
                <w:rFonts w:cs="Times New Roman"/>
                <w:color w:val="auto"/>
                <w:sz w:val="21"/>
                <w:szCs w:val="21"/>
              </w:rPr>
            </w:pPr>
            <w:r>
              <w:rPr>
                <w:rFonts w:hint="eastAsia" w:cs="Times New Roman"/>
                <w:color w:val="auto"/>
                <w:sz w:val="21"/>
                <w:szCs w:val="21"/>
              </w:rPr>
              <w:t>电动装置的齿轮设计应符合 ISO、DIN 或等同标准，服务系数不小于 2.0，齿轮材料为低 合金钢，渗碳谇火处理，齿面硬度不低于 HRC58。轴承寿命（B10）大于 10 万小时，适宜于 现场供电操作和远程控制，当电压降至正常电压的 90%时，仍能保持满意的操作。</w:t>
            </w:r>
          </w:p>
          <w:p>
            <w:pPr>
              <w:pStyle w:val="29"/>
              <w:ind w:firstLine="412"/>
              <w:rPr>
                <w:rFonts w:cs="Times New Roman"/>
                <w:color w:val="auto"/>
                <w:sz w:val="21"/>
                <w:szCs w:val="21"/>
              </w:rPr>
            </w:pPr>
            <w:r>
              <w:rPr>
                <w:rFonts w:hint="eastAsia" w:cs="Times New Roman"/>
                <w:color w:val="auto"/>
                <w:sz w:val="21"/>
                <w:szCs w:val="21"/>
              </w:rPr>
              <w:t>电动机应符合“电气条款”的要求，电机采用 F 级绝缘，额定时间为 15 分钟或成二倍的 阀的行程时间，二者取大值。</w:t>
            </w:r>
          </w:p>
          <w:p>
            <w:pPr>
              <w:pStyle w:val="29"/>
              <w:ind w:firstLine="412"/>
              <w:rPr>
                <w:rFonts w:cs="Times New Roman"/>
                <w:color w:val="auto"/>
                <w:sz w:val="21"/>
                <w:szCs w:val="21"/>
              </w:rPr>
            </w:pPr>
            <w:r>
              <w:rPr>
                <w:rFonts w:hint="eastAsia" w:cs="Times New Roman"/>
                <w:color w:val="auto"/>
                <w:sz w:val="21"/>
                <w:szCs w:val="21"/>
              </w:rPr>
              <w:t>应设置手轮操作机构，手动操作时，手轮启闭力（“推拉”力）应不大于 150N（总共 300N 应设置刻度盘来指示阀门的开度，并安装过力矩保护装置及限位开关。</w:t>
            </w:r>
          </w:p>
          <w:p>
            <w:pPr>
              <w:pStyle w:val="29"/>
              <w:ind w:firstLine="412"/>
              <w:rPr>
                <w:rFonts w:cs="Times New Roman"/>
                <w:color w:val="auto"/>
                <w:sz w:val="21"/>
                <w:szCs w:val="21"/>
              </w:rPr>
            </w:pPr>
            <w:r>
              <w:rPr>
                <w:rFonts w:hint="eastAsia" w:cs="Times New Roman"/>
                <w:color w:val="auto"/>
                <w:sz w:val="21"/>
                <w:szCs w:val="21"/>
              </w:rPr>
              <w:t>电动执行机构应具有无错定位，与中央控制室数字通讯，可接受计算机进行现场数据处 理和自动设定功能等智能性。</w:t>
            </w:r>
          </w:p>
        </w:tc>
      </w:tr>
    </w:tbl>
    <w:p>
      <w:pPr>
        <w:pStyle w:val="29"/>
        <w:ind w:firstLine="472"/>
        <w:rPr>
          <w:color w:val="auto"/>
        </w:rPr>
      </w:pPr>
    </w:p>
    <w:p>
      <w:pPr>
        <w:pStyle w:val="31"/>
        <w:rPr>
          <w:color w:val="auto"/>
        </w:rPr>
      </w:pPr>
      <w:r>
        <w:rPr>
          <w:rFonts w:hint="eastAsia"/>
          <w:color w:val="auto"/>
        </w:rPr>
        <w:t>电动单梁悬挂起重机</w:t>
      </w:r>
    </w:p>
    <w:tbl>
      <w:tblPr>
        <w:tblStyle w:val="2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410"/>
        <w:gridCol w:w="2551"/>
        <w:gridCol w:w="709"/>
        <w:gridCol w:w="127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 w:hRule="atLeast"/>
        </w:trPr>
        <w:tc>
          <w:tcPr>
            <w:tcW w:w="709" w:type="dxa"/>
            <w:vAlign w:val="center"/>
          </w:tcPr>
          <w:p>
            <w:pPr>
              <w:pStyle w:val="29"/>
              <w:ind w:firstLine="0" w:firstLineChars="0"/>
              <w:jc w:val="center"/>
              <w:rPr>
                <w:b/>
                <w:color w:val="auto"/>
                <w:sz w:val="21"/>
                <w:szCs w:val="20"/>
              </w:rPr>
            </w:pPr>
            <w:r>
              <w:rPr>
                <w:rFonts w:hint="eastAsia"/>
                <w:b/>
                <w:color w:val="auto"/>
                <w:sz w:val="21"/>
                <w:szCs w:val="20"/>
              </w:rPr>
              <w:t>序号</w:t>
            </w:r>
          </w:p>
        </w:tc>
        <w:tc>
          <w:tcPr>
            <w:tcW w:w="2410" w:type="dxa"/>
            <w:vAlign w:val="center"/>
          </w:tcPr>
          <w:p>
            <w:pPr>
              <w:pStyle w:val="29"/>
              <w:ind w:firstLine="0" w:firstLineChars="0"/>
              <w:jc w:val="center"/>
              <w:rPr>
                <w:b/>
                <w:color w:val="auto"/>
                <w:sz w:val="21"/>
                <w:szCs w:val="20"/>
              </w:rPr>
            </w:pPr>
            <w:r>
              <w:rPr>
                <w:rFonts w:hint="eastAsia"/>
                <w:b/>
                <w:color w:val="auto"/>
                <w:sz w:val="21"/>
                <w:szCs w:val="20"/>
              </w:rPr>
              <w:t>名称</w:t>
            </w:r>
          </w:p>
        </w:tc>
        <w:tc>
          <w:tcPr>
            <w:tcW w:w="2551" w:type="dxa"/>
            <w:vAlign w:val="center"/>
          </w:tcPr>
          <w:p>
            <w:pPr>
              <w:pStyle w:val="29"/>
              <w:ind w:firstLine="0" w:firstLineChars="0"/>
              <w:jc w:val="center"/>
              <w:rPr>
                <w:b/>
                <w:color w:val="auto"/>
                <w:sz w:val="21"/>
                <w:szCs w:val="20"/>
              </w:rPr>
            </w:pPr>
            <w:r>
              <w:rPr>
                <w:rFonts w:hint="eastAsia"/>
                <w:b/>
                <w:color w:val="auto"/>
                <w:sz w:val="21"/>
                <w:szCs w:val="20"/>
              </w:rPr>
              <w:t>规格</w:t>
            </w:r>
          </w:p>
        </w:tc>
        <w:tc>
          <w:tcPr>
            <w:tcW w:w="709" w:type="dxa"/>
            <w:vAlign w:val="center"/>
          </w:tcPr>
          <w:p>
            <w:pPr>
              <w:pStyle w:val="29"/>
              <w:ind w:firstLine="0" w:firstLineChars="0"/>
              <w:jc w:val="center"/>
              <w:rPr>
                <w:b/>
                <w:color w:val="auto"/>
                <w:sz w:val="21"/>
                <w:szCs w:val="20"/>
              </w:rPr>
            </w:pPr>
            <w:r>
              <w:rPr>
                <w:rFonts w:hint="eastAsia"/>
                <w:b/>
                <w:color w:val="auto"/>
                <w:sz w:val="21"/>
                <w:szCs w:val="20"/>
              </w:rPr>
              <w:t>数量</w:t>
            </w:r>
          </w:p>
        </w:tc>
        <w:tc>
          <w:tcPr>
            <w:tcW w:w="1276" w:type="dxa"/>
            <w:vAlign w:val="center"/>
          </w:tcPr>
          <w:p>
            <w:pPr>
              <w:pStyle w:val="29"/>
              <w:ind w:firstLine="0" w:firstLineChars="0"/>
              <w:jc w:val="center"/>
              <w:rPr>
                <w:b/>
                <w:color w:val="auto"/>
                <w:sz w:val="21"/>
                <w:szCs w:val="20"/>
              </w:rPr>
            </w:pPr>
            <w:r>
              <w:rPr>
                <w:rFonts w:hint="eastAsia"/>
                <w:b/>
                <w:color w:val="auto"/>
                <w:sz w:val="21"/>
                <w:szCs w:val="20"/>
              </w:rPr>
              <w:t>单位</w:t>
            </w:r>
          </w:p>
        </w:tc>
        <w:tc>
          <w:tcPr>
            <w:tcW w:w="1134" w:type="dxa"/>
            <w:vAlign w:val="center"/>
          </w:tcPr>
          <w:p>
            <w:pPr>
              <w:pStyle w:val="29"/>
              <w:ind w:firstLine="0" w:firstLineChars="0"/>
              <w:jc w:val="center"/>
              <w:rPr>
                <w:b/>
                <w:color w:val="auto"/>
                <w:sz w:val="21"/>
                <w:szCs w:val="20"/>
              </w:rPr>
            </w:pPr>
            <w:r>
              <w:rPr>
                <w:rFonts w:hint="eastAsia"/>
                <w:b/>
                <w:color w:val="auto"/>
                <w:sz w:val="21"/>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09" w:type="dxa"/>
            <w:vAlign w:val="center"/>
          </w:tcPr>
          <w:p>
            <w:pPr>
              <w:pStyle w:val="29"/>
              <w:ind w:firstLine="0" w:firstLineChars="0"/>
              <w:rPr>
                <w:color w:val="auto"/>
                <w:sz w:val="21"/>
                <w:szCs w:val="20"/>
              </w:rPr>
            </w:pPr>
            <w:r>
              <w:rPr>
                <w:rFonts w:hint="eastAsia"/>
                <w:color w:val="auto"/>
                <w:sz w:val="21"/>
                <w:szCs w:val="20"/>
              </w:rPr>
              <w:t>1</w:t>
            </w:r>
          </w:p>
        </w:tc>
        <w:tc>
          <w:tcPr>
            <w:tcW w:w="2410" w:type="dxa"/>
            <w:vAlign w:val="center"/>
          </w:tcPr>
          <w:p>
            <w:pPr>
              <w:pStyle w:val="29"/>
              <w:ind w:firstLine="0" w:firstLineChars="0"/>
              <w:rPr>
                <w:color w:val="auto"/>
                <w:sz w:val="21"/>
                <w:szCs w:val="20"/>
              </w:rPr>
            </w:pPr>
            <w:r>
              <w:rPr>
                <w:rFonts w:hint="eastAsia"/>
                <w:color w:val="auto"/>
                <w:sz w:val="21"/>
                <w:szCs w:val="20"/>
              </w:rPr>
              <w:t>电动单梁悬挂起重机</w:t>
            </w:r>
          </w:p>
        </w:tc>
        <w:tc>
          <w:tcPr>
            <w:tcW w:w="2551" w:type="dxa"/>
            <w:vAlign w:val="center"/>
          </w:tcPr>
          <w:p>
            <w:pPr>
              <w:pStyle w:val="29"/>
              <w:ind w:firstLine="0" w:firstLineChars="0"/>
              <w:rPr>
                <w:color w:val="auto"/>
                <w:sz w:val="21"/>
                <w:szCs w:val="20"/>
              </w:rPr>
            </w:pPr>
            <w:r>
              <w:rPr>
                <w:rFonts w:hint="eastAsia"/>
                <w:color w:val="auto"/>
                <w:sz w:val="21"/>
                <w:szCs w:val="20"/>
              </w:rPr>
              <w:t>W=5T，S=5.7m，H=12m，P=7.5+2x0.4kw</w:t>
            </w:r>
          </w:p>
        </w:tc>
        <w:tc>
          <w:tcPr>
            <w:tcW w:w="709" w:type="dxa"/>
            <w:vAlign w:val="center"/>
          </w:tcPr>
          <w:p>
            <w:pPr>
              <w:pStyle w:val="29"/>
              <w:ind w:firstLine="0" w:firstLineChars="0"/>
              <w:jc w:val="center"/>
              <w:rPr>
                <w:color w:val="auto"/>
                <w:sz w:val="21"/>
                <w:szCs w:val="20"/>
              </w:rPr>
            </w:pPr>
            <w:r>
              <w:rPr>
                <w:color w:val="auto"/>
                <w:sz w:val="21"/>
                <w:szCs w:val="20"/>
              </w:rPr>
              <w:t>1</w:t>
            </w:r>
          </w:p>
        </w:tc>
        <w:tc>
          <w:tcPr>
            <w:tcW w:w="1276" w:type="dxa"/>
            <w:vAlign w:val="center"/>
          </w:tcPr>
          <w:p>
            <w:pPr>
              <w:pStyle w:val="29"/>
              <w:ind w:firstLine="0" w:firstLineChars="0"/>
              <w:jc w:val="center"/>
              <w:rPr>
                <w:color w:val="auto"/>
                <w:sz w:val="21"/>
                <w:szCs w:val="20"/>
              </w:rPr>
            </w:pPr>
            <w:r>
              <w:rPr>
                <w:rFonts w:hint="eastAsia"/>
                <w:color w:val="auto"/>
                <w:sz w:val="21"/>
                <w:szCs w:val="20"/>
              </w:rPr>
              <w:t>台</w:t>
            </w:r>
          </w:p>
        </w:tc>
        <w:tc>
          <w:tcPr>
            <w:tcW w:w="1134" w:type="dxa"/>
            <w:vAlign w:val="center"/>
          </w:tcPr>
          <w:p>
            <w:pPr>
              <w:pStyle w:val="29"/>
              <w:ind w:firstLine="0" w:firstLineChars="0"/>
              <w:jc w:val="center"/>
              <w:rPr>
                <w:color w:val="auto"/>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789" w:type="dxa"/>
            <w:gridSpan w:val="6"/>
            <w:vAlign w:val="center"/>
          </w:tcPr>
          <w:p>
            <w:pPr>
              <w:pStyle w:val="29"/>
              <w:ind w:firstLine="0" w:firstLineChars="0"/>
              <w:rPr>
                <w:color w:val="auto"/>
                <w:sz w:val="21"/>
                <w:szCs w:val="20"/>
              </w:rPr>
            </w:pPr>
            <w:r>
              <w:rPr>
                <w:rFonts w:hint="eastAsia"/>
                <w:color w:val="auto"/>
                <w:sz w:val="21"/>
                <w:szCs w:val="20"/>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789" w:type="dxa"/>
            <w:gridSpan w:val="6"/>
            <w:vAlign w:val="center"/>
          </w:tcPr>
          <w:p>
            <w:pPr>
              <w:pStyle w:val="29"/>
              <w:ind w:firstLine="412"/>
              <w:rPr>
                <w:color w:val="auto"/>
                <w:sz w:val="21"/>
                <w:szCs w:val="20"/>
              </w:rPr>
            </w:pPr>
            <w:r>
              <w:rPr>
                <w:rFonts w:hint="eastAsia"/>
                <w:color w:val="auto"/>
                <w:sz w:val="21"/>
                <w:szCs w:val="20"/>
              </w:rPr>
              <w:t>a.采用双边驱动，电动葫芦在主梁下翼缘运行的形式</w:t>
            </w:r>
          </w:p>
          <w:p>
            <w:pPr>
              <w:pStyle w:val="29"/>
              <w:ind w:firstLine="412"/>
              <w:rPr>
                <w:color w:val="auto"/>
                <w:sz w:val="21"/>
                <w:szCs w:val="20"/>
              </w:rPr>
            </w:pPr>
            <w:r>
              <w:rPr>
                <w:rFonts w:hint="eastAsia"/>
                <w:color w:val="auto"/>
                <w:sz w:val="21"/>
                <w:szCs w:val="20"/>
              </w:rPr>
              <w:t>b.桥架形式</w:t>
            </w:r>
            <w:r>
              <w:rPr>
                <w:rFonts w:hint="eastAsia"/>
                <w:color w:val="auto"/>
                <w:sz w:val="21"/>
                <w:szCs w:val="20"/>
              </w:rPr>
              <w:tab/>
            </w:r>
            <w:r>
              <w:rPr>
                <w:rFonts w:hint="eastAsia"/>
                <w:color w:val="auto"/>
                <w:sz w:val="21"/>
                <w:szCs w:val="20"/>
              </w:rPr>
              <w:tab/>
            </w:r>
            <w:r>
              <w:rPr>
                <w:rFonts w:hint="eastAsia"/>
                <w:color w:val="auto"/>
                <w:sz w:val="21"/>
                <w:szCs w:val="20"/>
              </w:rPr>
              <w:tab/>
            </w:r>
            <w:r>
              <w:rPr>
                <w:rFonts w:hint="eastAsia"/>
                <w:color w:val="auto"/>
                <w:sz w:val="21"/>
                <w:szCs w:val="20"/>
              </w:rPr>
              <w:tab/>
            </w:r>
            <w:r>
              <w:rPr>
                <w:rFonts w:hint="eastAsia"/>
                <w:color w:val="auto"/>
                <w:sz w:val="21"/>
                <w:szCs w:val="20"/>
              </w:rPr>
              <w:tab/>
            </w:r>
            <w:r>
              <w:rPr>
                <w:rFonts w:hint="eastAsia"/>
                <w:color w:val="auto"/>
                <w:sz w:val="21"/>
                <w:szCs w:val="20"/>
              </w:rPr>
              <w:t>悬挂式、单梁、双端悬臂</w:t>
            </w:r>
          </w:p>
          <w:p>
            <w:pPr>
              <w:pStyle w:val="29"/>
              <w:ind w:firstLine="412"/>
              <w:rPr>
                <w:color w:val="auto"/>
                <w:sz w:val="21"/>
                <w:szCs w:val="20"/>
              </w:rPr>
            </w:pPr>
            <w:r>
              <w:rPr>
                <w:rFonts w:hint="eastAsia"/>
                <w:color w:val="auto"/>
                <w:sz w:val="21"/>
                <w:szCs w:val="20"/>
              </w:rPr>
              <w:t>c.电动葫芦运行速度</w:t>
            </w:r>
            <w:r>
              <w:rPr>
                <w:rFonts w:hint="eastAsia"/>
                <w:color w:val="auto"/>
                <w:sz w:val="21"/>
                <w:szCs w:val="20"/>
              </w:rPr>
              <w:tab/>
            </w:r>
            <w:r>
              <w:rPr>
                <w:rFonts w:hint="eastAsia"/>
                <w:color w:val="auto"/>
                <w:sz w:val="21"/>
                <w:szCs w:val="20"/>
              </w:rPr>
              <w:tab/>
            </w:r>
            <w:r>
              <w:rPr>
                <w:rFonts w:hint="eastAsia"/>
                <w:color w:val="auto"/>
                <w:sz w:val="21"/>
                <w:szCs w:val="20"/>
              </w:rPr>
              <w:t>20m/min</w:t>
            </w:r>
          </w:p>
          <w:p>
            <w:pPr>
              <w:pStyle w:val="29"/>
              <w:ind w:firstLine="412"/>
              <w:rPr>
                <w:color w:val="auto"/>
                <w:sz w:val="21"/>
                <w:szCs w:val="20"/>
              </w:rPr>
            </w:pPr>
            <w:r>
              <w:rPr>
                <w:rFonts w:hint="eastAsia"/>
                <w:color w:val="auto"/>
                <w:sz w:val="21"/>
                <w:szCs w:val="20"/>
              </w:rPr>
              <w:t>电动葫芦起升速度</w:t>
            </w:r>
            <w:r>
              <w:rPr>
                <w:rFonts w:hint="eastAsia"/>
                <w:color w:val="auto"/>
                <w:sz w:val="21"/>
                <w:szCs w:val="20"/>
              </w:rPr>
              <w:tab/>
            </w:r>
            <w:r>
              <w:rPr>
                <w:rFonts w:hint="eastAsia"/>
                <w:color w:val="auto"/>
                <w:sz w:val="21"/>
                <w:szCs w:val="20"/>
              </w:rPr>
              <w:tab/>
            </w:r>
            <w:r>
              <w:rPr>
                <w:rFonts w:hint="eastAsia"/>
                <w:color w:val="auto"/>
                <w:sz w:val="21"/>
                <w:szCs w:val="20"/>
              </w:rPr>
              <w:tab/>
            </w:r>
            <w:r>
              <w:rPr>
                <w:rFonts w:hint="eastAsia"/>
                <w:color w:val="auto"/>
                <w:sz w:val="21"/>
                <w:szCs w:val="20"/>
              </w:rPr>
              <w:t>8m/min/0.8m/min</w:t>
            </w:r>
          </w:p>
          <w:p>
            <w:pPr>
              <w:pStyle w:val="29"/>
              <w:ind w:firstLine="412"/>
              <w:rPr>
                <w:color w:val="auto"/>
                <w:sz w:val="21"/>
                <w:szCs w:val="20"/>
              </w:rPr>
            </w:pPr>
            <w:r>
              <w:rPr>
                <w:rFonts w:hint="eastAsia"/>
                <w:color w:val="auto"/>
                <w:sz w:val="21"/>
                <w:szCs w:val="20"/>
              </w:rPr>
              <w:t>d.起重机运行速度</w:t>
            </w:r>
            <w:r>
              <w:rPr>
                <w:rFonts w:hint="eastAsia"/>
                <w:color w:val="auto"/>
                <w:sz w:val="21"/>
                <w:szCs w:val="20"/>
              </w:rPr>
              <w:tab/>
            </w:r>
            <w:r>
              <w:rPr>
                <w:rFonts w:hint="eastAsia"/>
                <w:color w:val="auto"/>
                <w:sz w:val="21"/>
                <w:szCs w:val="20"/>
              </w:rPr>
              <w:tab/>
            </w:r>
            <w:r>
              <w:rPr>
                <w:rFonts w:hint="eastAsia"/>
                <w:color w:val="auto"/>
                <w:sz w:val="21"/>
                <w:szCs w:val="20"/>
              </w:rPr>
              <w:tab/>
            </w:r>
            <w:r>
              <w:rPr>
                <w:rFonts w:hint="eastAsia"/>
                <w:color w:val="auto"/>
                <w:sz w:val="21"/>
                <w:szCs w:val="20"/>
              </w:rPr>
              <w:t>20m/min</w:t>
            </w:r>
          </w:p>
          <w:p>
            <w:pPr>
              <w:pStyle w:val="29"/>
              <w:ind w:firstLine="412"/>
              <w:rPr>
                <w:color w:val="auto"/>
                <w:sz w:val="21"/>
                <w:szCs w:val="20"/>
              </w:rPr>
            </w:pPr>
            <w:r>
              <w:rPr>
                <w:rFonts w:hint="eastAsia"/>
                <w:color w:val="auto"/>
                <w:sz w:val="21"/>
                <w:szCs w:val="20"/>
              </w:rPr>
              <w:t>e.操作方式</w:t>
            </w:r>
            <w:r>
              <w:rPr>
                <w:rFonts w:hint="eastAsia"/>
                <w:color w:val="auto"/>
                <w:sz w:val="21"/>
                <w:szCs w:val="20"/>
              </w:rPr>
              <w:tab/>
            </w:r>
            <w:r>
              <w:rPr>
                <w:rFonts w:hint="eastAsia"/>
                <w:color w:val="auto"/>
                <w:sz w:val="21"/>
                <w:szCs w:val="20"/>
              </w:rPr>
              <w:tab/>
            </w:r>
            <w:r>
              <w:rPr>
                <w:rFonts w:hint="eastAsia"/>
                <w:color w:val="auto"/>
                <w:sz w:val="21"/>
                <w:szCs w:val="20"/>
              </w:rPr>
              <w:tab/>
            </w:r>
            <w:r>
              <w:rPr>
                <w:rFonts w:hint="eastAsia"/>
                <w:color w:val="auto"/>
                <w:sz w:val="21"/>
                <w:szCs w:val="20"/>
              </w:rPr>
              <w:tab/>
            </w:r>
            <w:r>
              <w:rPr>
                <w:rFonts w:hint="eastAsia"/>
                <w:color w:val="auto"/>
                <w:sz w:val="21"/>
                <w:szCs w:val="20"/>
              </w:rPr>
              <w:tab/>
            </w:r>
            <w:r>
              <w:rPr>
                <w:rFonts w:hint="eastAsia"/>
                <w:color w:val="auto"/>
                <w:sz w:val="21"/>
                <w:szCs w:val="20"/>
              </w:rPr>
              <w:t>地面操纵</w:t>
            </w:r>
          </w:p>
          <w:p>
            <w:pPr>
              <w:pStyle w:val="29"/>
              <w:ind w:firstLine="412"/>
              <w:rPr>
                <w:color w:val="auto"/>
                <w:sz w:val="21"/>
                <w:szCs w:val="20"/>
              </w:rPr>
            </w:pPr>
            <w:r>
              <w:rPr>
                <w:rFonts w:hint="eastAsia"/>
                <w:color w:val="auto"/>
                <w:sz w:val="21"/>
                <w:szCs w:val="20"/>
              </w:rPr>
              <w:t>f.工作级别</w:t>
            </w:r>
            <w:r>
              <w:rPr>
                <w:rFonts w:hint="eastAsia"/>
                <w:color w:val="auto"/>
                <w:sz w:val="21"/>
                <w:szCs w:val="20"/>
              </w:rPr>
              <w:tab/>
            </w:r>
            <w:r>
              <w:rPr>
                <w:rFonts w:hint="eastAsia"/>
                <w:color w:val="auto"/>
                <w:sz w:val="21"/>
                <w:szCs w:val="20"/>
              </w:rPr>
              <w:tab/>
            </w:r>
            <w:r>
              <w:rPr>
                <w:rFonts w:hint="eastAsia"/>
                <w:color w:val="auto"/>
                <w:sz w:val="21"/>
                <w:szCs w:val="20"/>
              </w:rPr>
              <w:tab/>
            </w:r>
            <w:r>
              <w:rPr>
                <w:rFonts w:hint="eastAsia"/>
                <w:color w:val="auto"/>
                <w:sz w:val="21"/>
                <w:szCs w:val="20"/>
              </w:rPr>
              <w:tab/>
            </w:r>
            <w:r>
              <w:rPr>
                <w:rFonts w:hint="eastAsia"/>
                <w:color w:val="auto"/>
                <w:sz w:val="21"/>
                <w:szCs w:val="20"/>
              </w:rPr>
              <w:tab/>
            </w:r>
            <w:r>
              <w:rPr>
                <w:rFonts w:hint="eastAsia"/>
                <w:color w:val="auto"/>
                <w:sz w:val="21"/>
                <w:szCs w:val="20"/>
              </w:rPr>
              <w:t>A3</w:t>
            </w:r>
          </w:p>
          <w:p>
            <w:pPr>
              <w:pStyle w:val="29"/>
              <w:ind w:firstLine="412"/>
              <w:rPr>
                <w:color w:val="auto"/>
                <w:sz w:val="21"/>
                <w:szCs w:val="20"/>
              </w:rPr>
            </w:pPr>
            <w:r>
              <w:rPr>
                <w:rFonts w:hint="eastAsia"/>
                <w:color w:val="auto"/>
                <w:sz w:val="21"/>
                <w:szCs w:val="20"/>
              </w:rPr>
              <w:t>g.电源</w:t>
            </w:r>
            <w:r>
              <w:rPr>
                <w:rFonts w:hint="eastAsia"/>
                <w:color w:val="auto"/>
                <w:sz w:val="21"/>
                <w:szCs w:val="20"/>
              </w:rPr>
              <w:tab/>
            </w:r>
            <w:r>
              <w:rPr>
                <w:rFonts w:hint="eastAsia"/>
                <w:color w:val="auto"/>
                <w:sz w:val="21"/>
                <w:szCs w:val="20"/>
              </w:rPr>
              <w:tab/>
            </w:r>
            <w:r>
              <w:rPr>
                <w:rFonts w:hint="eastAsia"/>
                <w:color w:val="auto"/>
                <w:sz w:val="21"/>
                <w:szCs w:val="20"/>
              </w:rPr>
              <w:tab/>
            </w:r>
            <w:r>
              <w:rPr>
                <w:rFonts w:hint="eastAsia"/>
                <w:color w:val="auto"/>
                <w:sz w:val="21"/>
                <w:szCs w:val="20"/>
              </w:rPr>
              <w:tab/>
            </w:r>
            <w:r>
              <w:rPr>
                <w:rFonts w:hint="eastAsia"/>
                <w:color w:val="auto"/>
                <w:sz w:val="21"/>
                <w:szCs w:val="20"/>
              </w:rPr>
              <w:tab/>
            </w:r>
            <w:r>
              <w:rPr>
                <w:rFonts w:hint="eastAsia"/>
                <w:color w:val="auto"/>
                <w:sz w:val="21"/>
                <w:szCs w:val="20"/>
              </w:rPr>
              <w:t>3相380V50Hz</w:t>
            </w:r>
          </w:p>
        </w:tc>
      </w:tr>
    </w:tbl>
    <w:p>
      <w:pPr>
        <w:pStyle w:val="29"/>
        <w:ind w:firstLine="472"/>
        <w:rPr>
          <w:color w:val="auto"/>
        </w:rPr>
      </w:pPr>
    </w:p>
    <w:p>
      <w:pPr>
        <w:pStyle w:val="31"/>
        <w:rPr>
          <w:color w:val="auto"/>
        </w:rPr>
      </w:pPr>
      <w:r>
        <w:rPr>
          <w:color w:val="auto"/>
        </w:rPr>
        <w:t>电动葫芦</w:t>
      </w:r>
    </w:p>
    <w:tbl>
      <w:tblPr>
        <w:tblStyle w:val="24"/>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417"/>
        <w:gridCol w:w="2835"/>
        <w:gridCol w:w="1276"/>
        <w:gridCol w:w="1134"/>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 w:hRule="atLeast"/>
        </w:trPr>
        <w:tc>
          <w:tcPr>
            <w:tcW w:w="959" w:type="dxa"/>
            <w:vAlign w:val="center"/>
          </w:tcPr>
          <w:p>
            <w:pPr>
              <w:pStyle w:val="29"/>
              <w:ind w:firstLine="0" w:firstLineChars="0"/>
              <w:jc w:val="center"/>
              <w:rPr>
                <w:b/>
                <w:color w:val="auto"/>
                <w:sz w:val="21"/>
                <w:szCs w:val="20"/>
              </w:rPr>
            </w:pPr>
            <w:r>
              <w:rPr>
                <w:rFonts w:hint="eastAsia"/>
                <w:b/>
                <w:color w:val="auto"/>
                <w:sz w:val="21"/>
                <w:szCs w:val="20"/>
              </w:rPr>
              <w:t>序号</w:t>
            </w:r>
          </w:p>
        </w:tc>
        <w:tc>
          <w:tcPr>
            <w:tcW w:w="1417" w:type="dxa"/>
            <w:vAlign w:val="center"/>
          </w:tcPr>
          <w:p>
            <w:pPr>
              <w:pStyle w:val="29"/>
              <w:ind w:firstLine="0" w:firstLineChars="0"/>
              <w:jc w:val="center"/>
              <w:rPr>
                <w:b/>
                <w:color w:val="auto"/>
                <w:sz w:val="21"/>
                <w:szCs w:val="20"/>
              </w:rPr>
            </w:pPr>
            <w:r>
              <w:rPr>
                <w:rFonts w:hint="eastAsia"/>
                <w:b/>
                <w:color w:val="auto"/>
                <w:sz w:val="21"/>
                <w:szCs w:val="20"/>
              </w:rPr>
              <w:t>名称</w:t>
            </w:r>
          </w:p>
        </w:tc>
        <w:tc>
          <w:tcPr>
            <w:tcW w:w="2835" w:type="dxa"/>
            <w:vAlign w:val="center"/>
          </w:tcPr>
          <w:p>
            <w:pPr>
              <w:pStyle w:val="29"/>
              <w:ind w:firstLine="0" w:firstLineChars="0"/>
              <w:jc w:val="center"/>
              <w:rPr>
                <w:b/>
                <w:color w:val="auto"/>
                <w:sz w:val="21"/>
                <w:szCs w:val="20"/>
              </w:rPr>
            </w:pPr>
            <w:r>
              <w:rPr>
                <w:rFonts w:hint="eastAsia"/>
                <w:b/>
                <w:color w:val="auto"/>
                <w:sz w:val="21"/>
                <w:szCs w:val="20"/>
              </w:rPr>
              <w:t>规格</w:t>
            </w:r>
          </w:p>
        </w:tc>
        <w:tc>
          <w:tcPr>
            <w:tcW w:w="1276" w:type="dxa"/>
            <w:vAlign w:val="center"/>
          </w:tcPr>
          <w:p>
            <w:pPr>
              <w:pStyle w:val="29"/>
              <w:ind w:firstLine="0" w:firstLineChars="0"/>
              <w:jc w:val="center"/>
              <w:rPr>
                <w:b/>
                <w:color w:val="auto"/>
                <w:sz w:val="21"/>
                <w:szCs w:val="20"/>
              </w:rPr>
            </w:pPr>
            <w:r>
              <w:rPr>
                <w:rFonts w:hint="eastAsia"/>
                <w:b/>
                <w:color w:val="auto"/>
                <w:sz w:val="21"/>
                <w:szCs w:val="20"/>
              </w:rPr>
              <w:t>数量</w:t>
            </w:r>
          </w:p>
        </w:tc>
        <w:tc>
          <w:tcPr>
            <w:tcW w:w="1134" w:type="dxa"/>
            <w:vAlign w:val="center"/>
          </w:tcPr>
          <w:p>
            <w:pPr>
              <w:pStyle w:val="29"/>
              <w:ind w:firstLine="0" w:firstLineChars="0"/>
              <w:jc w:val="center"/>
              <w:rPr>
                <w:b/>
                <w:color w:val="auto"/>
                <w:sz w:val="21"/>
                <w:szCs w:val="20"/>
              </w:rPr>
            </w:pPr>
            <w:r>
              <w:rPr>
                <w:rFonts w:hint="eastAsia"/>
                <w:b/>
                <w:color w:val="auto"/>
                <w:sz w:val="21"/>
                <w:szCs w:val="20"/>
              </w:rPr>
              <w:t>单位</w:t>
            </w:r>
          </w:p>
        </w:tc>
        <w:tc>
          <w:tcPr>
            <w:tcW w:w="1365" w:type="dxa"/>
            <w:vAlign w:val="center"/>
          </w:tcPr>
          <w:p>
            <w:pPr>
              <w:pStyle w:val="29"/>
              <w:ind w:firstLine="0" w:firstLineChars="0"/>
              <w:jc w:val="center"/>
              <w:rPr>
                <w:b/>
                <w:color w:val="auto"/>
                <w:sz w:val="21"/>
                <w:szCs w:val="20"/>
              </w:rPr>
            </w:pPr>
            <w:r>
              <w:rPr>
                <w:rFonts w:hint="eastAsia"/>
                <w:b/>
                <w:color w:val="auto"/>
                <w:sz w:val="21"/>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59" w:type="dxa"/>
            <w:vAlign w:val="center"/>
          </w:tcPr>
          <w:p>
            <w:pPr>
              <w:pStyle w:val="29"/>
              <w:ind w:firstLine="0" w:firstLineChars="0"/>
              <w:jc w:val="center"/>
              <w:rPr>
                <w:color w:val="auto"/>
                <w:sz w:val="21"/>
                <w:szCs w:val="20"/>
              </w:rPr>
            </w:pPr>
            <w:r>
              <w:rPr>
                <w:rFonts w:hint="eastAsia"/>
                <w:color w:val="auto"/>
                <w:sz w:val="21"/>
                <w:szCs w:val="20"/>
              </w:rPr>
              <w:t>1</w:t>
            </w:r>
          </w:p>
        </w:tc>
        <w:tc>
          <w:tcPr>
            <w:tcW w:w="1417" w:type="dxa"/>
            <w:vAlign w:val="center"/>
          </w:tcPr>
          <w:p>
            <w:pPr>
              <w:pStyle w:val="29"/>
              <w:ind w:firstLine="0" w:firstLineChars="0"/>
              <w:jc w:val="center"/>
              <w:rPr>
                <w:color w:val="auto"/>
                <w:sz w:val="21"/>
                <w:szCs w:val="20"/>
              </w:rPr>
            </w:pPr>
            <w:r>
              <w:rPr>
                <w:rFonts w:hint="eastAsia"/>
                <w:color w:val="auto"/>
                <w:sz w:val="21"/>
                <w:szCs w:val="20"/>
              </w:rPr>
              <w:t>电动葫芦</w:t>
            </w:r>
          </w:p>
        </w:tc>
        <w:tc>
          <w:tcPr>
            <w:tcW w:w="2835" w:type="dxa"/>
            <w:vAlign w:val="center"/>
          </w:tcPr>
          <w:p>
            <w:pPr>
              <w:pStyle w:val="29"/>
              <w:ind w:firstLine="0" w:firstLineChars="0"/>
              <w:jc w:val="center"/>
              <w:rPr>
                <w:color w:val="auto"/>
                <w:sz w:val="21"/>
                <w:szCs w:val="20"/>
              </w:rPr>
            </w:pPr>
            <w:r>
              <w:rPr>
                <w:color w:val="auto"/>
                <w:sz w:val="21"/>
                <w:szCs w:val="20"/>
              </w:rPr>
              <w:t>W=3T，H=6m，P=0.4+0.4kW</w:t>
            </w:r>
          </w:p>
        </w:tc>
        <w:tc>
          <w:tcPr>
            <w:tcW w:w="1276" w:type="dxa"/>
            <w:vAlign w:val="center"/>
          </w:tcPr>
          <w:p>
            <w:pPr>
              <w:pStyle w:val="29"/>
              <w:ind w:firstLine="0" w:firstLineChars="0"/>
              <w:jc w:val="center"/>
              <w:rPr>
                <w:color w:val="auto"/>
                <w:sz w:val="21"/>
                <w:szCs w:val="20"/>
              </w:rPr>
            </w:pPr>
            <w:r>
              <w:rPr>
                <w:color w:val="auto"/>
                <w:sz w:val="21"/>
                <w:szCs w:val="20"/>
              </w:rPr>
              <w:t>1</w:t>
            </w:r>
          </w:p>
        </w:tc>
        <w:tc>
          <w:tcPr>
            <w:tcW w:w="1134" w:type="dxa"/>
            <w:vAlign w:val="center"/>
          </w:tcPr>
          <w:p>
            <w:pPr>
              <w:pStyle w:val="29"/>
              <w:ind w:firstLine="0" w:firstLineChars="0"/>
              <w:jc w:val="center"/>
              <w:rPr>
                <w:color w:val="auto"/>
                <w:sz w:val="21"/>
                <w:szCs w:val="20"/>
              </w:rPr>
            </w:pPr>
            <w:r>
              <w:rPr>
                <w:rFonts w:hint="eastAsia"/>
                <w:color w:val="auto"/>
                <w:sz w:val="21"/>
                <w:szCs w:val="20"/>
              </w:rPr>
              <w:t>台</w:t>
            </w:r>
          </w:p>
        </w:tc>
        <w:tc>
          <w:tcPr>
            <w:tcW w:w="1365" w:type="dxa"/>
            <w:vAlign w:val="center"/>
          </w:tcPr>
          <w:p>
            <w:pPr>
              <w:pStyle w:val="29"/>
              <w:ind w:firstLine="0" w:firstLineChars="0"/>
              <w:jc w:val="center"/>
              <w:rPr>
                <w:color w:val="auto"/>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86" w:type="dxa"/>
            <w:gridSpan w:val="6"/>
            <w:vAlign w:val="center"/>
          </w:tcPr>
          <w:p>
            <w:pPr>
              <w:pStyle w:val="29"/>
              <w:ind w:firstLine="0" w:firstLineChars="0"/>
              <w:jc w:val="center"/>
              <w:rPr>
                <w:b/>
                <w:color w:val="auto"/>
                <w:sz w:val="21"/>
                <w:szCs w:val="20"/>
              </w:rPr>
            </w:pPr>
            <w:r>
              <w:rPr>
                <w:rFonts w:hint="eastAsia"/>
                <w:b/>
                <w:color w:val="auto"/>
                <w:sz w:val="21"/>
                <w:szCs w:val="20"/>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86" w:type="dxa"/>
            <w:gridSpan w:val="6"/>
            <w:vAlign w:val="center"/>
          </w:tcPr>
          <w:p>
            <w:pPr>
              <w:pStyle w:val="29"/>
              <w:ind w:firstLine="0" w:firstLineChars="0"/>
              <w:rPr>
                <w:color w:val="auto"/>
                <w:sz w:val="21"/>
                <w:szCs w:val="20"/>
              </w:rPr>
            </w:pPr>
            <w:r>
              <w:rPr>
                <w:rFonts w:hint="eastAsia"/>
                <w:color w:val="auto"/>
                <w:sz w:val="21"/>
                <w:szCs w:val="20"/>
              </w:rPr>
              <w:t>起升机构工作级别M4，钢丝绳采用GB/T8918中线接触式，钢丝绳的公称抗拉强度不低于150MPa，钢丝绳材料采用热浸锌钢丝绳。</w:t>
            </w:r>
          </w:p>
        </w:tc>
      </w:tr>
    </w:tbl>
    <w:p>
      <w:pPr>
        <w:pStyle w:val="30"/>
        <w:spacing w:before="120" w:after="120"/>
        <w:rPr>
          <w:color w:val="auto"/>
        </w:rPr>
      </w:pPr>
      <w:bookmarkStart w:id="255" w:name="_Toc117181368"/>
      <w:r>
        <w:rPr>
          <w:color w:val="auto"/>
        </w:rPr>
        <w:t>细格栅及曝气沉沙池</w:t>
      </w:r>
      <w:bookmarkEnd w:id="255"/>
    </w:p>
    <w:p>
      <w:pPr>
        <w:pStyle w:val="31"/>
        <w:rPr>
          <w:color w:val="auto"/>
        </w:rPr>
      </w:pPr>
      <w:r>
        <w:rPr>
          <w:rFonts w:hint="eastAsia"/>
          <w:color w:val="auto"/>
        </w:rPr>
        <w:t>内进流</w:t>
      </w:r>
      <w:r>
        <w:rPr>
          <w:color w:val="auto"/>
        </w:rPr>
        <w:t>细格栅</w:t>
      </w:r>
    </w:p>
    <w:tbl>
      <w:tblPr>
        <w:tblStyle w:val="23"/>
        <w:tblW w:w="907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2694" w:type="dxa"/>
            <w:shd w:val="clear" w:color="auto" w:fill="auto"/>
            <w:vAlign w:val="center"/>
          </w:tcPr>
          <w:p>
            <w:pPr>
              <w:widowControl/>
              <w:spacing w:line="360" w:lineRule="auto"/>
              <w:rPr>
                <w:rFonts w:ascii="Times New Roman" w:hAnsi="Times New Roman" w:eastAsia="宋体" w:cs="Times New Roman"/>
                <w:b/>
                <w:color w:val="auto"/>
                <w:sz w:val="21"/>
                <w:szCs w:val="21"/>
                <w:lang w:eastAsia="zh-CN"/>
              </w:rPr>
            </w:pPr>
            <w:r>
              <w:rPr>
                <w:rFonts w:ascii="Times New Roman" w:hAnsi="Times New Roman" w:eastAsia="宋体" w:cs="Times New Roman"/>
                <w:b/>
                <w:color w:val="auto"/>
                <w:sz w:val="21"/>
                <w:szCs w:val="21"/>
                <w:lang w:eastAsia="zh-CN"/>
              </w:rPr>
              <w:t>项目</w:t>
            </w:r>
          </w:p>
        </w:tc>
        <w:tc>
          <w:tcPr>
            <w:tcW w:w="6379" w:type="dxa"/>
            <w:shd w:val="clear" w:color="auto" w:fill="auto"/>
            <w:vAlign w:val="center"/>
          </w:tcPr>
          <w:p>
            <w:pPr>
              <w:widowControl/>
              <w:spacing w:line="360" w:lineRule="auto"/>
              <w:rPr>
                <w:rFonts w:ascii="Times New Roman" w:hAnsi="Times New Roman" w:eastAsia="宋体" w:cs="Times New Roman"/>
                <w:b/>
                <w:color w:val="auto"/>
                <w:sz w:val="21"/>
                <w:szCs w:val="21"/>
                <w:lang w:eastAsia="zh-CN"/>
              </w:rPr>
            </w:pPr>
            <w:r>
              <w:rPr>
                <w:rFonts w:ascii="Times New Roman" w:hAnsi="Times New Roman" w:eastAsia="宋体" w:cs="Times New Roman"/>
                <w:b/>
                <w:color w:val="auto"/>
                <w:sz w:val="21"/>
                <w:szCs w:val="21"/>
                <w:lang w:eastAsia="zh-CN"/>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数量</w:t>
            </w:r>
          </w:p>
        </w:tc>
        <w:tc>
          <w:tcPr>
            <w:tcW w:w="6379" w:type="dxa"/>
            <w:shd w:val="clear" w:color="auto" w:fill="auto"/>
            <w:vAlign w:val="center"/>
          </w:tcPr>
          <w:p>
            <w:pPr>
              <w:widowControl/>
              <w:spacing w:line="360" w:lineRule="auto"/>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2</w:t>
            </w:r>
            <w:r>
              <w:rPr>
                <w:rFonts w:ascii="Times New Roman" w:hAnsi="Times New Roman" w:eastAsia="宋体" w:cs="Times New Roman"/>
                <w:color w:val="auto"/>
                <w:sz w:val="21"/>
                <w:szCs w:val="21"/>
                <w:lang w:eastAsia="zh-CN"/>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9073" w:type="dxa"/>
            <w:gridSpan w:val="2"/>
            <w:shd w:val="clear" w:color="auto" w:fill="auto"/>
            <w:vAlign w:val="center"/>
          </w:tcPr>
          <w:p>
            <w:pPr>
              <w:widowControl/>
              <w:spacing w:line="360" w:lineRule="auto"/>
              <w:rPr>
                <w:rFonts w:ascii="Times New Roman" w:hAnsi="Times New Roman" w:eastAsia="宋体" w:cs="Times New Roman"/>
                <w:b/>
                <w:color w:val="auto"/>
                <w:sz w:val="21"/>
                <w:szCs w:val="21"/>
                <w:lang w:eastAsia="zh-CN"/>
              </w:rPr>
            </w:pPr>
            <w:r>
              <w:rPr>
                <w:rFonts w:ascii="Times New Roman" w:hAnsi="Times New Roman" w:eastAsia="宋体" w:cs="Times New Roman"/>
                <w:b/>
                <w:color w:val="auto"/>
                <w:sz w:val="21"/>
                <w:szCs w:val="21"/>
                <w:lang w:eastAsia="zh-CN"/>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细格栅形式</w:t>
            </w:r>
          </w:p>
        </w:tc>
        <w:tc>
          <w:tcPr>
            <w:tcW w:w="6379"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内进流细格栅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介质</w:t>
            </w:r>
          </w:p>
        </w:tc>
        <w:tc>
          <w:tcPr>
            <w:tcW w:w="6379"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城市污水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单机最大过水能力</w:t>
            </w:r>
          </w:p>
        </w:tc>
        <w:tc>
          <w:tcPr>
            <w:tcW w:w="6379" w:type="dxa"/>
            <w:shd w:val="clear" w:color="auto" w:fill="auto"/>
            <w:vAlign w:val="center"/>
          </w:tcPr>
          <w:p>
            <w:pPr>
              <w:widowControl/>
              <w:spacing w:line="360" w:lineRule="auto"/>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3300m³/h</w:t>
            </w:r>
            <w:r>
              <w:rPr>
                <w:rFonts w:ascii="Times New Roman" w:hAnsi="Times New Roman"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置放格栅的渠宽</w:t>
            </w:r>
          </w:p>
        </w:tc>
        <w:tc>
          <w:tcPr>
            <w:tcW w:w="6379" w:type="dxa"/>
            <w:shd w:val="clear" w:color="auto" w:fill="auto"/>
            <w:vAlign w:val="center"/>
          </w:tcPr>
          <w:p>
            <w:pPr>
              <w:widowControl/>
              <w:spacing w:line="360" w:lineRule="auto"/>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W=1600mm</w:t>
            </w:r>
            <w:r>
              <w:rPr>
                <w:rFonts w:ascii="Times New Roman" w:hAnsi="Times New Roman"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置放格栅的渠深</w:t>
            </w:r>
          </w:p>
        </w:tc>
        <w:tc>
          <w:tcPr>
            <w:tcW w:w="6379" w:type="dxa"/>
            <w:shd w:val="clear" w:color="auto" w:fill="auto"/>
            <w:vAlign w:val="center"/>
          </w:tcPr>
          <w:p>
            <w:pPr>
              <w:widowControl/>
              <w:spacing w:line="360" w:lineRule="auto"/>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2200</w:t>
            </w:r>
            <w:r>
              <w:rPr>
                <w:rFonts w:ascii="Times New Roman" w:hAnsi="Times New Roman"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网板孔径</w:t>
            </w:r>
          </w:p>
        </w:tc>
        <w:tc>
          <w:tcPr>
            <w:tcW w:w="6379"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过栅损失</w:t>
            </w:r>
          </w:p>
        </w:tc>
        <w:tc>
          <w:tcPr>
            <w:tcW w:w="6379"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≤300mm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进水流速</w:t>
            </w:r>
          </w:p>
        </w:tc>
        <w:tc>
          <w:tcPr>
            <w:tcW w:w="6379" w:type="dxa"/>
            <w:shd w:val="clear" w:color="auto" w:fill="auto"/>
            <w:vAlign w:val="center"/>
          </w:tcPr>
          <w:p>
            <w:pPr>
              <w:widowControl/>
              <w:spacing w:line="360" w:lineRule="auto"/>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0.4</w:t>
            </w:r>
            <w:r>
              <w:rPr>
                <w:rFonts w:ascii="Times New Roman" w:hAnsi="Times New Roman" w:eastAsia="宋体" w:cs="Times New Roman"/>
                <w:color w:val="auto"/>
                <w:sz w:val="21"/>
                <w:szCs w:val="21"/>
                <w:lang w:eastAsia="zh-CN"/>
              </w:rPr>
              <w:t>—</w:t>
            </w:r>
            <w:r>
              <w:rPr>
                <w:rFonts w:ascii="Times New Roman" w:hAnsi="Times New Roman" w:eastAsia="等线" w:cs="Times New Roman"/>
                <w:color w:val="auto"/>
                <w:sz w:val="21"/>
                <w:szCs w:val="21"/>
                <w:lang w:eastAsia="zh-CN"/>
              </w:rPr>
              <w:t>0.9m/s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安装角度</w:t>
            </w:r>
          </w:p>
        </w:tc>
        <w:tc>
          <w:tcPr>
            <w:tcW w:w="6379" w:type="dxa"/>
            <w:shd w:val="clear" w:color="auto" w:fill="auto"/>
            <w:vAlign w:val="center"/>
          </w:tcPr>
          <w:p>
            <w:pPr>
              <w:widowControl/>
              <w:spacing w:line="360" w:lineRule="auto"/>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α=90°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进水悬浮物</w:t>
            </w:r>
          </w:p>
        </w:tc>
        <w:tc>
          <w:tcPr>
            <w:tcW w:w="6379"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≤350mg/L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栅渣清除方式</w:t>
            </w:r>
          </w:p>
        </w:tc>
        <w:tc>
          <w:tcPr>
            <w:tcW w:w="6379"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毛刷及中压冲洗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格栅驱动电机保护等级</w:t>
            </w:r>
          </w:p>
        </w:tc>
        <w:tc>
          <w:tcPr>
            <w:tcW w:w="6379" w:type="dxa"/>
            <w:shd w:val="clear" w:color="auto" w:fill="auto"/>
            <w:vAlign w:val="center"/>
          </w:tcPr>
          <w:p>
            <w:pPr>
              <w:widowControl/>
              <w:spacing w:line="360" w:lineRule="auto"/>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IP65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格栅驱动电机功率</w:t>
            </w:r>
          </w:p>
        </w:tc>
        <w:tc>
          <w:tcPr>
            <w:tcW w:w="6379" w:type="dxa"/>
            <w:shd w:val="clear" w:color="auto" w:fill="auto"/>
            <w:vAlign w:val="center"/>
          </w:tcPr>
          <w:p>
            <w:pPr>
              <w:widowControl/>
              <w:spacing w:line="360" w:lineRule="auto"/>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1.1KW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格栅驱动供电电源</w:t>
            </w:r>
          </w:p>
        </w:tc>
        <w:tc>
          <w:tcPr>
            <w:tcW w:w="6379" w:type="dxa"/>
            <w:shd w:val="clear" w:color="auto" w:fill="auto"/>
            <w:vAlign w:val="center"/>
          </w:tcPr>
          <w:p>
            <w:pPr>
              <w:widowControl/>
              <w:spacing w:line="360" w:lineRule="auto"/>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AC380V/50Hz/</w:t>
            </w:r>
            <w:r>
              <w:rPr>
                <w:rFonts w:ascii="Times New Roman" w:hAnsi="Times New Roman" w:eastAsia="宋体" w:cs="Times New Roman"/>
                <w:color w:val="auto"/>
                <w:sz w:val="21"/>
                <w:szCs w:val="21"/>
                <w:lang w:eastAsia="zh-CN"/>
              </w:rPr>
              <w:t>三相五线制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滚刷驱动功率</w:t>
            </w:r>
          </w:p>
        </w:tc>
        <w:tc>
          <w:tcPr>
            <w:tcW w:w="6379" w:type="dxa"/>
            <w:shd w:val="clear" w:color="auto" w:fill="auto"/>
            <w:vAlign w:val="center"/>
          </w:tcPr>
          <w:p>
            <w:pPr>
              <w:widowControl/>
              <w:spacing w:line="360" w:lineRule="auto"/>
              <w:rPr>
                <w:rFonts w:ascii="Times New Roman" w:hAnsi="Times New Roman" w:eastAsia="微软雅黑" w:cs="Times New Roman"/>
                <w:color w:val="auto"/>
                <w:sz w:val="21"/>
                <w:szCs w:val="21"/>
                <w:lang w:eastAsia="zh-CN"/>
              </w:rPr>
            </w:pPr>
            <w:r>
              <w:rPr>
                <w:rFonts w:ascii="Times New Roman" w:hAnsi="Times New Roman" w:eastAsia="微软雅黑" w:cs="Times New Roman"/>
                <w:color w:val="auto"/>
                <w:sz w:val="21"/>
                <w:szCs w:val="21"/>
                <w:lang w:eastAsia="zh-CN"/>
              </w:rPr>
              <w:t>1.5kW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滚刷驱动供电电源</w:t>
            </w:r>
          </w:p>
        </w:tc>
        <w:tc>
          <w:tcPr>
            <w:tcW w:w="6379" w:type="dxa"/>
            <w:shd w:val="clear" w:color="auto" w:fill="auto"/>
            <w:vAlign w:val="center"/>
          </w:tcPr>
          <w:p>
            <w:pPr>
              <w:widowControl/>
              <w:spacing w:line="360" w:lineRule="auto"/>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AC380V/50Hz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滚刷电机保护等级</w:t>
            </w:r>
          </w:p>
        </w:tc>
        <w:tc>
          <w:tcPr>
            <w:tcW w:w="6379" w:type="dxa"/>
            <w:shd w:val="clear" w:color="auto" w:fill="auto"/>
            <w:vAlign w:val="center"/>
          </w:tcPr>
          <w:p>
            <w:pPr>
              <w:widowControl/>
              <w:spacing w:line="360" w:lineRule="auto"/>
              <w:rPr>
                <w:rFonts w:ascii="Times New Roman" w:hAnsi="Times New Roman" w:eastAsia="微软雅黑" w:cs="Times New Roman"/>
                <w:color w:val="auto"/>
                <w:sz w:val="21"/>
                <w:szCs w:val="21"/>
                <w:lang w:eastAsia="zh-CN"/>
              </w:rPr>
            </w:pPr>
            <w:r>
              <w:rPr>
                <w:rFonts w:ascii="Times New Roman" w:hAnsi="Times New Roman" w:eastAsia="微软雅黑" w:cs="Times New Roman"/>
                <w:color w:val="auto"/>
                <w:sz w:val="21"/>
                <w:szCs w:val="21"/>
                <w:lang w:eastAsia="zh-CN"/>
              </w:rPr>
              <w:t>IP65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冲洗方式</w:t>
            </w:r>
          </w:p>
        </w:tc>
        <w:tc>
          <w:tcPr>
            <w:tcW w:w="6379"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全自动冲洗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冲洗水来水压力</w:t>
            </w:r>
          </w:p>
        </w:tc>
        <w:tc>
          <w:tcPr>
            <w:tcW w:w="6379" w:type="dxa"/>
            <w:shd w:val="clear" w:color="auto" w:fill="auto"/>
            <w:vAlign w:val="center"/>
          </w:tcPr>
          <w:p>
            <w:pPr>
              <w:widowControl/>
              <w:spacing w:line="360" w:lineRule="auto"/>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0.1</w:t>
            </w:r>
            <w:r>
              <w:rPr>
                <w:rFonts w:ascii="Times New Roman" w:hAnsi="Times New Roman" w:eastAsia="宋体" w:cs="Times New Roman"/>
                <w:color w:val="auto"/>
                <w:sz w:val="21"/>
                <w:szCs w:val="21"/>
                <w:lang w:eastAsia="zh-CN"/>
              </w:rPr>
              <w:t>～</w:t>
            </w:r>
            <w:r>
              <w:rPr>
                <w:rFonts w:ascii="Times New Roman" w:hAnsi="Times New Roman" w:eastAsia="等线" w:cs="Times New Roman"/>
                <w:color w:val="auto"/>
                <w:sz w:val="21"/>
                <w:szCs w:val="21"/>
                <w:lang w:eastAsia="zh-CN"/>
              </w:rPr>
              <w:t>0.2Mpa</w:t>
            </w:r>
            <w:r>
              <w:rPr>
                <w:rFonts w:ascii="Times New Roman" w:hAnsi="Times New Roman"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中压冲洗流量</w:t>
            </w:r>
          </w:p>
        </w:tc>
        <w:tc>
          <w:tcPr>
            <w:tcW w:w="6379" w:type="dxa"/>
            <w:shd w:val="clear" w:color="auto" w:fill="auto"/>
            <w:vAlign w:val="center"/>
          </w:tcPr>
          <w:p>
            <w:pPr>
              <w:widowControl/>
              <w:spacing w:line="360" w:lineRule="auto"/>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7.5m³/h</w:t>
            </w:r>
            <w:r>
              <w:rPr>
                <w:rFonts w:ascii="Times New Roman" w:hAnsi="Times New Roman" w:eastAsia="宋体" w:cs="Times New Roman"/>
                <w:color w:val="auto"/>
                <w:sz w:val="21"/>
                <w:szCs w:val="21"/>
                <w:lang w:eastAsia="zh-CN"/>
              </w:rPr>
              <w:t>台（暂定）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单元冲洗时间</w:t>
            </w:r>
          </w:p>
        </w:tc>
        <w:tc>
          <w:tcPr>
            <w:tcW w:w="6379" w:type="dxa"/>
            <w:shd w:val="clear" w:color="auto" w:fill="auto"/>
            <w:vAlign w:val="center"/>
          </w:tcPr>
          <w:p>
            <w:pPr>
              <w:widowControl/>
              <w:spacing w:line="360" w:lineRule="auto"/>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90</w:t>
            </w:r>
            <w:r>
              <w:rPr>
                <w:rFonts w:ascii="Times New Roman" w:hAnsi="Times New Roman" w:eastAsia="宋体" w:cs="Times New Roman"/>
                <w:color w:val="auto"/>
                <w:sz w:val="21"/>
                <w:szCs w:val="21"/>
                <w:lang w:eastAsia="zh-CN"/>
              </w:rPr>
              <w:t>～</w:t>
            </w:r>
            <w:r>
              <w:rPr>
                <w:rFonts w:ascii="Times New Roman" w:hAnsi="Times New Roman" w:eastAsia="等线" w:cs="Times New Roman"/>
                <w:color w:val="auto"/>
                <w:sz w:val="21"/>
                <w:szCs w:val="21"/>
                <w:lang w:eastAsia="zh-CN"/>
              </w:rPr>
              <w:t>180s/</w:t>
            </w:r>
            <w:r>
              <w:rPr>
                <w:rFonts w:ascii="Times New Roman" w:hAnsi="Times New Roman" w:eastAsia="宋体" w:cs="Times New Roman"/>
                <w:color w:val="auto"/>
                <w:sz w:val="21"/>
                <w:szCs w:val="21"/>
                <w:lang w:eastAsia="zh-CN"/>
              </w:rPr>
              <w:t>次（暂定）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694"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冲洗间隔时间</w:t>
            </w:r>
          </w:p>
        </w:tc>
        <w:tc>
          <w:tcPr>
            <w:tcW w:w="6379" w:type="dxa"/>
            <w:shd w:val="clear" w:color="auto" w:fill="auto"/>
            <w:vAlign w:val="center"/>
          </w:tcPr>
          <w:p>
            <w:pPr>
              <w:widowControl/>
              <w:spacing w:line="360" w:lineRule="auto"/>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10-12min</w:t>
            </w:r>
            <w:r>
              <w:rPr>
                <w:rFonts w:ascii="Times New Roman" w:hAnsi="Times New Roman"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9073" w:type="dxa"/>
            <w:gridSpan w:val="2"/>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b/>
                <w:bCs/>
                <w:color w:val="auto"/>
                <w:sz w:val="21"/>
                <w:szCs w:val="21"/>
                <w:lang w:eastAsia="zh-CN"/>
              </w:rPr>
              <w:t>运行原理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trPr>
        <w:tc>
          <w:tcPr>
            <w:tcW w:w="9073" w:type="dxa"/>
            <w:gridSpan w:val="2"/>
            <w:shd w:val="clear" w:color="auto" w:fill="auto"/>
            <w:vAlign w:val="center"/>
          </w:tcPr>
          <w:p>
            <w:pPr>
              <w:widowControl/>
              <w:spacing w:line="360" w:lineRule="auto"/>
              <w:ind w:firstLine="420" w:firstLineChars="200"/>
              <w:jc w:val="both"/>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污水从导流板中央进入，从两侧穿栅板穿流而出，此时固体物质被分离取出，通过栅渣累积可额外形成更好的过滤效果（地毯效应）。当格栅前后的液位差到达一定程度时，格栅启动工作，此时通过链条驱动过滤栅板，在格栅运转工作的同时，格栅上部的中压冲洗棒(冲洗棒配置电磁阀)也启动工作，由外而内对栅板进行喷射清洗，在每天设置4-6个时段，开启高压冲洗装置对过滤栅板进行行走清理，以便进一步去除油脂、纤维性物质对栅板的粘附和缠绕，进一步增强这一清理过程，清理后的栅渣进入收集槽然后通过溜槽重力流出，将栅渣投入下面放置的后继处理装置</w:t>
            </w:r>
            <w:r>
              <w:rPr>
                <w:rFonts w:hint="eastAsia" w:ascii="Times New Roman" w:hAnsi="Times New Roman" w:eastAsia="宋体" w:cs="Times New Roman"/>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9073" w:type="dxa"/>
            <w:gridSpan w:val="2"/>
            <w:shd w:val="clear" w:color="auto" w:fill="auto"/>
            <w:vAlign w:val="center"/>
          </w:tcPr>
          <w:p>
            <w:pPr>
              <w:widowControl/>
              <w:spacing w:line="360" w:lineRule="auto"/>
              <w:rPr>
                <w:rFonts w:ascii="Times New Roman" w:hAnsi="Times New Roman" w:eastAsia="宋体" w:cs="Times New Roman"/>
                <w:b/>
                <w:bCs/>
                <w:color w:val="auto"/>
                <w:sz w:val="21"/>
                <w:szCs w:val="21"/>
                <w:lang w:eastAsia="zh-CN"/>
              </w:rPr>
            </w:pPr>
            <w:r>
              <w:rPr>
                <w:rFonts w:ascii="Times New Roman" w:hAnsi="Times New Roman" w:eastAsia="宋体" w:cs="Times New Roman"/>
                <w:b/>
                <w:bCs/>
                <w:color w:val="auto"/>
                <w:sz w:val="21"/>
                <w:szCs w:val="21"/>
                <w:lang w:eastAsia="zh-CN"/>
              </w:rPr>
              <w:t>主要部件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trPr>
        <w:tc>
          <w:tcPr>
            <w:tcW w:w="9073" w:type="dxa"/>
            <w:gridSpan w:val="2"/>
            <w:shd w:val="clear" w:color="auto" w:fill="auto"/>
            <w:vAlign w:val="center"/>
          </w:tcPr>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1、导流板：由于内进流格栅栅板两侧排水，栅板与渠道之间需保留适当安全排水距离，需安装此档水板。使污水有效导入方形进水口内，同时导流挡板的左右侧和底侧与水渠的连接有着密封作用。</w:t>
            </w:r>
          </w:p>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框架：框架作为整个内进流格栅的主体结构，由头部钣金焊接框架和底部钣金支腿组装两部分构成，形成一个整体的刚性支承结构。不同于C型钢框架，钣金工艺框架具有高强度、高精度、可承受较强的水力冲击等特点，服役使用寿命可达20年以上。</w:t>
            </w:r>
          </w:p>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3、细格栅</w:t>
            </w:r>
            <w:r>
              <w:rPr>
                <w:rFonts w:hint="eastAsia" w:ascii="Times New Roman" w:hAnsi="Times New Roman" w:cs="Times New Roman"/>
                <w:color w:val="auto"/>
                <w:sz w:val="21"/>
                <w:szCs w:val="21"/>
                <w:lang w:eastAsia="zh-CN"/>
              </w:rPr>
              <w:t>网</w:t>
            </w:r>
            <w:r>
              <w:rPr>
                <w:rFonts w:hint="eastAsia" w:ascii="Times New Roman" w:hAnsi="Times New Roman" w:cs="Times New Roman"/>
                <w:color w:val="auto"/>
                <w:sz w:val="21"/>
                <w:szCs w:val="21"/>
                <w:lang w:val="en-US" w:eastAsia="zh-CN"/>
              </w:rPr>
              <w:t>板</w:t>
            </w:r>
            <w:r>
              <w:rPr>
                <w:rFonts w:hint="eastAsia" w:ascii="Times New Roman" w:hAnsi="Times New Roman" w:cs="Times New Roman"/>
                <w:color w:val="auto"/>
                <w:sz w:val="21"/>
                <w:szCs w:val="21"/>
                <w:lang w:eastAsia="zh-CN"/>
              </w:rPr>
              <w:t>：网板采用不小于</w:t>
            </w:r>
            <w:r>
              <w:rPr>
                <w:rFonts w:ascii="Times New Roman" w:hAnsi="Times New Roman" w:cs="Times New Roman"/>
                <w:color w:val="auto"/>
                <w:sz w:val="21"/>
                <w:szCs w:val="21"/>
                <w:lang w:eastAsia="zh-CN"/>
              </w:rPr>
              <w:t>6</w:t>
            </w:r>
            <w:r>
              <w:rPr>
                <w:rFonts w:hint="eastAsia" w:ascii="Times New Roman" w:hAnsi="Times New Roman" w:cs="Times New Roman"/>
                <w:color w:val="auto"/>
                <w:sz w:val="21"/>
                <w:szCs w:val="21"/>
                <w:lang w:eastAsia="zh-CN"/>
              </w:rPr>
              <w:t>mm厚的超高分子聚乙烯制成。</w:t>
            </w:r>
          </w:p>
          <w:p>
            <w:pPr>
              <w:widowControl/>
              <w:spacing w:line="360" w:lineRule="auto"/>
              <w:ind w:firstLine="420" w:firstLineChars="200"/>
              <w:jc w:val="both"/>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网板网面为规则排列的5mm锥形网孔。网面具有过水与截污的功能且能截留较大的污物。网板与网板间通过铰接方式联接并自密封，网板间不采用橡胶等软性材料密封。</w:t>
            </w:r>
          </w:p>
          <w:p>
            <w:pPr>
              <w:widowControl/>
              <w:spacing w:line="360" w:lineRule="auto"/>
              <w:ind w:firstLine="420" w:firstLineChars="200"/>
              <w:jc w:val="both"/>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整个连续式非金属过滤网板栅面具有足够的过水通道，以保证过水面积和流量满足设计要求，污水通过栅隙流速小于1.0 m/s。</w:t>
            </w:r>
          </w:p>
          <w:p>
            <w:pPr>
              <w:widowControl/>
              <w:spacing w:line="360" w:lineRule="auto"/>
              <w:ind w:firstLine="420" w:firstLineChars="200"/>
              <w:jc w:val="both"/>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非金属过滤网板采用锥形网孔，增加单位过水面积，降低设备水头损失。锥形网孔采用"里小外大"的结构形式，能增加反冲洗水的压力，可最大程度的减少线状污物缠绕 ，从而提高设备的处理量。</w:t>
            </w:r>
          </w:p>
          <w:p>
            <w:pPr>
              <w:widowControl/>
              <w:spacing w:line="360" w:lineRule="auto"/>
              <w:ind w:firstLine="420" w:firstLineChars="200"/>
              <w:jc w:val="both"/>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网板设计成单片可拆卸式，更换损坏的网板只需将两端紧固螺栓松开即可对网板进行拆卸，并对网板进行维修与更换</w:t>
            </w:r>
            <w:r>
              <w:rPr>
                <w:rFonts w:ascii="Times New Roman" w:hAnsi="Times New Roman" w:cs="Times New Roman"/>
                <w:color w:val="auto"/>
                <w:sz w:val="21"/>
                <w:szCs w:val="21"/>
                <w:lang w:eastAsia="zh-CN"/>
              </w:rPr>
              <w:t>。</w:t>
            </w:r>
          </w:p>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4、导轨：格栅的框架结构中配有可更换的滚动条和栅板导向装置。在框架底部无转动部件，配备耐磨的半圆型导轨用来辅助栅板在底部旋转时的转向。</w:t>
            </w:r>
          </w:p>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5、驱动系统：整个驱动系统由驱动电机、链轮、链条、驱动轴组成。一台格栅设置两条主链条，主链条由链条，链套和链销组成，装有滚动轮，滚动轮在框架中的导轨上运行。主链条由驱动轴两端带有的两个链轮带动旋转，链轮配置链条张紧调节装置。转轴两端由自动定位滚动承轴所固定，轴承防水、防尘、自润滑。主链条与不锈钢导轨之间的滑动采用水润滑方式。驱动电机防护等级IP65。</w:t>
            </w:r>
          </w:p>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6、中压冲洗装置：栅板通过栅渣收集槽侧上方的卸渣点时被安装在栅板外侧的冲洗棒喷出的冲吸水冲洗干净。喷嘴通过活动连接安装在冲洗棒上，方便更换。冲洗棒配有一可移动的端帽用来连接冲洗水，配备电磁阀和压力表。栅渣和冲洗水均被排入栅渣收集槽中，重力排入栅渣溜槽中。采用回用水作为格栅的中压冲洗用水，工作水压不小于7bar，并配备增压泵等附件。冲洗水泵能根据格栅运转数量及污堵情况自动投入运行，并提供与之相匹配的冲洗水用量。</w:t>
            </w:r>
          </w:p>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7、细格栅滚筒毛刷：毛刷为模块化结构，可单独拆卸，串联组合，可降低后期维护成本，滚筒毛刷与旋转滤网驱动同步启动，可实现对栅渣、纤维物质、微生物膜的彻底物理清洗；配合中压冲洗系统与毛刷及旋转滤网驱动电机进行联动，冲洗水对毛刷清理后的栅板进行喷射清洗，可大幅提高清洗效率。</w:t>
            </w:r>
          </w:p>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8、密封系统：内进流格栅为强制过滤格栅，所以密封系统的完整性和可靠性是强制过滤成立的前提条件，所以栅板框架与框架之间的密封、栅板框架与主机框架之间的密封显得尤为重要。在这两个维度，上下两块栅板框架之间采用PUR橡胶板软密封获得密封处理；栅板框架与格栅框架框架之间采用PVC密封板，密封板随链条运动，获得动态密封的效果。密封橡胶板采用耐腐蚀、抗弯折、抗水解、抗拉伸、抗老化材料。</w:t>
            </w:r>
          </w:p>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9栅渣的收集排放：清洗后的渣水混合物掉落进收集槽，收集槽内的渣水混合物通过重力作用流入溜槽，整个过程在密闭状态下完成的，有效地减少臭味，满足环境要求。格栅机配备配套栅渣压榨、脱水设备。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9073" w:type="dxa"/>
            <w:gridSpan w:val="2"/>
            <w:shd w:val="clear" w:color="auto" w:fill="auto"/>
            <w:vAlign w:val="center"/>
          </w:tcPr>
          <w:p>
            <w:pPr>
              <w:widowControl/>
              <w:spacing w:line="360" w:lineRule="auto"/>
              <w:rPr>
                <w:rFonts w:ascii="Times New Roman" w:hAnsi="Times New Roman" w:eastAsia="等线" w:cs="Times New Roman"/>
                <w:color w:val="auto"/>
                <w:sz w:val="21"/>
                <w:szCs w:val="21"/>
                <w:lang w:eastAsia="zh-CN"/>
              </w:rPr>
            </w:pPr>
            <w:r>
              <w:rPr>
                <w:rFonts w:ascii="Times New Roman" w:hAnsi="Times New Roman" w:eastAsia="宋体" w:cs="Times New Roman"/>
                <w:b/>
                <w:bCs/>
                <w:color w:val="auto"/>
                <w:sz w:val="21"/>
                <w:szCs w:val="21"/>
                <w:lang w:eastAsia="zh-CN"/>
              </w:rPr>
              <w:t>电气控制要求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9073" w:type="dxa"/>
            <w:gridSpan w:val="2"/>
            <w:shd w:val="clear" w:color="auto" w:fill="auto"/>
            <w:vAlign w:val="center"/>
          </w:tcPr>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1、内进流式膜栅除污机的操作方法为就地手动控制和PLC自动控制两种方式，在PLC自动操作方式下，格栅通过栅前后水位差或设定的时间自动控制。</w:t>
            </w:r>
          </w:p>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2、控制箱设在细格栅附近，设有格栅机压榨机的单独开停控制和联动运行控制等按钮，同时具备由PLC控制和状态显示的操作屏。</w:t>
            </w:r>
          </w:p>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4、控制方式位置选择开关具有三个位置：手动控制，自动控制，停止。</w:t>
            </w:r>
          </w:p>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5、配置为信号灯，分别指示：工作，停止，事故&lt;包括机械过载、短路、缺相、高液位差等故障&gt;等状态。箱面要提供信号指示图例说明。</w:t>
            </w:r>
          </w:p>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6、箱内配置空气断路器、接触器、热继电器、中间继电器、控制开关等配电、保护、控制元件选择西门子、施耐德或同等品牌。</w:t>
            </w:r>
          </w:p>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7、格栅机有手动、自动（水位差及时间控制）两种控制方式并提供远程信号接口：</w:t>
            </w:r>
          </w:p>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（1）手动控制：操作人员在就地成套电控箱上进行单机正转、反转、停控制，主要用于调试。</w:t>
            </w:r>
          </w:p>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自动控制：根据格栅前后的水位差和/或设定时间控制格栅机的开停。当栅前和栅后的水位差达到设定液位差时格栅机连续运行，直到恢复至正常水位差，同时也受运行周期控制，当格栅动作周期达T1小时左右（时间T1可调）二者任意一个条件满足均动作，每次动作捞渣两次，动作完毕后重新计时。</w:t>
            </w:r>
          </w:p>
          <w:p>
            <w:pPr>
              <w:widowControl/>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（3）远程信号接口：控制柜中预留显示给厂级PLC运行及故障状态的无源信号接口。用信号电缆与厂级PLC连接后，可从厂级PLC观察格栅机的运行状态。</w:t>
            </w:r>
          </w:p>
          <w:p>
            <w:pPr>
              <w:widowControl/>
              <w:spacing w:line="360" w:lineRule="auto"/>
              <w:ind w:firstLine="420" w:firstLineChars="200"/>
              <w:jc w:val="both"/>
              <w:rPr>
                <w:rFonts w:ascii="Times New Roman" w:hAnsi="Times New Roman" w:eastAsia="微软雅黑" w:cs="Times New Roman"/>
                <w:color w:val="auto"/>
                <w:sz w:val="21"/>
                <w:szCs w:val="21"/>
                <w:lang w:eastAsia="zh-CN"/>
              </w:rPr>
            </w:pPr>
            <w:r>
              <w:rPr>
                <w:rFonts w:ascii="Times New Roman" w:hAnsi="Times New Roman" w:cs="Times New Roman"/>
                <w:color w:val="auto"/>
                <w:sz w:val="21"/>
                <w:szCs w:val="21"/>
                <w:lang w:eastAsia="zh-CN"/>
              </w:rPr>
              <w:t>8、格栅在自动控制方式下，与配套的栅渣压榨机联动运行（格栅控制系统发出联动信号给下级设备控制系统，以保证及栅渣压榨机处于联动控制状态）</w:t>
            </w:r>
          </w:p>
        </w:tc>
      </w:tr>
    </w:tbl>
    <w:p>
      <w:pPr>
        <w:pStyle w:val="29"/>
        <w:ind w:firstLine="472"/>
        <w:rPr>
          <w:color w:val="auto"/>
        </w:rPr>
      </w:pPr>
    </w:p>
    <w:p>
      <w:pPr>
        <w:pStyle w:val="31"/>
        <w:rPr>
          <w:color w:val="auto"/>
        </w:rPr>
      </w:pPr>
      <w:r>
        <w:rPr>
          <w:rFonts w:hint="eastAsia"/>
          <w:color w:val="auto"/>
        </w:rPr>
        <w:t>链板刮砂机</w:t>
      </w:r>
    </w:p>
    <w:tbl>
      <w:tblPr>
        <w:tblStyle w:val="24"/>
        <w:tblW w:w="88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8"/>
        <w:gridCol w:w="1565"/>
        <w:gridCol w:w="1842"/>
        <w:gridCol w:w="2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 w:hRule="atLeast"/>
        </w:trPr>
        <w:tc>
          <w:tcPr>
            <w:tcW w:w="2938" w:type="dxa"/>
          </w:tcPr>
          <w:p>
            <w:pPr>
              <w:pStyle w:val="29"/>
              <w:ind w:firstLine="0" w:firstLineChars="0"/>
              <w:jc w:val="center"/>
              <w:rPr>
                <w:b/>
                <w:color w:val="auto"/>
                <w:sz w:val="21"/>
                <w:szCs w:val="20"/>
              </w:rPr>
            </w:pPr>
            <w:r>
              <w:rPr>
                <w:rFonts w:hint="eastAsia"/>
                <w:b/>
                <w:color w:val="auto"/>
                <w:sz w:val="21"/>
                <w:szCs w:val="20"/>
              </w:rPr>
              <w:t>规格</w:t>
            </w:r>
          </w:p>
        </w:tc>
        <w:tc>
          <w:tcPr>
            <w:tcW w:w="1565" w:type="dxa"/>
          </w:tcPr>
          <w:p>
            <w:pPr>
              <w:pStyle w:val="29"/>
              <w:ind w:firstLine="0" w:firstLineChars="0"/>
              <w:jc w:val="center"/>
              <w:rPr>
                <w:b/>
                <w:color w:val="auto"/>
                <w:sz w:val="21"/>
                <w:szCs w:val="20"/>
              </w:rPr>
            </w:pPr>
            <w:r>
              <w:rPr>
                <w:rFonts w:hint="eastAsia"/>
                <w:b/>
                <w:color w:val="auto"/>
                <w:sz w:val="21"/>
                <w:szCs w:val="20"/>
              </w:rPr>
              <w:t>数量</w:t>
            </w:r>
          </w:p>
        </w:tc>
        <w:tc>
          <w:tcPr>
            <w:tcW w:w="1842" w:type="dxa"/>
          </w:tcPr>
          <w:p>
            <w:pPr>
              <w:pStyle w:val="29"/>
              <w:ind w:firstLine="0" w:firstLineChars="0"/>
              <w:jc w:val="center"/>
              <w:rPr>
                <w:b/>
                <w:color w:val="auto"/>
                <w:sz w:val="21"/>
                <w:szCs w:val="20"/>
              </w:rPr>
            </w:pPr>
            <w:r>
              <w:rPr>
                <w:rFonts w:hint="eastAsia"/>
                <w:b/>
                <w:color w:val="auto"/>
                <w:sz w:val="21"/>
                <w:szCs w:val="20"/>
              </w:rPr>
              <w:t>单位</w:t>
            </w:r>
          </w:p>
        </w:tc>
        <w:tc>
          <w:tcPr>
            <w:tcW w:w="2521" w:type="dxa"/>
          </w:tcPr>
          <w:p>
            <w:pPr>
              <w:pStyle w:val="29"/>
              <w:ind w:firstLine="0" w:firstLineChars="0"/>
              <w:jc w:val="center"/>
              <w:rPr>
                <w:b/>
                <w:color w:val="auto"/>
                <w:sz w:val="21"/>
                <w:szCs w:val="20"/>
              </w:rPr>
            </w:pPr>
            <w:r>
              <w:rPr>
                <w:rFonts w:hint="eastAsia"/>
                <w:b/>
                <w:color w:val="auto"/>
                <w:sz w:val="21"/>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2938" w:type="dxa"/>
          </w:tcPr>
          <w:p>
            <w:pPr>
              <w:pStyle w:val="29"/>
              <w:ind w:firstLine="0" w:firstLineChars="0"/>
              <w:rPr>
                <w:color w:val="auto"/>
                <w:sz w:val="21"/>
                <w:szCs w:val="20"/>
              </w:rPr>
            </w:pPr>
            <w:r>
              <w:rPr>
                <w:rFonts w:hint="eastAsia"/>
                <w:color w:val="auto"/>
                <w:sz w:val="21"/>
                <w:szCs w:val="20"/>
              </w:rPr>
              <w:t>B=1.0m，P=0.55kw，L=27m</w:t>
            </w:r>
          </w:p>
        </w:tc>
        <w:tc>
          <w:tcPr>
            <w:tcW w:w="1565" w:type="dxa"/>
          </w:tcPr>
          <w:p>
            <w:pPr>
              <w:pStyle w:val="29"/>
              <w:ind w:firstLine="0" w:firstLineChars="0"/>
              <w:jc w:val="center"/>
              <w:rPr>
                <w:color w:val="auto"/>
                <w:sz w:val="21"/>
                <w:szCs w:val="20"/>
              </w:rPr>
            </w:pPr>
            <w:r>
              <w:rPr>
                <w:color w:val="auto"/>
                <w:sz w:val="21"/>
                <w:szCs w:val="20"/>
              </w:rPr>
              <w:t>1</w:t>
            </w:r>
          </w:p>
        </w:tc>
        <w:tc>
          <w:tcPr>
            <w:tcW w:w="1842" w:type="dxa"/>
          </w:tcPr>
          <w:p>
            <w:pPr>
              <w:pStyle w:val="29"/>
              <w:ind w:firstLine="0" w:firstLineChars="0"/>
              <w:jc w:val="center"/>
              <w:rPr>
                <w:color w:val="auto"/>
                <w:sz w:val="21"/>
                <w:szCs w:val="20"/>
              </w:rPr>
            </w:pPr>
            <w:r>
              <w:rPr>
                <w:rFonts w:hint="eastAsia"/>
                <w:color w:val="auto"/>
                <w:sz w:val="21"/>
                <w:szCs w:val="20"/>
              </w:rPr>
              <w:t>套</w:t>
            </w:r>
          </w:p>
        </w:tc>
        <w:tc>
          <w:tcPr>
            <w:tcW w:w="2521" w:type="dxa"/>
          </w:tcPr>
          <w:p>
            <w:pPr>
              <w:pStyle w:val="29"/>
              <w:ind w:firstLine="0" w:firstLineChars="0"/>
              <w:rPr>
                <w:color w:val="auto"/>
                <w:sz w:val="21"/>
                <w:szCs w:val="20"/>
              </w:rPr>
            </w:pPr>
            <w:r>
              <w:rPr>
                <w:rFonts w:hint="eastAsia"/>
                <w:color w:val="auto"/>
                <w:sz w:val="21"/>
                <w:szCs w:val="20"/>
              </w:rPr>
              <w:t>长度为参考，附密封罩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4"/>
          </w:tcPr>
          <w:p>
            <w:pPr>
              <w:pStyle w:val="29"/>
              <w:ind w:firstLine="0" w:firstLineChars="0"/>
              <w:rPr>
                <w:b/>
                <w:bCs/>
                <w:color w:val="auto"/>
              </w:rPr>
            </w:pPr>
            <w:r>
              <w:rPr>
                <w:rFonts w:hint="eastAsia"/>
                <w:b/>
                <w:bCs/>
                <w:color w:val="auto"/>
                <w:sz w:val="21"/>
                <w:szCs w:val="20"/>
              </w:rPr>
              <w:t>现场条件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4"/>
          </w:tcPr>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（1）单台满足高峰期进水量为</w:t>
            </w:r>
            <w:r>
              <w:rPr>
                <w:rFonts w:ascii="Times New Roman" w:hAnsi="Times New Roman"/>
                <w:color w:val="auto"/>
                <w:sz w:val="21"/>
                <w:szCs w:val="16"/>
                <w:lang w:eastAsia="zh-CN"/>
              </w:rPr>
              <w:t>2088</w:t>
            </w:r>
            <w:r>
              <w:rPr>
                <w:rFonts w:hint="eastAsia" w:ascii="Times New Roman" w:hAnsi="Times New Roman"/>
                <w:color w:val="auto"/>
                <w:sz w:val="21"/>
                <w:szCs w:val="16"/>
                <w:lang w:eastAsia="zh-CN"/>
              </w:rPr>
              <w:t>m³/hr(时最大流量</w:t>
            </w:r>
            <w:r>
              <w:rPr>
                <w:rFonts w:ascii="Times New Roman" w:hAnsi="Times New Roman"/>
                <w:color w:val="auto"/>
                <w:sz w:val="21"/>
                <w:szCs w:val="16"/>
                <w:lang w:eastAsia="zh-CN"/>
              </w:rPr>
              <w:t>3132</w:t>
            </w:r>
            <w:r>
              <w:rPr>
                <w:rFonts w:hint="eastAsia" w:ascii="Times New Roman" w:hAnsi="Times New Roman"/>
                <w:color w:val="auto"/>
                <w:sz w:val="21"/>
                <w:szCs w:val="16"/>
                <w:lang w:eastAsia="zh-CN"/>
              </w:rPr>
              <w:t>m³/hr)的曝气沉砂池；</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（2）污水厂的平均进水含砂量为(0.03/1000)污水进水量；</w:t>
            </w:r>
          </w:p>
          <w:p>
            <w:pPr>
              <w:spacing w:line="360" w:lineRule="auto"/>
              <w:ind w:firstLine="420" w:firstLineChars="200"/>
              <w:jc w:val="both"/>
              <w:rPr>
                <w:color w:val="auto"/>
                <w:lang w:eastAsia="zh-CN"/>
              </w:rPr>
            </w:pPr>
            <w:r>
              <w:rPr>
                <w:rFonts w:hint="eastAsia" w:ascii="Times New Roman" w:hAnsi="Times New Roman"/>
                <w:color w:val="auto"/>
                <w:sz w:val="21"/>
                <w:szCs w:val="16"/>
                <w:lang w:eastAsia="zh-CN"/>
              </w:rPr>
              <w:t>（3）刮集的沉砂将由集泥斗的排泥管靠砂泵输出。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4"/>
          </w:tcPr>
          <w:p>
            <w:pPr>
              <w:pStyle w:val="29"/>
              <w:ind w:firstLine="0" w:firstLineChars="0"/>
              <w:rPr>
                <w:color w:val="auto"/>
              </w:rPr>
            </w:pPr>
            <w:r>
              <w:rPr>
                <w:rFonts w:hint="eastAsia"/>
                <w:b/>
                <w:bCs/>
                <w:color w:val="auto"/>
                <w:sz w:val="21"/>
                <w:szCs w:val="20"/>
              </w:rPr>
              <w:t>性能结构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4"/>
          </w:tcPr>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★1)承包商提供的刮砂机应采用链板式刮砂的形式，适用于曝气沉砂池的刮除沉砂。</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2)链板式刮砂机布置应根据招标图的基本尺寸要求，满足池底沉砂刮入池前端的集砂斗内，水面浮渣撇向池后端的集渣管。</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3)各部结构</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①驱动装置</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a.驱动装置采用摆线减速电机或齿轮减速电机的型式，整套驱动装置位于沉砂池池端平台上，通过链传动对水下的牵引链的驱动轴系传递动力。</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b.驱动装置至牵引链的链传动采用工程塑料链条或不锈钢套筒滚子链，运行荷载对破断强度的安全系数≥4。</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c.驱动电机防护等级为IP55，F级绝缘，B级温升，3P，380V，50Hz，并设置不锈钢304防雨罩。</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d.减速箱的齿轮设计应符合ISO或同类标准，服务系数不小于1.5，轴承寿命（</w:t>
            </w:r>
            <w:r>
              <w:rPr>
                <w:rFonts w:ascii="Times New Roman" w:hAnsi="Times New Roman"/>
                <w:color w:val="auto"/>
                <w:sz w:val="21"/>
                <w:szCs w:val="16"/>
                <w:lang w:eastAsia="zh-CN"/>
              </w:rPr>
              <w:t>B</w:t>
            </w:r>
            <w:r>
              <w:rPr>
                <w:rFonts w:hint="eastAsia" w:ascii="Times New Roman" w:hAnsi="Times New Roman"/>
                <w:color w:val="auto"/>
                <w:sz w:val="21"/>
                <w:szCs w:val="16"/>
                <w:lang w:eastAsia="zh-CN"/>
              </w:rPr>
              <w:t>10）≥100000小时。齿轮材料为合金钢淬火磨齿处理，齿面硬度不低于HRC58～62。</w:t>
            </w:r>
          </w:p>
          <w:p>
            <w:pPr>
              <w:tabs>
                <w:tab w:val="left" w:pos="2820"/>
              </w:tabs>
              <w:spacing w:line="360" w:lineRule="auto"/>
              <w:ind w:firstLine="42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★e.</w:t>
            </w:r>
            <w:r>
              <w:rPr>
                <w:rFonts w:ascii="Times New Roman" w:hAnsi="Times New Roman"/>
                <w:color w:val="auto"/>
                <w:sz w:val="21"/>
                <w:szCs w:val="16"/>
                <w:lang w:eastAsia="zh-CN"/>
              </w:rPr>
              <w:t>驱动链条</w:t>
            </w:r>
            <w:r>
              <w:rPr>
                <w:rFonts w:hint="eastAsia" w:ascii="Times New Roman" w:hAnsi="Times New Roman"/>
                <w:color w:val="auto"/>
                <w:sz w:val="21"/>
                <w:szCs w:val="16"/>
                <w:lang w:eastAsia="zh-CN"/>
              </w:rPr>
              <w:t>应采用非填充乙缩醛链条</w:t>
            </w:r>
            <w:r>
              <w:rPr>
                <w:rFonts w:ascii="Times New Roman" w:hAnsi="Times New Roman"/>
                <w:color w:val="auto"/>
                <w:sz w:val="21"/>
                <w:szCs w:val="16"/>
                <w:lang w:eastAsia="zh-CN"/>
              </w:rPr>
              <w:t>，不锈钢连接销</w:t>
            </w:r>
            <w:r>
              <w:rPr>
                <w:rFonts w:hint="eastAsia" w:ascii="Times New Roman" w:hAnsi="Times New Roman"/>
                <w:color w:val="auto"/>
                <w:sz w:val="21"/>
                <w:szCs w:val="16"/>
                <w:lang w:eastAsia="zh-CN"/>
              </w:rPr>
              <w:t>。驱动链条</w:t>
            </w:r>
            <w:r>
              <w:rPr>
                <w:rFonts w:ascii="Times New Roman" w:hAnsi="Times New Roman"/>
                <w:color w:val="auto"/>
                <w:sz w:val="21"/>
                <w:szCs w:val="16"/>
                <w:lang w:eastAsia="zh-CN"/>
              </w:rPr>
              <w:t>最小破断强度</w:t>
            </w:r>
            <w:r>
              <w:rPr>
                <w:rFonts w:hint="eastAsia" w:ascii="Times New Roman" w:hAnsi="Times New Roman"/>
                <w:color w:val="auto"/>
                <w:sz w:val="21"/>
                <w:szCs w:val="16"/>
                <w:lang w:eastAsia="zh-CN"/>
              </w:rPr>
              <w:t>1814</w:t>
            </w:r>
            <w:r>
              <w:rPr>
                <w:rFonts w:ascii="Times New Roman" w:hAnsi="Times New Roman"/>
                <w:color w:val="auto"/>
                <w:sz w:val="21"/>
                <w:szCs w:val="16"/>
                <w:lang w:eastAsia="zh-CN"/>
              </w:rPr>
              <w:t>kgf</w:t>
            </w:r>
            <w:r>
              <w:rPr>
                <w:rFonts w:hint="eastAsia" w:ascii="Times New Roman" w:hAnsi="Times New Roman"/>
                <w:color w:val="auto"/>
                <w:sz w:val="21"/>
                <w:szCs w:val="16"/>
                <w:lang w:eastAsia="zh-CN"/>
              </w:rPr>
              <w:t>，实际工作荷载对破断强度的安全系数应大于4倍</w:t>
            </w:r>
            <w:r>
              <w:rPr>
                <w:rFonts w:ascii="Times New Roman" w:hAnsi="Times New Roman"/>
                <w:color w:val="auto"/>
                <w:sz w:val="21"/>
                <w:szCs w:val="16"/>
                <w:lang w:eastAsia="zh-CN"/>
              </w:rPr>
              <w:t>。</w:t>
            </w:r>
            <w:r>
              <w:rPr>
                <w:rFonts w:hint="eastAsia" w:ascii="Times New Roman" w:hAnsi="Times New Roman"/>
                <w:color w:val="auto"/>
                <w:sz w:val="21"/>
                <w:szCs w:val="16"/>
                <w:lang w:eastAsia="zh-CN"/>
              </w:rPr>
              <w:t>驱动链条应配有张紧装置，可以通过张紧装置来调节驱动链条的松紧度，避免驱动链条跳齿。</w:t>
            </w:r>
          </w:p>
          <w:p>
            <w:pPr>
              <w:tabs>
                <w:tab w:val="left" w:pos="2820"/>
              </w:tabs>
              <w:spacing w:line="360" w:lineRule="auto"/>
              <w:ind w:firstLine="42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★f.驱动链轮和从动链轮采用聚亚安脂材料制造，</w:t>
            </w:r>
            <w:r>
              <w:rPr>
                <w:rFonts w:ascii="Times New Roman" w:hAnsi="Times New Roman"/>
                <w:color w:val="auto"/>
                <w:sz w:val="21"/>
                <w:szCs w:val="16"/>
                <w:lang w:eastAsia="zh-CN"/>
              </w:rPr>
              <w:t>材料的吸水率按ASTMD570标准，在饱和条件下不超过0.</w:t>
            </w:r>
            <w:r>
              <w:rPr>
                <w:rFonts w:hint="eastAsia" w:ascii="Times New Roman" w:hAnsi="Times New Roman"/>
                <w:color w:val="auto"/>
                <w:sz w:val="21"/>
                <w:szCs w:val="16"/>
                <w:lang w:eastAsia="zh-CN"/>
              </w:rPr>
              <w:t>6</w:t>
            </w:r>
            <w:r>
              <w:rPr>
                <w:rFonts w:ascii="Times New Roman" w:hAnsi="Times New Roman"/>
                <w:color w:val="auto"/>
                <w:sz w:val="21"/>
                <w:szCs w:val="16"/>
                <w:lang w:eastAsia="zh-CN"/>
              </w:rPr>
              <w:t>%，</w:t>
            </w:r>
            <w:r>
              <w:rPr>
                <w:rFonts w:hint="eastAsia" w:ascii="Times New Roman" w:hAnsi="Times New Roman"/>
                <w:color w:val="auto"/>
                <w:sz w:val="21"/>
                <w:szCs w:val="16"/>
                <w:lang w:eastAsia="zh-CN"/>
              </w:rPr>
              <w:t>从动链轮宜采用可拆卸链轮齿设计，以方便链轮齿的更换，减少链轮的维护费用。所有链轮齿的紧固件均为316不锈钢制造。</w:t>
            </w:r>
          </w:p>
          <w:p>
            <w:pPr>
              <w:tabs>
                <w:tab w:val="left" w:pos="2820"/>
              </w:tabs>
              <w:spacing w:line="360" w:lineRule="auto"/>
              <w:ind w:firstLine="42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g.减速机与刮砂机驱动链轮应</w:t>
            </w:r>
            <w:r>
              <w:rPr>
                <w:rFonts w:ascii="Times New Roman" w:hAnsi="Times New Roman"/>
                <w:color w:val="auto"/>
                <w:sz w:val="21"/>
                <w:szCs w:val="16"/>
                <w:lang w:eastAsia="zh-CN"/>
              </w:rPr>
              <w:t>配有一个安全销装置</w:t>
            </w:r>
            <w:r>
              <w:rPr>
                <w:rFonts w:hint="eastAsia" w:ascii="Times New Roman" w:hAnsi="Times New Roman"/>
                <w:color w:val="auto"/>
                <w:sz w:val="21"/>
                <w:szCs w:val="16"/>
                <w:lang w:eastAsia="zh-CN"/>
              </w:rPr>
              <w:t>，</w:t>
            </w:r>
            <w:r>
              <w:rPr>
                <w:rFonts w:ascii="Times New Roman" w:hAnsi="Times New Roman"/>
                <w:color w:val="auto"/>
                <w:sz w:val="21"/>
                <w:szCs w:val="16"/>
                <w:lang w:eastAsia="zh-CN"/>
              </w:rPr>
              <w:t>用于保护驱动设备过载。铝制安全销将驱动毂的力矩传输到链轮上。驱动链轮同时有一个安全开脱器以保护力矩过载。安全开脱器和限位开关连接。相应地，限位开关触动驱动臂关闭电机启动报警电路。限位开关为全天候开关箱，就近安装在过载装置旁并用钢支架支撑。</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②牵引用链条</w:t>
            </w:r>
          </w:p>
          <w:p>
            <w:pPr>
              <w:spacing w:line="360" w:lineRule="auto"/>
              <w:ind w:firstLine="42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a.牵引链条应采用非填充热塑性乙缩醛树脂整体注塑或玻璃钢纤维长缠绕浇铸材料制造。高强度牵引链条平均重量为1.6磅/英尺，工作负载应≧2040kg，保证强度不小于4535kg。在设计工况下保证链节的连续工作寿命大于10年。</w:t>
            </w:r>
          </w:p>
          <w:p>
            <w:pPr>
              <w:tabs>
                <w:tab w:val="left" w:pos="2820"/>
              </w:tabs>
              <w:spacing w:line="360" w:lineRule="auto"/>
              <w:ind w:firstLine="42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b.刮砂机链条采用高强度环式链条为6"节距，基于强度、疲劳和磨损的考虑，链侧板使用链条方向的非填充热塑性乙缩醛树脂整体注塑或玻璃钢纤维长缠绕浇铸组合结构，以减少部件的张力，并配备相匹配的销轴。链销轴直径不小于1"，采用含量不小于70%的单向玻璃纤维拉挤成型或更好的材料。销轴包括一个高分子或更好的材料套筒，在衬套内旋转，并一同镶嵌于侧板内。使其组件与销轴分隔开来。链的销轴采用SS316不锈钢开口销来固定。链套筒在销的衬套内旋转，磨损区域分布在链轮齿与衬套内相接触的范围。</w:t>
            </w:r>
          </w:p>
          <w:p>
            <w:pPr>
              <w:tabs>
                <w:tab w:val="left" w:pos="2820"/>
              </w:tabs>
              <w:spacing w:line="360" w:lineRule="auto"/>
              <w:ind w:firstLine="42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c.高强度的链环将被连接成标准长度的链条，没有散件。刮板栓接于高分子的刮板支架上，并采用SS316不锈钢六角螺栓、尼龙防松螺母以及SS316不锈钢垫圈，将其栓接在SS316不锈钢开口销固定的加长链销轴上的马鞍型附件上。马鞍型附件上的4个安装孔，符合ANSI标准B29-21M81。</w:t>
            </w:r>
          </w:p>
          <w:p>
            <w:pPr>
              <w:tabs>
                <w:tab w:val="left" w:pos="2820"/>
              </w:tabs>
              <w:spacing w:line="360" w:lineRule="auto"/>
              <w:ind w:firstLine="42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d.牵引链条应适用于30</w:t>
            </w:r>
            <w:r>
              <w:rPr>
                <w:rFonts w:ascii="Times New Roman" w:hAnsi="Times New Roman"/>
                <w:color w:val="auto"/>
                <w:sz w:val="21"/>
                <w:szCs w:val="16"/>
                <w:lang w:eastAsia="zh-CN"/>
              </w:rPr>
              <w:t>m</w:t>
            </w:r>
            <w:r>
              <w:rPr>
                <w:rFonts w:hint="eastAsia" w:ascii="Times New Roman" w:hAnsi="Times New Roman"/>
                <w:color w:val="auto"/>
                <w:sz w:val="21"/>
                <w:szCs w:val="16"/>
                <w:lang w:eastAsia="zh-CN"/>
              </w:rPr>
              <w:t>长及1m宽刮砂机使用，须业绩证明。</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③刮泥板及刮砂板</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a.刮砂板应适用于1m槽宽的要求。</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b.刮砂板及刮砂板应由加强型玻璃钢材料制成。刮板应具有足够的强度和刚度，允许挠度不大于1/1000，其中玻璃纤维占60％以上。</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c.刮泥板及刮砂板间隔应布置均匀，刮砂板最大间距不大于1.52m。</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d.刮砂板二侧与带连接座的专用(销合链节距相等)链节连接，并采用不锈钢0Cr19Ni9（304）螺栓紧固。</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④耐磨靴</w:t>
            </w:r>
          </w:p>
          <w:p>
            <w:pPr>
              <w:spacing w:line="360" w:lineRule="auto"/>
              <w:ind w:firstLine="420" w:firstLineChars="200"/>
              <w:jc w:val="both"/>
              <w:rPr>
                <w:rFonts w:ascii="Times New Roman" w:hAnsi="Times New Roman"/>
                <w:color w:val="auto"/>
                <w:sz w:val="21"/>
                <w:szCs w:val="16"/>
                <w:lang w:eastAsia="zh-CN"/>
              </w:rPr>
            </w:pPr>
            <w:r>
              <w:rPr>
                <w:rFonts w:ascii="Times New Roman" w:hAnsi="Times New Roman"/>
                <w:color w:val="auto"/>
                <w:sz w:val="21"/>
                <w:szCs w:val="16"/>
                <w:lang w:eastAsia="zh-CN"/>
              </w:rPr>
              <w:t>a.</w:t>
            </w:r>
            <w:r>
              <w:rPr>
                <w:rFonts w:hint="eastAsia" w:ascii="Times New Roman" w:hAnsi="Times New Roman"/>
                <w:color w:val="auto"/>
                <w:sz w:val="21"/>
                <w:szCs w:val="16"/>
                <w:lang w:eastAsia="zh-CN"/>
              </w:rPr>
              <w:t>刮砂板需安装耐磨靴，刮砂时下侧耐磨靴与设在池底的导轨接触，回程时上侧耐磨靴与托架导轨接触。耐磨靴应采用尼龙6/6或更好材料制造。耐磨靴的工作寿命应保证在设计工况条件下连续运行5年以上。</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b.最小抗拉强度88.3MPa，洛氏硬度不低于R110。</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c.所有耐磨靴是双面（正反面）可调换使用。</w:t>
            </w:r>
          </w:p>
          <w:p>
            <w:pPr>
              <w:tabs>
                <w:tab w:val="left" w:pos="2820"/>
              </w:tabs>
              <w:spacing w:line="360" w:lineRule="auto"/>
              <w:ind w:firstLine="42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★d.回程耐磨靴应具有限位凸片以保证刮板回程时能回到正确合适的行走轨迹。</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⑤牵引链主轴系</w:t>
            </w:r>
          </w:p>
          <w:p>
            <w:pPr>
              <w:tabs>
                <w:tab w:val="left" w:pos="2820"/>
              </w:tabs>
              <w:spacing w:line="360" w:lineRule="auto"/>
              <w:ind w:firstLine="420"/>
              <w:jc w:val="both"/>
              <w:rPr>
                <w:rFonts w:ascii="Times New Roman" w:hAnsi="Times New Roman"/>
                <w:color w:val="auto"/>
                <w:sz w:val="21"/>
                <w:szCs w:val="16"/>
                <w:lang w:eastAsia="zh-CN"/>
              </w:rPr>
            </w:pPr>
            <w:r>
              <w:rPr>
                <w:rFonts w:ascii="Times New Roman" w:hAnsi="Times New Roman"/>
                <w:color w:val="auto"/>
                <w:sz w:val="21"/>
                <w:szCs w:val="16"/>
                <w:lang w:eastAsia="zh-CN"/>
              </w:rPr>
              <w:t>a.</w:t>
            </w:r>
            <w:r>
              <w:rPr>
                <w:rFonts w:hint="eastAsia" w:ascii="Times New Roman" w:hAnsi="Times New Roman"/>
                <w:color w:val="auto"/>
                <w:sz w:val="21"/>
                <w:szCs w:val="16"/>
                <w:lang w:eastAsia="zh-CN"/>
              </w:rPr>
              <w:t>牵引链主轴系采用不锈钢304制造，应具有足够的抗弯、抗扭强度，二侧牵引链应保持同步移动。</w:t>
            </w:r>
          </w:p>
          <w:p>
            <w:pPr>
              <w:tabs>
                <w:tab w:val="left" w:pos="2820"/>
              </w:tabs>
              <w:spacing w:line="360" w:lineRule="auto"/>
              <w:ind w:firstLine="42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w:t>
            </w:r>
            <w:r>
              <w:rPr>
                <w:rFonts w:ascii="Times New Roman" w:hAnsi="Times New Roman"/>
                <w:color w:val="auto"/>
                <w:sz w:val="21"/>
                <w:szCs w:val="16"/>
                <w:lang w:eastAsia="zh-CN"/>
              </w:rPr>
              <w:t>b.</w:t>
            </w:r>
            <w:r>
              <w:rPr>
                <w:rFonts w:hint="eastAsia" w:ascii="Times New Roman" w:hAnsi="Times New Roman"/>
                <w:color w:val="auto"/>
                <w:sz w:val="21"/>
                <w:szCs w:val="16"/>
                <w:lang w:eastAsia="zh-CN"/>
              </w:rPr>
              <w:t>牵引链主轴链轮采用聚亚安脂材料制造，扣链齿轮在饱和状态下水吸收率按ASTMD－570标准不超过</w:t>
            </w:r>
            <w:r>
              <w:rPr>
                <w:rFonts w:ascii="Times New Roman" w:hAnsi="Times New Roman"/>
                <w:color w:val="auto"/>
                <w:sz w:val="21"/>
                <w:szCs w:val="16"/>
                <w:lang w:eastAsia="zh-CN"/>
              </w:rPr>
              <w:t>0.6%</w:t>
            </w:r>
            <w:r>
              <w:rPr>
                <w:rFonts w:hint="eastAsia" w:ascii="Times New Roman" w:hAnsi="Times New Roman"/>
                <w:color w:val="auto"/>
                <w:sz w:val="21"/>
                <w:szCs w:val="16"/>
                <w:lang w:eastAsia="zh-CN"/>
              </w:rPr>
              <w:t>。应具有足够的抗弯强度，洛氏硬度不低于R116。</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⑥牵引链角轴系</w:t>
            </w:r>
          </w:p>
          <w:p>
            <w:pPr>
              <w:tabs>
                <w:tab w:val="left" w:pos="2820"/>
              </w:tabs>
              <w:spacing w:line="360" w:lineRule="auto"/>
              <w:ind w:firstLine="42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（1）角轴宜采用悬臂式支承结构。从动轴应具有足够的抗拉、抗弯、抗扭强度。</w:t>
            </w:r>
          </w:p>
          <w:p>
            <w:pPr>
              <w:tabs>
                <w:tab w:val="left" w:pos="2820"/>
              </w:tabs>
              <w:spacing w:line="360" w:lineRule="auto"/>
              <w:ind w:firstLine="42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（2）角轴应采用热浸锌防腐碳钢或不锈钢材料制造。洛式硬度不低于R116。</w:t>
            </w:r>
          </w:p>
          <w:p>
            <w:pPr>
              <w:tabs>
                <w:tab w:val="left" w:pos="2820"/>
              </w:tabs>
              <w:spacing w:line="360" w:lineRule="auto"/>
              <w:ind w:firstLine="42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★（3）角轴链轮采用聚亚安脂材料制造，扣链齿轮在饱和状态下水吸收率按ASTMD－570标准不超过</w:t>
            </w:r>
            <w:r>
              <w:rPr>
                <w:rFonts w:ascii="Times New Roman" w:hAnsi="Times New Roman"/>
                <w:color w:val="auto"/>
                <w:sz w:val="21"/>
                <w:szCs w:val="16"/>
                <w:lang w:eastAsia="zh-CN"/>
              </w:rPr>
              <w:t>0.6%</w:t>
            </w:r>
            <w:r>
              <w:rPr>
                <w:rFonts w:hint="eastAsia" w:ascii="Times New Roman" w:hAnsi="Times New Roman"/>
                <w:color w:val="auto"/>
                <w:sz w:val="21"/>
                <w:szCs w:val="16"/>
                <w:lang w:eastAsia="zh-CN"/>
              </w:rPr>
              <w:t>。</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⑦轴承</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水下轴承应为可更换的整体式自润滑轴承形式，轴衬应承载力强，耐磨性好，采用聚乙烯、聚亚安酯制造或更好的材料制造，采用自动对齐形式，轴承的安装应方便对齐。</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⑧回程轨道的托架</w:t>
            </w:r>
          </w:p>
          <w:p>
            <w:pPr>
              <w:tabs>
                <w:tab w:val="left" w:pos="2820"/>
              </w:tabs>
              <w:spacing w:line="360" w:lineRule="auto"/>
              <w:ind w:firstLine="420"/>
              <w:jc w:val="both"/>
              <w:rPr>
                <w:rFonts w:ascii="Times New Roman" w:hAnsi="Times New Roman"/>
                <w:color w:val="auto"/>
                <w:sz w:val="21"/>
                <w:szCs w:val="16"/>
                <w:lang w:eastAsia="zh-CN"/>
              </w:rPr>
            </w:pPr>
            <w:r>
              <w:rPr>
                <w:rFonts w:ascii="Times New Roman" w:hAnsi="Times New Roman"/>
                <w:color w:val="auto"/>
                <w:sz w:val="21"/>
                <w:szCs w:val="16"/>
                <w:lang w:eastAsia="zh-CN"/>
              </w:rPr>
              <w:t>a.</w:t>
            </w:r>
            <w:r>
              <w:rPr>
                <w:rFonts w:hint="eastAsia" w:ascii="Times New Roman" w:hAnsi="Times New Roman"/>
                <w:color w:val="auto"/>
                <w:sz w:val="21"/>
                <w:szCs w:val="16"/>
                <w:lang w:eastAsia="zh-CN"/>
              </w:rPr>
              <w:t>回程轨道应采用玻璃钢材料制造，回程轨道托架应采用PVC或玻璃钢非金属支撑架。</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回程轨道托架可采用玻璃钢或尼龙6制造。</w:t>
            </w:r>
          </w:p>
          <w:p>
            <w:pPr>
              <w:tabs>
                <w:tab w:val="left" w:pos="2820"/>
              </w:tabs>
              <w:spacing w:line="360" w:lineRule="auto"/>
              <w:ind w:firstLine="420"/>
              <w:jc w:val="both"/>
              <w:rPr>
                <w:rFonts w:ascii="Times New Roman" w:hAnsi="Times New Roman"/>
                <w:color w:val="auto"/>
                <w:sz w:val="21"/>
                <w:szCs w:val="16"/>
                <w:lang w:eastAsia="zh-CN"/>
              </w:rPr>
            </w:pPr>
            <w:r>
              <w:rPr>
                <w:rFonts w:ascii="Times New Roman" w:hAnsi="Times New Roman"/>
                <w:color w:val="auto"/>
                <w:sz w:val="21"/>
                <w:szCs w:val="16"/>
                <w:lang w:eastAsia="zh-CN"/>
              </w:rPr>
              <w:t>b.</w:t>
            </w:r>
            <w:r>
              <w:rPr>
                <w:rFonts w:hint="eastAsia" w:ascii="Times New Roman" w:hAnsi="Times New Roman"/>
                <w:color w:val="auto"/>
                <w:sz w:val="21"/>
                <w:szCs w:val="16"/>
                <w:lang w:eastAsia="zh-CN"/>
              </w:rPr>
              <w:t>托架的支承间距应小于等于3.048m。</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c.托架沿池壁固定，应坚实、稳固，并具有足够的承载能力。</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d.所有基础螺栓与紧固件均采用0Cr19Ni9（304）不锈钢材料。</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⑨导轨</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导轨应由承载力强、耐磨性好的增强聚乙烯(UHMV-PE)或不锈钢材料制造。池底导轨采用0Cr19Ni9（304）不锈钢螺栓固定在池底上。</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回程导轨，采用不锈钢紧固件固定于池壁的托架上。</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fldChar w:fldCharType="begin"/>
            </w:r>
            <w:r>
              <w:rPr>
                <w:rFonts w:ascii="Times New Roman" w:hAnsi="Times New Roman"/>
                <w:color w:val="auto"/>
                <w:sz w:val="21"/>
                <w:szCs w:val="16"/>
                <w:lang w:eastAsia="zh-CN"/>
              </w:rPr>
              <w:instrText xml:space="preserve"> = 10 \* GB3 \* MERGEFORMAT </w:instrText>
            </w:r>
            <w:r>
              <w:rPr>
                <w:rFonts w:hint="eastAsia" w:ascii="Times New Roman" w:hAnsi="Times New Roman"/>
                <w:color w:val="auto"/>
                <w:sz w:val="21"/>
                <w:szCs w:val="16"/>
                <w:lang w:eastAsia="zh-CN"/>
              </w:rPr>
              <w:fldChar w:fldCharType="separate"/>
            </w:r>
            <w:r>
              <w:rPr>
                <w:rFonts w:hint="eastAsia" w:ascii="Times New Roman" w:hAnsi="Times New Roman"/>
                <w:color w:val="auto"/>
                <w:sz w:val="21"/>
                <w:szCs w:val="16"/>
                <w:lang w:eastAsia="zh-CN"/>
              </w:rPr>
              <w:t>⑩</w:t>
            </w:r>
            <w:r>
              <w:rPr>
                <w:rFonts w:hint="eastAsia" w:ascii="Times New Roman" w:hAnsi="Times New Roman"/>
                <w:color w:val="auto"/>
                <w:sz w:val="21"/>
                <w:szCs w:val="16"/>
                <w:lang w:eastAsia="zh-CN"/>
              </w:rPr>
              <w:fldChar w:fldCharType="end"/>
            </w:r>
            <w:r>
              <w:rPr>
                <w:rFonts w:hint="eastAsia" w:ascii="Times New Roman" w:hAnsi="Times New Roman"/>
                <w:color w:val="auto"/>
                <w:sz w:val="21"/>
                <w:szCs w:val="16"/>
                <w:lang w:eastAsia="zh-CN"/>
              </w:rPr>
              <w:t>保护罩</w:t>
            </w:r>
          </w:p>
          <w:p>
            <w:pPr>
              <w:tabs>
                <w:tab w:val="left" w:pos="2820"/>
              </w:tabs>
              <w:spacing w:line="360" w:lineRule="auto"/>
              <w:ind w:firstLine="42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驱动装置及驱动链条、链轮就位于操作平台上的部分应采用可拆卸的316不锈钢金属保护罩。</w:t>
            </w:r>
          </w:p>
          <w:p>
            <w:pPr>
              <w:tabs>
                <w:tab w:val="left" w:pos="426"/>
              </w:tabs>
              <w:spacing w:line="360" w:lineRule="auto"/>
              <w:ind w:firstLine="42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系统保护装置</w:t>
            </w:r>
          </w:p>
          <w:p>
            <w:pPr>
              <w:tabs>
                <w:tab w:val="left" w:pos="2820"/>
              </w:tabs>
              <w:spacing w:line="360" w:lineRule="auto"/>
              <w:ind w:firstLine="42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至少配备电机过流及过热保护装置、机械式平行运转检测装置、电子式过扭矩保护装置、驱动部件断裂报警、链条断裂报警、链条松弛、跳齿、刮砂板跑偏等系统保护装置，将报警信号送刮砂机控制箱内，此时控制箱应能立即切断发生故障的刮砂机电机电源，并将全部保护报警信号送至主PLC基站及中控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4"/>
          </w:tcPr>
          <w:p>
            <w:pPr>
              <w:pStyle w:val="29"/>
              <w:ind w:firstLine="0" w:firstLineChars="0"/>
              <w:rPr>
                <w:rFonts w:ascii="宋体" w:hAnsi="宋体"/>
                <w:b/>
                <w:color w:val="auto"/>
                <w:szCs w:val="24"/>
              </w:rPr>
            </w:pPr>
            <w:r>
              <w:rPr>
                <w:rFonts w:hint="eastAsia"/>
                <w:b/>
                <w:bCs/>
                <w:color w:val="auto"/>
                <w:sz w:val="21"/>
                <w:szCs w:val="20"/>
              </w:rPr>
              <w:t>主要材料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4"/>
          </w:tcPr>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★驱动链</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非填充乙缩醛</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★刮砂板链条</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玻璃钢纤维缠绕或非填充热塑性乙缩醛树脂整体注塑</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刮砂板</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玻璃钢</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耐磨靴</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超高分子聚乙烯（</w:t>
            </w:r>
            <w:r>
              <w:rPr>
                <w:rFonts w:ascii="Times New Roman" w:hAnsi="Times New Roman"/>
                <w:color w:val="auto"/>
                <w:sz w:val="21"/>
                <w:szCs w:val="16"/>
                <w:lang w:eastAsia="zh-CN"/>
              </w:rPr>
              <w:t>UHMW-PE</w:t>
            </w:r>
            <w:r>
              <w:rPr>
                <w:rFonts w:hint="eastAsia" w:ascii="Times New Roman" w:hAnsi="Times New Roman"/>
                <w:color w:val="auto"/>
                <w:sz w:val="21"/>
                <w:szCs w:val="16"/>
                <w:lang w:eastAsia="zh-CN"/>
              </w:rPr>
              <w:t>）</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★驱动链轮</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聚亚安脂</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★从动链轮</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聚亚安脂</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★主轴链轮聚亚安脂</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★角轴链轮聚亚安脂</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牵引链主轴</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不锈钢304</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牵引链角轴</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不锈钢304</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耐磨条</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增强聚乙烯（UHMW-PE）</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回程轨道</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玻璃钢或PVC</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回程轨道托架</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PVC</w:t>
            </w:r>
          </w:p>
          <w:p>
            <w:pPr>
              <w:spacing w:line="360" w:lineRule="auto"/>
              <w:ind w:firstLine="420" w:firstLineChars="200"/>
              <w:jc w:val="both"/>
              <w:rPr>
                <w:rFonts w:ascii="Times New Roman" w:hAnsi="Times New Roman"/>
                <w:color w:val="auto"/>
                <w:sz w:val="21"/>
                <w:szCs w:val="16"/>
                <w:lang w:eastAsia="zh-CN"/>
              </w:rPr>
            </w:pPr>
            <w:r>
              <w:rPr>
                <w:rFonts w:ascii="Times New Roman" w:hAnsi="Times New Roman"/>
                <w:color w:val="auto"/>
                <w:sz w:val="21"/>
                <w:szCs w:val="16"/>
                <w:lang w:eastAsia="zh-CN"/>
              </w:rPr>
              <w:t>撇渣管</w:t>
            </w:r>
            <w:r>
              <w:rPr>
                <w:rFonts w:ascii="Times New Roman" w:hAnsi="Times New Roman"/>
                <w:color w:val="auto"/>
                <w:sz w:val="21"/>
                <w:szCs w:val="16"/>
                <w:lang w:eastAsia="zh-CN"/>
              </w:rPr>
              <w:tab/>
            </w:r>
            <w:r>
              <w:rPr>
                <w:rFonts w:ascii="Times New Roman" w:hAnsi="Times New Roman"/>
                <w:color w:val="auto"/>
                <w:sz w:val="21"/>
                <w:szCs w:val="16"/>
                <w:lang w:eastAsia="zh-CN"/>
              </w:rPr>
              <w:t>不锈钢</w:t>
            </w:r>
            <w:r>
              <w:rPr>
                <w:rFonts w:hint="eastAsia" w:ascii="Times New Roman" w:hAnsi="Times New Roman"/>
                <w:color w:val="auto"/>
                <w:sz w:val="21"/>
                <w:szCs w:val="16"/>
                <w:lang w:eastAsia="zh-CN"/>
              </w:rPr>
              <w:t>304</w:t>
            </w:r>
          </w:p>
          <w:p>
            <w:pPr>
              <w:spacing w:line="360" w:lineRule="auto"/>
              <w:ind w:firstLine="420" w:firstLineChars="200"/>
              <w:jc w:val="both"/>
              <w:rPr>
                <w:rFonts w:ascii="宋体" w:hAnsi="宋体"/>
                <w:color w:val="auto"/>
                <w:sz w:val="24"/>
                <w:szCs w:val="24"/>
              </w:rPr>
            </w:pPr>
            <w:r>
              <w:rPr>
                <w:rFonts w:hint="eastAsia" w:ascii="Times New Roman" w:hAnsi="Times New Roman"/>
                <w:color w:val="auto"/>
                <w:sz w:val="21"/>
                <w:szCs w:val="16"/>
                <w:lang w:eastAsia="zh-CN"/>
              </w:rPr>
              <w:t>紧固件</w:t>
            </w:r>
            <w:r>
              <w:rPr>
                <w:rFonts w:ascii="Times New Roman" w:hAnsi="Times New Roman"/>
                <w:color w:val="auto"/>
                <w:sz w:val="21"/>
                <w:szCs w:val="16"/>
                <w:lang w:eastAsia="zh-CN"/>
              </w:rPr>
              <w:t>不锈钢</w:t>
            </w:r>
            <w:r>
              <w:rPr>
                <w:rFonts w:hint="eastAsia" w:ascii="Times New Roman" w:hAnsi="Times New Roman"/>
                <w:color w:val="auto"/>
                <w:sz w:val="21"/>
                <w:szCs w:val="16"/>
                <w:lang w:eastAsia="zh-CN"/>
              </w:rPr>
              <w:t>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4"/>
          </w:tcPr>
          <w:p>
            <w:pPr>
              <w:pStyle w:val="29"/>
              <w:ind w:firstLine="0" w:firstLineChars="0"/>
              <w:rPr>
                <w:rFonts w:ascii="宋体" w:hAnsi="宋体"/>
                <w:b/>
                <w:color w:val="auto"/>
                <w:szCs w:val="24"/>
              </w:rPr>
            </w:pPr>
            <w:r>
              <w:rPr>
                <w:rFonts w:hint="eastAsia"/>
                <w:b/>
                <w:bCs/>
                <w:color w:val="auto"/>
                <w:sz w:val="21"/>
                <w:szCs w:val="20"/>
              </w:rPr>
              <w:t>抗腐蚀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4"/>
          </w:tcPr>
          <w:p>
            <w:pPr>
              <w:spacing w:line="360" w:lineRule="auto"/>
              <w:ind w:firstLine="420" w:firstLineChars="200"/>
              <w:jc w:val="both"/>
              <w:rPr>
                <w:rFonts w:ascii="宋体" w:hAnsi="宋体"/>
                <w:color w:val="auto"/>
                <w:sz w:val="24"/>
                <w:szCs w:val="24"/>
                <w:lang w:eastAsia="zh-CN"/>
              </w:rPr>
            </w:pPr>
            <w:r>
              <w:rPr>
                <w:rFonts w:hint="eastAsia" w:ascii="Times New Roman" w:hAnsi="Times New Roman"/>
                <w:color w:val="auto"/>
                <w:sz w:val="21"/>
                <w:szCs w:val="16"/>
                <w:lang w:eastAsia="zh-CN"/>
              </w:rPr>
              <w:t>制造刮砂机的全部材料应适用于污水的腐蚀环境，未经保护或非腐蚀性材料应按一般技术要求的有关条款进行处理。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4"/>
          </w:tcPr>
          <w:p>
            <w:pPr>
              <w:pStyle w:val="29"/>
              <w:ind w:firstLine="0" w:firstLineChars="0"/>
              <w:rPr>
                <w:color w:val="auto"/>
                <w:szCs w:val="20"/>
                <w:lang w:eastAsia="en-US"/>
              </w:rPr>
            </w:pPr>
            <w:r>
              <w:rPr>
                <w:rFonts w:hint="eastAsia"/>
                <w:b/>
                <w:bCs/>
                <w:color w:val="auto"/>
                <w:sz w:val="21"/>
                <w:szCs w:val="20"/>
              </w:rPr>
              <w:t>控制方式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4"/>
          </w:tcPr>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由配套供应的电控箱控制,电控箱1控1，户外支架安装，防护等级IP65。</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配套电控箱至其所控设备之间的动力以及控制线缆配套供应。各配套电控箱之间的联动控制线缆配套供应。配套电缆报价应包括在主机投标总价内。</w:t>
            </w:r>
          </w:p>
          <w:p>
            <w:pPr>
              <w:spacing w:line="360" w:lineRule="auto"/>
              <w:ind w:firstLine="420" w:firstLineChars="200"/>
              <w:jc w:val="both"/>
              <w:rPr>
                <w:rFonts w:ascii="Times New Roman" w:hAnsi="Times New Roman"/>
                <w:color w:val="auto"/>
                <w:sz w:val="21"/>
                <w:szCs w:val="16"/>
              </w:rPr>
            </w:pPr>
            <w:r>
              <w:rPr>
                <w:rFonts w:hint="eastAsia" w:ascii="Times New Roman" w:hAnsi="Times New Roman"/>
                <w:color w:val="auto"/>
                <w:sz w:val="21"/>
                <w:szCs w:val="16"/>
              </w:rPr>
              <w:t>电控箱所提供的外接信号满足本施工图中《2-1#I/O站IO一览表（一）》、《3-1#I/O站IO一览表（一）》中所列信号要求。电控箱所提供的外接信号数量及功能不能少于《2-1#I/O站IO一览表（一）》、《3-1#I/O站IO一览表（一）》中的信号数量及功能，所提供的外接端子信号型式需与《2-1#I/O站IO一览表（一）》、《3-1#I/O站IO一览表（一）》中的各信号的型式相一致。</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其他详细技术要求参见《与机械设备配套的电气控制箱（柜）专用技术规范》。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4"/>
          </w:tcPr>
          <w:p>
            <w:pPr>
              <w:pStyle w:val="29"/>
              <w:ind w:firstLine="0" w:firstLineChars="0"/>
              <w:rPr>
                <w:color w:val="auto"/>
                <w:sz w:val="21"/>
                <w:szCs w:val="16"/>
              </w:rPr>
            </w:pPr>
            <w:r>
              <w:rPr>
                <w:rFonts w:hint="eastAsia"/>
                <w:b/>
                <w:bCs/>
                <w:color w:val="auto"/>
                <w:sz w:val="21"/>
                <w:szCs w:val="20"/>
              </w:rPr>
              <w:t>工厂试验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4"/>
          </w:tcPr>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a.承包商应提供驱动装置合格证明及牵引链破断强度试验报告，（以五节销合链连结后进行拉伸试验），破断强度不低于34KN。</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b.承包商应提出链条磨损量试验报告，以证明可达10年以上工作寿命。</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承包商在投标文件中应提交第三方出具的测试报告及证明文件包括极限强度测试,链条寿命周期测试，该文件将证明刮泥机的制造商具有在材料和制造方面质量控制管理系统。</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★链条极限强度测试</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在提交投标书时应同时提交一个由独立测试公司（第三方）完成的链条极限强度测试证明文件。极限强度测试采用3组5个链节组成的短链进行拉力测试。链条的破断负荷必须不小于3400kg。链条极限强度测试的目的是为了证明链条抗拉破强度。</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★链条寿命周期测试</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在提交投标书同时提交一份由独立测试公司完成的链条寿命周期测试证明文件。该文件应证明链条耐磨寿命测试是在设计预计操作负荷下以常规运行十倍以上走速的情况下，其链条的寿命不少于10年。并提供链条寿命计算书。</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★链条吸水率测试</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在提交投标书时应同时提交一个由独立测试公司完成的链条吸水率测试证明文件。按照ASTMD570测试方法对链条进行了吸水率测试，样本选用链节末端，切成小块，以便在最短时间内达到吸水饱合状态，链节的饱合吸水率应不超过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4"/>
          </w:tcPr>
          <w:p>
            <w:pPr>
              <w:pStyle w:val="29"/>
              <w:ind w:firstLine="0" w:firstLineChars="0"/>
              <w:rPr>
                <w:color w:val="auto"/>
                <w:sz w:val="21"/>
                <w:szCs w:val="16"/>
              </w:rPr>
            </w:pPr>
            <w:r>
              <w:rPr>
                <w:rFonts w:hint="eastAsia"/>
                <w:b/>
                <w:bCs/>
                <w:color w:val="auto"/>
                <w:sz w:val="21"/>
                <w:szCs w:val="20"/>
              </w:rPr>
              <w:t>安装和检验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4"/>
          </w:tcPr>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1)参考标准</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JB/T2932-19999</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《水处理设备制造技术条件》</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JB/ZQ4000.3-86</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《焊接件通用技术要求》</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JB/ZQ4000.9-86</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《装配通用技术条件》</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GB50205-2001</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《钢结构工程施工质量验收规范》</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GB50231-98</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《机械设备安装工程施工及验收通用规范》</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GB50334-2002</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《城市污水处理厂工程质量验收规范》</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制造厂</w:t>
            </w:r>
            <w:r>
              <w:rPr>
                <w:rFonts w:hint="eastAsia" w:ascii="Times New Roman" w:hAnsi="Times New Roman"/>
                <w:color w:val="auto"/>
                <w:sz w:val="21"/>
                <w:szCs w:val="16"/>
                <w:lang w:eastAsia="zh-CN"/>
              </w:rPr>
              <w:tab/>
            </w:r>
            <w:r>
              <w:rPr>
                <w:rFonts w:hint="eastAsia" w:ascii="Times New Roman" w:hAnsi="Times New Roman"/>
                <w:color w:val="auto"/>
                <w:sz w:val="21"/>
                <w:szCs w:val="16"/>
                <w:lang w:eastAsia="zh-CN"/>
              </w:rPr>
              <w:t>《链条刮泥机安装技术手册（包括安装调试）》</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2)现场条件</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a.承包商应遵照标书图纸及对应土建工程的预留槽，进行链板式刮砂机的安装。</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b.承包商在机械设备安装前，应对建成构筑物的相关土建尺寸，进行核对，并提出详细记录。</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3)设备结构要素</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a.链板式刮砂机需按若干部件在现场组装。</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b.安装顺序应按制造厂安装手册为准。</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c.在安装前，制造厂为防止部件损坏而包装的防护粘贴，不得提前撕离。</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4)与土建工程分界面</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a.上述刮砂机在土建构筑物上的预留槽或预埋铁板属土建工程。</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b.设备固定用基础螺栓为供货商的随机附件。</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c.二次灌浆属本设备安装工程的范围。</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5)现场检验和调试</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a.设备安装前，承包商应对沉砂池标高、水池尺寸和池底平整度进行检测并应符合设计要求。</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b.刮砂机的安装精度与允差应符合有关规定：</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沉砂池池底沿全长的平面度允差；</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池顶及池底相对标高偏差；</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驱动装置机座面的水平度；</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牵引链驱动轴的水平度允差；</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牵引链从动轴的水平度允差；</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位于同一侧的相邻链轮间距与另一侧相对应的链轮间距之差值与同轴上左右二链轮中心距的比值不大于1/500；</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同一主链的前后二链轮中心线偏差；</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同轴上的左右二链轮轮距允差；</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左右二导轨中心距的允差；</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左右二导轨顶面的高差不大于二导轨中心距的1/2000；</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导轨接头的错位允差，其顶面偏差不大于0.5mm，侧面偏差不大于0.5mm。</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牵引链的各轮轴二端轴承座的基础螺栓，应与土建钢筋焊接后进行二次灌浆。</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刮板在移动时不得与集渣管等其他设施相碰。</w:t>
            </w:r>
          </w:p>
        </w:tc>
      </w:tr>
    </w:tbl>
    <w:p>
      <w:pPr>
        <w:pStyle w:val="29"/>
        <w:ind w:firstLineChars="0"/>
        <w:rPr>
          <w:color w:val="auto"/>
        </w:rPr>
      </w:pPr>
    </w:p>
    <w:p>
      <w:pPr>
        <w:pStyle w:val="31"/>
        <w:rPr>
          <w:color w:val="auto"/>
        </w:rPr>
      </w:pPr>
      <w:r>
        <w:rPr>
          <w:rFonts w:hint="eastAsia"/>
          <w:color w:val="auto"/>
        </w:rPr>
        <w:t>电动旋转撇渣机</w:t>
      </w:r>
    </w:p>
    <w:tbl>
      <w:tblPr>
        <w:tblStyle w:val="24"/>
        <w:tblW w:w="88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126"/>
        <w:gridCol w:w="2126"/>
        <w:gridCol w:w="1134"/>
        <w:gridCol w:w="1276"/>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 w:hRule="atLeast"/>
        </w:trPr>
        <w:tc>
          <w:tcPr>
            <w:tcW w:w="1101" w:type="dxa"/>
          </w:tcPr>
          <w:p>
            <w:pPr>
              <w:pStyle w:val="29"/>
              <w:ind w:firstLine="0" w:firstLineChars="0"/>
              <w:jc w:val="center"/>
              <w:rPr>
                <w:b/>
                <w:color w:val="auto"/>
                <w:sz w:val="21"/>
                <w:szCs w:val="20"/>
              </w:rPr>
            </w:pPr>
            <w:r>
              <w:rPr>
                <w:rFonts w:hint="eastAsia"/>
                <w:b/>
                <w:color w:val="auto"/>
                <w:sz w:val="21"/>
                <w:szCs w:val="20"/>
              </w:rPr>
              <w:t>序号</w:t>
            </w:r>
          </w:p>
        </w:tc>
        <w:tc>
          <w:tcPr>
            <w:tcW w:w="2126" w:type="dxa"/>
          </w:tcPr>
          <w:p>
            <w:pPr>
              <w:pStyle w:val="29"/>
              <w:ind w:firstLine="0" w:firstLineChars="0"/>
              <w:jc w:val="center"/>
              <w:rPr>
                <w:b/>
                <w:color w:val="auto"/>
                <w:sz w:val="21"/>
                <w:szCs w:val="20"/>
              </w:rPr>
            </w:pPr>
            <w:r>
              <w:rPr>
                <w:rFonts w:hint="eastAsia"/>
                <w:b/>
                <w:color w:val="auto"/>
                <w:sz w:val="21"/>
                <w:szCs w:val="20"/>
              </w:rPr>
              <w:t>名称</w:t>
            </w:r>
          </w:p>
        </w:tc>
        <w:tc>
          <w:tcPr>
            <w:tcW w:w="2126" w:type="dxa"/>
          </w:tcPr>
          <w:p>
            <w:pPr>
              <w:pStyle w:val="29"/>
              <w:ind w:firstLine="0" w:firstLineChars="0"/>
              <w:jc w:val="center"/>
              <w:rPr>
                <w:b/>
                <w:color w:val="auto"/>
                <w:sz w:val="21"/>
                <w:szCs w:val="20"/>
              </w:rPr>
            </w:pPr>
            <w:r>
              <w:rPr>
                <w:rFonts w:hint="eastAsia"/>
                <w:b/>
                <w:color w:val="auto"/>
                <w:sz w:val="21"/>
                <w:szCs w:val="20"/>
              </w:rPr>
              <w:t>规格</w:t>
            </w:r>
          </w:p>
        </w:tc>
        <w:tc>
          <w:tcPr>
            <w:tcW w:w="1134" w:type="dxa"/>
          </w:tcPr>
          <w:p>
            <w:pPr>
              <w:pStyle w:val="29"/>
              <w:ind w:firstLine="0" w:firstLineChars="0"/>
              <w:jc w:val="center"/>
              <w:rPr>
                <w:b/>
                <w:color w:val="auto"/>
                <w:sz w:val="21"/>
                <w:szCs w:val="20"/>
              </w:rPr>
            </w:pPr>
            <w:r>
              <w:rPr>
                <w:rFonts w:hint="eastAsia"/>
                <w:b/>
                <w:color w:val="auto"/>
                <w:sz w:val="21"/>
                <w:szCs w:val="20"/>
              </w:rPr>
              <w:t>数量</w:t>
            </w:r>
          </w:p>
        </w:tc>
        <w:tc>
          <w:tcPr>
            <w:tcW w:w="1276" w:type="dxa"/>
          </w:tcPr>
          <w:p>
            <w:pPr>
              <w:pStyle w:val="29"/>
              <w:ind w:firstLine="0" w:firstLineChars="0"/>
              <w:jc w:val="center"/>
              <w:rPr>
                <w:b/>
                <w:color w:val="auto"/>
                <w:sz w:val="21"/>
                <w:szCs w:val="20"/>
              </w:rPr>
            </w:pPr>
            <w:r>
              <w:rPr>
                <w:rFonts w:hint="eastAsia"/>
                <w:b/>
                <w:color w:val="auto"/>
                <w:sz w:val="21"/>
                <w:szCs w:val="20"/>
              </w:rPr>
              <w:t>单位</w:t>
            </w:r>
          </w:p>
        </w:tc>
        <w:tc>
          <w:tcPr>
            <w:tcW w:w="1103" w:type="dxa"/>
          </w:tcPr>
          <w:p>
            <w:pPr>
              <w:pStyle w:val="29"/>
              <w:ind w:firstLine="0" w:firstLineChars="0"/>
              <w:jc w:val="center"/>
              <w:rPr>
                <w:b/>
                <w:color w:val="auto"/>
                <w:sz w:val="21"/>
                <w:szCs w:val="20"/>
              </w:rPr>
            </w:pPr>
            <w:r>
              <w:rPr>
                <w:rFonts w:hint="eastAsia"/>
                <w:b/>
                <w:color w:val="auto"/>
                <w:sz w:val="21"/>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101" w:type="dxa"/>
          </w:tcPr>
          <w:p>
            <w:pPr>
              <w:pStyle w:val="29"/>
              <w:ind w:firstLine="0" w:firstLineChars="0"/>
              <w:rPr>
                <w:color w:val="auto"/>
                <w:sz w:val="21"/>
                <w:szCs w:val="20"/>
              </w:rPr>
            </w:pPr>
            <w:r>
              <w:rPr>
                <w:rFonts w:hint="eastAsia"/>
                <w:color w:val="auto"/>
                <w:sz w:val="21"/>
                <w:szCs w:val="20"/>
              </w:rPr>
              <w:t>1</w:t>
            </w:r>
          </w:p>
        </w:tc>
        <w:tc>
          <w:tcPr>
            <w:tcW w:w="2126" w:type="dxa"/>
          </w:tcPr>
          <w:p>
            <w:pPr>
              <w:pStyle w:val="29"/>
              <w:ind w:firstLine="0" w:firstLineChars="0"/>
              <w:rPr>
                <w:color w:val="auto"/>
                <w:sz w:val="21"/>
                <w:szCs w:val="20"/>
              </w:rPr>
            </w:pPr>
            <w:r>
              <w:rPr>
                <w:rFonts w:hint="eastAsia"/>
                <w:color w:val="auto"/>
                <w:sz w:val="21"/>
                <w:szCs w:val="20"/>
              </w:rPr>
              <w:t>电动旋转撇渣机</w:t>
            </w:r>
          </w:p>
        </w:tc>
        <w:tc>
          <w:tcPr>
            <w:tcW w:w="2126" w:type="dxa"/>
          </w:tcPr>
          <w:p>
            <w:pPr>
              <w:pStyle w:val="29"/>
              <w:ind w:firstLine="0" w:firstLineChars="0"/>
              <w:rPr>
                <w:color w:val="auto"/>
                <w:sz w:val="21"/>
                <w:szCs w:val="20"/>
              </w:rPr>
            </w:pPr>
            <w:r>
              <w:rPr>
                <w:rFonts w:hint="eastAsia"/>
                <w:color w:val="auto"/>
                <w:sz w:val="21"/>
                <w:szCs w:val="20"/>
              </w:rPr>
              <w:t>DN350，P=0.55kw</w:t>
            </w:r>
          </w:p>
        </w:tc>
        <w:tc>
          <w:tcPr>
            <w:tcW w:w="1134" w:type="dxa"/>
          </w:tcPr>
          <w:p>
            <w:pPr>
              <w:pStyle w:val="29"/>
              <w:ind w:firstLine="0" w:firstLineChars="0"/>
              <w:jc w:val="center"/>
              <w:rPr>
                <w:color w:val="auto"/>
                <w:sz w:val="21"/>
                <w:szCs w:val="20"/>
              </w:rPr>
            </w:pPr>
            <w:r>
              <w:rPr>
                <w:color w:val="auto"/>
                <w:sz w:val="21"/>
                <w:szCs w:val="20"/>
              </w:rPr>
              <w:t>1</w:t>
            </w:r>
          </w:p>
        </w:tc>
        <w:tc>
          <w:tcPr>
            <w:tcW w:w="1276" w:type="dxa"/>
          </w:tcPr>
          <w:p>
            <w:pPr>
              <w:pStyle w:val="29"/>
              <w:ind w:firstLine="0" w:firstLineChars="0"/>
              <w:jc w:val="center"/>
              <w:rPr>
                <w:color w:val="auto"/>
                <w:sz w:val="21"/>
                <w:szCs w:val="20"/>
              </w:rPr>
            </w:pPr>
            <w:r>
              <w:rPr>
                <w:rFonts w:hint="eastAsia"/>
                <w:color w:val="auto"/>
                <w:sz w:val="21"/>
                <w:szCs w:val="20"/>
              </w:rPr>
              <w:t>台</w:t>
            </w:r>
          </w:p>
        </w:tc>
        <w:tc>
          <w:tcPr>
            <w:tcW w:w="1103" w:type="dxa"/>
          </w:tcPr>
          <w:p>
            <w:pPr>
              <w:pStyle w:val="29"/>
              <w:ind w:firstLine="0" w:firstLineChars="0"/>
              <w:jc w:val="center"/>
              <w:rPr>
                <w:color w:val="auto"/>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6"/>
          </w:tcPr>
          <w:p>
            <w:pPr>
              <w:pStyle w:val="29"/>
              <w:ind w:firstLine="0" w:firstLineChars="0"/>
              <w:rPr>
                <w:b/>
                <w:bCs/>
                <w:color w:val="auto"/>
              </w:rPr>
            </w:pPr>
            <w:r>
              <w:rPr>
                <w:rFonts w:hint="eastAsia"/>
                <w:b/>
                <w:bCs/>
                <w:color w:val="auto"/>
                <w:sz w:val="21"/>
                <w:szCs w:val="20"/>
              </w:rPr>
              <w:t>工况条件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6"/>
          </w:tcPr>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撇渣管安装于沉砂池下游的出水堰前侧，应跨于整个池宽，用于集纳和排出污水中的浮渣。撇渣管的安装位置与安装标高应符合招标图的要求。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6"/>
          </w:tcPr>
          <w:p>
            <w:pPr>
              <w:pStyle w:val="29"/>
              <w:ind w:firstLine="0" w:firstLineChars="0"/>
              <w:rPr>
                <w:color w:val="auto"/>
                <w:sz w:val="21"/>
                <w:szCs w:val="16"/>
              </w:rPr>
            </w:pPr>
            <w:r>
              <w:rPr>
                <w:rFonts w:hint="eastAsia"/>
                <w:b/>
                <w:bCs/>
                <w:color w:val="auto"/>
                <w:sz w:val="21"/>
                <w:szCs w:val="20"/>
              </w:rPr>
              <w:t>结构性能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6"/>
          </w:tcPr>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a．撇渣管为电动转动操作的开槽圆管，应能作90°的灵活转动，并设有限位挡块，两端的轴承支承应有良好的密封措施。</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b.自末端撇渣管起，相邻二台撇渣管的浮渣水流以反向流向池外。</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c.撇渣管的管径不小于φ350mm，管长应与池宽相配合，沿管长开设中心角为60°的槽，在保证受扭和受压强度下，整个管长可形成1～2个堰口。</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d.管的挠度不大于1/1000管二端支承间长度。</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e.二端滑动轴承应采用油脂润滑，注脂口应位于沉砂池平台上，注脂管为304不锈钢管。</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f.管支承结构应考虑管的温差伸缩，滑动轴承应有可靠的密封构造，泄漏量为0。</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g.每台撇渣管转动的操作杆应伸出平台并装有手动或电动操作机构，手轮至平台的高度以1m为准，电动装置防护等级为IP65，操作机构应有旋转角度的限位。</w:t>
            </w:r>
          </w:p>
          <w:p>
            <w:pPr>
              <w:spacing w:line="360" w:lineRule="auto"/>
              <w:ind w:firstLine="420" w:firstLineChars="200"/>
              <w:jc w:val="both"/>
              <w:rPr>
                <w:b/>
                <w:bCs/>
                <w:color w:val="auto"/>
                <w:sz w:val="21"/>
                <w:szCs w:val="20"/>
                <w:lang w:eastAsia="zh-CN"/>
              </w:rPr>
            </w:pPr>
            <w:r>
              <w:rPr>
                <w:rFonts w:hint="eastAsia" w:ascii="Times New Roman" w:hAnsi="Times New Roman"/>
                <w:color w:val="auto"/>
                <w:sz w:val="21"/>
                <w:szCs w:val="16"/>
                <w:lang w:eastAsia="zh-CN"/>
              </w:rPr>
              <w:t>h.手轮尺寸选择应保证手轮上的总操作力不大于150N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6"/>
          </w:tcPr>
          <w:p>
            <w:pPr>
              <w:pStyle w:val="29"/>
              <w:ind w:firstLine="0" w:firstLineChars="0"/>
              <w:rPr>
                <w:b/>
                <w:bCs/>
                <w:color w:val="auto"/>
                <w:sz w:val="21"/>
                <w:szCs w:val="20"/>
              </w:rPr>
            </w:pPr>
            <w:r>
              <w:rPr>
                <w:rFonts w:hint="eastAsia"/>
                <w:b/>
                <w:bCs/>
                <w:color w:val="auto"/>
                <w:sz w:val="21"/>
                <w:szCs w:val="20"/>
              </w:rPr>
              <w:t>抗腐蚀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6"/>
          </w:tcPr>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制造电动式旋转撇渣管的全部材料应适用于污水及腐蚀环境。</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除不锈钢外，未经保护或非防腐材料制的所有部件应按基本要求的有关条款进行处理。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6"/>
          </w:tcPr>
          <w:p>
            <w:pPr>
              <w:pStyle w:val="29"/>
              <w:ind w:firstLine="0" w:firstLineChars="0"/>
              <w:rPr>
                <w:b/>
                <w:bCs/>
                <w:color w:val="auto"/>
                <w:sz w:val="21"/>
                <w:szCs w:val="20"/>
              </w:rPr>
            </w:pPr>
            <w:r>
              <w:rPr>
                <w:rFonts w:hint="eastAsia"/>
                <w:b/>
                <w:bCs/>
                <w:color w:val="auto"/>
                <w:sz w:val="21"/>
                <w:szCs w:val="20"/>
              </w:rPr>
              <w:t>控制系统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6"/>
          </w:tcPr>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由配套供应的电控箱控制,电控箱1控1，户外支架安装，防护等级IP65。</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配套电控箱至其所控设备之间的动力以及控制线缆配套供应。各配套电控箱之间的联动控制线缆配套供应。配套电缆报价应包括在主机投标总价内。</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电控箱所提供的外接信号满足本施工图中各现场控制站及远程IO站IO一览表中所列信号要求。电控箱所提供的外接信号数量及功能不能少于施工图中各现场控制站及远程IO站IO一览表中的信号数量及功能，所提供的外接端子信号型式需与施工图中各现场控制站及远程IO站IO一览表中的各信号的型式相一致。</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其他详细技术要求参见《与机械设备配套的电气控制箱（柜）专用技术规范》。</w:t>
            </w:r>
          </w:p>
          <w:p>
            <w:pPr>
              <w:spacing w:line="360" w:lineRule="auto"/>
              <w:ind w:firstLine="420" w:firstLineChars="200"/>
              <w:jc w:val="both"/>
              <w:rPr>
                <w:b/>
                <w:bCs/>
                <w:color w:val="auto"/>
                <w:sz w:val="21"/>
                <w:szCs w:val="20"/>
                <w:lang w:eastAsia="zh-CN"/>
              </w:rPr>
            </w:pPr>
            <w:r>
              <w:rPr>
                <w:rFonts w:hint="eastAsia" w:ascii="Times New Roman" w:hAnsi="Times New Roman"/>
                <w:color w:val="auto"/>
                <w:sz w:val="21"/>
                <w:szCs w:val="16"/>
                <w:lang w:eastAsia="zh-CN"/>
              </w:rPr>
              <w:t>电动旋转撇渣管应适用于就地或远程操作，信号输出内容及接口要求详见《与机械设备配套的电气控制箱（柜）专用技术规范》。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6"/>
          </w:tcPr>
          <w:p>
            <w:pPr>
              <w:pStyle w:val="29"/>
              <w:ind w:firstLine="0" w:firstLineChars="0"/>
              <w:rPr>
                <w:rFonts w:hAnsi="宋体"/>
                <w:color w:val="auto"/>
                <w:spacing w:val="8"/>
                <w:szCs w:val="20"/>
              </w:rPr>
            </w:pPr>
            <w:r>
              <w:rPr>
                <w:rFonts w:hint="eastAsia"/>
                <w:b/>
                <w:bCs/>
                <w:color w:val="auto"/>
                <w:sz w:val="21"/>
                <w:szCs w:val="20"/>
              </w:rPr>
              <w:t>工厂试验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6"/>
          </w:tcPr>
          <w:p>
            <w:pPr>
              <w:spacing w:line="360" w:lineRule="auto"/>
              <w:ind w:firstLine="420" w:firstLineChars="200"/>
              <w:jc w:val="both"/>
              <w:rPr>
                <w:rFonts w:ascii="Times New Roman" w:hAnsi="宋体"/>
                <w:color w:val="auto"/>
                <w:spacing w:val="8"/>
                <w:sz w:val="24"/>
                <w:szCs w:val="20"/>
                <w:lang w:eastAsia="zh-CN"/>
              </w:rPr>
            </w:pPr>
            <w:r>
              <w:rPr>
                <w:rFonts w:hint="eastAsia" w:ascii="Times New Roman" w:hAnsi="Times New Roman"/>
                <w:color w:val="auto"/>
                <w:sz w:val="21"/>
                <w:szCs w:val="16"/>
                <w:lang w:eastAsia="zh-CN"/>
              </w:rPr>
              <w:t>每台旋转撇渣管应在工厂进行组装及转动试验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6"/>
          </w:tcPr>
          <w:p>
            <w:pPr>
              <w:spacing w:line="360" w:lineRule="auto"/>
              <w:ind w:firstLine="420" w:firstLineChars="200"/>
              <w:jc w:val="both"/>
              <w:rPr>
                <w:rFonts w:ascii="Times New Roman" w:hAnsi="宋体"/>
                <w:color w:val="auto"/>
                <w:spacing w:val="8"/>
                <w:sz w:val="24"/>
                <w:szCs w:val="20"/>
                <w:lang w:eastAsia="zh-CN"/>
              </w:rPr>
            </w:pPr>
            <w:r>
              <w:rPr>
                <w:rFonts w:hint="eastAsia" w:ascii="Times New Roman" w:hAnsi="Times New Roman"/>
                <w:color w:val="auto"/>
                <w:sz w:val="21"/>
                <w:szCs w:val="16"/>
                <w:lang w:eastAsia="zh-CN"/>
              </w:rPr>
              <w:t>安装和检验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866" w:type="dxa"/>
            <w:gridSpan w:val="6"/>
          </w:tcPr>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a.承包商应验证旋转撇渣管转动灵活，手操作力不大于150N。</w:t>
            </w:r>
          </w:p>
          <w:p>
            <w:pPr>
              <w:spacing w:line="360" w:lineRule="auto"/>
              <w:ind w:firstLine="420" w:firstLineChars="200"/>
              <w:jc w:val="both"/>
              <w:rPr>
                <w:rFonts w:ascii="Times New Roman" w:hAnsi="Times New Roman"/>
                <w:color w:val="auto"/>
                <w:sz w:val="21"/>
                <w:szCs w:val="16"/>
                <w:lang w:eastAsia="zh-CN"/>
              </w:rPr>
            </w:pPr>
            <w:r>
              <w:rPr>
                <w:rFonts w:ascii="Times New Roman" w:hAnsi="Times New Roman"/>
                <w:color w:val="auto"/>
                <w:sz w:val="21"/>
                <w:szCs w:val="16"/>
                <w:lang w:eastAsia="zh-CN"/>
              </w:rPr>
              <w:t>b</w:t>
            </w:r>
            <w:r>
              <w:rPr>
                <w:rFonts w:hint="eastAsia" w:ascii="Times New Roman" w:hAnsi="Times New Roman"/>
                <w:color w:val="auto"/>
                <w:sz w:val="21"/>
                <w:szCs w:val="16"/>
                <w:lang w:eastAsia="zh-CN"/>
              </w:rPr>
              <w:t>.撇渣管的挠度达到规定值。</w:t>
            </w:r>
          </w:p>
          <w:p>
            <w:pPr>
              <w:spacing w:line="360" w:lineRule="auto"/>
              <w:ind w:firstLine="420" w:firstLineChars="200"/>
              <w:jc w:val="both"/>
              <w:rPr>
                <w:rFonts w:ascii="Times New Roman" w:hAnsi="宋体"/>
                <w:color w:val="auto"/>
                <w:spacing w:val="8"/>
                <w:sz w:val="24"/>
                <w:szCs w:val="20"/>
                <w:lang w:eastAsia="zh-CN"/>
              </w:rPr>
            </w:pPr>
            <w:r>
              <w:rPr>
                <w:rFonts w:ascii="Times New Roman" w:hAnsi="Times New Roman"/>
                <w:color w:val="auto"/>
                <w:sz w:val="21"/>
                <w:szCs w:val="16"/>
                <w:lang w:eastAsia="zh-CN"/>
              </w:rPr>
              <w:t>c</w:t>
            </w:r>
            <w:r>
              <w:rPr>
                <w:rFonts w:hint="eastAsia" w:ascii="Times New Roman" w:hAnsi="Times New Roman"/>
                <w:color w:val="auto"/>
                <w:sz w:val="21"/>
                <w:szCs w:val="16"/>
                <w:lang w:eastAsia="zh-CN"/>
              </w:rPr>
              <w:t>.旋转撇渣管需单管及多管串联方式进行浮渣排出试验及支撑处应密封可靠无泄漏。</w:t>
            </w:r>
          </w:p>
        </w:tc>
      </w:tr>
    </w:tbl>
    <w:p>
      <w:pPr>
        <w:pStyle w:val="29"/>
        <w:ind w:firstLineChars="0"/>
        <w:rPr>
          <w:color w:val="auto"/>
        </w:rPr>
      </w:pPr>
    </w:p>
    <w:p>
      <w:pPr>
        <w:pStyle w:val="31"/>
        <w:rPr>
          <w:color w:val="auto"/>
        </w:rPr>
      </w:pPr>
      <w:r>
        <w:rPr>
          <w:rFonts w:hint="eastAsia"/>
          <w:color w:val="auto"/>
        </w:rPr>
        <w:t>砂水分离器</w:t>
      </w:r>
    </w:p>
    <w:tbl>
      <w:tblPr>
        <w:tblStyle w:val="24"/>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560"/>
        <w:gridCol w:w="2693"/>
        <w:gridCol w:w="1134"/>
        <w:gridCol w:w="1134"/>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 w:hRule="atLeast"/>
        </w:trPr>
        <w:tc>
          <w:tcPr>
            <w:tcW w:w="1242" w:type="dxa"/>
          </w:tcPr>
          <w:p>
            <w:pPr>
              <w:pStyle w:val="29"/>
              <w:ind w:firstLine="0" w:firstLineChars="0"/>
              <w:jc w:val="center"/>
              <w:rPr>
                <w:b/>
                <w:color w:val="auto"/>
                <w:sz w:val="21"/>
                <w:szCs w:val="20"/>
              </w:rPr>
            </w:pPr>
            <w:r>
              <w:rPr>
                <w:rFonts w:hint="eastAsia"/>
                <w:b/>
                <w:color w:val="auto"/>
                <w:sz w:val="21"/>
                <w:szCs w:val="20"/>
              </w:rPr>
              <w:t>序号</w:t>
            </w:r>
          </w:p>
        </w:tc>
        <w:tc>
          <w:tcPr>
            <w:tcW w:w="1560" w:type="dxa"/>
          </w:tcPr>
          <w:p>
            <w:pPr>
              <w:pStyle w:val="29"/>
              <w:ind w:firstLine="0" w:firstLineChars="0"/>
              <w:jc w:val="center"/>
              <w:rPr>
                <w:b/>
                <w:color w:val="auto"/>
                <w:sz w:val="21"/>
                <w:szCs w:val="20"/>
              </w:rPr>
            </w:pPr>
            <w:r>
              <w:rPr>
                <w:rFonts w:hint="eastAsia"/>
                <w:b/>
                <w:color w:val="auto"/>
                <w:sz w:val="21"/>
                <w:szCs w:val="20"/>
              </w:rPr>
              <w:t>名称</w:t>
            </w:r>
          </w:p>
        </w:tc>
        <w:tc>
          <w:tcPr>
            <w:tcW w:w="2693" w:type="dxa"/>
          </w:tcPr>
          <w:p>
            <w:pPr>
              <w:pStyle w:val="29"/>
              <w:ind w:firstLine="0" w:firstLineChars="0"/>
              <w:jc w:val="center"/>
              <w:rPr>
                <w:b/>
                <w:color w:val="auto"/>
                <w:sz w:val="21"/>
                <w:szCs w:val="20"/>
              </w:rPr>
            </w:pPr>
            <w:r>
              <w:rPr>
                <w:rFonts w:hint="eastAsia"/>
                <w:b/>
                <w:color w:val="auto"/>
                <w:sz w:val="21"/>
                <w:szCs w:val="20"/>
              </w:rPr>
              <w:t>规格</w:t>
            </w:r>
          </w:p>
        </w:tc>
        <w:tc>
          <w:tcPr>
            <w:tcW w:w="1134" w:type="dxa"/>
          </w:tcPr>
          <w:p>
            <w:pPr>
              <w:pStyle w:val="29"/>
              <w:ind w:firstLine="0" w:firstLineChars="0"/>
              <w:jc w:val="center"/>
              <w:rPr>
                <w:b/>
                <w:color w:val="auto"/>
                <w:sz w:val="21"/>
                <w:szCs w:val="20"/>
              </w:rPr>
            </w:pPr>
            <w:r>
              <w:rPr>
                <w:rFonts w:hint="eastAsia"/>
                <w:b/>
                <w:color w:val="auto"/>
                <w:sz w:val="21"/>
                <w:szCs w:val="20"/>
              </w:rPr>
              <w:t>数量</w:t>
            </w:r>
          </w:p>
        </w:tc>
        <w:tc>
          <w:tcPr>
            <w:tcW w:w="1134" w:type="dxa"/>
          </w:tcPr>
          <w:p>
            <w:pPr>
              <w:pStyle w:val="29"/>
              <w:ind w:firstLine="0" w:firstLineChars="0"/>
              <w:jc w:val="center"/>
              <w:rPr>
                <w:b/>
                <w:color w:val="auto"/>
                <w:sz w:val="21"/>
                <w:szCs w:val="20"/>
              </w:rPr>
            </w:pPr>
            <w:r>
              <w:rPr>
                <w:rFonts w:hint="eastAsia"/>
                <w:b/>
                <w:color w:val="auto"/>
                <w:sz w:val="21"/>
                <w:szCs w:val="20"/>
              </w:rPr>
              <w:t>单位</w:t>
            </w:r>
          </w:p>
        </w:tc>
        <w:tc>
          <w:tcPr>
            <w:tcW w:w="1223" w:type="dxa"/>
          </w:tcPr>
          <w:p>
            <w:pPr>
              <w:pStyle w:val="29"/>
              <w:ind w:firstLine="0" w:firstLineChars="0"/>
              <w:jc w:val="center"/>
              <w:rPr>
                <w:b/>
                <w:color w:val="auto"/>
                <w:sz w:val="21"/>
                <w:szCs w:val="20"/>
              </w:rPr>
            </w:pPr>
            <w:r>
              <w:rPr>
                <w:rFonts w:hint="eastAsia"/>
                <w:b/>
                <w:color w:val="auto"/>
                <w:sz w:val="21"/>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242" w:type="dxa"/>
          </w:tcPr>
          <w:p>
            <w:pPr>
              <w:pStyle w:val="29"/>
              <w:ind w:firstLine="0" w:firstLineChars="0"/>
              <w:rPr>
                <w:color w:val="auto"/>
                <w:sz w:val="21"/>
                <w:szCs w:val="20"/>
              </w:rPr>
            </w:pPr>
            <w:r>
              <w:rPr>
                <w:rFonts w:hint="eastAsia"/>
                <w:color w:val="auto"/>
                <w:sz w:val="21"/>
                <w:szCs w:val="20"/>
              </w:rPr>
              <w:t>1</w:t>
            </w:r>
          </w:p>
        </w:tc>
        <w:tc>
          <w:tcPr>
            <w:tcW w:w="1560" w:type="dxa"/>
          </w:tcPr>
          <w:p>
            <w:pPr>
              <w:pStyle w:val="29"/>
              <w:ind w:firstLine="0" w:firstLineChars="0"/>
              <w:rPr>
                <w:color w:val="auto"/>
                <w:sz w:val="21"/>
                <w:szCs w:val="20"/>
              </w:rPr>
            </w:pPr>
            <w:r>
              <w:rPr>
                <w:rFonts w:hint="eastAsia"/>
                <w:color w:val="auto"/>
                <w:sz w:val="21"/>
                <w:szCs w:val="20"/>
              </w:rPr>
              <w:t>砂水分离器</w:t>
            </w:r>
          </w:p>
        </w:tc>
        <w:tc>
          <w:tcPr>
            <w:tcW w:w="2693" w:type="dxa"/>
          </w:tcPr>
          <w:p>
            <w:pPr>
              <w:pStyle w:val="29"/>
              <w:ind w:firstLine="0" w:firstLineChars="0"/>
              <w:rPr>
                <w:color w:val="auto"/>
                <w:sz w:val="21"/>
                <w:szCs w:val="20"/>
              </w:rPr>
            </w:pPr>
            <w:r>
              <w:rPr>
                <w:rFonts w:hint="eastAsia"/>
                <w:color w:val="auto"/>
                <w:sz w:val="21"/>
                <w:szCs w:val="20"/>
              </w:rPr>
              <w:t>Q=43~72m³/h，N=0.55kW</w:t>
            </w:r>
          </w:p>
        </w:tc>
        <w:tc>
          <w:tcPr>
            <w:tcW w:w="1134" w:type="dxa"/>
          </w:tcPr>
          <w:p>
            <w:pPr>
              <w:pStyle w:val="29"/>
              <w:ind w:firstLine="0" w:firstLineChars="0"/>
              <w:jc w:val="center"/>
              <w:rPr>
                <w:color w:val="auto"/>
                <w:sz w:val="21"/>
                <w:szCs w:val="20"/>
              </w:rPr>
            </w:pPr>
            <w:r>
              <w:rPr>
                <w:color w:val="auto"/>
                <w:sz w:val="21"/>
                <w:szCs w:val="20"/>
              </w:rPr>
              <w:t>1</w:t>
            </w:r>
          </w:p>
        </w:tc>
        <w:tc>
          <w:tcPr>
            <w:tcW w:w="1134" w:type="dxa"/>
          </w:tcPr>
          <w:p>
            <w:pPr>
              <w:pStyle w:val="29"/>
              <w:ind w:firstLine="0" w:firstLineChars="0"/>
              <w:jc w:val="center"/>
              <w:rPr>
                <w:color w:val="auto"/>
                <w:sz w:val="21"/>
                <w:szCs w:val="20"/>
              </w:rPr>
            </w:pPr>
            <w:r>
              <w:rPr>
                <w:rFonts w:hint="eastAsia"/>
                <w:color w:val="auto"/>
                <w:sz w:val="21"/>
                <w:szCs w:val="20"/>
              </w:rPr>
              <w:t>台</w:t>
            </w:r>
          </w:p>
        </w:tc>
        <w:tc>
          <w:tcPr>
            <w:tcW w:w="1223" w:type="dxa"/>
          </w:tcPr>
          <w:p>
            <w:pPr>
              <w:pStyle w:val="29"/>
              <w:ind w:firstLine="0" w:firstLineChars="0"/>
              <w:jc w:val="center"/>
              <w:rPr>
                <w:color w:val="auto"/>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86" w:type="dxa"/>
            <w:gridSpan w:val="6"/>
          </w:tcPr>
          <w:p>
            <w:pPr>
              <w:pStyle w:val="29"/>
              <w:ind w:firstLine="0" w:firstLineChars="0"/>
              <w:rPr>
                <w:b/>
                <w:bCs/>
                <w:color w:val="auto"/>
              </w:rPr>
            </w:pPr>
            <w:r>
              <w:rPr>
                <w:rFonts w:hint="eastAsia"/>
                <w:b/>
                <w:bCs/>
                <w:color w:val="auto"/>
                <w:sz w:val="21"/>
                <w:szCs w:val="20"/>
              </w:rPr>
              <w:t>工况条件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86" w:type="dxa"/>
            <w:gridSpan w:val="6"/>
          </w:tcPr>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a.单座曝气沉砂池的设计进水量为</w:t>
            </w:r>
            <w:r>
              <w:rPr>
                <w:rFonts w:ascii="Times New Roman" w:hAnsi="Times New Roman"/>
                <w:color w:val="auto"/>
                <w:sz w:val="21"/>
                <w:szCs w:val="16"/>
                <w:lang w:eastAsia="zh-CN"/>
              </w:rPr>
              <w:t>1</w:t>
            </w:r>
            <w:r>
              <w:rPr>
                <w:rFonts w:hint="eastAsia" w:ascii="Times New Roman" w:hAnsi="Times New Roman"/>
                <w:color w:val="auto"/>
                <w:sz w:val="21"/>
                <w:szCs w:val="16"/>
                <w:lang w:eastAsia="zh-CN"/>
              </w:rPr>
              <w:t>00000m³/d，高峰流量</w:t>
            </w:r>
            <w:r>
              <w:rPr>
                <w:rFonts w:ascii="Times New Roman" w:hAnsi="Times New Roman"/>
                <w:color w:val="auto"/>
                <w:sz w:val="21"/>
                <w:szCs w:val="16"/>
                <w:lang w:eastAsia="zh-CN"/>
              </w:rPr>
              <w:t>6264</w:t>
            </w:r>
            <w:r>
              <w:rPr>
                <w:rFonts w:hint="eastAsia" w:ascii="Times New Roman" w:hAnsi="Times New Roman"/>
                <w:color w:val="auto"/>
                <w:sz w:val="21"/>
                <w:szCs w:val="16"/>
                <w:lang w:eastAsia="zh-CN"/>
              </w:rPr>
              <w:t>m³/hr，本工程1座，每座分2格。</w:t>
            </w:r>
          </w:p>
          <w:p>
            <w:pPr>
              <w:spacing w:line="360" w:lineRule="auto"/>
              <w:ind w:firstLine="420" w:firstLineChars="200"/>
              <w:jc w:val="both"/>
              <w:rPr>
                <w:color w:val="auto"/>
                <w:lang w:eastAsia="zh-CN"/>
              </w:rPr>
            </w:pPr>
            <w:r>
              <w:rPr>
                <w:rFonts w:hint="eastAsia" w:ascii="Times New Roman" w:hAnsi="Times New Roman"/>
                <w:color w:val="auto"/>
                <w:sz w:val="21"/>
                <w:szCs w:val="16"/>
                <w:lang w:eastAsia="zh-CN"/>
              </w:rPr>
              <w:t>b.污水的平均含砂量为污水量的0.03/1000。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86" w:type="dxa"/>
            <w:gridSpan w:val="6"/>
          </w:tcPr>
          <w:p>
            <w:pPr>
              <w:pStyle w:val="29"/>
              <w:ind w:firstLine="0" w:firstLineChars="0"/>
              <w:rPr>
                <w:color w:val="auto"/>
                <w:sz w:val="21"/>
                <w:szCs w:val="16"/>
              </w:rPr>
            </w:pPr>
            <w:r>
              <w:rPr>
                <w:rFonts w:hint="eastAsia"/>
                <w:b/>
                <w:bCs/>
                <w:color w:val="auto"/>
                <w:sz w:val="21"/>
                <w:szCs w:val="20"/>
              </w:rPr>
              <w:t>型式与结构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86" w:type="dxa"/>
            <w:gridSpan w:val="6"/>
          </w:tcPr>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1)应由不锈钢制的砂水分离槽和螺旋输砂槽组成。水槽的最大分离流量和输砂能力由承包商根据沉砂池的设计条件确定。</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2)水槽在溢流前，需满足0.1mm以上砂粒的沉降回收率不低于98%。</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3)螺旋输砂槽应与砂水分离槽结合成整体，由型钢支撑，并固定在混凝土的土建基础上。</w:t>
            </w:r>
          </w:p>
          <w:p>
            <w:pPr>
              <w:spacing w:line="360" w:lineRule="auto"/>
              <w:ind w:firstLine="420" w:firstLineChars="200"/>
              <w:jc w:val="both"/>
              <w:rPr>
                <w:rFonts w:ascii="Times New Roman" w:hAnsi="Times New Roman"/>
                <w:color w:val="auto"/>
                <w:sz w:val="21"/>
                <w:szCs w:val="16"/>
                <w:lang w:eastAsia="zh-CN"/>
              </w:rPr>
            </w:pPr>
            <w:r>
              <w:rPr>
                <w:rFonts w:ascii="Times New Roman" w:hAnsi="Times New Roman"/>
                <w:color w:val="auto"/>
                <w:sz w:val="21"/>
                <w:szCs w:val="16"/>
                <w:lang w:eastAsia="zh-CN"/>
              </w:rPr>
              <w:t>4)</w:t>
            </w:r>
            <w:r>
              <w:rPr>
                <w:rFonts w:hint="eastAsia" w:ascii="Times New Roman" w:hAnsi="Times New Roman"/>
                <w:color w:val="auto"/>
                <w:sz w:val="21"/>
                <w:szCs w:val="16"/>
                <w:lang w:eastAsia="zh-CN"/>
              </w:rPr>
              <w:t>螺旋输送槽形为</w:t>
            </w:r>
            <w:r>
              <w:rPr>
                <w:rFonts w:ascii="Times New Roman" w:hAnsi="Times New Roman"/>
                <w:color w:val="auto"/>
                <w:sz w:val="21"/>
                <w:szCs w:val="16"/>
                <w:lang w:eastAsia="zh-CN"/>
              </w:rPr>
              <w:t>U</w:t>
            </w:r>
            <w:r>
              <w:rPr>
                <w:rFonts w:hint="eastAsia" w:ascii="Times New Roman" w:hAnsi="Times New Roman"/>
                <w:color w:val="auto"/>
                <w:sz w:val="21"/>
                <w:szCs w:val="16"/>
                <w:lang w:eastAsia="zh-CN"/>
              </w:rPr>
              <w:t>形断面，螺旋直径不小于</w:t>
            </w:r>
            <w:r>
              <w:rPr>
                <w:rFonts w:ascii="Times New Roman" w:hAnsi="Times New Roman"/>
                <w:color w:val="auto"/>
                <w:sz w:val="21"/>
                <w:szCs w:val="16"/>
                <w:lang w:eastAsia="zh-CN"/>
              </w:rPr>
              <w:t>250mm</w:t>
            </w:r>
            <w:r>
              <w:rPr>
                <w:rFonts w:hint="eastAsia" w:ascii="Times New Roman" w:hAnsi="Times New Roman"/>
                <w:color w:val="auto"/>
                <w:sz w:val="21"/>
                <w:szCs w:val="16"/>
                <w:lang w:eastAsia="zh-CN"/>
              </w:rPr>
              <w:t>，安装角不大于</w:t>
            </w:r>
            <w:r>
              <w:rPr>
                <w:rFonts w:ascii="Times New Roman" w:hAnsi="Times New Roman"/>
                <w:color w:val="auto"/>
                <w:sz w:val="21"/>
                <w:szCs w:val="16"/>
                <w:lang w:eastAsia="zh-CN"/>
              </w:rPr>
              <w:t>25</w:t>
            </w:r>
            <w:r>
              <w:rPr>
                <w:rFonts w:hint="eastAsia" w:ascii="Times New Roman" w:hAnsi="Times New Roman"/>
                <w:color w:val="auto"/>
                <w:sz w:val="21"/>
                <w:szCs w:val="16"/>
                <w:lang w:eastAsia="zh-CN"/>
              </w:rPr>
              <w:t>，除进料口敞开外，其余部分应沿螺旋槽加盖封闭。</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5)螺旋输送槽出料口应高于分离器槽顶300mm以上。</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6)螺旋体的驱动装置的齿轮设计应符合ISO或等同标准，服务系数不小于1.6。齿轮为合金钢，渗碳处理，齿面硬度不低于HRC58～62。电机应适用于户外使用，防护等级IP65，电压等级为三相、380v、50Hz，F级绝缘，电机的额定功率应高于最大实耗功率10％以上。</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7)螺旋轴轴承应有可靠的密封和良好的润滑条件。</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8)输出砂粒的含水率应低于60％。</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9)槽本体(包括密封盖)材料为不锈钢304。</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螺旋体材料为耐磨耐蚀特种钢。</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螺栓等紧固件材料为不锈钢304。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86" w:type="dxa"/>
            <w:gridSpan w:val="6"/>
          </w:tcPr>
          <w:p>
            <w:pPr>
              <w:pStyle w:val="29"/>
              <w:ind w:firstLine="0" w:firstLineChars="0"/>
              <w:rPr>
                <w:color w:val="auto"/>
                <w:sz w:val="21"/>
                <w:szCs w:val="16"/>
              </w:rPr>
            </w:pPr>
            <w:r>
              <w:rPr>
                <w:rFonts w:hint="eastAsia"/>
                <w:b/>
                <w:bCs/>
                <w:color w:val="auto"/>
                <w:sz w:val="21"/>
                <w:szCs w:val="20"/>
              </w:rPr>
              <w:t>防腐蚀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86" w:type="dxa"/>
            <w:gridSpan w:val="6"/>
          </w:tcPr>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制造除砂设备的全部材料应适用于污水厂的腐蚀环境，未经保护或非防腐性材料，应按基本要求的有关条款的规定进行处理。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86" w:type="dxa"/>
            <w:gridSpan w:val="6"/>
          </w:tcPr>
          <w:p>
            <w:pPr>
              <w:pStyle w:val="29"/>
              <w:ind w:firstLine="0" w:firstLineChars="0"/>
              <w:rPr>
                <w:color w:val="auto"/>
                <w:sz w:val="21"/>
                <w:szCs w:val="16"/>
              </w:rPr>
            </w:pPr>
            <w:r>
              <w:rPr>
                <w:rFonts w:hint="eastAsia"/>
                <w:b/>
                <w:bCs/>
                <w:color w:val="auto"/>
                <w:sz w:val="21"/>
                <w:szCs w:val="20"/>
              </w:rPr>
              <w:t>控制系统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86" w:type="dxa"/>
            <w:gridSpan w:val="6"/>
          </w:tcPr>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由配套供应的电控箱控制,电控箱1控1，防护等级IP65。</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配套电控箱至其所控设备之间的动力以及控制线缆配套供应。各配套电控箱之间的联动控制线缆配套供应。配套电缆报价应包括在主机投标总价内。</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电控箱所提供的外接信号满足本施工图中各现场控制站及远程IO站IO一览表中所列信号要求。电控箱所提供的外接信号数量及功能不能少于施工图中各现场控制站及远程IO站IO一览表中的信号数量及功能，所提供的外接端子信号型式需与施工图中各现场控制站及远程IO站IO一览表中的各信号的型式相一致。</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其他详细技术要求参见《与机械设备配套的电气控制箱（柜）专用技术规范》。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86" w:type="dxa"/>
            <w:gridSpan w:val="6"/>
          </w:tcPr>
          <w:p>
            <w:pPr>
              <w:pStyle w:val="29"/>
              <w:ind w:firstLine="0" w:firstLineChars="0"/>
              <w:rPr>
                <w:rFonts w:hAnsi="宋体"/>
                <w:color w:val="auto"/>
                <w:spacing w:val="8"/>
                <w:szCs w:val="20"/>
              </w:rPr>
            </w:pPr>
            <w:r>
              <w:rPr>
                <w:rFonts w:hint="eastAsia"/>
                <w:b/>
                <w:bCs/>
                <w:color w:val="auto"/>
                <w:sz w:val="21"/>
                <w:szCs w:val="20"/>
              </w:rPr>
              <w:t>安装和检验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86" w:type="dxa"/>
            <w:gridSpan w:val="6"/>
          </w:tcPr>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1)参考标准</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GB50334－2002城市污水处理厂工程质量验收规范</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GB50231-98机械设备安装工程施工及验收通用规范</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GB50334－2002城市污水处理厂工程质量验收规范</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制造厂砂水分离器安装技术手册</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2)现场条件</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a.承包商应根据施工图及对应土建工程的标高、位置，进行上述旋流沉砂池设备的安装。</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b.承包商在机械设备安装前，应对建成构筑物的相关土建尺寸，进行核对，并作详细记录，对不符合安装条件的部分，应向项目监理报告，经批准及修正后，方可安装。</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c.各设备的安装就位应使操作人员具有操作空间，便于就近工作。</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3)设备结构要素</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a.砂水分离机为螺旋输送式，应在现场整机安装。</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b.上述各设备的安装、部件之间的配合关系和安装顺序应按制造厂安装手册为准。</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c.各构筑物上设备安装连接的管路系统应按设备资料为准。</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4)与土建工程分界面</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a.上述沉砂池设备在土建构筑物上的预留孔属土建工程。</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b.设备固定用的基础螺栓和各设备间的连接管路均属本设备安装工程的范围。</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5)安装技术条件</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a.承包商在进行设备安装前，其安装位置和标高应符合设计要求，平面位置偏差不大于±10mm，标高偏差不大于±20mm。</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b.砂水分离机安装基础平台应平稳、与进砂管、溢水管的连结应无渗水现象。</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6)检验和调试</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a.安装后，应按技术要求进行检验，保证其允差值符合规定的指标。</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b.应检查和加注润滑油脂。</w:t>
            </w:r>
          </w:p>
          <w:p>
            <w:pPr>
              <w:spacing w:line="360" w:lineRule="auto"/>
              <w:ind w:firstLine="420" w:firstLineChars="200"/>
              <w:jc w:val="both"/>
              <w:rPr>
                <w:rFonts w:ascii="Times New Roman" w:hAnsi="Times New Roman"/>
                <w:color w:val="auto"/>
                <w:sz w:val="21"/>
                <w:szCs w:val="16"/>
                <w:lang w:eastAsia="zh-CN"/>
              </w:rPr>
            </w:pPr>
            <w:r>
              <w:rPr>
                <w:rFonts w:hint="eastAsia" w:ascii="Times New Roman" w:hAnsi="Times New Roman"/>
                <w:color w:val="auto"/>
                <w:sz w:val="21"/>
                <w:szCs w:val="16"/>
                <w:lang w:eastAsia="zh-CN"/>
              </w:rPr>
              <w:t>c.承包商应提供砂水分离机输砂效果和排出砂的含水率等检验报告。</w:t>
            </w:r>
          </w:p>
          <w:p>
            <w:pPr>
              <w:spacing w:line="360" w:lineRule="auto"/>
              <w:ind w:firstLine="420" w:firstLineChars="200"/>
              <w:jc w:val="both"/>
              <w:rPr>
                <w:rFonts w:ascii="宋体" w:hAnsi="宋体"/>
                <w:color w:val="auto"/>
                <w:spacing w:val="8"/>
                <w:sz w:val="24"/>
                <w:szCs w:val="20"/>
                <w:lang w:eastAsia="zh-CN"/>
              </w:rPr>
            </w:pPr>
            <w:r>
              <w:rPr>
                <w:rFonts w:hint="eastAsia" w:ascii="Times New Roman" w:hAnsi="Times New Roman"/>
                <w:color w:val="auto"/>
                <w:sz w:val="21"/>
                <w:szCs w:val="16"/>
                <w:lang w:eastAsia="zh-CN"/>
              </w:rPr>
              <w:t>d.若试验结果达不到技术规格书的性能要求（包括水量、除砂率、有机物分离率），承包商应于试验后立即进行缺陷整改，更换设备或修正直到试验结果满足标书要求，所有整改的测试费用均由承包商负责。</w:t>
            </w:r>
          </w:p>
        </w:tc>
      </w:tr>
    </w:tbl>
    <w:p>
      <w:pPr>
        <w:pStyle w:val="29"/>
        <w:ind w:firstLineChars="0"/>
        <w:rPr>
          <w:color w:val="auto"/>
        </w:rPr>
      </w:pPr>
    </w:p>
    <w:p>
      <w:pPr>
        <w:pStyle w:val="31"/>
        <w:rPr>
          <w:color w:val="auto"/>
        </w:rPr>
      </w:pPr>
      <w:r>
        <w:rPr>
          <w:rFonts w:hint="eastAsia"/>
          <w:color w:val="auto"/>
        </w:rPr>
        <w:t>螺旋压榨机</w:t>
      </w:r>
    </w:p>
    <w:tbl>
      <w:tblPr>
        <w:tblStyle w:val="25"/>
        <w:tblW w:w="8931" w:type="dxa"/>
        <w:tblInd w:w="-137" w:type="dxa"/>
        <w:tblLayout w:type="fixed"/>
        <w:tblCellMar>
          <w:top w:w="0" w:type="dxa"/>
          <w:left w:w="0" w:type="dxa"/>
          <w:bottom w:w="0" w:type="dxa"/>
          <w:right w:w="0" w:type="dxa"/>
        </w:tblCellMar>
      </w:tblPr>
      <w:tblGrid>
        <w:gridCol w:w="1134"/>
        <w:gridCol w:w="1985"/>
        <w:gridCol w:w="1985"/>
        <w:gridCol w:w="1576"/>
        <w:gridCol w:w="2251"/>
      </w:tblGrid>
      <w:tr>
        <w:tblPrEx>
          <w:tblLayout w:type="fixed"/>
          <w:tblCellMar>
            <w:top w:w="0" w:type="dxa"/>
            <w:left w:w="0" w:type="dxa"/>
            <w:bottom w:w="0" w:type="dxa"/>
            <w:right w:w="0" w:type="dxa"/>
          </w:tblCellMar>
        </w:tblPrEx>
        <w:tc>
          <w:tcPr>
            <w:tcW w:w="1134" w:type="dxa"/>
            <w:tcBorders>
              <w:top w:val="single" w:color="000000" w:sz="4" w:space="0"/>
              <w:left w:val="single" w:color="000000" w:sz="4" w:space="0"/>
              <w:bottom w:val="single" w:color="000000" w:sz="4" w:space="0"/>
              <w:right w:val="single" w:color="000000" w:sz="4" w:space="0"/>
            </w:tcBorders>
          </w:tcPr>
          <w:p>
            <w:pPr>
              <w:pStyle w:val="27"/>
              <w:spacing w:line="360" w:lineRule="auto"/>
              <w:jc w:val="center"/>
              <w:rPr>
                <w:rFonts w:ascii="宋体" w:hAnsi="宋体" w:eastAsia="宋体" w:cs="宋体"/>
                <w:b/>
                <w:color w:val="auto"/>
                <w:sz w:val="21"/>
                <w:szCs w:val="21"/>
                <w:lang w:eastAsia="zh-CN"/>
              </w:rPr>
            </w:pPr>
            <w:r>
              <w:rPr>
                <w:rFonts w:hint="eastAsia" w:ascii="宋体" w:hAnsi="宋体" w:eastAsia="宋体" w:cs="宋体"/>
                <w:b/>
                <w:color w:val="auto"/>
                <w:sz w:val="21"/>
                <w:szCs w:val="21"/>
                <w:lang w:eastAsia="zh-CN"/>
              </w:rPr>
              <w:t>序号</w:t>
            </w:r>
          </w:p>
        </w:tc>
        <w:tc>
          <w:tcPr>
            <w:tcW w:w="1985" w:type="dxa"/>
            <w:tcBorders>
              <w:top w:val="single" w:color="000000" w:sz="4" w:space="0"/>
              <w:left w:val="single" w:color="000000" w:sz="4" w:space="0"/>
              <w:bottom w:val="single" w:color="000000" w:sz="4" w:space="0"/>
              <w:right w:val="single" w:color="000000" w:sz="4" w:space="0"/>
            </w:tcBorders>
          </w:tcPr>
          <w:p>
            <w:pPr>
              <w:pStyle w:val="27"/>
              <w:spacing w:line="360" w:lineRule="auto"/>
              <w:jc w:val="center"/>
              <w:rPr>
                <w:rFonts w:ascii="宋体" w:hAnsi="宋体" w:eastAsia="宋体" w:cs="宋体"/>
                <w:b/>
                <w:color w:val="auto"/>
                <w:sz w:val="21"/>
                <w:szCs w:val="21"/>
              </w:rPr>
            </w:pPr>
            <w:r>
              <w:rPr>
                <w:rFonts w:ascii="宋体" w:hAnsi="宋体" w:eastAsia="宋体" w:cs="宋体"/>
                <w:b/>
                <w:color w:val="auto"/>
                <w:sz w:val="21"/>
                <w:szCs w:val="21"/>
              </w:rPr>
              <w:t>设备名称</w:t>
            </w:r>
          </w:p>
        </w:tc>
        <w:tc>
          <w:tcPr>
            <w:tcW w:w="1985" w:type="dxa"/>
            <w:tcBorders>
              <w:top w:val="single" w:color="000000" w:sz="4" w:space="0"/>
              <w:left w:val="single" w:color="000000" w:sz="4" w:space="0"/>
              <w:bottom w:val="single" w:color="000000" w:sz="4" w:space="0"/>
              <w:right w:val="single" w:color="000000" w:sz="4" w:space="0"/>
            </w:tcBorders>
          </w:tcPr>
          <w:p>
            <w:pPr>
              <w:pStyle w:val="27"/>
              <w:spacing w:line="360" w:lineRule="auto"/>
              <w:ind w:left="103"/>
              <w:jc w:val="center"/>
              <w:rPr>
                <w:rFonts w:ascii="宋体" w:hAnsi="宋体" w:eastAsia="宋体" w:cs="宋体"/>
                <w:b/>
                <w:color w:val="auto"/>
                <w:sz w:val="21"/>
                <w:szCs w:val="21"/>
              </w:rPr>
            </w:pPr>
            <w:r>
              <w:rPr>
                <w:rFonts w:ascii="宋体" w:hAnsi="宋体" w:eastAsia="宋体" w:cs="宋体"/>
                <w:b/>
                <w:color w:val="auto"/>
                <w:sz w:val="21"/>
                <w:szCs w:val="21"/>
              </w:rPr>
              <w:t>规格</w:t>
            </w:r>
          </w:p>
        </w:tc>
        <w:tc>
          <w:tcPr>
            <w:tcW w:w="1576" w:type="dxa"/>
            <w:tcBorders>
              <w:top w:val="single" w:color="000000" w:sz="4" w:space="0"/>
              <w:left w:val="single" w:color="000000" w:sz="4" w:space="0"/>
              <w:bottom w:val="single" w:color="000000" w:sz="4" w:space="0"/>
              <w:right w:val="single" w:color="000000" w:sz="4" w:space="0"/>
            </w:tcBorders>
          </w:tcPr>
          <w:p>
            <w:pPr>
              <w:pStyle w:val="27"/>
              <w:spacing w:line="360" w:lineRule="auto"/>
              <w:ind w:left="103"/>
              <w:jc w:val="center"/>
              <w:rPr>
                <w:rFonts w:ascii="宋体" w:hAnsi="宋体" w:eastAsia="宋体" w:cs="宋体"/>
                <w:b/>
                <w:color w:val="auto"/>
                <w:sz w:val="21"/>
                <w:szCs w:val="21"/>
              </w:rPr>
            </w:pPr>
            <w:r>
              <w:rPr>
                <w:rFonts w:ascii="宋体" w:hAnsi="宋体" w:eastAsia="宋体" w:cs="宋体"/>
                <w:b/>
                <w:color w:val="auto"/>
                <w:sz w:val="21"/>
                <w:szCs w:val="21"/>
              </w:rPr>
              <w:t>数量</w:t>
            </w:r>
          </w:p>
        </w:tc>
        <w:tc>
          <w:tcPr>
            <w:tcW w:w="2251" w:type="dxa"/>
            <w:tcBorders>
              <w:top w:val="single" w:color="000000" w:sz="4" w:space="0"/>
              <w:left w:val="single" w:color="000000" w:sz="4" w:space="0"/>
              <w:bottom w:val="single" w:color="000000" w:sz="4" w:space="0"/>
              <w:right w:val="single" w:color="000000" w:sz="4" w:space="0"/>
            </w:tcBorders>
          </w:tcPr>
          <w:p>
            <w:pPr>
              <w:pStyle w:val="27"/>
              <w:spacing w:line="360" w:lineRule="auto"/>
              <w:ind w:left="103"/>
              <w:jc w:val="center"/>
              <w:rPr>
                <w:rFonts w:ascii="宋体" w:hAnsi="宋体" w:eastAsia="宋体" w:cs="宋体"/>
                <w:b/>
                <w:color w:val="auto"/>
                <w:sz w:val="21"/>
                <w:szCs w:val="21"/>
              </w:rPr>
            </w:pPr>
            <w:r>
              <w:rPr>
                <w:rFonts w:ascii="宋体" w:hAnsi="宋体" w:eastAsia="宋体" w:cs="宋体"/>
                <w:b/>
                <w:color w:val="auto"/>
                <w:sz w:val="21"/>
                <w:szCs w:val="21"/>
              </w:rPr>
              <w:t>备注</w:t>
            </w:r>
          </w:p>
        </w:tc>
      </w:tr>
      <w:tr>
        <w:tblPrEx>
          <w:tblLayout w:type="fixed"/>
          <w:tblCellMar>
            <w:top w:w="0" w:type="dxa"/>
            <w:left w:w="0" w:type="dxa"/>
            <w:bottom w:w="0" w:type="dxa"/>
            <w:right w:w="0" w:type="dxa"/>
          </w:tblCellMar>
        </w:tblPrEx>
        <w:tc>
          <w:tcPr>
            <w:tcW w:w="1134"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p>
        </w:tc>
        <w:tc>
          <w:tcPr>
            <w:tcW w:w="198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hint="eastAsia" w:ascii="宋体" w:hAnsi="宋体" w:eastAsia="宋体" w:cs="宋体"/>
                <w:color w:val="auto"/>
                <w:spacing w:val="-1"/>
                <w:sz w:val="21"/>
                <w:szCs w:val="21"/>
              </w:rPr>
              <w:t>螺旋压榨机</w:t>
            </w:r>
          </w:p>
        </w:tc>
        <w:tc>
          <w:tcPr>
            <w:tcW w:w="1985"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03" w:right="110"/>
              <w:jc w:val="center"/>
              <w:rPr>
                <w:rFonts w:ascii="宋体" w:hAnsi="宋体" w:eastAsia="宋体" w:cs="宋体"/>
                <w:color w:val="auto"/>
                <w:sz w:val="21"/>
                <w:szCs w:val="21"/>
              </w:rPr>
            </w:pPr>
            <w:r>
              <w:rPr>
                <w:rFonts w:hint="eastAsia" w:ascii="宋体" w:hAnsi="宋体" w:eastAsia="宋体" w:cs="宋体"/>
                <w:color w:val="auto"/>
                <w:spacing w:val="-1"/>
                <w:sz w:val="21"/>
                <w:szCs w:val="21"/>
              </w:rPr>
              <w:t>D=400mm，P=3kW</w:t>
            </w:r>
          </w:p>
        </w:tc>
        <w:tc>
          <w:tcPr>
            <w:tcW w:w="1576"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03"/>
              <w:jc w:val="center"/>
              <w:rPr>
                <w:rFonts w:ascii="宋体" w:hAnsi="宋体" w:eastAsia="宋体" w:cs="宋体"/>
                <w:color w:val="auto"/>
                <w:sz w:val="21"/>
                <w:szCs w:val="21"/>
              </w:rPr>
            </w:pPr>
            <w:r>
              <w:rPr>
                <w:rFonts w:ascii="宋体"/>
                <w:color w:val="auto"/>
                <w:sz w:val="21"/>
              </w:rPr>
              <w:t>2</w:t>
            </w:r>
          </w:p>
        </w:tc>
        <w:tc>
          <w:tcPr>
            <w:tcW w:w="225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03"/>
              <w:jc w:val="center"/>
              <w:rPr>
                <w:rFonts w:ascii="宋体" w:hAnsi="宋体" w:eastAsia="宋体" w:cs="宋体"/>
                <w:color w:val="auto"/>
                <w:sz w:val="21"/>
                <w:szCs w:val="21"/>
              </w:rPr>
            </w:pPr>
            <w:r>
              <w:rPr>
                <w:rFonts w:ascii="宋体" w:hAnsi="宋体" w:eastAsia="宋体" w:cs="宋体"/>
                <w:color w:val="auto"/>
                <w:sz w:val="21"/>
                <w:szCs w:val="21"/>
              </w:rPr>
              <w:t>国内知名品牌</w:t>
            </w:r>
          </w:p>
        </w:tc>
      </w:tr>
      <w:tr>
        <w:tblPrEx>
          <w:tblLayout w:type="fixed"/>
          <w:tblCellMar>
            <w:top w:w="0" w:type="dxa"/>
            <w:left w:w="0" w:type="dxa"/>
            <w:bottom w:w="0" w:type="dxa"/>
            <w:right w:w="0" w:type="dxa"/>
          </w:tblCellMar>
        </w:tblPrEx>
        <w:tc>
          <w:tcPr>
            <w:tcW w:w="8931" w:type="dxa"/>
            <w:gridSpan w:val="5"/>
            <w:tcBorders>
              <w:top w:val="single" w:color="000000" w:sz="4" w:space="0"/>
              <w:left w:val="single" w:color="000000" w:sz="4" w:space="0"/>
              <w:bottom w:val="single" w:color="000000" w:sz="4" w:space="0"/>
              <w:right w:val="single" w:color="000000" w:sz="4" w:space="0"/>
            </w:tcBorders>
            <w:vAlign w:val="center"/>
          </w:tcPr>
          <w:p>
            <w:pPr>
              <w:pStyle w:val="27"/>
              <w:spacing w:line="360" w:lineRule="auto"/>
              <w:rPr>
                <w:rFonts w:ascii="宋体" w:hAnsi="宋体" w:eastAsia="宋体" w:cs="宋体"/>
                <w:color w:val="auto"/>
                <w:sz w:val="21"/>
                <w:szCs w:val="21"/>
              </w:rPr>
            </w:pPr>
            <w:r>
              <w:rPr>
                <w:rFonts w:hint="eastAsia" w:ascii="宋体" w:hAnsi="宋体" w:eastAsia="宋体" w:cs="宋体"/>
                <w:b/>
                <w:color w:val="auto"/>
                <w:sz w:val="21"/>
                <w:szCs w:val="21"/>
              </w:rPr>
              <w:t>技术描述</w:t>
            </w:r>
          </w:p>
        </w:tc>
      </w:tr>
      <w:tr>
        <w:tblPrEx>
          <w:tblLayout w:type="fixed"/>
          <w:tblCellMar>
            <w:top w:w="0" w:type="dxa"/>
            <w:left w:w="0" w:type="dxa"/>
            <w:bottom w:w="0" w:type="dxa"/>
            <w:right w:w="0" w:type="dxa"/>
          </w:tblCellMar>
        </w:tblPrEx>
        <w:tc>
          <w:tcPr>
            <w:tcW w:w="8931" w:type="dxa"/>
            <w:gridSpan w:val="5"/>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螺旋压榨机包括有轴螺旋、U形槽、外壳、进出料口、栅渣管、机架和驱动装置等。螺旋输送部分是在料槽中设置一根有轴的螺旋，物料由进料口输入，除进出料口敞开外，其余部分均加盖封闭。</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螺旋压榨机安装用的所有紧固件包括膨胀地脚螺栓、螺母、垫圈等。</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有轴螺旋的支撑轴承防水、防尘、耐磨、自动润滑；有轴螺旋片具有足够的强度和刚度，螺旋叶片直径不小于246mm，，并具有合适的旋转速度，既能达到输送栅渣的目的，又不造成阻塞。</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驱动装置置于螺旋压榨机与螺旋叶片直连，无需联轴器；驱动装置所有结合面的密封处无渗漏；轴承及设备的所有转动部位有润滑，并能方便注油；工作平稳可靠，无异常噪音，噪音小于80dB（A）。</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减速机轴承具有良好的润滑，其工作寿命不低于80000小时。减速机的齿轮设计符合ISO标准。</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螺旋槽壁厚3mm，制成U型断面，U型槽直径267mm，采用不锈钢材质制作而成，全密封，以减少栅渣对周围环境的污染，具有优良的密封特性。</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投料后，在螺旋输送过程中连续有效地排水。</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螺旋压榨机采用水平式安装，用型钢支撑固定在混凝土的土建基础上。螺旋压榨机驱动部分安装在螺旋压榨机的后面，使空间的占用最小化。</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驱动装置具有过载保护功能，能满足24h连续运行；电级防护等级IP65，F级绝缘。</w:t>
            </w:r>
          </w:p>
        </w:tc>
      </w:tr>
      <w:tr>
        <w:tblPrEx>
          <w:tblLayout w:type="fixed"/>
          <w:tblCellMar>
            <w:top w:w="0" w:type="dxa"/>
            <w:left w:w="0" w:type="dxa"/>
            <w:bottom w:w="0" w:type="dxa"/>
            <w:right w:w="0" w:type="dxa"/>
          </w:tblCellMar>
        </w:tblPrEx>
        <w:tc>
          <w:tcPr>
            <w:tcW w:w="8931" w:type="dxa"/>
            <w:gridSpan w:val="5"/>
            <w:tcBorders>
              <w:top w:val="single" w:color="000000" w:sz="4" w:space="0"/>
              <w:left w:val="single" w:color="000000" w:sz="4" w:space="0"/>
              <w:bottom w:val="single" w:color="000000" w:sz="4" w:space="0"/>
              <w:right w:val="single" w:color="000000" w:sz="4" w:space="0"/>
            </w:tcBorders>
            <w:vAlign w:val="center"/>
          </w:tcPr>
          <w:p>
            <w:pPr>
              <w:pStyle w:val="27"/>
              <w:spacing w:line="360" w:lineRule="auto"/>
              <w:rPr>
                <w:rFonts w:ascii="Times New Roman" w:hAnsi="Times New Roman" w:eastAsia="宋体" w:cs="Times New Roman"/>
                <w:color w:val="auto"/>
                <w:spacing w:val="-4"/>
                <w:sz w:val="21"/>
                <w:szCs w:val="21"/>
                <w:lang w:eastAsia="zh-CN"/>
              </w:rPr>
            </w:pPr>
            <w:r>
              <w:rPr>
                <w:rFonts w:hint="eastAsia" w:ascii="宋体" w:hAnsi="宋体" w:eastAsia="宋体" w:cs="宋体"/>
                <w:b/>
                <w:color w:val="auto"/>
                <w:sz w:val="21"/>
                <w:szCs w:val="21"/>
              </w:rPr>
              <w:t>材质</w:t>
            </w:r>
          </w:p>
        </w:tc>
      </w:tr>
      <w:tr>
        <w:tblPrEx>
          <w:tblLayout w:type="fixed"/>
          <w:tblCellMar>
            <w:top w:w="0" w:type="dxa"/>
            <w:left w:w="0" w:type="dxa"/>
            <w:bottom w:w="0" w:type="dxa"/>
            <w:right w:w="0" w:type="dxa"/>
          </w:tblCellMar>
        </w:tblPrEx>
        <w:tc>
          <w:tcPr>
            <w:tcW w:w="8931" w:type="dxa"/>
            <w:gridSpan w:val="5"/>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制造螺旋压榨机的全部材料适应城市污水的腐蚀性。</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螺旋：耐磨合金钢</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进料口：不锈钢304L；</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U型槽：不锈钢304L；</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外壳：不锈钢304L；</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机架：不锈钢304L；</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排渣管：不锈钢304L；</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排水管：不锈钢304L</w:t>
            </w:r>
          </w:p>
          <w:p>
            <w:pPr>
              <w:pStyle w:val="27"/>
              <w:spacing w:line="360" w:lineRule="auto"/>
              <w:ind w:firstLine="404" w:firstLineChars="200"/>
              <w:jc w:val="both"/>
              <w:rPr>
                <w:rFonts w:ascii="宋体" w:hAnsi="宋体" w:eastAsia="宋体" w:cs="宋体"/>
                <w:b/>
                <w:color w:val="auto"/>
                <w:sz w:val="21"/>
                <w:szCs w:val="21"/>
                <w:lang w:eastAsia="zh-CN"/>
              </w:rPr>
            </w:pPr>
            <w:r>
              <w:rPr>
                <w:rFonts w:hint="eastAsia" w:ascii="Times New Roman" w:hAnsi="Times New Roman" w:eastAsia="宋体" w:cs="Times New Roman"/>
                <w:color w:val="auto"/>
                <w:spacing w:val="-4"/>
                <w:sz w:val="21"/>
                <w:szCs w:val="21"/>
                <w:lang w:eastAsia="zh-CN"/>
              </w:rPr>
              <w:t>所有连接件及紧固螺栓：不锈钢304。</w:t>
            </w:r>
          </w:p>
        </w:tc>
      </w:tr>
      <w:tr>
        <w:tblPrEx>
          <w:tblLayout w:type="fixed"/>
          <w:tblCellMar>
            <w:top w:w="0" w:type="dxa"/>
            <w:left w:w="0" w:type="dxa"/>
            <w:bottom w:w="0" w:type="dxa"/>
            <w:right w:w="0" w:type="dxa"/>
          </w:tblCellMar>
        </w:tblPrEx>
        <w:tc>
          <w:tcPr>
            <w:tcW w:w="8931" w:type="dxa"/>
            <w:gridSpan w:val="5"/>
            <w:tcBorders>
              <w:top w:val="single" w:color="000000" w:sz="4" w:space="0"/>
              <w:left w:val="single" w:color="000000" w:sz="4" w:space="0"/>
              <w:bottom w:val="single" w:color="000000" w:sz="4" w:space="0"/>
              <w:right w:val="single" w:color="000000" w:sz="4" w:space="0"/>
            </w:tcBorders>
            <w:vAlign w:val="center"/>
          </w:tcPr>
          <w:p>
            <w:pPr>
              <w:pStyle w:val="27"/>
              <w:spacing w:line="360" w:lineRule="auto"/>
              <w:rPr>
                <w:rFonts w:ascii="宋体" w:hAnsi="宋体" w:eastAsia="宋体" w:cs="宋体"/>
                <w:b/>
                <w:color w:val="auto"/>
                <w:sz w:val="21"/>
                <w:szCs w:val="21"/>
                <w:lang w:eastAsia="zh-CN"/>
              </w:rPr>
            </w:pPr>
            <w:r>
              <w:rPr>
                <w:rFonts w:hint="eastAsia" w:ascii="宋体" w:hAnsi="宋体" w:eastAsia="宋体" w:cs="宋体"/>
                <w:b/>
                <w:color w:val="auto"/>
                <w:sz w:val="21"/>
                <w:szCs w:val="21"/>
                <w:lang w:eastAsia="zh-CN"/>
              </w:rPr>
              <w:t>电气控制要求</w:t>
            </w:r>
          </w:p>
        </w:tc>
      </w:tr>
      <w:tr>
        <w:tblPrEx>
          <w:tblLayout w:type="fixed"/>
          <w:tblCellMar>
            <w:top w:w="0" w:type="dxa"/>
            <w:left w:w="0" w:type="dxa"/>
            <w:bottom w:w="0" w:type="dxa"/>
            <w:right w:w="0" w:type="dxa"/>
          </w:tblCellMar>
        </w:tblPrEx>
        <w:tc>
          <w:tcPr>
            <w:tcW w:w="8931" w:type="dxa"/>
            <w:gridSpan w:val="5"/>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hint="eastAsia" w:ascii="Times New Roman" w:hAnsi="Times New Roman" w:eastAsia="宋体" w:cs="Times New Roman"/>
                <w:color w:val="auto"/>
                <w:spacing w:val="-4"/>
                <w:sz w:val="21"/>
                <w:szCs w:val="21"/>
                <w:lang w:eastAsia="zh-CN"/>
              </w:rPr>
              <w:t>控制箱设在细格栅附近，设有格栅机压榨机的单独开停控制和联动运行控制等按钮，同时具备由PLC控制和状态显示的操作屏。</w:t>
            </w:r>
          </w:p>
          <w:p>
            <w:pPr>
              <w:pStyle w:val="27"/>
              <w:spacing w:line="360" w:lineRule="auto"/>
              <w:ind w:firstLine="404" w:firstLineChars="200"/>
              <w:jc w:val="both"/>
              <w:rPr>
                <w:rFonts w:ascii="宋体" w:hAnsi="宋体" w:eastAsia="宋体" w:cs="宋体"/>
                <w:b/>
                <w:color w:val="auto"/>
                <w:sz w:val="21"/>
                <w:szCs w:val="21"/>
                <w:lang w:eastAsia="zh-CN"/>
              </w:rPr>
            </w:pPr>
            <w:r>
              <w:rPr>
                <w:rFonts w:ascii="Times New Roman" w:hAnsi="Times New Roman" w:eastAsia="宋体" w:cs="Times New Roman"/>
                <w:color w:val="auto"/>
                <w:spacing w:val="-4"/>
                <w:sz w:val="21"/>
                <w:szCs w:val="21"/>
                <w:lang w:eastAsia="zh-CN"/>
              </w:rPr>
              <w:t>格栅在自动控制方式下，与配套的</w:t>
            </w:r>
            <w:r>
              <w:rPr>
                <w:rFonts w:hint="eastAsia" w:ascii="Times New Roman" w:hAnsi="Times New Roman" w:eastAsia="宋体" w:cs="Times New Roman"/>
                <w:color w:val="auto"/>
                <w:spacing w:val="-4"/>
                <w:sz w:val="21"/>
                <w:szCs w:val="21"/>
                <w:lang w:eastAsia="zh-CN"/>
              </w:rPr>
              <w:t>栅渣压榨机</w:t>
            </w:r>
            <w:r>
              <w:rPr>
                <w:rFonts w:ascii="Times New Roman" w:hAnsi="Times New Roman" w:eastAsia="宋体" w:cs="Times New Roman"/>
                <w:color w:val="auto"/>
                <w:spacing w:val="-4"/>
                <w:sz w:val="21"/>
                <w:szCs w:val="21"/>
                <w:lang w:eastAsia="zh-CN"/>
              </w:rPr>
              <w:t>联动运行（</w:t>
            </w:r>
            <w:r>
              <w:rPr>
                <w:rFonts w:hint="eastAsia" w:ascii="Times New Roman" w:hAnsi="Times New Roman" w:eastAsia="宋体" w:cs="Times New Roman"/>
                <w:color w:val="auto"/>
                <w:spacing w:val="-4"/>
                <w:sz w:val="21"/>
                <w:szCs w:val="21"/>
                <w:lang w:eastAsia="zh-CN"/>
              </w:rPr>
              <w:t>格栅控制系统发出联动信号给下级设备控制系统，以保证格栅及栅渣压榨机</w:t>
            </w:r>
            <w:r>
              <w:rPr>
                <w:rFonts w:ascii="Times New Roman" w:hAnsi="Times New Roman" w:eastAsia="宋体" w:cs="Times New Roman"/>
                <w:color w:val="auto"/>
                <w:spacing w:val="-4"/>
                <w:sz w:val="21"/>
                <w:szCs w:val="21"/>
                <w:lang w:eastAsia="zh-CN"/>
              </w:rPr>
              <w:t>处于联动控制状态）</w:t>
            </w:r>
            <w:r>
              <w:rPr>
                <w:rFonts w:hint="eastAsia" w:ascii="Times New Roman" w:hAnsi="Times New Roman" w:eastAsia="宋体" w:cs="Times New Roman"/>
                <w:color w:val="auto"/>
                <w:spacing w:val="-4"/>
                <w:sz w:val="21"/>
                <w:szCs w:val="21"/>
                <w:lang w:eastAsia="zh-CN"/>
              </w:rPr>
              <w:t>。</w:t>
            </w:r>
          </w:p>
        </w:tc>
      </w:tr>
    </w:tbl>
    <w:p>
      <w:pPr>
        <w:pStyle w:val="29"/>
        <w:ind w:firstLineChars="0"/>
        <w:rPr>
          <w:color w:val="auto"/>
        </w:rPr>
      </w:pPr>
    </w:p>
    <w:p>
      <w:pPr>
        <w:pStyle w:val="31"/>
        <w:rPr>
          <w:color w:val="auto"/>
        </w:rPr>
      </w:pPr>
      <w:r>
        <w:rPr>
          <w:color w:val="auto"/>
        </w:rPr>
        <w:t>罗茨风机</w:t>
      </w:r>
    </w:p>
    <w:tbl>
      <w:tblPr>
        <w:tblStyle w:val="25"/>
        <w:tblW w:w="8931" w:type="dxa"/>
        <w:tblInd w:w="-137" w:type="dxa"/>
        <w:tblLayout w:type="fixed"/>
        <w:tblCellMar>
          <w:top w:w="0" w:type="dxa"/>
          <w:left w:w="0" w:type="dxa"/>
          <w:bottom w:w="0" w:type="dxa"/>
          <w:right w:w="0" w:type="dxa"/>
        </w:tblCellMar>
      </w:tblPr>
      <w:tblGrid>
        <w:gridCol w:w="1134"/>
        <w:gridCol w:w="1418"/>
        <w:gridCol w:w="2977"/>
        <w:gridCol w:w="1151"/>
        <w:gridCol w:w="2251"/>
      </w:tblGrid>
      <w:tr>
        <w:tblPrEx>
          <w:tblLayout w:type="fixed"/>
          <w:tblCellMar>
            <w:top w:w="0" w:type="dxa"/>
            <w:left w:w="0" w:type="dxa"/>
            <w:bottom w:w="0" w:type="dxa"/>
            <w:right w:w="0" w:type="dxa"/>
          </w:tblCellMar>
        </w:tblPrEx>
        <w:tc>
          <w:tcPr>
            <w:tcW w:w="1134" w:type="dxa"/>
            <w:tcBorders>
              <w:top w:val="single" w:color="000000" w:sz="4" w:space="0"/>
              <w:left w:val="single" w:color="000000" w:sz="4" w:space="0"/>
              <w:bottom w:val="single" w:color="000000" w:sz="4" w:space="0"/>
              <w:right w:val="single" w:color="000000" w:sz="4" w:space="0"/>
            </w:tcBorders>
          </w:tcPr>
          <w:p>
            <w:pPr>
              <w:pStyle w:val="27"/>
              <w:spacing w:line="360" w:lineRule="auto"/>
              <w:jc w:val="center"/>
              <w:rPr>
                <w:rFonts w:ascii="宋体" w:hAnsi="宋体" w:eastAsia="宋体" w:cs="宋体"/>
                <w:b/>
                <w:color w:val="auto"/>
                <w:sz w:val="21"/>
                <w:szCs w:val="21"/>
              </w:rPr>
            </w:pPr>
            <w:r>
              <w:rPr>
                <w:rFonts w:hint="eastAsia" w:ascii="宋体" w:hAnsi="宋体" w:eastAsia="宋体" w:cs="宋体"/>
                <w:b/>
                <w:color w:val="auto"/>
                <w:sz w:val="21"/>
                <w:szCs w:val="21"/>
                <w:lang w:eastAsia="zh-CN"/>
              </w:rPr>
              <w:t>序号</w:t>
            </w:r>
          </w:p>
        </w:tc>
        <w:tc>
          <w:tcPr>
            <w:tcW w:w="1418" w:type="dxa"/>
            <w:tcBorders>
              <w:top w:val="single" w:color="000000" w:sz="4" w:space="0"/>
              <w:left w:val="single" w:color="000000" w:sz="4" w:space="0"/>
              <w:bottom w:val="single" w:color="000000" w:sz="4" w:space="0"/>
              <w:right w:val="single" w:color="000000" w:sz="4" w:space="0"/>
            </w:tcBorders>
          </w:tcPr>
          <w:p>
            <w:pPr>
              <w:pStyle w:val="27"/>
              <w:spacing w:line="360" w:lineRule="auto"/>
              <w:jc w:val="center"/>
              <w:rPr>
                <w:rFonts w:ascii="宋体" w:hAnsi="宋体" w:eastAsia="宋体" w:cs="宋体"/>
                <w:b/>
                <w:color w:val="auto"/>
                <w:sz w:val="21"/>
                <w:szCs w:val="21"/>
              </w:rPr>
            </w:pPr>
            <w:r>
              <w:rPr>
                <w:rFonts w:ascii="宋体" w:hAnsi="宋体" w:eastAsia="宋体" w:cs="宋体"/>
                <w:b/>
                <w:color w:val="auto"/>
                <w:sz w:val="21"/>
                <w:szCs w:val="21"/>
              </w:rPr>
              <w:t>设备名称</w:t>
            </w:r>
          </w:p>
        </w:tc>
        <w:tc>
          <w:tcPr>
            <w:tcW w:w="2977" w:type="dxa"/>
            <w:tcBorders>
              <w:top w:val="single" w:color="000000" w:sz="4" w:space="0"/>
              <w:left w:val="single" w:color="000000" w:sz="4" w:space="0"/>
              <w:bottom w:val="single" w:color="000000" w:sz="4" w:space="0"/>
              <w:right w:val="single" w:color="000000" w:sz="4" w:space="0"/>
            </w:tcBorders>
          </w:tcPr>
          <w:p>
            <w:pPr>
              <w:pStyle w:val="27"/>
              <w:spacing w:line="360" w:lineRule="auto"/>
              <w:jc w:val="center"/>
              <w:rPr>
                <w:rFonts w:ascii="宋体" w:hAnsi="宋体" w:eastAsia="宋体" w:cs="宋体"/>
                <w:b/>
                <w:color w:val="auto"/>
                <w:sz w:val="21"/>
                <w:szCs w:val="21"/>
              </w:rPr>
            </w:pPr>
            <w:r>
              <w:rPr>
                <w:rFonts w:ascii="宋体" w:hAnsi="宋体" w:eastAsia="宋体" w:cs="宋体"/>
                <w:b/>
                <w:color w:val="auto"/>
                <w:sz w:val="21"/>
                <w:szCs w:val="21"/>
              </w:rPr>
              <w:t>规格</w:t>
            </w:r>
          </w:p>
        </w:tc>
        <w:tc>
          <w:tcPr>
            <w:tcW w:w="1151" w:type="dxa"/>
            <w:tcBorders>
              <w:top w:val="single" w:color="000000" w:sz="4" w:space="0"/>
              <w:left w:val="single" w:color="000000" w:sz="4" w:space="0"/>
              <w:bottom w:val="single" w:color="000000" w:sz="4" w:space="0"/>
              <w:right w:val="single" w:color="000000" w:sz="4" w:space="0"/>
            </w:tcBorders>
          </w:tcPr>
          <w:p>
            <w:pPr>
              <w:pStyle w:val="27"/>
              <w:spacing w:line="360" w:lineRule="auto"/>
              <w:jc w:val="center"/>
              <w:rPr>
                <w:rFonts w:ascii="宋体" w:hAnsi="宋体" w:eastAsia="宋体" w:cs="宋体"/>
                <w:b/>
                <w:color w:val="auto"/>
                <w:sz w:val="21"/>
                <w:szCs w:val="21"/>
              </w:rPr>
            </w:pPr>
            <w:r>
              <w:rPr>
                <w:rFonts w:ascii="宋体" w:hAnsi="宋体" w:eastAsia="宋体" w:cs="宋体"/>
                <w:b/>
                <w:color w:val="auto"/>
                <w:sz w:val="21"/>
                <w:szCs w:val="21"/>
              </w:rPr>
              <w:t>数量</w:t>
            </w:r>
          </w:p>
        </w:tc>
        <w:tc>
          <w:tcPr>
            <w:tcW w:w="2251" w:type="dxa"/>
            <w:tcBorders>
              <w:top w:val="single" w:color="000000" w:sz="4" w:space="0"/>
              <w:left w:val="single" w:color="000000" w:sz="4" w:space="0"/>
              <w:bottom w:val="single" w:color="000000" w:sz="4" w:space="0"/>
              <w:right w:val="single" w:color="000000" w:sz="4" w:space="0"/>
            </w:tcBorders>
          </w:tcPr>
          <w:p>
            <w:pPr>
              <w:pStyle w:val="27"/>
              <w:spacing w:line="360" w:lineRule="auto"/>
              <w:jc w:val="center"/>
              <w:rPr>
                <w:rFonts w:ascii="宋体" w:hAnsi="宋体" w:eastAsia="宋体" w:cs="宋体"/>
                <w:b/>
                <w:color w:val="auto"/>
                <w:sz w:val="21"/>
                <w:szCs w:val="21"/>
              </w:rPr>
            </w:pPr>
            <w:r>
              <w:rPr>
                <w:rFonts w:ascii="宋体" w:hAnsi="宋体" w:eastAsia="宋体" w:cs="宋体"/>
                <w:b/>
                <w:color w:val="auto"/>
                <w:sz w:val="21"/>
                <w:szCs w:val="21"/>
              </w:rPr>
              <w:t>备注</w:t>
            </w:r>
          </w:p>
        </w:tc>
      </w:tr>
      <w:tr>
        <w:tblPrEx>
          <w:tblLayout w:type="fixed"/>
          <w:tblCellMar>
            <w:top w:w="0" w:type="dxa"/>
            <w:left w:w="0" w:type="dxa"/>
            <w:bottom w:w="0" w:type="dxa"/>
            <w:right w:w="0" w:type="dxa"/>
          </w:tblCellMar>
        </w:tblPrEx>
        <w:tc>
          <w:tcPr>
            <w:tcW w:w="1134"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pacing w:val="-1"/>
                <w:sz w:val="21"/>
                <w:szCs w:val="21"/>
              </w:rPr>
              <w:t>三叶罗茨鼓风</w:t>
            </w:r>
            <w:r>
              <w:rPr>
                <w:rFonts w:ascii="宋体" w:hAnsi="宋体" w:eastAsia="宋体" w:cs="宋体"/>
                <w:color w:val="auto"/>
                <w:sz w:val="21"/>
                <w:szCs w:val="21"/>
              </w:rPr>
              <w:t>机</w:t>
            </w:r>
          </w:p>
        </w:tc>
        <w:tc>
          <w:tcPr>
            <w:tcW w:w="2977"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pacing w:val="-1"/>
                <w:sz w:val="21"/>
                <w:szCs w:val="21"/>
              </w:rPr>
              <w:t>Q=800m³/</w:t>
            </w:r>
            <w:r>
              <w:rPr>
                <w:rFonts w:hint="eastAsia" w:ascii="宋体" w:hAnsi="宋体" w:eastAsia="宋体" w:cs="宋体"/>
                <w:color w:val="auto"/>
                <w:spacing w:val="-1"/>
                <w:sz w:val="21"/>
                <w:szCs w:val="21"/>
                <w:lang w:eastAsia="zh-CN"/>
              </w:rPr>
              <w:t>h</w:t>
            </w:r>
            <w:r>
              <w:rPr>
                <w:rFonts w:ascii="宋体" w:hAnsi="宋体" w:eastAsia="宋体" w:cs="宋体"/>
                <w:color w:val="auto"/>
                <w:spacing w:val="-1"/>
                <w:sz w:val="21"/>
                <w:szCs w:val="21"/>
              </w:rPr>
              <w:t>，P=39.2kPa，</w:t>
            </w:r>
            <w:r>
              <w:rPr>
                <w:rFonts w:ascii="宋体" w:hAnsi="宋体" w:eastAsia="宋体" w:cs="宋体"/>
                <w:color w:val="auto"/>
                <w:sz w:val="21"/>
                <w:szCs w:val="21"/>
              </w:rPr>
              <w:t>约18.5kW</w:t>
            </w:r>
          </w:p>
        </w:tc>
        <w:tc>
          <w:tcPr>
            <w:tcW w:w="115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2</w:t>
            </w:r>
          </w:p>
        </w:tc>
        <w:tc>
          <w:tcPr>
            <w:tcW w:w="2251"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center"/>
              <w:rPr>
                <w:rFonts w:ascii="宋体" w:hAnsi="宋体" w:eastAsia="宋体" w:cs="宋体"/>
                <w:color w:val="auto"/>
                <w:sz w:val="21"/>
                <w:szCs w:val="21"/>
              </w:rPr>
            </w:pPr>
          </w:p>
        </w:tc>
      </w:tr>
      <w:tr>
        <w:tblPrEx>
          <w:tblLayout w:type="fixed"/>
          <w:tblCellMar>
            <w:top w:w="0" w:type="dxa"/>
            <w:left w:w="0" w:type="dxa"/>
            <w:bottom w:w="0" w:type="dxa"/>
            <w:right w:w="0" w:type="dxa"/>
          </w:tblCellMar>
        </w:tblPrEx>
        <w:tc>
          <w:tcPr>
            <w:tcW w:w="8931" w:type="dxa"/>
            <w:gridSpan w:val="5"/>
            <w:tcBorders>
              <w:top w:val="single" w:color="000000" w:sz="4" w:space="0"/>
              <w:left w:val="single" w:color="000000" w:sz="4" w:space="0"/>
              <w:bottom w:val="single" w:color="000000" w:sz="4" w:space="0"/>
              <w:right w:val="single" w:color="000000" w:sz="4" w:space="0"/>
            </w:tcBorders>
          </w:tcPr>
          <w:p>
            <w:pPr>
              <w:pStyle w:val="27"/>
              <w:spacing w:line="360" w:lineRule="auto"/>
              <w:rPr>
                <w:rFonts w:ascii="宋体" w:hAnsi="宋体" w:eastAsia="宋体" w:cs="宋体"/>
                <w:b/>
                <w:color w:val="auto"/>
                <w:sz w:val="21"/>
                <w:szCs w:val="21"/>
              </w:rPr>
            </w:pPr>
            <w:r>
              <w:rPr>
                <w:rFonts w:ascii="宋体" w:hAnsi="宋体" w:eastAsia="宋体" w:cs="宋体"/>
                <w:b/>
                <w:color w:val="auto"/>
                <w:sz w:val="21"/>
                <w:szCs w:val="21"/>
              </w:rPr>
              <w:t>技术要求</w:t>
            </w:r>
          </w:p>
        </w:tc>
      </w:tr>
      <w:tr>
        <w:tblPrEx>
          <w:tblLayout w:type="fixed"/>
          <w:tblCellMar>
            <w:top w:w="0" w:type="dxa"/>
            <w:left w:w="0" w:type="dxa"/>
            <w:bottom w:w="0" w:type="dxa"/>
            <w:right w:w="0" w:type="dxa"/>
          </w:tblCellMar>
        </w:tblPrEx>
        <w:tc>
          <w:tcPr>
            <w:tcW w:w="8931" w:type="dxa"/>
            <w:gridSpan w:val="5"/>
            <w:tcBorders>
              <w:top w:val="single" w:color="000000" w:sz="4" w:space="0"/>
              <w:left w:val="single" w:color="000000" w:sz="4" w:space="0"/>
              <w:bottom w:val="single" w:color="000000" w:sz="4" w:space="0"/>
              <w:right w:val="single" w:color="000000" w:sz="4" w:space="0"/>
            </w:tcBorders>
          </w:tcPr>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ascii="Times New Roman" w:hAnsi="Times New Roman" w:eastAsia="宋体" w:cs="Times New Roman"/>
                <w:color w:val="auto"/>
                <w:spacing w:val="-4"/>
                <w:sz w:val="21"/>
                <w:szCs w:val="21"/>
                <w:lang w:eastAsia="zh-CN"/>
              </w:rPr>
              <w:t>1、工况要求</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ascii="Times New Roman" w:hAnsi="Times New Roman" w:eastAsia="宋体" w:cs="Times New Roman"/>
                <w:color w:val="auto"/>
                <w:spacing w:val="-4"/>
                <w:sz w:val="21"/>
                <w:szCs w:val="21"/>
                <w:lang w:eastAsia="zh-CN"/>
              </w:rPr>
              <w:t>工作介质：大气；</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ascii="Times New Roman" w:hAnsi="Times New Roman" w:eastAsia="宋体" w:cs="Times New Roman"/>
                <w:color w:val="auto"/>
                <w:spacing w:val="-4"/>
                <w:sz w:val="21"/>
                <w:szCs w:val="21"/>
                <w:lang w:eastAsia="zh-CN"/>
              </w:rPr>
              <w:t>空气吸入温度：－10℃～+40℃吸入压力：大气压(mmH2O)</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ascii="Times New Roman" w:hAnsi="Times New Roman" w:eastAsia="宋体" w:cs="Times New Roman"/>
                <w:color w:val="auto"/>
                <w:spacing w:val="-4"/>
                <w:sz w:val="21"/>
                <w:szCs w:val="21"/>
                <w:lang w:eastAsia="zh-CN"/>
              </w:rPr>
              <w:t>出口压力：0.4kg/cm2(20℃)（暂定）</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ascii="Times New Roman" w:hAnsi="Times New Roman" w:eastAsia="宋体" w:cs="Times New Roman"/>
                <w:color w:val="auto"/>
                <w:spacing w:val="-4"/>
                <w:sz w:val="21"/>
                <w:szCs w:val="21"/>
                <w:lang w:eastAsia="zh-CN"/>
              </w:rPr>
              <w:t>进口流量：800m³/h（20℃，1大气压，湿度65%）（暂定）</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ascii="Times New Roman" w:hAnsi="Times New Roman" w:eastAsia="宋体" w:cs="Times New Roman"/>
                <w:color w:val="auto"/>
                <w:spacing w:val="-4"/>
                <w:sz w:val="21"/>
                <w:szCs w:val="21"/>
                <w:lang w:eastAsia="zh-CN"/>
              </w:rPr>
              <w:t>2、性能要求</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ascii="Times New Roman" w:hAnsi="Times New Roman" w:eastAsia="宋体" w:cs="Times New Roman"/>
                <w:color w:val="auto"/>
                <w:spacing w:val="-4"/>
                <w:sz w:val="21"/>
                <w:szCs w:val="21"/>
                <w:lang w:eastAsia="zh-CN"/>
              </w:rPr>
              <w:t>运转时，鼓风机机体以及鼓风机两端轴承处的任何位置上所测得的振幅≤0.057mm，鼓风机的总绝对效率（在设计工况点的风量和风压按20℃温度条件的换算），不低于85％。鼓风机的噪音（包括电动机）按GB2888标准不应高于85dB(A)。关阀压力应高于工况风量点的出口压力。</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ascii="Times New Roman" w:hAnsi="Times New Roman" w:eastAsia="宋体" w:cs="Times New Roman"/>
                <w:color w:val="auto"/>
                <w:spacing w:val="-4"/>
                <w:sz w:val="21"/>
                <w:szCs w:val="21"/>
                <w:lang w:eastAsia="zh-CN"/>
              </w:rPr>
              <w:t>3、结构</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ascii="Times New Roman" w:hAnsi="Times New Roman" w:eastAsia="宋体" w:cs="Times New Roman"/>
                <w:color w:val="auto"/>
                <w:spacing w:val="-4"/>
                <w:sz w:val="21"/>
                <w:szCs w:val="21"/>
                <w:lang w:eastAsia="zh-CN"/>
              </w:rPr>
              <w:t>电动机：应采用风冷式卧式三相鼠笼异步感应电动机，IP54，绝缘等级F级。电机的额定功率在鼓风机的工况特性及使用温度范围内连续运转，保证不会产生过载。电压为380v，50Hz，3相。</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ascii="Times New Roman" w:hAnsi="Times New Roman" w:eastAsia="宋体" w:cs="Times New Roman"/>
                <w:color w:val="auto"/>
                <w:spacing w:val="-4"/>
                <w:sz w:val="21"/>
                <w:szCs w:val="21"/>
                <w:lang w:eastAsia="zh-CN"/>
              </w:rPr>
              <w:t>电机噪音（单独）应≤80dB(A)。</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ascii="Times New Roman" w:hAnsi="Times New Roman" w:eastAsia="宋体" w:cs="Times New Roman"/>
                <w:color w:val="auto"/>
                <w:spacing w:val="-4"/>
                <w:sz w:val="21"/>
                <w:szCs w:val="21"/>
                <w:lang w:eastAsia="zh-CN"/>
              </w:rPr>
              <w:t>电机效率≥95%。</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ascii="Times New Roman" w:hAnsi="Times New Roman" w:eastAsia="宋体" w:cs="Times New Roman"/>
                <w:color w:val="auto"/>
                <w:spacing w:val="-4"/>
                <w:sz w:val="21"/>
                <w:szCs w:val="21"/>
                <w:lang w:eastAsia="zh-CN"/>
              </w:rPr>
              <w:t>出口消声器：应采用在钢制筒体内装入玻璃纤维等吸音材料的型式，消声器的损失应低于150mmH2O，并有明显的消声效果。</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ascii="Times New Roman" w:hAnsi="Times New Roman" w:eastAsia="宋体" w:cs="Times New Roman"/>
                <w:color w:val="auto"/>
                <w:spacing w:val="-4"/>
                <w:sz w:val="21"/>
                <w:szCs w:val="21"/>
                <w:lang w:eastAsia="zh-CN"/>
              </w:rPr>
              <w:t>空气过滤器：承包商可根据本工艺的要求，推荐过滤器形式与规格，并配套供货。</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ascii="Times New Roman" w:hAnsi="Times New Roman" w:eastAsia="宋体" w:cs="Times New Roman"/>
                <w:color w:val="auto"/>
                <w:spacing w:val="-4"/>
                <w:sz w:val="21"/>
                <w:szCs w:val="21"/>
                <w:lang w:eastAsia="zh-CN"/>
              </w:rPr>
              <w:t>4、材质</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ascii="Times New Roman" w:hAnsi="Times New Roman" w:eastAsia="宋体" w:cs="Times New Roman"/>
                <w:color w:val="auto"/>
                <w:spacing w:val="-4"/>
                <w:sz w:val="21"/>
                <w:szCs w:val="21"/>
                <w:lang w:eastAsia="zh-CN"/>
              </w:rPr>
              <w:t>壳体：铸铁</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ascii="Times New Roman" w:hAnsi="Times New Roman" w:eastAsia="宋体" w:cs="Times New Roman"/>
                <w:color w:val="auto"/>
                <w:spacing w:val="-4"/>
                <w:sz w:val="21"/>
                <w:szCs w:val="21"/>
                <w:lang w:eastAsia="zh-CN"/>
              </w:rPr>
              <w:t>叶轮：铝合金</w:t>
            </w:r>
          </w:p>
          <w:p>
            <w:pPr>
              <w:pStyle w:val="27"/>
              <w:spacing w:line="360" w:lineRule="auto"/>
              <w:ind w:firstLine="404" w:firstLineChars="200"/>
              <w:jc w:val="both"/>
              <w:rPr>
                <w:rFonts w:ascii="Times New Roman" w:hAnsi="Times New Roman" w:eastAsia="宋体" w:cs="Times New Roman"/>
                <w:color w:val="auto"/>
                <w:spacing w:val="-4"/>
                <w:sz w:val="21"/>
                <w:szCs w:val="21"/>
                <w:lang w:eastAsia="zh-CN"/>
              </w:rPr>
            </w:pPr>
            <w:r>
              <w:rPr>
                <w:rFonts w:ascii="Times New Roman" w:hAnsi="Times New Roman" w:eastAsia="宋体" w:cs="Times New Roman"/>
                <w:color w:val="auto"/>
                <w:spacing w:val="-4"/>
                <w:sz w:val="21"/>
                <w:szCs w:val="21"/>
                <w:lang w:eastAsia="zh-CN"/>
              </w:rPr>
              <w:t>主轴：优质碳素结构钢或低合金钢</w:t>
            </w:r>
          </w:p>
          <w:p>
            <w:pPr>
              <w:pStyle w:val="27"/>
              <w:spacing w:line="360" w:lineRule="auto"/>
              <w:ind w:firstLine="404" w:firstLineChars="200"/>
              <w:jc w:val="both"/>
              <w:rPr>
                <w:rFonts w:ascii="宋体" w:hAnsi="宋体" w:eastAsia="宋体" w:cs="宋体"/>
                <w:color w:val="auto"/>
                <w:sz w:val="21"/>
                <w:szCs w:val="21"/>
              </w:rPr>
            </w:pPr>
            <w:r>
              <w:rPr>
                <w:rFonts w:ascii="Times New Roman" w:hAnsi="Times New Roman" w:eastAsia="宋体" w:cs="Times New Roman"/>
                <w:color w:val="auto"/>
                <w:spacing w:val="-4"/>
                <w:sz w:val="21"/>
                <w:szCs w:val="21"/>
                <w:lang w:eastAsia="zh-CN"/>
              </w:rPr>
              <w:t>机座：铸铁</w:t>
            </w:r>
          </w:p>
        </w:tc>
      </w:tr>
    </w:tbl>
    <w:p>
      <w:pPr>
        <w:spacing w:before="11"/>
        <w:rPr>
          <w:rFonts w:ascii="宋体" w:hAnsi="宋体" w:eastAsia="宋体" w:cs="宋体"/>
          <w:color w:val="auto"/>
          <w:sz w:val="20"/>
          <w:szCs w:val="20"/>
        </w:rPr>
      </w:pPr>
    </w:p>
    <w:p>
      <w:pPr>
        <w:pStyle w:val="31"/>
        <w:rPr>
          <w:color w:val="auto"/>
        </w:rPr>
      </w:pPr>
      <w:r>
        <w:rPr>
          <w:color w:val="auto"/>
        </w:rPr>
        <w:t>闸门</w:t>
      </w:r>
    </w:p>
    <w:tbl>
      <w:tblPr>
        <w:tblStyle w:val="24"/>
        <w:tblW w:w="87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992"/>
        <w:gridCol w:w="1701"/>
        <w:gridCol w:w="709"/>
        <w:gridCol w:w="851"/>
        <w:gridCol w:w="850"/>
        <w:gridCol w:w="851"/>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702"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序号</w:t>
            </w:r>
          </w:p>
        </w:tc>
        <w:tc>
          <w:tcPr>
            <w:tcW w:w="992" w:type="dxa"/>
            <w:vAlign w:val="center"/>
          </w:tcPr>
          <w:p>
            <w:pPr>
              <w:pStyle w:val="29"/>
              <w:ind w:firstLine="0" w:firstLineChars="0"/>
              <w:jc w:val="center"/>
              <w:rPr>
                <w:rFonts w:cs="Times New Roman"/>
                <w:color w:val="auto"/>
                <w:sz w:val="21"/>
                <w:szCs w:val="21"/>
              </w:rPr>
            </w:pPr>
            <w:r>
              <w:rPr>
                <w:rFonts w:cs="Times New Roman"/>
                <w:color w:val="auto"/>
                <w:sz w:val="21"/>
                <w:szCs w:val="21"/>
              </w:rPr>
              <w:t>设备名称</w:t>
            </w:r>
          </w:p>
        </w:tc>
        <w:tc>
          <w:tcPr>
            <w:tcW w:w="1701" w:type="dxa"/>
            <w:vAlign w:val="center"/>
          </w:tcPr>
          <w:p>
            <w:pPr>
              <w:pStyle w:val="29"/>
              <w:ind w:firstLine="0" w:firstLineChars="0"/>
              <w:jc w:val="center"/>
              <w:rPr>
                <w:rFonts w:cs="Times New Roman"/>
                <w:color w:val="auto"/>
                <w:sz w:val="21"/>
                <w:szCs w:val="21"/>
              </w:rPr>
            </w:pPr>
            <w:r>
              <w:rPr>
                <w:rFonts w:cs="Times New Roman"/>
                <w:color w:val="auto"/>
                <w:sz w:val="21"/>
                <w:szCs w:val="21"/>
              </w:rPr>
              <w:t>规格</w:t>
            </w:r>
          </w:p>
        </w:tc>
        <w:tc>
          <w:tcPr>
            <w:tcW w:w="709" w:type="dxa"/>
            <w:vAlign w:val="center"/>
          </w:tcPr>
          <w:p>
            <w:pPr>
              <w:pStyle w:val="29"/>
              <w:ind w:firstLine="0" w:firstLineChars="0"/>
              <w:jc w:val="center"/>
              <w:rPr>
                <w:rFonts w:cs="Times New Roman"/>
                <w:color w:val="auto"/>
                <w:sz w:val="21"/>
                <w:szCs w:val="21"/>
              </w:rPr>
            </w:pPr>
            <w:r>
              <w:rPr>
                <w:rFonts w:cs="Times New Roman"/>
                <w:color w:val="auto"/>
                <w:sz w:val="21"/>
                <w:szCs w:val="21"/>
              </w:rPr>
              <w:t>数量</w:t>
            </w:r>
          </w:p>
        </w:tc>
        <w:tc>
          <w:tcPr>
            <w:tcW w:w="851" w:type="dxa"/>
            <w:vAlign w:val="center"/>
          </w:tcPr>
          <w:p>
            <w:pPr>
              <w:pStyle w:val="29"/>
              <w:ind w:firstLine="0" w:firstLineChars="0"/>
              <w:jc w:val="center"/>
              <w:rPr>
                <w:rFonts w:cs="Times New Roman"/>
                <w:color w:val="auto"/>
                <w:sz w:val="21"/>
                <w:szCs w:val="21"/>
              </w:rPr>
            </w:pPr>
            <w:r>
              <w:rPr>
                <w:rFonts w:cs="Times New Roman"/>
                <w:color w:val="auto"/>
                <w:sz w:val="21"/>
                <w:szCs w:val="21"/>
              </w:rPr>
              <w:t>单位</w:t>
            </w:r>
          </w:p>
        </w:tc>
        <w:tc>
          <w:tcPr>
            <w:tcW w:w="850"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止水方式</w:t>
            </w:r>
          </w:p>
        </w:tc>
        <w:tc>
          <w:tcPr>
            <w:tcW w:w="851"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齐闭门方式</w:t>
            </w:r>
          </w:p>
        </w:tc>
        <w:tc>
          <w:tcPr>
            <w:tcW w:w="2100" w:type="dxa"/>
            <w:vAlign w:val="center"/>
          </w:tcPr>
          <w:p>
            <w:pPr>
              <w:pStyle w:val="29"/>
              <w:ind w:firstLine="0" w:firstLineChars="0"/>
              <w:jc w:val="center"/>
              <w:rPr>
                <w:rFonts w:cs="Times New Roman"/>
                <w:color w:val="auto"/>
                <w:sz w:val="21"/>
                <w:szCs w:val="21"/>
              </w:rPr>
            </w:pPr>
            <w:r>
              <w:rPr>
                <w:rFonts w:cs="Times New Roman"/>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5" w:hRule="atLeast"/>
          <w:jc w:val="center"/>
        </w:trPr>
        <w:tc>
          <w:tcPr>
            <w:tcW w:w="702"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1</w:t>
            </w:r>
          </w:p>
        </w:tc>
        <w:tc>
          <w:tcPr>
            <w:tcW w:w="992"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电动渠道闸门</w:t>
            </w:r>
          </w:p>
        </w:tc>
        <w:tc>
          <w:tcPr>
            <w:tcW w:w="1701"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B×H=800×1800，P=1.1kW</w:t>
            </w:r>
          </w:p>
        </w:tc>
        <w:tc>
          <w:tcPr>
            <w:tcW w:w="709" w:type="dxa"/>
            <w:vAlign w:val="center"/>
          </w:tcPr>
          <w:p>
            <w:pPr>
              <w:pStyle w:val="29"/>
              <w:ind w:firstLine="0" w:firstLineChars="0"/>
              <w:jc w:val="center"/>
              <w:rPr>
                <w:rFonts w:cs="Times New Roman"/>
                <w:color w:val="auto"/>
                <w:sz w:val="21"/>
                <w:szCs w:val="21"/>
              </w:rPr>
            </w:pPr>
            <w:r>
              <w:rPr>
                <w:rFonts w:cs="Times New Roman"/>
                <w:color w:val="auto"/>
                <w:sz w:val="21"/>
                <w:szCs w:val="21"/>
              </w:rPr>
              <w:t>4</w:t>
            </w:r>
          </w:p>
        </w:tc>
        <w:tc>
          <w:tcPr>
            <w:tcW w:w="851"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套</w:t>
            </w:r>
          </w:p>
        </w:tc>
        <w:tc>
          <w:tcPr>
            <w:tcW w:w="850" w:type="dxa"/>
            <w:vAlign w:val="center"/>
          </w:tcPr>
          <w:p>
            <w:pPr>
              <w:pStyle w:val="29"/>
              <w:ind w:firstLine="0" w:firstLineChars="0"/>
              <w:jc w:val="center"/>
              <w:rPr>
                <w:rFonts w:cs="Times New Roman"/>
                <w:color w:val="auto"/>
                <w:sz w:val="21"/>
                <w:szCs w:val="21"/>
              </w:rPr>
            </w:pPr>
            <w:r>
              <w:rPr>
                <w:rFonts w:hint="eastAsia" w:ascii="宋体" w:hAnsi="宋体"/>
                <w:color w:val="auto"/>
                <w:sz w:val="21"/>
                <w:szCs w:val="21"/>
              </w:rPr>
              <w:t>三边止水</w:t>
            </w:r>
          </w:p>
        </w:tc>
        <w:tc>
          <w:tcPr>
            <w:tcW w:w="851" w:type="dxa"/>
            <w:vAlign w:val="center"/>
          </w:tcPr>
          <w:p>
            <w:pPr>
              <w:pStyle w:val="29"/>
              <w:ind w:firstLine="0" w:firstLineChars="0"/>
              <w:jc w:val="center"/>
              <w:rPr>
                <w:rFonts w:cs="Times New Roman"/>
                <w:color w:val="auto"/>
                <w:sz w:val="21"/>
                <w:szCs w:val="21"/>
              </w:rPr>
            </w:pPr>
            <w:r>
              <w:rPr>
                <w:rFonts w:hint="eastAsia" w:ascii="宋体" w:hAnsi="宋体"/>
                <w:color w:val="auto"/>
                <w:sz w:val="21"/>
                <w:szCs w:val="21"/>
              </w:rPr>
              <w:t>手、电</w:t>
            </w:r>
          </w:p>
        </w:tc>
        <w:tc>
          <w:tcPr>
            <w:tcW w:w="2100"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细格栅进水闸门，配套一体化执行机构，配不锈钢密封罩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jc w:val="center"/>
        </w:trPr>
        <w:tc>
          <w:tcPr>
            <w:tcW w:w="702"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2</w:t>
            </w:r>
          </w:p>
        </w:tc>
        <w:tc>
          <w:tcPr>
            <w:tcW w:w="992"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电动渠道闸门</w:t>
            </w:r>
          </w:p>
        </w:tc>
        <w:tc>
          <w:tcPr>
            <w:tcW w:w="1701"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BxH=1600mmx1700mm，P=2.2kW</w:t>
            </w:r>
          </w:p>
        </w:tc>
        <w:tc>
          <w:tcPr>
            <w:tcW w:w="709" w:type="dxa"/>
            <w:vAlign w:val="center"/>
          </w:tcPr>
          <w:p>
            <w:pPr>
              <w:pStyle w:val="29"/>
              <w:ind w:firstLine="0" w:firstLineChars="0"/>
              <w:jc w:val="center"/>
              <w:rPr>
                <w:rFonts w:cs="Times New Roman"/>
                <w:color w:val="auto"/>
                <w:sz w:val="21"/>
                <w:szCs w:val="21"/>
              </w:rPr>
            </w:pPr>
            <w:r>
              <w:rPr>
                <w:rFonts w:cs="Times New Roman"/>
                <w:color w:val="auto"/>
                <w:sz w:val="21"/>
                <w:szCs w:val="21"/>
              </w:rPr>
              <w:t>4</w:t>
            </w:r>
          </w:p>
        </w:tc>
        <w:tc>
          <w:tcPr>
            <w:tcW w:w="851"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套</w:t>
            </w:r>
          </w:p>
        </w:tc>
        <w:tc>
          <w:tcPr>
            <w:tcW w:w="850" w:type="dxa"/>
            <w:vAlign w:val="center"/>
          </w:tcPr>
          <w:p>
            <w:pPr>
              <w:pStyle w:val="29"/>
              <w:ind w:firstLine="0" w:firstLineChars="0"/>
              <w:jc w:val="center"/>
              <w:rPr>
                <w:rFonts w:cs="Times New Roman"/>
                <w:color w:val="auto"/>
                <w:sz w:val="21"/>
                <w:szCs w:val="21"/>
              </w:rPr>
            </w:pPr>
            <w:r>
              <w:rPr>
                <w:rFonts w:hint="eastAsia" w:ascii="宋体" w:hAnsi="宋体"/>
                <w:color w:val="auto"/>
                <w:sz w:val="21"/>
                <w:szCs w:val="21"/>
              </w:rPr>
              <w:t>三边止水</w:t>
            </w:r>
          </w:p>
        </w:tc>
        <w:tc>
          <w:tcPr>
            <w:tcW w:w="851" w:type="dxa"/>
            <w:vAlign w:val="center"/>
          </w:tcPr>
          <w:p>
            <w:pPr>
              <w:pStyle w:val="29"/>
              <w:ind w:firstLine="0" w:firstLineChars="0"/>
              <w:jc w:val="center"/>
              <w:rPr>
                <w:rFonts w:cs="Times New Roman"/>
                <w:color w:val="auto"/>
                <w:sz w:val="21"/>
                <w:szCs w:val="21"/>
              </w:rPr>
            </w:pPr>
            <w:r>
              <w:rPr>
                <w:rFonts w:hint="eastAsia" w:ascii="宋体" w:hAnsi="宋体"/>
                <w:color w:val="auto"/>
                <w:sz w:val="21"/>
                <w:szCs w:val="21"/>
              </w:rPr>
              <w:t>手、电</w:t>
            </w:r>
          </w:p>
        </w:tc>
        <w:tc>
          <w:tcPr>
            <w:tcW w:w="2100"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细格栅出水闸门，配套一体化执行机构，配不锈钢密封罩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5" w:hRule="atLeast"/>
          <w:jc w:val="center"/>
        </w:trPr>
        <w:tc>
          <w:tcPr>
            <w:tcW w:w="702"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3</w:t>
            </w:r>
          </w:p>
        </w:tc>
        <w:tc>
          <w:tcPr>
            <w:tcW w:w="992"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电动渠道闸门</w:t>
            </w:r>
          </w:p>
        </w:tc>
        <w:tc>
          <w:tcPr>
            <w:tcW w:w="1701"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BxH=2000mmx1600mm，P=1.5kW</w:t>
            </w:r>
          </w:p>
        </w:tc>
        <w:tc>
          <w:tcPr>
            <w:tcW w:w="709" w:type="dxa"/>
            <w:vAlign w:val="center"/>
          </w:tcPr>
          <w:p>
            <w:pPr>
              <w:pStyle w:val="29"/>
              <w:ind w:firstLine="0" w:firstLineChars="0"/>
              <w:jc w:val="center"/>
              <w:rPr>
                <w:rFonts w:cs="Times New Roman"/>
                <w:color w:val="auto"/>
                <w:sz w:val="21"/>
                <w:szCs w:val="21"/>
              </w:rPr>
            </w:pPr>
            <w:r>
              <w:rPr>
                <w:rFonts w:cs="Times New Roman"/>
                <w:color w:val="auto"/>
                <w:sz w:val="21"/>
                <w:szCs w:val="21"/>
              </w:rPr>
              <w:t>2</w:t>
            </w:r>
          </w:p>
        </w:tc>
        <w:tc>
          <w:tcPr>
            <w:tcW w:w="851"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套</w:t>
            </w:r>
          </w:p>
        </w:tc>
        <w:tc>
          <w:tcPr>
            <w:tcW w:w="850" w:type="dxa"/>
            <w:vAlign w:val="center"/>
          </w:tcPr>
          <w:p>
            <w:pPr>
              <w:pStyle w:val="29"/>
              <w:ind w:firstLine="0" w:firstLineChars="0"/>
              <w:jc w:val="center"/>
              <w:rPr>
                <w:rFonts w:cs="Times New Roman"/>
                <w:color w:val="auto"/>
                <w:sz w:val="21"/>
                <w:szCs w:val="21"/>
              </w:rPr>
            </w:pPr>
            <w:r>
              <w:rPr>
                <w:rFonts w:hint="eastAsia" w:ascii="宋体" w:hAnsi="宋体"/>
                <w:color w:val="auto"/>
                <w:sz w:val="21"/>
                <w:szCs w:val="21"/>
              </w:rPr>
              <w:t>三边止水</w:t>
            </w:r>
          </w:p>
        </w:tc>
        <w:tc>
          <w:tcPr>
            <w:tcW w:w="851" w:type="dxa"/>
            <w:vAlign w:val="center"/>
          </w:tcPr>
          <w:p>
            <w:pPr>
              <w:pStyle w:val="29"/>
              <w:ind w:firstLine="0" w:firstLineChars="0"/>
              <w:jc w:val="center"/>
              <w:rPr>
                <w:rFonts w:cs="Times New Roman"/>
                <w:color w:val="auto"/>
                <w:sz w:val="21"/>
                <w:szCs w:val="21"/>
              </w:rPr>
            </w:pPr>
            <w:r>
              <w:rPr>
                <w:rFonts w:hint="eastAsia" w:ascii="宋体" w:hAnsi="宋体"/>
                <w:color w:val="auto"/>
                <w:sz w:val="21"/>
                <w:szCs w:val="21"/>
              </w:rPr>
              <w:t>手、电</w:t>
            </w:r>
          </w:p>
        </w:tc>
        <w:tc>
          <w:tcPr>
            <w:tcW w:w="2100"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沉砂池进水闸门，配套一体化执行机构，配不锈钢密封罩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5" w:hRule="atLeast"/>
          <w:jc w:val="center"/>
        </w:trPr>
        <w:tc>
          <w:tcPr>
            <w:tcW w:w="702"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4</w:t>
            </w:r>
          </w:p>
        </w:tc>
        <w:tc>
          <w:tcPr>
            <w:tcW w:w="992"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电动渠道闸门</w:t>
            </w:r>
          </w:p>
        </w:tc>
        <w:tc>
          <w:tcPr>
            <w:tcW w:w="1701"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BxH=2000mmx1600mm，P=1.5kW</w:t>
            </w:r>
          </w:p>
        </w:tc>
        <w:tc>
          <w:tcPr>
            <w:tcW w:w="709" w:type="dxa"/>
            <w:vAlign w:val="center"/>
          </w:tcPr>
          <w:p>
            <w:pPr>
              <w:pStyle w:val="29"/>
              <w:ind w:firstLine="0" w:firstLineChars="0"/>
              <w:jc w:val="center"/>
              <w:rPr>
                <w:rFonts w:cs="Times New Roman"/>
                <w:color w:val="auto"/>
                <w:sz w:val="21"/>
                <w:szCs w:val="21"/>
              </w:rPr>
            </w:pPr>
            <w:r>
              <w:rPr>
                <w:rFonts w:cs="Times New Roman"/>
                <w:color w:val="auto"/>
                <w:sz w:val="21"/>
                <w:szCs w:val="21"/>
              </w:rPr>
              <w:t>2</w:t>
            </w:r>
          </w:p>
        </w:tc>
        <w:tc>
          <w:tcPr>
            <w:tcW w:w="851"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套</w:t>
            </w:r>
          </w:p>
        </w:tc>
        <w:tc>
          <w:tcPr>
            <w:tcW w:w="850" w:type="dxa"/>
            <w:vAlign w:val="center"/>
          </w:tcPr>
          <w:p>
            <w:pPr>
              <w:pStyle w:val="29"/>
              <w:ind w:firstLine="0" w:firstLineChars="0"/>
              <w:jc w:val="center"/>
              <w:rPr>
                <w:rFonts w:cs="Times New Roman"/>
                <w:color w:val="auto"/>
                <w:sz w:val="21"/>
                <w:szCs w:val="21"/>
              </w:rPr>
            </w:pPr>
            <w:r>
              <w:rPr>
                <w:rFonts w:hint="eastAsia" w:ascii="宋体" w:hAnsi="宋体"/>
                <w:color w:val="auto"/>
                <w:sz w:val="21"/>
                <w:szCs w:val="21"/>
              </w:rPr>
              <w:t>三边止水</w:t>
            </w:r>
          </w:p>
        </w:tc>
        <w:tc>
          <w:tcPr>
            <w:tcW w:w="851" w:type="dxa"/>
            <w:vAlign w:val="center"/>
          </w:tcPr>
          <w:p>
            <w:pPr>
              <w:pStyle w:val="29"/>
              <w:ind w:firstLine="0" w:firstLineChars="0"/>
              <w:jc w:val="center"/>
              <w:rPr>
                <w:rFonts w:cs="Times New Roman"/>
                <w:color w:val="auto"/>
                <w:sz w:val="21"/>
                <w:szCs w:val="21"/>
              </w:rPr>
            </w:pPr>
            <w:r>
              <w:rPr>
                <w:rFonts w:hint="eastAsia" w:ascii="宋体" w:hAnsi="宋体"/>
                <w:color w:val="auto"/>
                <w:sz w:val="21"/>
                <w:szCs w:val="21"/>
              </w:rPr>
              <w:t>手、电</w:t>
            </w:r>
          </w:p>
        </w:tc>
        <w:tc>
          <w:tcPr>
            <w:tcW w:w="2100"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沉砂池出水闸门，配套一体化执行机构，配不锈钢密封罩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702"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5</w:t>
            </w:r>
          </w:p>
        </w:tc>
        <w:tc>
          <w:tcPr>
            <w:tcW w:w="992"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电动铸铁闸门</w:t>
            </w:r>
          </w:p>
        </w:tc>
        <w:tc>
          <w:tcPr>
            <w:tcW w:w="1701"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φ1200，P=1.5kw</w:t>
            </w:r>
          </w:p>
        </w:tc>
        <w:tc>
          <w:tcPr>
            <w:tcW w:w="709" w:type="dxa"/>
            <w:vAlign w:val="center"/>
          </w:tcPr>
          <w:p>
            <w:pPr>
              <w:pStyle w:val="29"/>
              <w:ind w:firstLine="0" w:firstLineChars="0"/>
              <w:jc w:val="center"/>
              <w:rPr>
                <w:rFonts w:cs="Times New Roman"/>
                <w:color w:val="auto"/>
                <w:sz w:val="21"/>
                <w:szCs w:val="21"/>
              </w:rPr>
            </w:pPr>
            <w:r>
              <w:rPr>
                <w:rFonts w:cs="Times New Roman"/>
                <w:color w:val="auto"/>
                <w:sz w:val="21"/>
                <w:szCs w:val="21"/>
              </w:rPr>
              <w:t>2</w:t>
            </w:r>
          </w:p>
        </w:tc>
        <w:tc>
          <w:tcPr>
            <w:tcW w:w="851"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套</w:t>
            </w:r>
          </w:p>
        </w:tc>
        <w:tc>
          <w:tcPr>
            <w:tcW w:w="850" w:type="dxa"/>
            <w:vAlign w:val="center"/>
          </w:tcPr>
          <w:p>
            <w:pPr>
              <w:pStyle w:val="29"/>
              <w:ind w:firstLine="0" w:firstLineChars="0"/>
              <w:jc w:val="center"/>
              <w:rPr>
                <w:rFonts w:cs="Times New Roman"/>
                <w:color w:val="auto"/>
                <w:sz w:val="21"/>
                <w:szCs w:val="21"/>
              </w:rPr>
            </w:pPr>
          </w:p>
        </w:tc>
        <w:tc>
          <w:tcPr>
            <w:tcW w:w="851" w:type="dxa"/>
            <w:vAlign w:val="center"/>
          </w:tcPr>
          <w:p>
            <w:pPr>
              <w:pStyle w:val="29"/>
              <w:ind w:firstLine="0" w:firstLineChars="0"/>
              <w:jc w:val="center"/>
              <w:rPr>
                <w:rFonts w:cs="Times New Roman"/>
                <w:color w:val="auto"/>
                <w:sz w:val="21"/>
                <w:szCs w:val="21"/>
              </w:rPr>
            </w:pPr>
            <w:r>
              <w:rPr>
                <w:rFonts w:hint="eastAsia" w:ascii="宋体" w:hAnsi="宋体"/>
                <w:color w:val="auto"/>
                <w:sz w:val="21"/>
                <w:szCs w:val="21"/>
              </w:rPr>
              <w:t>手、电</w:t>
            </w:r>
          </w:p>
        </w:tc>
        <w:tc>
          <w:tcPr>
            <w:tcW w:w="2100" w:type="dxa"/>
            <w:vAlign w:val="center"/>
          </w:tcPr>
          <w:p>
            <w:pPr>
              <w:pStyle w:val="29"/>
              <w:ind w:firstLine="0" w:firstLineChars="0"/>
              <w:jc w:val="center"/>
              <w:rPr>
                <w:rFonts w:cs="Times New Roman"/>
                <w:color w:val="auto"/>
                <w:sz w:val="21"/>
                <w:szCs w:val="21"/>
              </w:rPr>
            </w:pPr>
            <w:r>
              <w:rPr>
                <w:rFonts w:hint="eastAsia" w:cs="Times New Roman"/>
                <w:color w:val="auto"/>
                <w:sz w:val="21"/>
                <w:szCs w:val="21"/>
              </w:rPr>
              <w:t>配套一体化执行机构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8756" w:type="dxa"/>
            <w:gridSpan w:val="8"/>
            <w:vAlign w:val="center"/>
          </w:tcPr>
          <w:p>
            <w:pPr>
              <w:pStyle w:val="29"/>
              <w:ind w:firstLine="0" w:firstLineChars="0"/>
              <w:rPr>
                <w:rFonts w:cs="Times New Roman"/>
                <w:b/>
                <w:bCs/>
                <w:color w:val="auto"/>
                <w:sz w:val="21"/>
                <w:szCs w:val="21"/>
              </w:rPr>
            </w:pPr>
            <w:r>
              <w:rPr>
                <w:rFonts w:hint="eastAsia" w:cs="Times New Roman"/>
                <w:b/>
                <w:bCs/>
                <w:color w:val="auto"/>
                <w:sz w:val="21"/>
                <w:szCs w:val="21"/>
              </w:rPr>
              <w:t>性能结构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8756" w:type="dxa"/>
            <w:gridSpan w:val="8"/>
            <w:vAlign w:val="center"/>
          </w:tcPr>
          <w:p>
            <w:pPr>
              <w:pStyle w:val="29"/>
              <w:ind w:firstLine="416"/>
              <w:rPr>
                <w:rFonts w:cs="Times New Roman"/>
                <w:color w:val="auto"/>
                <w:spacing w:val="-2"/>
                <w:sz w:val="21"/>
                <w:szCs w:val="21"/>
              </w:rPr>
            </w:pPr>
            <w:r>
              <w:rPr>
                <w:rFonts w:hint="eastAsia" w:cs="Times New Roman"/>
                <w:color w:val="auto"/>
                <w:spacing w:val="-2"/>
                <w:sz w:val="21"/>
                <w:szCs w:val="21"/>
              </w:rPr>
              <w:t>a.渠道闸门应采用整体结构、暗杆启闭的型式，闸槽的过水宽度应与渠道等宽，门板的密封采用橡胶密封，且适用于双向止水除非另有规定。</w:t>
            </w:r>
          </w:p>
          <w:p>
            <w:pPr>
              <w:pStyle w:val="29"/>
              <w:ind w:firstLine="416"/>
              <w:rPr>
                <w:rFonts w:cs="Times New Roman"/>
                <w:color w:val="auto"/>
                <w:spacing w:val="-2"/>
                <w:sz w:val="21"/>
                <w:szCs w:val="21"/>
              </w:rPr>
            </w:pPr>
            <w:r>
              <w:rPr>
                <w:rFonts w:hint="eastAsia" w:cs="Times New Roman"/>
                <w:color w:val="auto"/>
                <w:spacing w:val="-2"/>
                <w:sz w:val="21"/>
                <w:szCs w:val="21"/>
              </w:rPr>
              <w:t>b.渠道闸门应适合于开敞的明渠安装，三边止水，闸门关闭后，门板应高于最高设计水位100mm以上。</w:t>
            </w:r>
          </w:p>
          <w:p>
            <w:pPr>
              <w:pStyle w:val="29"/>
              <w:ind w:firstLine="416"/>
              <w:rPr>
                <w:rFonts w:cs="Times New Roman"/>
                <w:color w:val="auto"/>
                <w:spacing w:val="-2"/>
                <w:sz w:val="21"/>
                <w:szCs w:val="21"/>
              </w:rPr>
            </w:pPr>
            <w:r>
              <w:rPr>
                <w:rFonts w:hint="eastAsia" w:cs="Times New Roman"/>
                <w:color w:val="auto"/>
                <w:spacing w:val="-2"/>
                <w:sz w:val="21"/>
                <w:szCs w:val="21"/>
              </w:rPr>
              <w:t>★c.门板为梁板式结构，应采用不锈钢</w:t>
            </w:r>
            <w:r>
              <w:rPr>
                <w:rFonts w:cs="Times New Roman"/>
                <w:color w:val="auto"/>
                <w:spacing w:val="-2"/>
                <w:sz w:val="21"/>
                <w:szCs w:val="21"/>
              </w:rPr>
              <w:t>304</w:t>
            </w:r>
            <w:r>
              <w:rPr>
                <w:rFonts w:hint="eastAsia" w:cs="Times New Roman"/>
                <w:color w:val="auto"/>
                <w:spacing w:val="-2"/>
                <w:sz w:val="21"/>
                <w:szCs w:val="21"/>
              </w:rPr>
              <w:t>制造，在最大受压条件下应具有足够的强度和刚度。板的厚度不低于8mm，挠度不大于渠宽的1/1000。保证受压后无变形，泄漏量不大于1.25l/min·m(密封长度)。</w:t>
            </w:r>
          </w:p>
          <w:p>
            <w:pPr>
              <w:pStyle w:val="29"/>
              <w:ind w:firstLine="416"/>
              <w:rPr>
                <w:rFonts w:cs="Times New Roman"/>
                <w:color w:val="auto"/>
                <w:spacing w:val="-2"/>
                <w:sz w:val="21"/>
                <w:szCs w:val="21"/>
              </w:rPr>
            </w:pPr>
            <w:r>
              <w:rPr>
                <w:rFonts w:hint="eastAsia" w:cs="Times New Roman"/>
                <w:color w:val="auto"/>
                <w:spacing w:val="-2"/>
                <w:sz w:val="21"/>
                <w:szCs w:val="21"/>
              </w:rPr>
              <w:t>d.门杆直径须≥50mm。</w:t>
            </w:r>
          </w:p>
          <w:p>
            <w:pPr>
              <w:pStyle w:val="29"/>
              <w:ind w:firstLine="416"/>
              <w:rPr>
                <w:rFonts w:cs="Times New Roman"/>
                <w:color w:val="auto"/>
                <w:spacing w:val="-2"/>
                <w:sz w:val="21"/>
                <w:szCs w:val="21"/>
              </w:rPr>
            </w:pPr>
            <w:r>
              <w:rPr>
                <w:rFonts w:hint="eastAsia" w:cs="Times New Roman"/>
                <w:color w:val="auto"/>
                <w:spacing w:val="-2"/>
                <w:sz w:val="21"/>
                <w:szCs w:val="21"/>
              </w:rPr>
              <w:t>e.电动驱动装置应附设手轮操作机构，手轮直径不大于400mm，手轮的操作力应小于150N，电动启闭装置直接安装在门架的上部，离地的高度应满足人工手轮操作的高度，执行机构调节精度为0.5%，调节行程范围符合工艺要求，为合资以上品牌。</w:t>
            </w:r>
          </w:p>
          <w:p>
            <w:pPr>
              <w:pStyle w:val="29"/>
              <w:ind w:firstLine="416"/>
              <w:rPr>
                <w:rFonts w:cs="Times New Roman"/>
                <w:color w:val="auto"/>
                <w:spacing w:val="-2"/>
                <w:sz w:val="21"/>
                <w:szCs w:val="21"/>
              </w:rPr>
            </w:pPr>
            <w:r>
              <w:rPr>
                <w:rFonts w:hint="eastAsia" w:cs="Times New Roman"/>
                <w:color w:val="auto"/>
                <w:spacing w:val="-2"/>
                <w:sz w:val="21"/>
                <w:szCs w:val="21"/>
              </w:rPr>
              <w:t>f.电动驱动装置的齿轮设计应符合ISO、DIN标准或等同标准服务系数不小于2，轴承额定寿命(L10)不小于100000小时。电动装置由电机经减速箱(位于启闭机座上)驱动螺杆转动以带动闸门门板升降。电动驱动装置应适应于-15～50℃环境温度，相对湿度95%，防护等级IP65，并采用安全可靠，易调整和高精度的行程控制及过力矩保护装置，最大转距应大于额定转矩的3倍，连续运行时间不低于15分钟。齿轮采用合金钢，表面淬火处理，硬度不低于HRC58～62。</w:t>
            </w:r>
          </w:p>
          <w:p>
            <w:pPr>
              <w:pStyle w:val="27"/>
              <w:spacing w:line="360" w:lineRule="auto"/>
              <w:ind w:firstLine="419"/>
              <w:jc w:val="both"/>
              <w:rPr>
                <w:rFonts w:ascii="Times New Roman" w:hAnsi="Times New Roman" w:cs="Times New Roman"/>
                <w:color w:val="auto"/>
                <w:spacing w:val="-6"/>
                <w:sz w:val="21"/>
                <w:szCs w:val="21"/>
                <w:lang w:eastAsia="zh-CN"/>
              </w:rPr>
            </w:pPr>
            <w:r>
              <w:rPr>
                <w:rFonts w:hint="eastAsia" w:cs="Times New Roman"/>
                <w:color w:val="auto"/>
                <w:spacing w:val="-2"/>
                <w:sz w:val="21"/>
                <w:szCs w:val="21"/>
                <w:lang w:eastAsia="zh-CN"/>
              </w:rPr>
              <w:t>g.电机F级绝缘。电源供给为3相，380V，50Hz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8756" w:type="dxa"/>
            <w:gridSpan w:val="8"/>
            <w:vAlign w:val="center"/>
          </w:tcPr>
          <w:p>
            <w:pPr>
              <w:pStyle w:val="29"/>
              <w:ind w:firstLine="0" w:firstLineChars="0"/>
              <w:rPr>
                <w:rFonts w:cs="Times New Roman"/>
                <w:b/>
                <w:bCs/>
                <w:color w:val="auto"/>
                <w:sz w:val="21"/>
                <w:szCs w:val="21"/>
              </w:rPr>
            </w:pPr>
            <w:r>
              <w:rPr>
                <w:rFonts w:hint="eastAsia" w:cs="Times New Roman"/>
                <w:b/>
                <w:bCs/>
                <w:color w:val="auto"/>
                <w:sz w:val="21"/>
                <w:szCs w:val="21"/>
              </w:rPr>
              <w:t>主要材料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8756" w:type="dxa"/>
            <w:gridSpan w:val="8"/>
            <w:vAlign w:val="center"/>
          </w:tcPr>
          <w:p>
            <w:pPr>
              <w:pStyle w:val="29"/>
              <w:ind w:firstLine="416"/>
              <w:rPr>
                <w:rFonts w:cs="Times New Roman"/>
                <w:color w:val="auto"/>
                <w:spacing w:val="-2"/>
                <w:sz w:val="21"/>
                <w:szCs w:val="21"/>
              </w:rPr>
            </w:pPr>
            <w:r>
              <w:rPr>
                <w:rFonts w:hint="eastAsia" w:cs="Times New Roman"/>
                <w:color w:val="auto"/>
                <w:spacing w:val="-2"/>
                <w:sz w:val="21"/>
                <w:szCs w:val="21"/>
              </w:rPr>
              <w:t>门板</w:t>
            </w:r>
            <w:r>
              <w:rPr>
                <w:rFonts w:hint="eastAsia" w:cs="Times New Roman"/>
                <w:color w:val="auto"/>
                <w:spacing w:val="-2"/>
                <w:sz w:val="21"/>
                <w:szCs w:val="21"/>
              </w:rPr>
              <w:tab/>
            </w:r>
            <w:r>
              <w:rPr>
                <w:rFonts w:hint="eastAsia" w:cs="Times New Roman"/>
                <w:color w:val="auto"/>
                <w:spacing w:val="-2"/>
                <w:sz w:val="21"/>
                <w:szCs w:val="21"/>
              </w:rPr>
              <w:t>（板与梁组合体）</w:t>
            </w:r>
            <w:r>
              <w:rPr>
                <w:rFonts w:hint="eastAsia" w:cs="Times New Roman"/>
                <w:color w:val="auto"/>
                <w:spacing w:val="-2"/>
                <w:sz w:val="21"/>
                <w:szCs w:val="21"/>
              </w:rPr>
              <w:tab/>
            </w:r>
            <w:r>
              <w:rPr>
                <w:rFonts w:hint="eastAsia" w:cs="Times New Roman"/>
                <w:color w:val="auto"/>
                <w:spacing w:val="-2"/>
                <w:sz w:val="21"/>
                <w:szCs w:val="21"/>
              </w:rPr>
              <w:t>不锈钢304</w:t>
            </w:r>
          </w:p>
          <w:p>
            <w:pPr>
              <w:pStyle w:val="29"/>
              <w:ind w:firstLine="416"/>
              <w:rPr>
                <w:rFonts w:cs="Times New Roman"/>
                <w:color w:val="auto"/>
                <w:spacing w:val="-2"/>
                <w:sz w:val="21"/>
                <w:szCs w:val="21"/>
              </w:rPr>
            </w:pPr>
            <w:r>
              <w:rPr>
                <w:rFonts w:hint="eastAsia" w:cs="Times New Roman"/>
                <w:color w:val="auto"/>
                <w:spacing w:val="-2"/>
                <w:sz w:val="21"/>
                <w:szCs w:val="21"/>
              </w:rPr>
              <w:t>闸槽</w:t>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不锈钢304</w:t>
            </w:r>
          </w:p>
          <w:p>
            <w:pPr>
              <w:pStyle w:val="29"/>
              <w:ind w:firstLine="416"/>
              <w:rPr>
                <w:rFonts w:cs="Times New Roman"/>
                <w:color w:val="auto"/>
                <w:spacing w:val="-2"/>
                <w:sz w:val="21"/>
                <w:szCs w:val="21"/>
              </w:rPr>
            </w:pPr>
            <w:r>
              <w:rPr>
                <w:rFonts w:hint="eastAsia" w:cs="Times New Roman"/>
                <w:color w:val="auto"/>
                <w:spacing w:val="-2"/>
                <w:sz w:val="21"/>
                <w:szCs w:val="21"/>
              </w:rPr>
              <w:t>密封条</w:t>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EPDM橡胶</w:t>
            </w:r>
          </w:p>
          <w:p>
            <w:pPr>
              <w:pStyle w:val="29"/>
              <w:ind w:firstLine="416"/>
              <w:rPr>
                <w:rFonts w:cs="Times New Roman"/>
                <w:color w:val="auto"/>
                <w:spacing w:val="-2"/>
                <w:sz w:val="21"/>
                <w:szCs w:val="21"/>
              </w:rPr>
            </w:pPr>
            <w:r>
              <w:rPr>
                <w:rFonts w:hint="eastAsia" w:cs="Times New Roman"/>
                <w:color w:val="auto"/>
                <w:spacing w:val="-2"/>
                <w:sz w:val="21"/>
                <w:szCs w:val="21"/>
              </w:rPr>
              <w:t>门杆</w:t>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不锈钢420</w:t>
            </w:r>
          </w:p>
          <w:p>
            <w:pPr>
              <w:pStyle w:val="29"/>
              <w:ind w:firstLine="416"/>
              <w:rPr>
                <w:rFonts w:cs="Times New Roman"/>
                <w:color w:val="auto"/>
                <w:spacing w:val="-2"/>
                <w:sz w:val="21"/>
                <w:szCs w:val="21"/>
              </w:rPr>
            </w:pPr>
            <w:r>
              <w:rPr>
                <w:rFonts w:hint="eastAsia" w:cs="Times New Roman"/>
                <w:color w:val="auto"/>
                <w:spacing w:val="-2"/>
                <w:sz w:val="21"/>
                <w:szCs w:val="21"/>
              </w:rPr>
              <w:t>推力螺母</w:t>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铜合金</w:t>
            </w:r>
          </w:p>
          <w:p>
            <w:pPr>
              <w:pStyle w:val="29"/>
              <w:ind w:firstLine="416"/>
              <w:rPr>
                <w:rFonts w:cs="Times New Roman"/>
                <w:color w:val="auto"/>
                <w:spacing w:val="-2"/>
                <w:sz w:val="21"/>
                <w:szCs w:val="21"/>
              </w:rPr>
            </w:pPr>
            <w:r>
              <w:rPr>
                <w:rFonts w:hint="eastAsia" w:cs="Times New Roman"/>
                <w:color w:val="auto"/>
                <w:spacing w:val="-2"/>
                <w:sz w:val="21"/>
                <w:szCs w:val="21"/>
              </w:rPr>
              <w:t>门架或横梁</w:t>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不锈钢（304）</w:t>
            </w:r>
          </w:p>
          <w:p>
            <w:pPr>
              <w:pStyle w:val="29"/>
              <w:ind w:firstLine="416"/>
              <w:rPr>
                <w:rFonts w:cs="Times New Roman"/>
                <w:color w:val="auto"/>
                <w:spacing w:val="-2"/>
                <w:sz w:val="21"/>
                <w:szCs w:val="21"/>
              </w:rPr>
            </w:pPr>
            <w:r>
              <w:rPr>
                <w:rFonts w:hint="eastAsia" w:cs="Times New Roman"/>
                <w:color w:val="auto"/>
                <w:spacing w:val="-2"/>
                <w:sz w:val="21"/>
                <w:szCs w:val="21"/>
              </w:rPr>
              <w:t>螺栓、螺母、垫圈</w:t>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不锈钢（304）</w:t>
            </w:r>
          </w:p>
          <w:p>
            <w:pPr>
              <w:pStyle w:val="29"/>
              <w:ind w:firstLine="416"/>
              <w:rPr>
                <w:rFonts w:cs="Times New Roman"/>
                <w:color w:val="auto"/>
                <w:spacing w:val="-2"/>
                <w:sz w:val="21"/>
                <w:szCs w:val="21"/>
              </w:rPr>
            </w:pPr>
            <w:r>
              <w:rPr>
                <w:rFonts w:hint="eastAsia" w:cs="Times New Roman"/>
                <w:color w:val="auto"/>
                <w:spacing w:val="-2"/>
                <w:sz w:val="21"/>
                <w:szCs w:val="21"/>
              </w:rPr>
              <w:t>基础、螺栓</w:t>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ab/>
            </w:r>
            <w:r>
              <w:rPr>
                <w:rFonts w:hint="eastAsia" w:cs="Times New Roman"/>
                <w:color w:val="auto"/>
                <w:spacing w:val="-2"/>
                <w:sz w:val="21"/>
                <w:szCs w:val="21"/>
              </w:rPr>
              <w:t>不锈钢（304）</w:t>
            </w:r>
          </w:p>
          <w:p>
            <w:pPr>
              <w:pStyle w:val="29"/>
              <w:ind w:firstLine="416"/>
              <w:rPr>
                <w:rFonts w:cs="Times New Roman"/>
                <w:color w:val="auto"/>
                <w:spacing w:val="-2"/>
                <w:sz w:val="21"/>
                <w:szCs w:val="21"/>
              </w:rPr>
            </w:pPr>
            <w:r>
              <w:rPr>
                <w:rFonts w:hint="eastAsia" w:cs="Times New Roman"/>
                <w:color w:val="auto"/>
                <w:spacing w:val="-2"/>
                <w:sz w:val="21"/>
                <w:szCs w:val="21"/>
              </w:rPr>
              <w:t>（6）防腐蚀</w:t>
            </w:r>
          </w:p>
          <w:p>
            <w:pPr>
              <w:pStyle w:val="29"/>
              <w:ind w:firstLine="416"/>
              <w:rPr>
                <w:rFonts w:cs="Times New Roman"/>
                <w:color w:val="auto"/>
                <w:spacing w:val="-2"/>
                <w:sz w:val="21"/>
                <w:szCs w:val="21"/>
              </w:rPr>
            </w:pPr>
            <w:r>
              <w:rPr>
                <w:rFonts w:hint="eastAsia" w:cs="Times New Roman"/>
                <w:color w:val="auto"/>
                <w:spacing w:val="-2"/>
                <w:sz w:val="21"/>
                <w:szCs w:val="21"/>
              </w:rPr>
              <w:t>制造渠道闸门的全部材料应适用于污水的腐蚀环境，未经保护或非防腐性材料应按基本要求的有关条款进行处理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8756" w:type="dxa"/>
            <w:gridSpan w:val="8"/>
            <w:vAlign w:val="center"/>
          </w:tcPr>
          <w:p>
            <w:pPr>
              <w:pStyle w:val="29"/>
              <w:ind w:firstLine="0" w:firstLineChars="0"/>
              <w:rPr>
                <w:rFonts w:cs="Times New Roman"/>
                <w:b/>
                <w:bCs/>
                <w:color w:val="auto"/>
                <w:sz w:val="21"/>
                <w:szCs w:val="21"/>
              </w:rPr>
            </w:pPr>
            <w:r>
              <w:rPr>
                <w:rFonts w:hint="eastAsia" w:cs="Times New Roman"/>
                <w:b/>
                <w:bCs/>
                <w:color w:val="auto"/>
                <w:sz w:val="21"/>
                <w:szCs w:val="21"/>
              </w:rPr>
              <w:t>控制系统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8756" w:type="dxa"/>
            <w:gridSpan w:val="8"/>
            <w:vAlign w:val="center"/>
          </w:tcPr>
          <w:p>
            <w:pPr>
              <w:pStyle w:val="29"/>
              <w:ind w:firstLine="416"/>
              <w:rPr>
                <w:rFonts w:cs="Times New Roman"/>
                <w:color w:val="auto"/>
                <w:spacing w:val="-2"/>
                <w:sz w:val="21"/>
                <w:szCs w:val="21"/>
              </w:rPr>
            </w:pPr>
            <w:r>
              <w:rPr>
                <w:rFonts w:hint="eastAsia" w:cs="Times New Roman"/>
                <w:color w:val="auto"/>
                <w:spacing w:val="-2"/>
                <w:sz w:val="21"/>
                <w:szCs w:val="21"/>
              </w:rPr>
              <w:t>电动闸门配套供应电控箱，1控1。防护等级IP65，附不锈钢安装支架。</w:t>
            </w:r>
          </w:p>
          <w:p>
            <w:pPr>
              <w:pStyle w:val="29"/>
              <w:ind w:firstLine="416"/>
              <w:rPr>
                <w:rFonts w:cs="Times New Roman"/>
                <w:color w:val="auto"/>
                <w:spacing w:val="-2"/>
                <w:sz w:val="21"/>
                <w:szCs w:val="21"/>
              </w:rPr>
            </w:pPr>
            <w:r>
              <w:rPr>
                <w:rFonts w:hint="eastAsia" w:cs="Times New Roman"/>
                <w:color w:val="auto"/>
                <w:spacing w:val="-2"/>
                <w:sz w:val="21"/>
                <w:szCs w:val="21"/>
              </w:rPr>
              <w:t>所提供的外接信号满足本施工图中各现场控制站及远程IO站IO一览表中所列信号要求，外接信号数量及功能不能少于中各现场控制站及远程IO站IO一览表中的信号数量及功能，所提供的外接端子信号型式需与中各现场控制站及远程IO站IO一览表中的各信号的型式相一致。</w:t>
            </w:r>
          </w:p>
          <w:p>
            <w:pPr>
              <w:pStyle w:val="29"/>
              <w:ind w:firstLine="416"/>
              <w:rPr>
                <w:rFonts w:cs="Times New Roman"/>
                <w:color w:val="auto"/>
                <w:spacing w:val="-2"/>
                <w:sz w:val="21"/>
                <w:szCs w:val="21"/>
              </w:rPr>
            </w:pPr>
            <w:r>
              <w:rPr>
                <w:rFonts w:hint="eastAsia" w:cs="Times New Roman"/>
                <w:color w:val="auto"/>
                <w:spacing w:val="-2"/>
                <w:sz w:val="21"/>
                <w:szCs w:val="21"/>
              </w:rPr>
              <w:t>由配套电控箱至其所控设备之间的动力以及控制线缆配套供应。配套线缆必须满足工程要求，长度由承包商根据施工图自行确定，施工图中电缆一览表仅供参考。</w:t>
            </w:r>
          </w:p>
          <w:p>
            <w:pPr>
              <w:pStyle w:val="29"/>
              <w:ind w:firstLine="416"/>
              <w:rPr>
                <w:rFonts w:cs="Times New Roman"/>
                <w:color w:val="auto"/>
                <w:spacing w:val="-2"/>
                <w:sz w:val="21"/>
                <w:szCs w:val="21"/>
              </w:rPr>
            </w:pPr>
            <w:r>
              <w:rPr>
                <w:rFonts w:hint="eastAsia" w:cs="Times New Roman"/>
                <w:color w:val="auto"/>
                <w:spacing w:val="-2"/>
                <w:sz w:val="21"/>
                <w:szCs w:val="21"/>
              </w:rPr>
              <w:t>电控箱、配套电缆及相关辅材的报价应包括在机主机投标报价内。</w:t>
            </w:r>
          </w:p>
          <w:p>
            <w:pPr>
              <w:pStyle w:val="29"/>
              <w:ind w:firstLine="416"/>
              <w:rPr>
                <w:rFonts w:cs="Times New Roman"/>
                <w:color w:val="auto"/>
                <w:spacing w:val="-2"/>
                <w:sz w:val="21"/>
                <w:szCs w:val="21"/>
              </w:rPr>
            </w:pPr>
            <w:r>
              <w:rPr>
                <w:rFonts w:hint="eastAsia" w:cs="Times New Roman"/>
                <w:color w:val="auto"/>
                <w:spacing w:val="-2"/>
                <w:sz w:val="21"/>
                <w:szCs w:val="21"/>
              </w:rPr>
              <w:t>其他详细技术要求及柜内变频器等主要元器件技术要求参见《与机械设备配套的电气控制箱（柜）专用技术规范》。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6" w:type="dxa"/>
            <w:gridSpan w:val="8"/>
            <w:vAlign w:val="center"/>
          </w:tcPr>
          <w:p>
            <w:pPr>
              <w:pStyle w:val="29"/>
              <w:ind w:firstLine="0" w:firstLineChars="0"/>
              <w:rPr>
                <w:rFonts w:cs="Times New Roman"/>
                <w:b/>
                <w:bCs/>
                <w:color w:val="auto"/>
                <w:sz w:val="21"/>
                <w:szCs w:val="21"/>
              </w:rPr>
            </w:pPr>
            <w:r>
              <w:rPr>
                <w:rFonts w:hint="eastAsia" w:cs="Times New Roman"/>
                <w:b/>
                <w:bCs/>
                <w:color w:val="auto"/>
                <w:sz w:val="21"/>
                <w:szCs w:val="21"/>
              </w:rPr>
              <w:t>安装和检验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56" w:type="dxa"/>
            <w:gridSpan w:val="8"/>
            <w:vAlign w:val="center"/>
          </w:tcPr>
          <w:p>
            <w:pPr>
              <w:pStyle w:val="29"/>
              <w:ind w:firstLine="412"/>
              <w:rPr>
                <w:rFonts w:cs="Times New Roman"/>
                <w:color w:val="auto"/>
                <w:sz w:val="21"/>
                <w:szCs w:val="21"/>
              </w:rPr>
            </w:pPr>
            <w:r>
              <w:rPr>
                <w:rFonts w:hint="eastAsia" w:cs="Times New Roman"/>
                <w:color w:val="auto"/>
                <w:sz w:val="21"/>
                <w:szCs w:val="21"/>
              </w:rPr>
              <w:t>1）参考标准</w:t>
            </w:r>
          </w:p>
          <w:p>
            <w:pPr>
              <w:pStyle w:val="29"/>
              <w:ind w:firstLine="412"/>
              <w:rPr>
                <w:rFonts w:cs="Times New Roman"/>
                <w:color w:val="auto"/>
                <w:sz w:val="21"/>
                <w:szCs w:val="21"/>
              </w:rPr>
            </w:pPr>
            <w:r>
              <w:rPr>
                <w:rFonts w:hint="eastAsia" w:cs="Times New Roman"/>
                <w:color w:val="auto"/>
                <w:sz w:val="21"/>
                <w:szCs w:val="21"/>
              </w:rPr>
              <w:t>DL/T5018-94</w:t>
            </w:r>
            <w:r>
              <w:rPr>
                <w:rFonts w:hint="eastAsia" w:cs="Times New Roman"/>
                <w:color w:val="auto"/>
                <w:sz w:val="21"/>
                <w:szCs w:val="21"/>
              </w:rPr>
              <w:tab/>
            </w:r>
            <w:r>
              <w:rPr>
                <w:rFonts w:hint="eastAsia" w:cs="Times New Roman"/>
                <w:color w:val="auto"/>
                <w:sz w:val="21"/>
                <w:szCs w:val="21"/>
              </w:rPr>
              <w:tab/>
            </w:r>
            <w:r>
              <w:rPr>
                <w:rFonts w:hint="eastAsia" w:cs="Times New Roman"/>
                <w:color w:val="auto"/>
                <w:sz w:val="21"/>
                <w:szCs w:val="21"/>
              </w:rPr>
              <w:tab/>
            </w:r>
            <w:r>
              <w:rPr>
                <w:rFonts w:hint="eastAsia" w:cs="Times New Roman"/>
                <w:color w:val="auto"/>
                <w:sz w:val="21"/>
                <w:szCs w:val="21"/>
              </w:rPr>
              <w:t>钢闸门制造、安装及验收规范</w:t>
            </w:r>
          </w:p>
          <w:p>
            <w:pPr>
              <w:pStyle w:val="29"/>
              <w:ind w:firstLine="412"/>
              <w:rPr>
                <w:rFonts w:cs="Times New Roman"/>
                <w:color w:val="auto"/>
                <w:sz w:val="21"/>
                <w:szCs w:val="21"/>
              </w:rPr>
            </w:pPr>
            <w:r>
              <w:rPr>
                <w:rFonts w:hint="eastAsia" w:cs="Times New Roman"/>
                <w:color w:val="auto"/>
                <w:sz w:val="21"/>
                <w:szCs w:val="21"/>
              </w:rPr>
              <w:t>GB50231-98</w:t>
            </w:r>
            <w:r>
              <w:rPr>
                <w:rFonts w:hint="eastAsia" w:cs="Times New Roman"/>
                <w:color w:val="auto"/>
                <w:sz w:val="21"/>
                <w:szCs w:val="21"/>
              </w:rPr>
              <w:tab/>
            </w:r>
            <w:r>
              <w:rPr>
                <w:rFonts w:hint="eastAsia" w:cs="Times New Roman"/>
                <w:color w:val="auto"/>
                <w:sz w:val="21"/>
                <w:szCs w:val="21"/>
              </w:rPr>
              <w:tab/>
            </w:r>
            <w:r>
              <w:rPr>
                <w:rFonts w:hint="eastAsia" w:cs="Times New Roman"/>
                <w:color w:val="auto"/>
                <w:sz w:val="21"/>
                <w:szCs w:val="21"/>
              </w:rPr>
              <w:t>机械设备安装工程施工及验收通用规范</w:t>
            </w:r>
          </w:p>
          <w:p>
            <w:pPr>
              <w:pStyle w:val="29"/>
              <w:ind w:firstLine="412"/>
              <w:rPr>
                <w:rFonts w:cs="Times New Roman"/>
                <w:color w:val="auto"/>
                <w:sz w:val="21"/>
                <w:szCs w:val="21"/>
              </w:rPr>
            </w:pPr>
            <w:r>
              <w:rPr>
                <w:rFonts w:hint="eastAsia" w:cs="Times New Roman"/>
                <w:color w:val="auto"/>
                <w:sz w:val="21"/>
                <w:szCs w:val="21"/>
              </w:rPr>
              <w:t>GB50334－2002</w:t>
            </w:r>
            <w:r>
              <w:rPr>
                <w:rFonts w:hint="eastAsia" w:cs="Times New Roman"/>
                <w:color w:val="auto"/>
                <w:sz w:val="21"/>
                <w:szCs w:val="21"/>
              </w:rPr>
              <w:tab/>
            </w:r>
            <w:r>
              <w:rPr>
                <w:rFonts w:hint="eastAsia" w:cs="Times New Roman"/>
                <w:color w:val="auto"/>
                <w:sz w:val="21"/>
                <w:szCs w:val="21"/>
              </w:rPr>
              <w:tab/>
            </w:r>
            <w:r>
              <w:rPr>
                <w:rFonts w:hint="eastAsia" w:cs="Times New Roman"/>
                <w:color w:val="auto"/>
                <w:sz w:val="21"/>
                <w:szCs w:val="21"/>
              </w:rPr>
              <w:t>城市污水处理厂工程质量验收规范</w:t>
            </w:r>
          </w:p>
          <w:p>
            <w:pPr>
              <w:pStyle w:val="29"/>
              <w:ind w:firstLine="412"/>
              <w:rPr>
                <w:rFonts w:cs="Times New Roman"/>
                <w:color w:val="auto"/>
                <w:sz w:val="21"/>
                <w:szCs w:val="21"/>
              </w:rPr>
            </w:pPr>
            <w:r>
              <w:rPr>
                <w:rFonts w:hint="eastAsia" w:cs="Times New Roman"/>
                <w:color w:val="auto"/>
                <w:sz w:val="21"/>
                <w:szCs w:val="21"/>
              </w:rPr>
              <w:t>CJ/T257不锈钢闸门</w:t>
            </w:r>
          </w:p>
          <w:p>
            <w:pPr>
              <w:pStyle w:val="29"/>
              <w:ind w:firstLine="412"/>
              <w:rPr>
                <w:rFonts w:cs="Times New Roman"/>
                <w:color w:val="auto"/>
                <w:sz w:val="21"/>
                <w:szCs w:val="21"/>
              </w:rPr>
            </w:pPr>
            <w:r>
              <w:rPr>
                <w:rFonts w:hint="eastAsia" w:cs="Times New Roman"/>
                <w:color w:val="auto"/>
                <w:sz w:val="21"/>
                <w:szCs w:val="21"/>
              </w:rPr>
              <w:t>制造厂</w:t>
            </w:r>
            <w:r>
              <w:rPr>
                <w:rFonts w:hint="eastAsia" w:cs="Times New Roman"/>
                <w:color w:val="auto"/>
                <w:sz w:val="21"/>
                <w:szCs w:val="21"/>
              </w:rPr>
              <w:tab/>
            </w:r>
            <w:r>
              <w:rPr>
                <w:rFonts w:hint="eastAsia" w:cs="Times New Roman"/>
                <w:color w:val="auto"/>
                <w:sz w:val="21"/>
                <w:szCs w:val="21"/>
              </w:rPr>
              <w:tab/>
            </w:r>
            <w:r>
              <w:rPr>
                <w:rFonts w:hint="eastAsia" w:cs="Times New Roman"/>
                <w:color w:val="auto"/>
                <w:sz w:val="21"/>
                <w:szCs w:val="21"/>
              </w:rPr>
              <w:tab/>
            </w:r>
            <w:r>
              <w:rPr>
                <w:rFonts w:hint="eastAsia" w:cs="Times New Roman"/>
                <w:color w:val="auto"/>
                <w:sz w:val="21"/>
                <w:szCs w:val="21"/>
              </w:rPr>
              <w:tab/>
            </w:r>
            <w:r>
              <w:rPr>
                <w:rFonts w:hint="eastAsia" w:cs="Times New Roman"/>
                <w:color w:val="auto"/>
                <w:sz w:val="21"/>
                <w:szCs w:val="21"/>
              </w:rPr>
              <w:t>渠道闸门安装技术手册</w:t>
            </w:r>
          </w:p>
          <w:p>
            <w:pPr>
              <w:pStyle w:val="29"/>
              <w:ind w:firstLine="412"/>
              <w:rPr>
                <w:rFonts w:cs="Times New Roman"/>
                <w:color w:val="auto"/>
                <w:sz w:val="21"/>
                <w:szCs w:val="21"/>
              </w:rPr>
            </w:pPr>
            <w:r>
              <w:rPr>
                <w:rFonts w:hint="eastAsia" w:cs="Times New Roman"/>
                <w:color w:val="auto"/>
                <w:sz w:val="21"/>
                <w:szCs w:val="21"/>
              </w:rPr>
              <w:t>2)现场条件</w:t>
            </w:r>
          </w:p>
          <w:p>
            <w:pPr>
              <w:pStyle w:val="29"/>
              <w:ind w:firstLine="412"/>
              <w:rPr>
                <w:rFonts w:cs="Times New Roman"/>
                <w:color w:val="auto"/>
                <w:sz w:val="21"/>
                <w:szCs w:val="21"/>
              </w:rPr>
            </w:pPr>
            <w:r>
              <w:rPr>
                <w:rFonts w:hint="eastAsia" w:cs="Times New Roman"/>
                <w:color w:val="auto"/>
                <w:sz w:val="21"/>
                <w:szCs w:val="21"/>
              </w:rPr>
              <w:t>a.</w:t>
            </w:r>
            <w:r>
              <w:rPr>
                <w:rFonts w:hint="eastAsia" w:cs="Times New Roman"/>
                <w:color w:val="auto"/>
                <w:sz w:val="21"/>
                <w:szCs w:val="21"/>
              </w:rPr>
              <w:tab/>
            </w:r>
            <w:r>
              <w:rPr>
                <w:rFonts w:hint="eastAsia" w:cs="Times New Roman"/>
                <w:color w:val="auto"/>
                <w:sz w:val="21"/>
                <w:szCs w:val="21"/>
              </w:rPr>
              <w:t>承包商应遵照标书图纸及对应土建工程的预留槽，进行上述渠道闸门装置的安装。</w:t>
            </w:r>
          </w:p>
          <w:p>
            <w:pPr>
              <w:pStyle w:val="29"/>
              <w:ind w:firstLine="412"/>
              <w:rPr>
                <w:rFonts w:cs="Times New Roman"/>
                <w:color w:val="auto"/>
                <w:sz w:val="21"/>
                <w:szCs w:val="21"/>
              </w:rPr>
            </w:pPr>
            <w:r>
              <w:rPr>
                <w:rFonts w:hint="eastAsia" w:cs="Times New Roman"/>
                <w:color w:val="auto"/>
                <w:sz w:val="21"/>
                <w:szCs w:val="21"/>
              </w:rPr>
              <w:t>b.</w:t>
            </w:r>
            <w:r>
              <w:rPr>
                <w:rFonts w:hint="eastAsia" w:cs="Times New Roman"/>
                <w:color w:val="auto"/>
                <w:sz w:val="21"/>
                <w:szCs w:val="21"/>
              </w:rPr>
              <w:tab/>
            </w:r>
            <w:r>
              <w:rPr>
                <w:rFonts w:hint="eastAsia" w:cs="Times New Roman"/>
                <w:color w:val="auto"/>
                <w:sz w:val="21"/>
                <w:szCs w:val="21"/>
              </w:rPr>
              <w:t>承包商在机械设备安装前，应对建成构筑物的相关土建尺寸，进行核对，并提出详细记录。</w:t>
            </w:r>
          </w:p>
          <w:p>
            <w:pPr>
              <w:pStyle w:val="29"/>
              <w:ind w:firstLine="412"/>
              <w:rPr>
                <w:rFonts w:cs="Times New Roman"/>
                <w:color w:val="auto"/>
                <w:sz w:val="21"/>
                <w:szCs w:val="21"/>
              </w:rPr>
            </w:pPr>
            <w:r>
              <w:rPr>
                <w:rFonts w:hint="eastAsia" w:cs="Times New Roman"/>
                <w:color w:val="auto"/>
                <w:sz w:val="21"/>
                <w:szCs w:val="21"/>
              </w:rPr>
              <w:t>3)设备结构要素</w:t>
            </w:r>
          </w:p>
          <w:p>
            <w:pPr>
              <w:pStyle w:val="29"/>
              <w:ind w:firstLine="412"/>
              <w:rPr>
                <w:rFonts w:cs="Times New Roman"/>
                <w:color w:val="auto"/>
                <w:sz w:val="21"/>
                <w:szCs w:val="21"/>
              </w:rPr>
            </w:pPr>
            <w:r>
              <w:rPr>
                <w:rFonts w:hint="eastAsia" w:cs="Times New Roman"/>
                <w:color w:val="auto"/>
                <w:sz w:val="21"/>
                <w:szCs w:val="21"/>
              </w:rPr>
              <w:t>a.</w:t>
            </w:r>
            <w:r>
              <w:rPr>
                <w:rFonts w:hint="eastAsia" w:cs="Times New Roman"/>
                <w:color w:val="auto"/>
                <w:sz w:val="21"/>
                <w:szCs w:val="21"/>
              </w:rPr>
              <w:tab/>
            </w:r>
            <w:r>
              <w:rPr>
                <w:rFonts w:hint="eastAsia" w:cs="Times New Roman"/>
                <w:color w:val="auto"/>
                <w:sz w:val="21"/>
                <w:szCs w:val="21"/>
              </w:rPr>
              <w:t>渠道闸门采用闸槽式暗杆启闭的型式，分为门框、门板、传动螺杆，门形支架、电动启闭装置等部件，在现场联接组装。</w:t>
            </w:r>
          </w:p>
          <w:p>
            <w:pPr>
              <w:pStyle w:val="29"/>
              <w:ind w:firstLine="412"/>
              <w:rPr>
                <w:rFonts w:cs="Times New Roman"/>
                <w:color w:val="auto"/>
                <w:sz w:val="21"/>
                <w:szCs w:val="21"/>
              </w:rPr>
            </w:pPr>
            <w:r>
              <w:rPr>
                <w:rFonts w:hint="eastAsia" w:cs="Times New Roman"/>
                <w:color w:val="auto"/>
                <w:sz w:val="21"/>
                <w:szCs w:val="21"/>
              </w:rPr>
              <w:t>b.</w:t>
            </w:r>
            <w:r>
              <w:rPr>
                <w:rFonts w:hint="eastAsia" w:cs="Times New Roman"/>
                <w:color w:val="auto"/>
                <w:sz w:val="21"/>
                <w:szCs w:val="21"/>
              </w:rPr>
              <w:tab/>
            </w:r>
            <w:r>
              <w:rPr>
                <w:rFonts w:hint="eastAsia" w:cs="Times New Roman"/>
                <w:color w:val="auto"/>
                <w:sz w:val="21"/>
                <w:szCs w:val="21"/>
              </w:rPr>
              <w:t>各部件之间的配合关系和安装顺序应按制造厂安装手册为准。</w:t>
            </w:r>
          </w:p>
          <w:p>
            <w:pPr>
              <w:pStyle w:val="29"/>
              <w:ind w:firstLine="412"/>
              <w:rPr>
                <w:rFonts w:cs="Times New Roman"/>
                <w:color w:val="auto"/>
                <w:sz w:val="21"/>
                <w:szCs w:val="21"/>
              </w:rPr>
            </w:pPr>
            <w:r>
              <w:rPr>
                <w:rFonts w:hint="eastAsia" w:cs="Times New Roman"/>
                <w:color w:val="auto"/>
                <w:sz w:val="21"/>
                <w:szCs w:val="21"/>
              </w:rPr>
              <w:t>4)与土建工程分界面</w:t>
            </w:r>
          </w:p>
          <w:p>
            <w:pPr>
              <w:pStyle w:val="29"/>
              <w:ind w:firstLine="412"/>
              <w:rPr>
                <w:rFonts w:cs="Times New Roman"/>
                <w:color w:val="auto"/>
                <w:sz w:val="21"/>
                <w:szCs w:val="21"/>
              </w:rPr>
            </w:pPr>
            <w:r>
              <w:rPr>
                <w:rFonts w:hint="eastAsia" w:cs="Times New Roman"/>
                <w:color w:val="auto"/>
                <w:sz w:val="21"/>
                <w:szCs w:val="21"/>
              </w:rPr>
              <w:t>a.</w:t>
            </w:r>
            <w:r>
              <w:rPr>
                <w:rFonts w:hint="eastAsia" w:cs="Times New Roman"/>
                <w:color w:val="auto"/>
                <w:sz w:val="21"/>
                <w:szCs w:val="21"/>
              </w:rPr>
              <w:tab/>
            </w:r>
            <w:r>
              <w:rPr>
                <w:rFonts w:hint="eastAsia" w:cs="Times New Roman"/>
                <w:color w:val="auto"/>
                <w:sz w:val="21"/>
                <w:szCs w:val="21"/>
              </w:rPr>
              <w:t>渠道闸门在土建构筑物上的预留闸槽，预埋铁板均属土建工程。</w:t>
            </w:r>
          </w:p>
          <w:p>
            <w:pPr>
              <w:pStyle w:val="29"/>
              <w:ind w:firstLine="412"/>
              <w:rPr>
                <w:rFonts w:cs="Times New Roman"/>
                <w:color w:val="auto"/>
                <w:sz w:val="21"/>
                <w:szCs w:val="21"/>
              </w:rPr>
            </w:pPr>
            <w:r>
              <w:rPr>
                <w:rFonts w:hint="eastAsia" w:cs="Times New Roman"/>
                <w:color w:val="auto"/>
                <w:sz w:val="21"/>
                <w:szCs w:val="21"/>
              </w:rPr>
              <w:t>b.</w:t>
            </w:r>
            <w:r>
              <w:rPr>
                <w:rFonts w:hint="eastAsia" w:cs="Times New Roman"/>
                <w:color w:val="auto"/>
                <w:sz w:val="21"/>
                <w:szCs w:val="21"/>
              </w:rPr>
              <w:tab/>
            </w:r>
            <w:r>
              <w:rPr>
                <w:rFonts w:hint="eastAsia" w:cs="Times New Roman"/>
                <w:color w:val="auto"/>
                <w:sz w:val="21"/>
                <w:szCs w:val="21"/>
              </w:rPr>
              <w:t>设备固定用膨胀螺栓、焊接螺栓或预埋螺栓均为供货商的随机附件。</w:t>
            </w:r>
          </w:p>
          <w:p>
            <w:pPr>
              <w:pStyle w:val="29"/>
              <w:ind w:firstLine="412"/>
              <w:rPr>
                <w:rFonts w:cs="Times New Roman"/>
                <w:color w:val="auto"/>
                <w:sz w:val="21"/>
                <w:szCs w:val="21"/>
              </w:rPr>
            </w:pPr>
            <w:r>
              <w:rPr>
                <w:rFonts w:hint="eastAsia" w:cs="Times New Roman"/>
                <w:color w:val="auto"/>
                <w:sz w:val="21"/>
                <w:szCs w:val="21"/>
              </w:rPr>
              <w:t>c.</w:t>
            </w:r>
            <w:r>
              <w:rPr>
                <w:rFonts w:hint="eastAsia" w:cs="Times New Roman"/>
                <w:color w:val="auto"/>
                <w:sz w:val="21"/>
                <w:szCs w:val="21"/>
              </w:rPr>
              <w:tab/>
            </w:r>
            <w:r>
              <w:rPr>
                <w:rFonts w:hint="eastAsia" w:cs="Times New Roman"/>
                <w:color w:val="auto"/>
                <w:sz w:val="21"/>
                <w:szCs w:val="21"/>
              </w:rPr>
              <w:t>二次灌浆，属本设备安装工程的范围。</w:t>
            </w:r>
          </w:p>
          <w:p>
            <w:pPr>
              <w:pStyle w:val="29"/>
              <w:ind w:firstLine="412"/>
              <w:rPr>
                <w:rFonts w:cs="Times New Roman"/>
                <w:color w:val="auto"/>
                <w:sz w:val="21"/>
                <w:szCs w:val="21"/>
              </w:rPr>
            </w:pPr>
            <w:r>
              <w:rPr>
                <w:rFonts w:hint="eastAsia" w:cs="Times New Roman"/>
                <w:color w:val="auto"/>
                <w:sz w:val="21"/>
                <w:szCs w:val="21"/>
              </w:rPr>
              <w:t>5)现场检验和调试</w:t>
            </w:r>
          </w:p>
          <w:p>
            <w:pPr>
              <w:pStyle w:val="29"/>
              <w:ind w:firstLine="412"/>
              <w:rPr>
                <w:rFonts w:cs="Times New Roman"/>
                <w:color w:val="auto"/>
                <w:sz w:val="21"/>
                <w:szCs w:val="21"/>
              </w:rPr>
            </w:pPr>
            <w:r>
              <w:rPr>
                <w:rFonts w:hint="eastAsia" w:cs="Times New Roman"/>
                <w:color w:val="auto"/>
                <w:sz w:val="21"/>
                <w:szCs w:val="21"/>
              </w:rPr>
              <w:t>a.</w:t>
            </w:r>
            <w:r>
              <w:rPr>
                <w:rFonts w:hint="eastAsia" w:cs="Times New Roman"/>
                <w:color w:val="auto"/>
                <w:sz w:val="21"/>
                <w:szCs w:val="21"/>
              </w:rPr>
              <w:tab/>
            </w:r>
            <w:r>
              <w:rPr>
                <w:rFonts w:hint="eastAsia" w:cs="Times New Roman"/>
                <w:color w:val="auto"/>
                <w:sz w:val="21"/>
                <w:szCs w:val="21"/>
              </w:rPr>
              <w:t>渠道闸门安装后，应对电动启闭装置内的润滑油脂进行检查和加注。</w:t>
            </w:r>
          </w:p>
          <w:p>
            <w:pPr>
              <w:pStyle w:val="29"/>
              <w:ind w:firstLine="412"/>
              <w:rPr>
                <w:rFonts w:cs="Times New Roman"/>
                <w:color w:val="auto"/>
                <w:sz w:val="21"/>
                <w:szCs w:val="21"/>
              </w:rPr>
            </w:pPr>
            <w:r>
              <w:rPr>
                <w:rFonts w:hint="eastAsia" w:cs="Times New Roman"/>
                <w:color w:val="auto"/>
                <w:sz w:val="21"/>
                <w:szCs w:val="21"/>
              </w:rPr>
              <w:t>b.</w:t>
            </w:r>
            <w:r>
              <w:rPr>
                <w:rFonts w:hint="eastAsia" w:cs="Times New Roman"/>
                <w:color w:val="auto"/>
                <w:sz w:val="21"/>
                <w:szCs w:val="21"/>
              </w:rPr>
              <w:tab/>
            </w:r>
            <w:r>
              <w:rPr>
                <w:rFonts w:hint="eastAsia" w:cs="Times New Roman"/>
                <w:color w:val="auto"/>
                <w:sz w:val="21"/>
                <w:szCs w:val="21"/>
              </w:rPr>
              <w:t>在无水条件下，至少作门板启闭3次试验，操作灵活手感轻便，螺杆副的旋合平稳，门板无卡位、突跳现象。</w:t>
            </w:r>
          </w:p>
          <w:p>
            <w:pPr>
              <w:pStyle w:val="29"/>
              <w:ind w:firstLine="412"/>
              <w:rPr>
                <w:rFonts w:cs="Times New Roman"/>
                <w:color w:val="auto"/>
                <w:sz w:val="21"/>
                <w:szCs w:val="21"/>
              </w:rPr>
            </w:pPr>
            <w:r>
              <w:rPr>
                <w:rFonts w:hint="eastAsia" w:cs="Times New Roman"/>
                <w:color w:val="auto"/>
                <w:sz w:val="21"/>
                <w:szCs w:val="21"/>
              </w:rPr>
              <w:t>c.</w:t>
            </w:r>
            <w:r>
              <w:rPr>
                <w:rFonts w:hint="eastAsia" w:cs="Times New Roman"/>
                <w:color w:val="auto"/>
                <w:sz w:val="21"/>
                <w:szCs w:val="21"/>
              </w:rPr>
              <w:tab/>
            </w:r>
            <w:r>
              <w:rPr>
                <w:rFonts w:hint="eastAsia" w:cs="Times New Roman"/>
                <w:color w:val="auto"/>
                <w:sz w:val="21"/>
                <w:szCs w:val="21"/>
              </w:rPr>
              <w:t>进行现场泄漏试验，在最大设计水位条件下，闸门的泄漏量应不大于1.25L/min.m（密封长度）</w:t>
            </w:r>
          </w:p>
        </w:tc>
      </w:tr>
    </w:tbl>
    <w:p>
      <w:pPr>
        <w:rPr>
          <w:rFonts w:ascii="宋体" w:hAnsi="宋体" w:eastAsia="宋体" w:cs="宋体"/>
          <w:color w:val="auto"/>
          <w:sz w:val="20"/>
          <w:szCs w:val="20"/>
          <w:lang w:eastAsia="zh-CN"/>
        </w:rPr>
      </w:pPr>
    </w:p>
    <w:p>
      <w:pPr>
        <w:pStyle w:val="30"/>
        <w:spacing w:before="120" w:after="120"/>
        <w:rPr>
          <w:b w:val="0"/>
          <w:bCs/>
          <w:color w:val="auto"/>
        </w:rPr>
      </w:pPr>
      <w:bookmarkStart w:id="256" w:name="_Toc117181369"/>
      <w:r>
        <w:rPr>
          <w:rFonts w:hint="eastAsia" w:cs="宋体"/>
          <w:color w:val="auto"/>
        </w:rPr>
        <w:t>多级AO池</w:t>
      </w:r>
      <w:bookmarkEnd w:id="256"/>
    </w:p>
    <w:p>
      <w:pPr>
        <w:pStyle w:val="31"/>
        <w:rPr>
          <w:color w:val="auto"/>
        </w:rPr>
      </w:pPr>
      <w:r>
        <w:rPr>
          <w:rFonts w:hint="eastAsia"/>
          <w:color w:val="auto"/>
        </w:rPr>
        <w:t>潜水推进器</w:t>
      </w:r>
    </w:p>
    <w:tbl>
      <w:tblPr>
        <w:tblStyle w:val="23"/>
        <w:tblW w:w="8791" w:type="dxa"/>
        <w:tblInd w:w="2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126"/>
        <w:gridCol w:w="5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9" w:type="dxa"/>
            <w:gridSpan w:val="2"/>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安装地点</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多级AO池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9" w:type="dxa"/>
            <w:gridSpan w:val="2"/>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数量</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14（暂定）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9" w:type="dxa"/>
            <w:gridSpan w:val="2"/>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设备类型</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潜水式推进器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9" w:type="dxa"/>
            <w:gridSpan w:val="2"/>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介质</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污水（浓度4000mg/L）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9" w:type="dxa"/>
            <w:gridSpan w:val="2"/>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介质温度/PH值</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-5</w:t>
            </w:r>
            <w:r>
              <w:rPr>
                <w:rFonts w:hint="eastAsia" w:ascii="宋体" w:hAnsi="宋体" w:eastAsia="宋体" w:cs="宋体"/>
                <w:color w:val="auto"/>
                <w:sz w:val="21"/>
                <w:szCs w:val="21"/>
                <w:lang w:eastAsia="zh-CN"/>
              </w:rPr>
              <w:t>℃</w:t>
            </w:r>
            <w:r>
              <w:rPr>
                <w:rFonts w:ascii="Times New Roman" w:hAnsi="Times New Roman"/>
                <w:color w:val="auto"/>
                <w:sz w:val="21"/>
                <w:szCs w:val="21"/>
              </w:rPr>
              <w:t>～40</w:t>
            </w:r>
            <w:r>
              <w:rPr>
                <w:rFonts w:hint="eastAsia" w:ascii="宋体" w:hAnsi="宋体" w:eastAsia="宋体" w:cs="宋体"/>
                <w:color w:val="auto"/>
                <w:sz w:val="21"/>
                <w:szCs w:val="21"/>
                <w:lang w:eastAsia="zh-CN"/>
              </w:rPr>
              <w:t>℃</w:t>
            </w:r>
            <w:r>
              <w:rPr>
                <w:rFonts w:ascii="Times New Roman" w:hAnsi="Times New Roman"/>
                <w:color w:val="auto"/>
                <w:sz w:val="21"/>
                <w:szCs w:val="21"/>
              </w:rPr>
              <w:t>/6～11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9" w:type="dxa"/>
            <w:gridSpan w:val="2"/>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单格设备数量</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9" w:type="dxa"/>
            <w:gridSpan w:val="2"/>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单格平面尺寸</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32m×7.1m（暂定）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9" w:type="dxa"/>
            <w:gridSpan w:val="2"/>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有效水深</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8.0m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9" w:type="dxa"/>
            <w:gridSpan w:val="2"/>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池形</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长方形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9" w:type="dxa"/>
            <w:gridSpan w:val="2"/>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工作制</w:t>
            </w:r>
          </w:p>
        </w:tc>
        <w:tc>
          <w:tcPr>
            <w:tcW w:w="5822" w:type="dxa"/>
            <w:vAlign w:val="center"/>
          </w:tcPr>
          <w:p>
            <w:pPr>
              <w:spacing w:line="360" w:lineRule="auto"/>
              <w:jc w:val="center"/>
              <w:rPr>
                <w:rFonts w:ascii="Times New Roman" w:hAnsi="Times New Roman"/>
                <w:color w:val="auto"/>
                <w:sz w:val="21"/>
                <w:szCs w:val="21"/>
                <w:lang w:eastAsia="zh-CN"/>
              </w:rPr>
            </w:pPr>
            <w:r>
              <w:rPr>
                <w:rFonts w:ascii="Times New Roman" w:hAnsi="Times New Roman"/>
                <w:color w:val="auto"/>
                <w:sz w:val="21"/>
                <w:szCs w:val="21"/>
                <w:lang w:eastAsia="zh-CN"/>
              </w:rPr>
              <w:t>24h/d连续运行或间歇运行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restart"/>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搅拌器性能参数</w:t>
            </w: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螺旋桨数量</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2~3片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螺旋桨直径</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w:t>
            </w:r>
            <w:r>
              <w:rPr>
                <w:rFonts w:hint="eastAsia" w:ascii="Times New Roman" w:hAnsi="Times New Roman"/>
                <w:color w:val="auto"/>
                <w:sz w:val="21"/>
                <w:szCs w:val="21"/>
                <w:lang w:eastAsia="zh-CN"/>
              </w:rPr>
              <w:t>18</w:t>
            </w:r>
            <w:r>
              <w:rPr>
                <w:rFonts w:ascii="Times New Roman" w:hAnsi="Times New Roman"/>
                <w:color w:val="auto"/>
                <w:sz w:val="21"/>
                <w:szCs w:val="21"/>
              </w:rPr>
              <w:t>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rPr>
            </w:pPr>
          </w:p>
        </w:tc>
        <w:tc>
          <w:tcPr>
            <w:tcW w:w="2126" w:type="dxa"/>
            <w:vAlign w:val="center"/>
          </w:tcPr>
          <w:p>
            <w:pPr>
              <w:spacing w:line="360" w:lineRule="auto"/>
              <w:jc w:val="center"/>
              <w:rPr>
                <w:rFonts w:ascii="Times New Roman" w:hAnsi="Times New Roman"/>
                <w:color w:val="auto"/>
                <w:sz w:val="21"/>
                <w:szCs w:val="21"/>
                <w:lang w:eastAsia="zh-CN"/>
              </w:rPr>
            </w:pPr>
            <w:r>
              <w:rPr>
                <w:rFonts w:hint="eastAsia" w:ascii="Times New Roman" w:hAnsi="Times New Roman"/>
                <w:color w:val="auto"/>
                <w:sz w:val="21"/>
                <w:szCs w:val="21"/>
                <w:lang w:eastAsia="zh-CN"/>
              </w:rPr>
              <w:t>转速</w:t>
            </w:r>
          </w:p>
        </w:tc>
        <w:tc>
          <w:tcPr>
            <w:tcW w:w="5822" w:type="dxa"/>
            <w:vAlign w:val="center"/>
          </w:tcPr>
          <w:p>
            <w:pPr>
              <w:spacing w:line="360" w:lineRule="auto"/>
              <w:jc w:val="center"/>
              <w:rPr>
                <w:rFonts w:ascii="Times New Roman" w:hAnsi="Times New Roman"/>
                <w:color w:val="auto"/>
                <w:sz w:val="21"/>
                <w:szCs w:val="21"/>
                <w:lang w:eastAsia="zh-CN"/>
              </w:rPr>
            </w:pPr>
            <w:r>
              <w:rPr>
                <w:rFonts w:hint="eastAsia" w:ascii="Times New Roman" w:hAnsi="Times New Roman"/>
                <w:color w:val="auto"/>
                <w:sz w:val="21"/>
                <w:szCs w:val="21"/>
                <w:lang w:eastAsia="zh-CN"/>
              </w:rPr>
              <w:t>约47rpm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机械密封寿命</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使用寿命不低于25000小时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轴承使用寿命</w:t>
            </w:r>
          </w:p>
          <w:p>
            <w:pPr>
              <w:spacing w:line="360" w:lineRule="auto"/>
              <w:jc w:val="center"/>
              <w:rPr>
                <w:rFonts w:ascii="Times New Roman" w:hAnsi="Times New Roman"/>
                <w:color w:val="auto"/>
                <w:sz w:val="21"/>
                <w:szCs w:val="21"/>
              </w:rPr>
            </w:pPr>
            <w:r>
              <w:rPr>
                <w:rFonts w:ascii="Times New Roman" w:hAnsi="Times New Roman"/>
                <w:color w:val="auto"/>
                <w:sz w:val="21"/>
                <w:szCs w:val="21"/>
              </w:rPr>
              <w:t>（L10）</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不小于100,000小时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restart"/>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电机性能参数</w:t>
            </w: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额定功率</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约</w:t>
            </w:r>
            <w:r>
              <w:rPr>
                <w:rFonts w:hint="eastAsia" w:ascii="Times New Roman" w:hAnsi="Times New Roman"/>
                <w:color w:val="auto"/>
                <w:sz w:val="21"/>
                <w:szCs w:val="21"/>
                <w:lang w:eastAsia="zh-CN"/>
              </w:rPr>
              <w:t>4.3</w:t>
            </w:r>
            <w:r>
              <w:rPr>
                <w:rFonts w:ascii="Times New Roman" w:hAnsi="Times New Roman"/>
                <w:color w:val="auto"/>
                <w:sz w:val="21"/>
                <w:szCs w:val="21"/>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电源（相/频率</w:t>
            </w:r>
          </w:p>
          <w:p>
            <w:pPr>
              <w:spacing w:line="360" w:lineRule="auto"/>
              <w:jc w:val="center"/>
              <w:rPr>
                <w:rFonts w:ascii="Times New Roman" w:hAnsi="Times New Roman"/>
                <w:color w:val="auto"/>
                <w:sz w:val="21"/>
                <w:szCs w:val="21"/>
              </w:rPr>
            </w:pPr>
            <w:r>
              <w:rPr>
                <w:rFonts w:ascii="Times New Roman" w:hAnsi="Times New Roman"/>
                <w:color w:val="auto"/>
                <w:sz w:val="21"/>
                <w:szCs w:val="21"/>
              </w:rPr>
              <w:t>/电压）</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3Ph/50Hz/380V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启动方式</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直接启动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防护等级/绝缘等级</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IP68/F级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冷却类型</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输送介质直接冷却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电机每小时启动次数</w:t>
            </w:r>
          </w:p>
        </w:tc>
        <w:tc>
          <w:tcPr>
            <w:tcW w:w="5822"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≥15次／小时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9" w:type="dxa"/>
            <w:gridSpan w:val="2"/>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推进器推力</w:t>
            </w:r>
          </w:p>
        </w:tc>
        <w:tc>
          <w:tcPr>
            <w:tcW w:w="5822" w:type="dxa"/>
          </w:tcPr>
          <w:p>
            <w:pPr>
              <w:spacing w:line="360" w:lineRule="auto"/>
              <w:rPr>
                <w:rFonts w:ascii="Times New Roman" w:hAnsi="Times New Roman"/>
                <w:color w:val="auto"/>
                <w:sz w:val="21"/>
                <w:szCs w:val="21"/>
                <w:lang w:eastAsia="zh-CN"/>
              </w:rPr>
            </w:pPr>
            <w:r>
              <w:rPr>
                <w:rFonts w:ascii="Times New Roman" w:hAnsi="Times New Roman"/>
                <w:color w:val="auto"/>
                <w:sz w:val="21"/>
                <w:szCs w:val="21"/>
                <w:lang w:eastAsia="zh-CN"/>
              </w:rPr>
              <w:t>每台潜水推流型搅拌机应能在污水中工作，双叶或三叶型叶轮均可，叶轮直径应≥1</w:t>
            </w:r>
            <w:r>
              <w:rPr>
                <w:rFonts w:hint="eastAsia" w:ascii="Times New Roman" w:hAnsi="Times New Roman"/>
                <w:color w:val="auto"/>
                <w:sz w:val="21"/>
                <w:szCs w:val="21"/>
                <w:lang w:eastAsia="zh-CN"/>
              </w:rPr>
              <w:t>8</w:t>
            </w:r>
            <w:r>
              <w:rPr>
                <w:rFonts w:ascii="Times New Roman" w:hAnsi="Times New Roman"/>
                <w:color w:val="auto"/>
                <w:sz w:val="21"/>
                <w:szCs w:val="21"/>
                <w:lang w:eastAsia="zh-CN"/>
              </w:rPr>
              <w:t>00mm，叶轮外缘线速度≤5.5m/s，但叶轮外缘线速度须在水体推流搅拌的工作有效区域内，确保流速在0.3m/s条件下，单位流量功耗具有足够的轴向推力等要求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9" w:type="dxa"/>
            <w:gridSpan w:val="2"/>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运行安全运行时间</w:t>
            </w:r>
          </w:p>
        </w:tc>
        <w:tc>
          <w:tcPr>
            <w:tcW w:w="5822" w:type="dxa"/>
          </w:tcPr>
          <w:p>
            <w:pPr>
              <w:spacing w:line="360" w:lineRule="auto"/>
              <w:rPr>
                <w:rFonts w:ascii="Times New Roman" w:hAnsi="Times New Roman"/>
                <w:color w:val="auto"/>
                <w:sz w:val="21"/>
                <w:szCs w:val="21"/>
                <w:lang w:eastAsia="zh-CN"/>
              </w:rPr>
            </w:pPr>
            <w:r>
              <w:rPr>
                <w:rFonts w:ascii="Times New Roman" w:hAnsi="Times New Roman"/>
                <w:color w:val="auto"/>
                <w:sz w:val="21"/>
                <w:szCs w:val="21"/>
                <w:lang w:eastAsia="zh-CN"/>
              </w:rPr>
              <w:t>潜水推流型搅拌机的驱动，采用潜水电机经减速齿轮传递扭矩的形式，应能连续运行、间歇运行和长期停止状态后恢复运行，并在整个运行过程中须保持无振动平稳运转，无故障运行时间至少为10000小时。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9" w:type="dxa"/>
            <w:gridSpan w:val="2"/>
            <w:vAlign w:val="center"/>
          </w:tcPr>
          <w:p>
            <w:pPr>
              <w:spacing w:line="360" w:lineRule="auto"/>
              <w:jc w:val="center"/>
              <w:rPr>
                <w:rFonts w:ascii="Times New Roman" w:hAnsi="Times New Roman"/>
                <w:color w:val="auto"/>
                <w:sz w:val="21"/>
                <w:szCs w:val="21"/>
                <w:lang w:eastAsia="zh-CN"/>
              </w:rPr>
            </w:pPr>
            <w:r>
              <w:rPr>
                <w:rFonts w:ascii="Times New Roman" w:hAnsi="Times New Roman"/>
                <w:color w:val="auto"/>
                <w:sz w:val="21"/>
                <w:szCs w:val="21"/>
                <w:lang w:eastAsia="zh-CN"/>
              </w:rPr>
              <w:t>搅拌器的电机和螺旋桨传动方式</w:t>
            </w:r>
          </w:p>
        </w:tc>
        <w:tc>
          <w:tcPr>
            <w:tcW w:w="5822" w:type="dxa"/>
          </w:tcPr>
          <w:p>
            <w:pPr>
              <w:spacing w:line="360" w:lineRule="auto"/>
              <w:rPr>
                <w:rFonts w:ascii="Times New Roman" w:hAnsi="Times New Roman"/>
                <w:color w:val="auto"/>
                <w:sz w:val="21"/>
                <w:szCs w:val="21"/>
              </w:rPr>
            </w:pPr>
            <w:r>
              <w:rPr>
                <w:rFonts w:ascii="Times New Roman" w:hAnsi="Times New Roman"/>
                <w:color w:val="auto"/>
                <w:sz w:val="21"/>
                <w:szCs w:val="21"/>
              </w:rPr>
              <w:t>直联传动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9" w:type="dxa"/>
            <w:gridSpan w:val="2"/>
            <w:vAlign w:val="center"/>
          </w:tcPr>
          <w:p>
            <w:pPr>
              <w:spacing w:line="360" w:lineRule="auto"/>
              <w:jc w:val="center"/>
              <w:rPr>
                <w:rFonts w:ascii="Times New Roman" w:hAnsi="Times New Roman"/>
                <w:color w:val="auto"/>
                <w:sz w:val="21"/>
                <w:szCs w:val="21"/>
                <w:lang w:eastAsia="zh-CN"/>
              </w:rPr>
            </w:pPr>
            <w:r>
              <w:rPr>
                <w:rFonts w:ascii="Times New Roman" w:hAnsi="Times New Roman"/>
                <w:color w:val="auto"/>
                <w:sz w:val="21"/>
                <w:szCs w:val="21"/>
                <w:lang w:eastAsia="zh-CN"/>
              </w:rPr>
              <w:t>池底流速（距池底300mm为准）</w:t>
            </w:r>
          </w:p>
        </w:tc>
        <w:tc>
          <w:tcPr>
            <w:tcW w:w="5822" w:type="dxa"/>
          </w:tcPr>
          <w:p>
            <w:pPr>
              <w:spacing w:line="360" w:lineRule="auto"/>
              <w:rPr>
                <w:rFonts w:ascii="Times New Roman" w:hAnsi="Times New Roman"/>
                <w:color w:val="auto"/>
                <w:sz w:val="21"/>
                <w:szCs w:val="21"/>
              </w:rPr>
            </w:pPr>
            <w:r>
              <w:rPr>
                <w:rFonts w:ascii="Times New Roman" w:hAnsi="Times New Roman"/>
                <w:color w:val="auto"/>
                <w:sz w:val="21"/>
                <w:szCs w:val="21"/>
              </w:rPr>
              <w:t>≥0.3m/s（暂定）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9" w:type="dxa"/>
            <w:gridSpan w:val="2"/>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轴承温升</w:t>
            </w:r>
          </w:p>
        </w:tc>
        <w:tc>
          <w:tcPr>
            <w:tcW w:w="5822" w:type="dxa"/>
          </w:tcPr>
          <w:p>
            <w:pPr>
              <w:spacing w:line="360" w:lineRule="auto"/>
              <w:rPr>
                <w:rFonts w:ascii="Times New Roman" w:hAnsi="Times New Roman"/>
                <w:color w:val="auto"/>
                <w:sz w:val="21"/>
                <w:szCs w:val="21"/>
              </w:rPr>
            </w:pPr>
            <w:r>
              <w:rPr>
                <w:rFonts w:ascii="Times New Roman" w:hAnsi="Times New Roman"/>
                <w:color w:val="auto"/>
                <w:sz w:val="21"/>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69" w:type="dxa"/>
            <w:gridSpan w:val="2"/>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噪声</w:t>
            </w:r>
          </w:p>
        </w:tc>
        <w:tc>
          <w:tcPr>
            <w:tcW w:w="5822" w:type="dxa"/>
          </w:tcPr>
          <w:p>
            <w:pPr>
              <w:spacing w:line="360" w:lineRule="auto"/>
              <w:rPr>
                <w:rFonts w:ascii="Times New Roman" w:hAnsi="Times New Roman"/>
                <w:color w:val="auto"/>
                <w:sz w:val="21"/>
                <w:szCs w:val="21"/>
              </w:rPr>
            </w:pPr>
            <w:r>
              <w:rPr>
                <w:rFonts w:ascii="Times New Roman" w:hAnsi="Times New Roman"/>
                <w:color w:val="auto"/>
                <w:sz w:val="21"/>
                <w:szCs w:val="21"/>
              </w:rPr>
              <w:t>≤80dB（A）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restart"/>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材质</w:t>
            </w:r>
          </w:p>
        </w:tc>
        <w:tc>
          <w:tcPr>
            <w:tcW w:w="2126" w:type="dxa"/>
            <w:vAlign w:val="center"/>
          </w:tcPr>
          <w:p>
            <w:pPr>
              <w:spacing w:line="360" w:lineRule="auto"/>
              <w:jc w:val="center"/>
              <w:rPr>
                <w:rFonts w:ascii="Times New Roman" w:hAnsi="Times New Roman"/>
                <w:color w:val="auto"/>
                <w:sz w:val="21"/>
                <w:szCs w:val="21"/>
                <w:lang w:eastAsia="zh-CN"/>
              </w:rPr>
            </w:pPr>
            <w:r>
              <w:rPr>
                <w:rFonts w:ascii="Times New Roman" w:hAnsi="Times New Roman"/>
                <w:color w:val="auto"/>
                <w:sz w:val="21"/>
                <w:szCs w:val="21"/>
                <w:lang w:eastAsia="zh-CN"/>
              </w:rPr>
              <w:t>电机壳体（含前后端盖）</w:t>
            </w:r>
          </w:p>
        </w:tc>
        <w:tc>
          <w:tcPr>
            <w:tcW w:w="5822" w:type="dxa"/>
          </w:tcPr>
          <w:p>
            <w:pPr>
              <w:spacing w:line="360" w:lineRule="auto"/>
              <w:rPr>
                <w:rFonts w:ascii="Times New Roman" w:hAnsi="Times New Roman"/>
                <w:color w:val="auto"/>
                <w:sz w:val="21"/>
                <w:szCs w:val="21"/>
              </w:rPr>
            </w:pPr>
            <w:r>
              <w:rPr>
                <w:rFonts w:ascii="Times New Roman" w:hAnsi="Times New Roman"/>
                <w:color w:val="auto"/>
                <w:sz w:val="21"/>
                <w:szCs w:val="21"/>
              </w:rPr>
              <w:t>铸铁GG25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叶轮</w:t>
            </w:r>
          </w:p>
        </w:tc>
        <w:tc>
          <w:tcPr>
            <w:tcW w:w="5822" w:type="dxa"/>
          </w:tcPr>
          <w:p>
            <w:pPr>
              <w:spacing w:line="360" w:lineRule="auto"/>
              <w:rPr>
                <w:rFonts w:ascii="Times New Roman" w:hAnsi="Times New Roman"/>
                <w:color w:val="auto"/>
                <w:sz w:val="21"/>
                <w:szCs w:val="21"/>
                <w:lang w:eastAsia="zh-CN"/>
              </w:rPr>
            </w:pPr>
            <w:r>
              <w:rPr>
                <w:rFonts w:ascii="Times New Roman" w:hAnsi="Times New Roman"/>
                <w:color w:val="auto"/>
                <w:sz w:val="21"/>
                <w:szCs w:val="21"/>
                <w:lang w:eastAsia="zh-CN"/>
              </w:rPr>
              <w:t>不锈钢316或高强度工程塑料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lang w:eastAsia="zh-CN"/>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轴</w:t>
            </w:r>
          </w:p>
        </w:tc>
        <w:tc>
          <w:tcPr>
            <w:tcW w:w="5822" w:type="dxa"/>
          </w:tcPr>
          <w:p>
            <w:pPr>
              <w:spacing w:line="360" w:lineRule="auto"/>
              <w:rPr>
                <w:rFonts w:ascii="Times New Roman" w:hAnsi="Times New Roman"/>
                <w:color w:val="auto"/>
                <w:sz w:val="21"/>
                <w:szCs w:val="21"/>
              </w:rPr>
            </w:pPr>
            <w:r>
              <w:rPr>
                <w:rFonts w:ascii="Times New Roman" w:hAnsi="Times New Roman"/>
                <w:color w:val="auto"/>
                <w:sz w:val="21"/>
                <w:szCs w:val="21"/>
              </w:rPr>
              <w:t>碳钢St52-3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机械密封</w:t>
            </w:r>
          </w:p>
        </w:tc>
        <w:tc>
          <w:tcPr>
            <w:tcW w:w="5822" w:type="dxa"/>
          </w:tcPr>
          <w:p>
            <w:pPr>
              <w:spacing w:line="360" w:lineRule="auto"/>
              <w:rPr>
                <w:rFonts w:ascii="Times New Roman" w:hAnsi="Times New Roman"/>
                <w:color w:val="auto"/>
                <w:sz w:val="21"/>
                <w:szCs w:val="21"/>
              </w:rPr>
            </w:pPr>
            <w:r>
              <w:rPr>
                <w:rFonts w:ascii="Times New Roman" w:hAnsi="Times New Roman"/>
                <w:color w:val="auto"/>
                <w:sz w:val="21"/>
                <w:szCs w:val="21"/>
              </w:rPr>
              <w:t>碳化钨副或碳化硅副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螺栓、螺母、垫圈</w:t>
            </w:r>
          </w:p>
        </w:tc>
        <w:tc>
          <w:tcPr>
            <w:tcW w:w="5822" w:type="dxa"/>
          </w:tcPr>
          <w:p>
            <w:pPr>
              <w:spacing w:line="360" w:lineRule="auto"/>
              <w:rPr>
                <w:rFonts w:ascii="Times New Roman" w:hAnsi="Times New Roman"/>
                <w:color w:val="auto"/>
                <w:sz w:val="21"/>
                <w:szCs w:val="21"/>
              </w:rPr>
            </w:pPr>
            <w:r>
              <w:rPr>
                <w:rFonts w:ascii="Times New Roman" w:hAnsi="Times New Roman"/>
                <w:color w:val="auto"/>
                <w:sz w:val="21"/>
                <w:szCs w:val="21"/>
              </w:rPr>
              <w:t>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水下提升支架</w:t>
            </w:r>
          </w:p>
        </w:tc>
        <w:tc>
          <w:tcPr>
            <w:tcW w:w="5822" w:type="dxa"/>
          </w:tcPr>
          <w:p>
            <w:pPr>
              <w:spacing w:line="360" w:lineRule="auto"/>
              <w:rPr>
                <w:rFonts w:ascii="Times New Roman" w:hAnsi="Times New Roman"/>
                <w:color w:val="auto"/>
                <w:sz w:val="21"/>
                <w:szCs w:val="21"/>
              </w:rPr>
            </w:pPr>
            <w:r>
              <w:rPr>
                <w:rFonts w:ascii="Times New Roman" w:hAnsi="Times New Roman"/>
                <w:color w:val="auto"/>
                <w:sz w:val="21"/>
                <w:szCs w:val="21"/>
              </w:rPr>
              <w:t>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水上提升吊架</w:t>
            </w:r>
          </w:p>
        </w:tc>
        <w:tc>
          <w:tcPr>
            <w:tcW w:w="5822" w:type="dxa"/>
          </w:tcPr>
          <w:p>
            <w:pPr>
              <w:spacing w:line="360" w:lineRule="auto"/>
              <w:rPr>
                <w:rFonts w:ascii="Times New Roman" w:hAnsi="Times New Roman"/>
                <w:color w:val="auto"/>
                <w:sz w:val="21"/>
                <w:szCs w:val="21"/>
              </w:rPr>
            </w:pPr>
            <w:r>
              <w:rPr>
                <w:rFonts w:ascii="Times New Roman" w:hAnsi="Times New Roman"/>
                <w:color w:val="auto"/>
                <w:sz w:val="21"/>
                <w:szCs w:val="21"/>
              </w:rPr>
              <w:t>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提升钢丝绳</w:t>
            </w:r>
          </w:p>
        </w:tc>
        <w:tc>
          <w:tcPr>
            <w:tcW w:w="5822" w:type="dxa"/>
          </w:tcPr>
          <w:p>
            <w:pPr>
              <w:spacing w:line="360" w:lineRule="auto"/>
              <w:rPr>
                <w:rFonts w:ascii="Times New Roman" w:hAnsi="Times New Roman"/>
                <w:color w:val="auto"/>
                <w:sz w:val="21"/>
                <w:szCs w:val="21"/>
              </w:rPr>
            </w:pPr>
            <w:r>
              <w:rPr>
                <w:rFonts w:ascii="Times New Roman" w:hAnsi="Times New Roman"/>
                <w:color w:val="auto"/>
                <w:sz w:val="21"/>
                <w:szCs w:val="21"/>
              </w:rPr>
              <w:t>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控制箱</w:t>
            </w:r>
          </w:p>
        </w:tc>
        <w:tc>
          <w:tcPr>
            <w:tcW w:w="5822" w:type="dxa"/>
          </w:tcPr>
          <w:p>
            <w:pPr>
              <w:spacing w:line="360" w:lineRule="auto"/>
              <w:rPr>
                <w:rFonts w:ascii="Times New Roman" w:hAnsi="Times New Roman"/>
                <w:color w:val="auto"/>
                <w:sz w:val="21"/>
                <w:szCs w:val="21"/>
                <w:lang w:eastAsia="zh-CN"/>
              </w:rPr>
            </w:pPr>
            <w:r>
              <w:rPr>
                <w:rFonts w:ascii="Times New Roman" w:hAnsi="Times New Roman"/>
                <w:color w:val="auto"/>
                <w:sz w:val="21"/>
                <w:szCs w:val="21"/>
                <w:lang w:eastAsia="zh-CN"/>
              </w:rPr>
              <w:t>不锈钢304，钢板厚度应不小于1.5mm，防护等级应不小于IP65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restart"/>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附件</w:t>
            </w: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潜水电缆（长度）</w:t>
            </w:r>
          </w:p>
        </w:tc>
        <w:tc>
          <w:tcPr>
            <w:tcW w:w="5822" w:type="dxa"/>
          </w:tcPr>
          <w:p>
            <w:pPr>
              <w:spacing w:line="360" w:lineRule="auto"/>
              <w:rPr>
                <w:rFonts w:ascii="Times New Roman" w:hAnsi="Times New Roman"/>
                <w:color w:val="auto"/>
                <w:sz w:val="21"/>
                <w:szCs w:val="21"/>
                <w:lang w:eastAsia="zh-CN"/>
              </w:rPr>
            </w:pPr>
            <w:r>
              <w:rPr>
                <w:rFonts w:ascii="Times New Roman" w:hAnsi="Times New Roman"/>
                <w:color w:val="auto"/>
                <w:sz w:val="21"/>
                <w:szCs w:val="21"/>
                <w:lang w:eastAsia="zh-CN"/>
              </w:rPr>
              <w:t>≥15m米/根，与搅拌器配套，完好无接驳口，达到规范要求的防水等级及绝缘等级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lang w:eastAsia="zh-CN"/>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电气专用保护元件</w:t>
            </w:r>
          </w:p>
        </w:tc>
        <w:tc>
          <w:tcPr>
            <w:tcW w:w="5822" w:type="dxa"/>
          </w:tcPr>
          <w:p>
            <w:pPr>
              <w:spacing w:line="360" w:lineRule="auto"/>
              <w:rPr>
                <w:rFonts w:ascii="Times New Roman" w:hAnsi="Times New Roman"/>
                <w:color w:val="auto"/>
                <w:sz w:val="21"/>
                <w:szCs w:val="21"/>
                <w:lang w:eastAsia="zh-CN"/>
              </w:rPr>
            </w:pPr>
            <w:r>
              <w:rPr>
                <w:rFonts w:ascii="Times New Roman" w:hAnsi="Times New Roman"/>
                <w:color w:val="auto"/>
                <w:sz w:val="21"/>
                <w:szCs w:val="21"/>
                <w:lang w:eastAsia="zh-CN"/>
              </w:rPr>
              <w:t>配套电机定子室泄漏传感器、定子绕组过热保护、搅拌器综合保护器等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lang w:eastAsia="zh-CN"/>
              </w:rPr>
            </w:pPr>
          </w:p>
        </w:tc>
        <w:tc>
          <w:tcPr>
            <w:tcW w:w="2126" w:type="dxa"/>
            <w:vAlign w:val="center"/>
          </w:tcPr>
          <w:p>
            <w:pPr>
              <w:spacing w:line="360" w:lineRule="auto"/>
              <w:jc w:val="center"/>
              <w:rPr>
                <w:rFonts w:ascii="Times New Roman" w:hAnsi="Times New Roman"/>
                <w:color w:val="auto"/>
                <w:sz w:val="21"/>
                <w:szCs w:val="21"/>
                <w:lang w:eastAsia="zh-CN"/>
              </w:rPr>
            </w:pPr>
          </w:p>
          <w:p>
            <w:pPr>
              <w:spacing w:line="360" w:lineRule="auto"/>
              <w:jc w:val="center"/>
              <w:rPr>
                <w:rFonts w:ascii="Times New Roman" w:hAnsi="Times New Roman"/>
                <w:color w:val="auto"/>
                <w:sz w:val="21"/>
                <w:szCs w:val="21"/>
                <w:lang w:eastAsia="zh-CN"/>
              </w:rPr>
            </w:pPr>
          </w:p>
          <w:p>
            <w:pPr>
              <w:spacing w:line="360" w:lineRule="auto"/>
              <w:jc w:val="center"/>
              <w:rPr>
                <w:rFonts w:ascii="Times New Roman" w:hAnsi="Times New Roman"/>
                <w:color w:val="auto"/>
                <w:sz w:val="21"/>
                <w:szCs w:val="21"/>
              </w:rPr>
            </w:pPr>
            <w:r>
              <w:rPr>
                <w:rFonts w:ascii="Times New Roman" w:hAnsi="Times New Roman"/>
                <w:color w:val="auto"/>
                <w:sz w:val="21"/>
                <w:szCs w:val="21"/>
              </w:rPr>
              <w:t>控制箱</w:t>
            </w:r>
          </w:p>
        </w:tc>
        <w:tc>
          <w:tcPr>
            <w:tcW w:w="5822" w:type="dxa"/>
          </w:tcPr>
          <w:p>
            <w:pPr>
              <w:spacing w:line="360" w:lineRule="auto"/>
              <w:rPr>
                <w:rFonts w:ascii="Times New Roman" w:hAnsi="Times New Roman"/>
                <w:color w:val="auto"/>
                <w:sz w:val="21"/>
                <w:szCs w:val="21"/>
                <w:lang w:eastAsia="zh-CN"/>
              </w:rPr>
            </w:pPr>
            <w:r>
              <w:rPr>
                <w:rFonts w:ascii="Times New Roman" w:hAnsi="Times New Roman"/>
                <w:color w:val="auto"/>
                <w:sz w:val="21"/>
                <w:szCs w:val="21"/>
                <w:lang w:eastAsia="zh-CN"/>
              </w:rPr>
              <w:t>应配备手动/停/自动及现场/遥控的就地控制箱，并需配备向中心控制室传输状态显示信号的接口和接受中心控制室遥控信号的接口。支撑件高度应保证使电气控制箱底部离地1.3米安装。凡需落地安装的电气控制箱，应配套提供用于安装的槽钢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 w:type="dxa"/>
            <w:vMerge w:val="continue"/>
            <w:vAlign w:val="center"/>
          </w:tcPr>
          <w:p>
            <w:pPr>
              <w:spacing w:line="360" w:lineRule="auto"/>
              <w:jc w:val="center"/>
              <w:rPr>
                <w:rFonts w:ascii="Times New Roman" w:hAnsi="Times New Roman"/>
                <w:color w:val="auto"/>
                <w:sz w:val="21"/>
                <w:szCs w:val="21"/>
                <w:lang w:eastAsia="zh-CN"/>
              </w:rPr>
            </w:pPr>
          </w:p>
        </w:tc>
        <w:tc>
          <w:tcPr>
            <w:tcW w:w="2126" w:type="dxa"/>
            <w:vAlign w:val="center"/>
          </w:tcPr>
          <w:p>
            <w:pPr>
              <w:spacing w:line="360" w:lineRule="auto"/>
              <w:jc w:val="center"/>
              <w:rPr>
                <w:rFonts w:ascii="Times New Roman" w:hAnsi="Times New Roman"/>
                <w:color w:val="auto"/>
                <w:sz w:val="21"/>
                <w:szCs w:val="21"/>
              </w:rPr>
            </w:pPr>
            <w:r>
              <w:rPr>
                <w:rFonts w:ascii="Times New Roman" w:hAnsi="Times New Roman"/>
                <w:color w:val="auto"/>
                <w:sz w:val="21"/>
                <w:szCs w:val="21"/>
              </w:rPr>
              <w:t>其它</w:t>
            </w:r>
          </w:p>
        </w:tc>
        <w:tc>
          <w:tcPr>
            <w:tcW w:w="5822" w:type="dxa"/>
          </w:tcPr>
          <w:p>
            <w:pPr>
              <w:spacing w:line="360" w:lineRule="auto"/>
              <w:rPr>
                <w:rFonts w:ascii="Times New Roman" w:hAnsi="Times New Roman"/>
                <w:color w:val="auto"/>
                <w:sz w:val="21"/>
                <w:szCs w:val="21"/>
                <w:lang w:eastAsia="zh-CN"/>
              </w:rPr>
            </w:pPr>
            <w:r>
              <w:rPr>
                <w:rFonts w:ascii="Times New Roman" w:hAnsi="Times New Roman"/>
                <w:color w:val="auto"/>
                <w:sz w:val="21"/>
                <w:szCs w:val="21"/>
                <w:lang w:eastAsia="zh-CN"/>
              </w:rPr>
              <w:t>每台潜水搅拌器均配备一套安装提升系统，安装系统应包括导轨、提拉绳，并配有臂式起吊架和手摇式卷升装置。</w:t>
            </w:r>
          </w:p>
        </w:tc>
      </w:tr>
    </w:tbl>
    <w:p>
      <w:pPr>
        <w:pStyle w:val="29"/>
        <w:ind w:firstLine="472"/>
        <w:rPr>
          <w:color w:val="auto"/>
        </w:rPr>
      </w:pPr>
    </w:p>
    <w:p>
      <w:pPr>
        <w:pStyle w:val="31"/>
        <w:rPr>
          <w:color w:val="auto"/>
        </w:rPr>
      </w:pPr>
      <w:r>
        <w:rPr>
          <w:color w:val="auto"/>
        </w:rPr>
        <w:t>潜水搅拌器</w:t>
      </w:r>
    </w:p>
    <w:tbl>
      <w:tblPr>
        <w:tblStyle w:val="25"/>
        <w:tblW w:w="87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44"/>
        <w:gridCol w:w="19"/>
        <w:gridCol w:w="1672"/>
        <w:gridCol w:w="5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35"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安装地点</w:t>
            </w:r>
          </w:p>
        </w:tc>
        <w:tc>
          <w:tcPr>
            <w:tcW w:w="5955" w:type="dxa"/>
            <w:vAlign w:val="center"/>
          </w:tcPr>
          <w:p>
            <w:pPr>
              <w:pStyle w:val="27"/>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多级AO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35"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数量</w:t>
            </w:r>
          </w:p>
        </w:tc>
        <w:tc>
          <w:tcPr>
            <w:tcW w:w="5955" w:type="dxa"/>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5</w:t>
            </w:r>
            <w:r>
              <w:rPr>
                <w:rFonts w:ascii="Times New Roman" w:hAnsi="Times New Roman"/>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35"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设备类型</w:t>
            </w:r>
          </w:p>
        </w:tc>
        <w:tc>
          <w:tcPr>
            <w:tcW w:w="595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潜水式搅拌器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35"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介质</w:t>
            </w:r>
          </w:p>
        </w:tc>
        <w:tc>
          <w:tcPr>
            <w:tcW w:w="595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污水（浓度</w:t>
            </w:r>
            <w:r>
              <w:rPr>
                <w:rFonts w:hint="eastAsia" w:ascii="宋体" w:hAnsi="宋体" w:eastAsia="宋体" w:cs="宋体"/>
                <w:color w:val="auto"/>
                <w:sz w:val="21"/>
                <w:szCs w:val="21"/>
                <w:lang w:eastAsia="zh-CN"/>
              </w:rPr>
              <w:t>40</w:t>
            </w:r>
            <w:r>
              <w:rPr>
                <w:rFonts w:ascii="宋体" w:hAnsi="宋体" w:eastAsia="宋体" w:cs="宋体"/>
                <w:color w:val="auto"/>
                <w:sz w:val="21"/>
                <w:szCs w:val="21"/>
              </w:rPr>
              <w:t>00mg/L）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35"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介质温度/PH值</w:t>
            </w:r>
          </w:p>
        </w:tc>
        <w:tc>
          <w:tcPr>
            <w:tcW w:w="595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-5</w:t>
            </w:r>
            <w:r>
              <w:rPr>
                <w:rFonts w:hint="eastAsia" w:ascii="宋体" w:hAnsi="宋体" w:eastAsia="宋体" w:cs="宋体"/>
                <w:color w:val="auto"/>
                <w:sz w:val="21"/>
                <w:szCs w:val="21"/>
                <w:lang w:eastAsia="zh-CN"/>
              </w:rPr>
              <w:t>℃</w:t>
            </w:r>
            <w:r>
              <w:rPr>
                <w:rFonts w:ascii="宋体" w:hAnsi="宋体" w:eastAsia="宋体" w:cs="宋体"/>
                <w:color w:val="auto"/>
                <w:sz w:val="21"/>
                <w:szCs w:val="21"/>
              </w:rPr>
              <w:t>～40</w:t>
            </w:r>
            <w:r>
              <w:rPr>
                <w:rFonts w:hint="eastAsia" w:ascii="宋体" w:hAnsi="宋体" w:eastAsia="宋体" w:cs="宋体"/>
                <w:color w:val="auto"/>
                <w:sz w:val="21"/>
                <w:szCs w:val="21"/>
                <w:lang w:eastAsia="zh-CN"/>
              </w:rPr>
              <w:t>℃</w:t>
            </w:r>
            <w:r>
              <w:rPr>
                <w:rFonts w:ascii="宋体" w:hAnsi="宋体" w:eastAsia="宋体" w:cs="宋体"/>
                <w:color w:val="auto"/>
                <w:sz w:val="21"/>
                <w:szCs w:val="21"/>
              </w:rPr>
              <w:t>/6～11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35"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单格设备数量</w:t>
            </w:r>
          </w:p>
        </w:tc>
        <w:tc>
          <w:tcPr>
            <w:tcW w:w="5955" w:type="dxa"/>
            <w:vAlign w:val="center"/>
          </w:tcPr>
          <w:p>
            <w:pPr>
              <w:pStyle w:val="27"/>
              <w:spacing w:line="360" w:lineRule="auto"/>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2</w:t>
            </w:r>
            <w:r>
              <w:rPr>
                <w:rFonts w:ascii="宋体" w:hAnsi="宋体" w:eastAsia="宋体" w:cs="宋体"/>
                <w:color w:val="auto"/>
                <w:sz w:val="21"/>
                <w:szCs w:val="21"/>
              </w:rPr>
              <w:t>台</w:t>
            </w:r>
            <w:r>
              <w:rPr>
                <w:rFonts w:hint="eastAsia" w:ascii="宋体" w:hAnsi="宋体" w:eastAsia="宋体" w:cs="宋体"/>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35"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单格平面尺寸</w:t>
            </w:r>
          </w:p>
        </w:tc>
        <w:tc>
          <w:tcPr>
            <w:tcW w:w="5955" w:type="dxa"/>
            <w:vAlign w:val="center"/>
          </w:tcPr>
          <w:p>
            <w:pPr>
              <w:pStyle w:val="27"/>
              <w:spacing w:line="360" w:lineRule="auto"/>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22m×5.5</w:t>
            </w:r>
            <w:r>
              <w:rPr>
                <w:rFonts w:ascii="宋体" w:hAnsi="宋体" w:eastAsia="宋体" w:cs="宋体"/>
                <w:color w:val="auto"/>
                <w:sz w:val="21"/>
                <w:szCs w:val="21"/>
              </w:rPr>
              <w:t>m（暂定）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35"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有效水深</w:t>
            </w:r>
          </w:p>
        </w:tc>
        <w:tc>
          <w:tcPr>
            <w:tcW w:w="5955" w:type="dxa"/>
            <w:vAlign w:val="center"/>
          </w:tcPr>
          <w:p>
            <w:pPr>
              <w:pStyle w:val="27"/>
              <w:spacing w:line="360" w:lineRule="auto"/>
              <w:jc w:val="center"/>
              <w:rPr>
                <w:rFonts w:ascii="宋体" w:hAnsi="宋体" w:eastAsia="宋体" w:cs="宋体"/>
                <w:color w:val="auto"/>
                <w:sz w:val="21"/>
                <w:szCs w:val="21"/>
              </w:rPr>
            </w:pPr>
            <w:r>
              <w:rPr>
                <w:rFonts w:hint="eastAsia" w:ascii="宋体"/>
                <w:color w:val="auto"/>
                <w:sz w:val="21"/>
                <w:szCs w:val="21"/>
                <w:lang w:eastAsia="zh-CN"/>
              </w:rPr>
              <w:t>8.0</w:t>
            </w:r>
            <w:r>
              <w:rPr>
                <w:rFonts w:ascii="宋体"/>
                <w:color w:val="auto"/>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35"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池形</w:t>
            </w:r>
          </w:p>
        </w:tc>
        <w:tc>
          <w:tcPr>
            <w:tcW w:w="595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长方形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835"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工作制</w:t>
            </w:r>
          </w:p>
        </w:tc>
        <w:tc>
          <w:tcPr>
            <w:tcW w:w="5955" w:type="dxa"/>
            <w:vAlign w:val="center"/>
          </w:tcPr>
          <w:p>
            <w:pPr>
              <w:pStyle w:val="27"/>
              <w:spacing w:line="360" w:lineRule="auto"/>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24h/d连续运行或间歇运行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63" w:type="dxa"/>
            <w:gridSpan w:val="2"/>
            <w:vMerge w:val="restart"/>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搅拌器性能参数</w:t>
            </w:r>
          </w:p>
        </w:tc>
        <w:tc>
          <w:tcPr>
            <w:tcW w:w="1672"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螺旋桨数量</w:t>
            </w:r>
          </w:p>
        </w:tc>
        <w:tc>
          <w:tcPr>
            <w:tcW w:w="595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2~3片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63" w:type="dxa"/>
            <w:gridSpan w:val="2"/>
            <w:vMerge w:val="continue"/>
            <w:vAlign w:val="center"/>
          </w:tcPr>
          <w:p>
            <w:pPr>
              <w:spacing w:line="360" w:lineRule="auto"/>
              <w:jc w:val="center"/>
              <w:rPr>
                <w:color w:val="auto"/>
                <w:sz w:val="21"/>
                <w:szCs w:val="21"/>
              </w:rPr>
            </w:pPr>
          </w:p>
        </w:tc>
        <w:tc>
          <w:tcPr>
            <w:tcW w:w="1672"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螺旋桨直径</w:t>
            </w:r>
          </w:p>
        </w:tc>
        <w:tc>
          <w:tcPr>
            <w:tcW w:w="595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≥450mm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63" w:type="dxa"/>
            <w:gridSpan w:val="2"/>
            <w:vMerge w:val="continue"/>
            <w:vAlign w:val="center"/>
          </w:tcPr>
          <w:p>
            <w:pPr>
              <w:spacing w:line="360" w:lineRule="auto"/>
              <w:jc w:val="center"/>
              <w:rPr>
                <w:color w:val="auto"/>
                <w:sz w:val="21"/>
                <w:szCs w:val="21"/>
              </w:rPr>
            </w:pPr>
          </w:p>
        </w:tc>
        <w:tc>
          <w:tcPr>
            <w:tcW w:w="1672" w:type="dxa"/>
            <w:vAlign w:val="center"/>
          </w:tcPr>
          <w:p>
            <w:pPr>
              <w:spacing w:line="360" w:lineRule="auto"/>
              <w:jc w:val="center"/>
              <w:rPr>
                <w:rFonts w:ascii="Times New Roman" w:hAnsi="Times New Roman"/>
                <w:color w:val="auto"/>
                <w:sz w:val="21"/>
                <w:szCs w:val="21"/>
                <w:lang w:eastAsia="zh-CN"/>
              </w:rPr>
            </w:pPr>
            <w:r>
              <w:rPr>
                <w:rFonts w:hint="eastAsia" w:ascii="Times New Roman" w:hAnsi="Times New Roman"/>
                <w:color w:val="auto"/>
                <w:sz w:val="21"/>
                <w:szCs w:val="21"/>
                <w:lang w:eastAsia="zh-CN"/>
              </w:rPr>
              <w:t>转速</w:t>
            </w:r>
          </w:p>
        </w:tc>
        <w:tc>
          <w:tcPr>
            <w:tcW w:w="5955" w:type="dxa"/>
            <w:vAlign w:val="center"/>
          </w:tcPr>
          <w:p>
            <w:pPr>
              <w:spacing w:line="360" w:lineRule="auto"/>
              <w:jc w:val="center"/>
              <w:rPr>
                <w:rFonts w:ascii="Times New Roman" w:hAnsi="Times New Roman"/>
                <w:color w:val="auto"/>
                <w:sz w:val="21"/>
                <w:szCs w:val="21"/>
                <w:lang w:eastAsia="zh-CN"/>
              </w:rPr>
            </w:pPr>
            <w:r>
              <w:rPr>
                <w:rFonts w:hint="eastAsia" w:ascii="Times New Roman" w:hAnsi="Times New Roman"/>
                <w:color w:val="auto"/>
                <w:sz w:val="21"/>
                <w:szCs w:val="21"/>
                <w:lang w:eastAsia="zh-CN"/>
              </w:rPr>
              <w:t>约475rpm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63" w:type="dxa"/>
            <w:gridSpan w:val="2"/>
            <w:vMerge w:val="continue"/>
            <w:vAlign w:val="center"/>
          </w:tcPr>
          <w:p>
            <w:pPr>
              <w:spacing w:line="360" w:lineRule="auto"/>
              <w:jc w:val="center"/>
              <w:rPr>
                <w:color w:val="auto"/>
                <w:sz w:val="21"/>
                <w:szCs w:val="21"/>
              </w:rPr>
            </w:pPr>
          </w:p>
        </w:tc>
        <w:tc>
          <w:tcPr>
            <w:tcW w:w="1672"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pacing w:val="-1"/>
                <w:sz w:val="21"/>
                <w:szCs w:val="21"/>
              </w:rPr>
              <w:t>机械密封寿</w:t>
            </w:r>
            <w:r>
              <w:rPr>
                <w:rFonts w:ascii="宋体" w:hAnsi="宋体" w:eastAsia="宋体" w:cs="宋体"/>
                <w:color w:val="auto"/>
                <w:sz w:val="21"/>
                <w:szCs w:val="21"/>
              </w:rPr>
              <w:t>命</w:t>
            </w:r>
          </w:p>
        </w:tc>
        <w:tc>
          <w:tcPr>
            <w:tcW w:w="595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使用寿命不低于25000</w:t>
            </w:r>
            <w:r>
              <w:rPr>
                <w:rFonts w:ascii="宋体" w:hAnsi="宋体" w:eastAsia="宋体" w:cs="宋体"/>
                <w:color w:val="auto"/>
                <w:spacing w:val="-3"/>
                <w:sz w:val="21"/>
                <w:szCs w:val="21"/>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63" w:type="dxa"/>
            <w:gridSpan w:val="2"/>
            <w:vMerge w:val="continue"/>
            <w:vAlign w:val="center"/>
          </w:tcPr>
          <w:p>
            <w:pPr>
              <w:spacing w:line="360" w:lineRule="auto"/>
              <w:jc w:val="center"/>
              <w:rPr>
                <w:color w:val="auto"/>
                <w:sz w:val="21"/>
                <w:szCs w:val="21"/>
              </w:rPr>
            </w:pPr>
          </w:p>
        </w:tc>
        <w:tc>
          <w:tcPr>
            <w:tcW w:w="1672"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pacing w:val="-1"/>
                <w:sz w:val="21"/>
                <w:szCs w:val="21"/>
              </w:rPr>
              <w:t>轴承使用寿</w:t>
            </w:r>
            <w:r>
              <w:rPr>
                <w:rFonts w:ascii="宋体" w:hAnsi="宋体" w:eastAsia="宋体" w:cs="宋体"/>
                <w:color w:val="auto"/>
                <w:sz w:val="21"/>
                <w:szCs w:val="21"/>
              </w:rPr>
              <w:t>命（L10）</w:t>
            </w:r>
          </w:p>
        </w:tc>
        <w:tc>
          <w:tcPr>
            <w:tcW w:w="595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不小于100,000小时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63" w:type="dxa"/>
            <w:gridSpan w:val="2"/>
            <w:vMerge w:val="restart"/>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电机性能参数</w:t>
            </w:r>
          </w:p>
        </w:tc>
        <w:tc>
          <w:tcPr>
            <w:tcW w:w="1672"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额定功率</w:t>
            </w:r>
          </w:p>
        </w:tc>
        <w:tc>
          <w:tcPr>
            <w:tcW w:w="595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约</w:t>
            </w:r>
            <w:r>
              <w:rPr>
                <w:rFonts w:hint="eastAsia" w:ascii="宋体" w:hAnsi="宋体" w:eastAsia="宋体" w:cs="宋体"/>
                <w:color w:val="auto"/>
                <w:sz w:val="21"/>
                <w:szCs w:val="21"/>
                <w:lang w:eastAsia="zh-CN"/>
              </w:rPr>
              <w:t>5.5</w:t>
            </w:r>
            <w:r>
              <w:rPr>
                <w:rFonts w:ascii="宋体" w:hAnsi="宋体" w:eastAsia="宋体" w:cs="宋体"/>
                <w:color w:val="auto"/>
                <w:sz w:val="21"/>
                <w:szCs w:val="21"/>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63" w:type="dxa"/>
            <w:gridSpan w:val="2"/>
            <w:vMerge w:val="continue"/>
            <w:vAlign w:val="center"/>
          </w:tcPr>
          <w:p>
            <w:pPr>
              <w:spacing w:line="360" w:lineRule="auto"/>
              <w:jc w:val="center"/>
              <w:rPr>
                <w:color w:val="auto"/>
                <w:sz w:val="21"/>
                <w:szCs w:val="21"/>
              </w:rPr>
            </w:pPr>
          </w:p>
        </w:tc>
        <w:tc>
          <w:tcPr>
            <w:tcW w:w="1672"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电源（相/</w:t>
            </w:r>
            <w:r>
              <w:rPr>
                <w:rFonts w:ascii="宋体" w:hAnsi="宋体" w:eastAsia="宋体" w:cs="宋体"/>
                <w:color w:val="auto"/>
                <w:spacing w:val="-1"/>
                <w:sz w:val="21"/>
                <w:szCs w:val="21"/>
              </w:rPr>
              <w:t>频率/电压）</w:t>
            </w:r>
          </w:p>
        </w:tc>
        <w:tc>
          <w:tcPr>
            <w:tcW w:w="5955" w:type="dxa"/>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3Ph/50Hz/380V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63" w:type="dxa"/>
            <w:gridSpan w:val="2"/>
            <w:vMerge w:val="continue"/>
            <w:vAlign w:val="center"/>
          </w:tcPr>
          <w:p>
            <w:pPr>
              <w:spacing w:line="360" w:lineRule="auto"/>
              <w:jc w:val="center"/>
              <w:rPr>
                <w:color w:val="auto"/>
                <w:sz w:val="21"/>
                <w:szCs w:val="21"/>
              </w:rPr>
            </w:pPr>
          </w:p>
        </w:tc>
        <w:tc>
          <w:tcPr>
            <w:tcW w:w="1672"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启动方式</w:t>
            </w:r>
          </w:p>
        </w:tc>
        <w:tc>
          <w:tcPr>
            <w:tcW w:w="595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直接启动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63" w:type="dxa"/>
            <w:gridSpan w:val="2"/>
            <w:vMerge w:val="continue"/>
            <w:vAlign w:val="center"/>
          </w:tcPr>
          <w:p>
            <w:pPr>
              <w:spacing w:line="360" w:lineRule="auto"/>
              <w:jc w:val="center"/>
              <w:rPr>
                <w:color w:val="auto"/>
                <w:sz w:val="21"/>
                <w:szCs w:val="21"/>
              </w:rPr>
            </w:pPr>
          </w:p>
        </w:tc>
        <w:tc>
          <w:tcPr>
            <w:tcW w:w="1672"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pacing w:val="-1"/>
                <w:sz w:val="21"/>
                <w:szCs w:val="21"/>
              </w:rPr>
              <w:t>防护等级/</w:t>
            </w:r>
            <w:r>
              <w:rPr>
                <w:rFonts w:ascii="宋体" w:hAnsi="宋体" w:eastAsia="宋体" w:cs="宋体"/>
                <w:color w:val="auto"/>
                <w:sz w:val="21"/>
                <w:szCs w:val="21"/>
              </w:rPr>
              <w:t>绝缘等级</w:t>
            </w:r>
          </w:p>
        </w:tc>
        <w:tc>
          <w:tcPr>
            <w:tcW w:w="595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IP68/F级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63" w:type="dxa"/>
            <w:gridSpan w:val="2"/>
            <w:vMerge w:val="continue"/>
            <w:vAlign w:val="center"/>
          </w:tcPr>
          <w:p>
            <w:pPr>
              <w:spacing w:line="360" w:lineRule="auto"/>
              <w:jc w:val="center"/>
              <w:rPr>
                <w:color w:val="auto"/>
                <w:sz w:val="21"/>
                <w:szCs w:val="21"/>
              </w:rPr>
            </w:pPr>
          </w:p>
        </w:tc>
        <w:tc>
          <w:tcPr>
            <w:tcW w:w="1672"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冷却类型</w:t>
            </w:r>
          </w:p>
        </w:tc>
        <w:tc>
          <w:tcPr>
            <w:tcW w:w="5955" w:type="dxa"/>
            <w:vAlign w:val="center"/>
          </w:tcPr>
          <w:p>
            <w:pPr>
              <w:pStyle w:val="27"/>
              <w:spacing w:line="360" w:lineRule="auto"/>
              <w:ind w:left="110" w:leftChars="50" w:right="110" w:rightChars="50"/>
              <w:jc w:val="center"/>
              <w:rPr>
                <w:rFonts w:ascii="宋体" w:hAnsi="宋体" w:eastAsia="宋体" w:cs="宋体"/>
                <w:color w:val="auto"/>
                <w:sz w:val="21"/>
                <w:szCs w:val="21"/>
              </w:rPr>
            </w:pPr>
            <w:r>
              <w:rPr>
                <w:rFonts w:ascii="宋体" w:hAnsi="宋体" w:eastAsia="宋体" w:cs="宋体"/>
                <w:color w:val="auto"/>
                <w:sz w:val="21"/>
                <w:szCs w:val="21"/>
              </w:rPr>
              <w:t>输送介质直接冷却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63" w:type="dxa"/>
            <w:gridSpan w:val="2"/>
            <w:vMerge w:val="continue"/>
            <w:vAlign w:val="center"/>
          </w:tcPr>
          <w:p>
            <w:pPr>
              <w:spacing w:line="360" w:lineRule="auto"/>
              <w:jc w:val="center"/>
              <w:rPr>
                <w:color w:val="auto"/>
                <w:sz w:val="21"/>
                <w:szCs w:val="21"/>
              </w:rPr>
            </w:pPr>
          </w:p>
        </w:tc>
        <w:tc>
          <w:tcPr>
            <w:tcW w:w="1672"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pacing w:val="-1"/>
                <w:sz w:val="21"/>
                <w:szCs w:val="21"/>
              </w:rPr>
              <w:t>电机每小时</w:t>
            </w:r>
            <w:r>
              <w:rPr>
                <w:rFonts w:ascii="宋体" w:hAnsi="宋体" w:eastAsia="宋体" w:cs="宋体"/>
                <w:color w:val="auto"/>
                <w:sz w:val="21"/>
                <w:szCs w:val="21"/>
              </w:rPr>
              <w:t>启动次数</w:t>
            </w:r>
          </w:p>
        </w:tc>
        <w:tc>
          <w:tcPr>
            <w:tcW w:w="5955" w:type="dxa"/>
            <w:vAlign w:val="center"/>
          </w:tcPr>
          <w:p>
            <w:pPr>
              <w:pStyle w:val="27"/>
              <w:spacing w:line="360" w:lineRule="auto"/>
              <w:ind w:left="110" w:leftChars="50" w:right="110" w:rightChars="50"/>
              <w:jc w:val="center"/>
              <w:rPr>
                <w:rFonts w:ascii="宋体" w:hAnsi="宋体" w:eastAsia="宋体" w:cs="宋体"/>
                <w:color w:val="auto"/>
                <w:sz w:val="21"/>
                <w:szCs w:val="21"/>
              </w:rPr>
            </w:pPr>
            <w:r>
              <w:rPr>
                <w:rFonts w:ascii="宋体" w:hAnsi="宋体" w:eastAsia="宋体" w:cs="宋体"/>
                <w:color w:val="auto"/>
                <w:sz w:val="21"/>
                <w:szCs w:val="21"/>
              </w:rPr>
              <w:t>≥15次／小时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35"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搅拌器推力</w:t>
            </w:r>
          </w:p>
        </w:tc>
        <w:tc>
          <w:tcPr>
            <w:tcW w:w="5955" w:type="dxa"/>
            <w:vAlign w:val="center"/>
          </w:tcPr>
          <w:p>
            <w:pPr>
              <w:pStyle w:val="27"/>
              <w:spacing w:line="360" w:lineRule="auto"/>
              <w:ind w:left="110" w:leftChars="50" w:right="110" w:rightChars="50"/>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提供的搅拌器必须具有足够大的每千瓦推力，每台潜水搅拌器应能在所安装的污水中工作，须能推动污水流动和充分搅拌、混合污水，保证污水池底流速（距池底300mm为准）不小于</w:t>
            </w:r>
            <w:r>
              <w:rPr>
                <w:rFonts w:ascii="宋体" w:hAnsi="宋体" w:eastAsia="宋体" w:cs="宋体"/>
                <w:color w:val="auto"/>
                <w:spacing w:val="-5"/>
                <w:sz w:val="21"/>
                <w:szCs w:val="21"/>
                <w:lang w:eastAsia="zh-CN"/>
              </w:rPr>
              <w:t>0.3m/s（暂定）。在出厂前对潜水搅拌器进行搅拌和推力测试，</w:t>
            </w:r>
            <w:r>
              <w:rPr>
                <w:rFonts w:ascii="宋体" w:hAnsi="宋体" w:eastAsia="宋体" w:cs="宋体"/>
                <w:color w:val="auto"/>
                <w:sz w:val="21"/>
                <w:szCs w:val="21"/>
                <w:lang w:eastAsia="zh-CN"/>
              </w:rPr>
              <w:t>按国际ISO21630</w:t>
            </w:r>
            <w:r>
              <w:rPr>
                <w:rFonts w:ascii="宋体" w:hAnsi="宋体" w:eastAsia="宋体" w:cs="宋体"/>
                <w:color w:val="auto"/>
                <w:spacing w:val="-4"/>
                <w:sz w:val="21"/>
                <w:szCs w:val="21"/>
                <w:lang w:eastAsia="zh-CN"/>
              </w:rPr>
              <w:t>标准执行，每种位置的设备至少提供两份以上</w:t>
            </w:r>
            <w:r>
              <w:rPr>
                <w:rFonts w:ascii="宋体" w:hAnsi="宋体" w:eastAsia="宋体" w:cs="宋体"/>
                <w:color w:val="auto"/>
                <w:sz w:val="21"/>
                <w:szCs w:val="21"/>
                <w:lang w:eastAsia="zh-CN"/>
              </w:rPr>
              <w:t>的书面测试报告。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35"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运行安全运行时间</w:t>
            </w:r>
          </w:p>
        </w:tc>
        <w:tc>
          <w:tcPr>
            <w:tcW w:w="5955" w:type="dxa"/>
            <w:vAlign w:val="center"/>
          </w:tcPr>
          <w:p>
            <w:pPr>
              <w:pStyle w:val="27"/>
              <w:spacing w:line="360" w:lineRule="auto"/>
              <w:ind w:left="110" w:leftChars="50" w:right="110" w:rightChars="50"/>
              <w:jc w:val="center"/>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应能在全浸没或潜水电机露出液面的条件下连续运行、间歇运行和长期停止状态后恢复运行，搅拌器在整个运行过程中须保</w:t>
            </w:r>
            <w:r>
              <w:rPr>
                <w:rFonts w:ascii="宋体" w:hAnsi="宋体" w:eastAsia="宋体" w:cs="宋体"/>
                <w:color w:val="auto"/>
                <w:sz w:val="21"/>
                <w:szCs w:val="21"/>
                <w:lang w:eastAsia="zh-CN"/>
              </w:rPr>
              <w:t>持无振动平稳运行，无故障运行时间至少为20000小时。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35" w:type="dxa"/>
            <w:gridSpan w:val="3"/>
            <w:vAlign w:val="center"/>
          </w:tcPr>
          <w:p>
            <w:pPr>
              <w:pStyle w:val="27"/>
              <w:spacing w:line="360" w:lineRule="auto"/>
              <w:jc w:val="center"/>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搅拌器的电机和螺旋桨传动</w:t>
            </w:r>
            <w:r>
              <w:rPr>
                <w:rFonts w:ascii="宋体" w:hAnsi="宋体" w:eastAsia="宋体" w:cs="宋体"/>
                <w:color w:val="auto"/>
                <w:sz w:val="21"/>
                <w:szCs w:val="21"/>
                <w:lang w:eastAsia="zh-CN"/>
              </w:rPr>
              <w:t>方式</w:t>
            </w:r>
          </w:p>
        </w:tc>
        <w:tc>
          <w:tcPr>
            <w:tcW w:w="5955" w:type="dxa"/>
            <w:vAlign w:val="center"/>
          </w:tcPr>
          <w:p>
            <w:pPr>
              <w:pStyle w:val="27"/>
              <w:spacing w:line="360" w:lineRule="auto"/>
              <w:ind w:left="110" w:leftChars="50" w:right="110" w:rightChars="50"/>
              <w:jc w:val="center"/>
              <w:rPr>
                <w:rFonts w:ascii="宋体" w:hAnsi="宋体" w:eastAsia="宋体" w:cs="宋体"/>
                <w:color w:val="auto"/>
                <w:sz w:val="21"/>
                <w:szCs w:val="21"/>
              </w:rPr>
            </w:pPr>
            <w:r>
              <w:rPr>
                <w:rFonts w:ascii="宋体" w:hAnsi="宋体" w:eastAsia="宋体" w:cs="宋体"/>
                <w:color w:val="auto"/>
                <w:sz w:val="21"/>
                <w:szCs w:val="21"/>
              </w:rPr>
              <w:t>直联传动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35" w:type="dxa"/>
            <w:gridSpan w:val="3"/>
            <w:vAlign w:val="center"/>
          </w:tcPr>
          <w:p>
            <w:pPr>
              <w:pStyle w:val="27"/>
              <w:spacing w:line="360" w:lineRule="auto"/>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池底流速（距池底300mm为准）</w:t>
            </w:r>
          </w:p>
        </w:tc>
        <w:tc>
          <w:tcPr>
            <w:tcW w:w="5955" w:type="dxa"/>
            <w:vAlign w:val="center"/>
          </w:tcPr>
          <w:p>
            <w:pPr>
              <w:pStyle w:val="27"/>
              <w:spacing w:line="360" w:lineRule="auto"/>
              <w:ind w:left="110" w:leftChars="50" w:right="110" w:rightChars="50"/>
              <w:jc w:val="center"/>
              <w:rPr>
                <w:rFonts w:ascii="宋体" w:hAnsi="宋体" w:eastAsia="宋体" w:cs="宋体"/>
                <w:color w:val="auto"/>
                <w:sz w:val="21"/>
                <w:szCs w:val="21"/>
              </w:rPr>
            </w:pPr>
            <w:r>
              <w:rPr>
                <w:rFonts w:ascii="宋体" w:hAnsi="宋体" w:eastAsia="宋体" w:cs="宋体"/>
                <w:color w:val="auto"/>
                <w:sz w:val="21"/>
                <w:szCs w:val="21"/>
              </w:rPr>
              <w:t>≥0.3m/s（暂定）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35"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轴承温升</w:t>
            </w:r>
          </w:p>
        </w:tc>
        <w:tc>
          <w:tcPr>
            <w:tcW w:w="5955" w:type="dxa"/>
            <w:vAlign w:val="center"/>
          </w:tcPr>
          <w:p>
            <w:pPr>
              <w:pStyle w:val="27"/>
              <w:spacing w:line="360" w:lineRule="auto"/>
              <w:ind w:left="110" w:leftChars="50" w:right="110" w:rightChars="50"/>
              <w:jc w:val="center"/>
              <w:rPr>
                <w:rFonts w:ascii="宋体" w:hAnsi="宋体" w:eastAsia="宋体" w:cs="宋体"/>
                <w:color w:val="auto"/>
                <w:sz w:val="21"/>
                <w:szCs w:val="21"/>
              </w:rPr>
            </w:pPr>
            <w:r>
              <w:rPr>
                <w:rFonts w:ascii="宋体" w:hAnsi="宋体" w:eastAsia="宋体" w:cs="宋体"/>
                <w:color w:val="auto"/>
                <w:sz w:val="21"/>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835"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噪声</w:t>
            </w:r>
          </w:p>
        </w:tc>
        <w:tc>
          <w:tcPr>
            <w:tcW w:w="5955" w:type="dxa"/>
            <w:vAlign w:val="center"/>
          </w:tcPr>
          <w:p>
            <w:pPr>
              <w:pStyle w:val="27"/>
              <w:spacing w:line="360" w:lineRule="auto"/>
              <w:ind w:left="110" w:leftChars="50" w:right="110" w:rightChars="50"/>
              <w:jc w:val="center"/>
              <w:rPr>
                <w:rFonts w:ascii="宋体" w:hAnsi="宋体" w:eastAsia="宋体" w:cs="宋体"/>
                <w:color w:val="auto"/>
                <w:sz w:val="21"/>
                <w:szCs w:val="21"/>
              </w:rPr>
            </w:pPr>
            <w:r>
              <w:rPr>
                <w:rFonts w:ascii="宋体" w:hAnsi="宋体" w:eastAsia="宋体" w:cs="宋体"/>
                <w:color w:val="auto"/>
                <w:sz w:val="21"/>
                <w:szCs w:val="21"/>
              </w:rPr>
              <w:t>≤80dB（A）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44" w:type="dxa"/>
            <w:vMerge w:val="restart"/>
            <w:vAlign w:val="center"/>
          </w:tcPr>
          <w:p>
            <w:pPr>
              <w:pStyle w:val="27"/>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材质</w:t>
            </w:r>
          </w:p>
        </w:tc>
        <w:tc>
          <w:tcPr>
            <w:tcW w:w="1691" w:type="dxa"/>
            <w:gridSpan w:val="2"/>
            <w:vAlign w:val="center"/>
          </w:tcPr>
          <w:p>
            <w:pPr>
              <w:pStyle w:val="27"/>
              <w:spacing w:line="360" w:lineRule="auto"/>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电机壳体</w:t>
            </w:r>
          </w:p>
          <w:p>
            <w:pPr>
              <w:pStyle w:val="27"/>
              <w:spacing w:line="360" w:lineRule="auto"/>
              <w:jc w:val="center"/>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（含前后端</w:t>
            </w:r>
            <w:r>
              <w:rPr>
                <w:rFonts w:ascii="宋体" w:hAnsi="宋体" w:eastAsia="宋体" w:cs="宋体"/>
                <w:color w:val="auto"/>
                <w:sz w:val="21"/>
                <w:szCs w:val="21"/>
                <w:lang w:eastAsia="zh-CN"/>
              </w:rPr>
              <w:t>盖）</w:t>
            </w:r>
          </w:p>
        </w:tc>
        <w:tc>
          <w:tcPr>
            <w:tcW w:w="5955" w:type="dxa"/>
            <w:vAlign w:val="center"/>
          </w:tcPr>
          <w:p>
            <w:pPr>
              <w:pStyle w:val="27"/>
              <w:spacing w:line="360" w:lineRule="auto"/>
              <w:ind w:left="110" w:leftChars="50" w:right="110" w:rightChars="50"/>
              <w:rPr>
                <w:rFonts w:ascii="宋体" w:hAnsi="宋体" w:eastAsia="宋体" w:cs="宋体"/>
                <w:color w:val="auto"/>
                <w:sz w:val="21"/>
                <w:szCs w:val="21"/>
                <w:lang w:eastAsia="zh-CN"/>
              </w:rPr>
            </w:pPr>
          </w:p>
          <w:p>
            <w:pPr>
              <w:pStyle w:val="27"/>
              <w:spacing w:line="360" w:lineRule="auto"/>
              <w:ind w:left="110" w:leftChars="50" w:right="110" w:rightChars="50"/>
              <w:jc w:val="center"/>
              <w:rPr>
                <w:rFonts w:ascii="宋体" w:hAnsi="宋体" w:eastAsia="宋体" w:cs="宋体"/>
                <w:color w:val="auto"/>
                <w:sz w:val="21"/>
                <w:szCs w:val="21"/>
              </w:rPr>
            </w:pPr>
            <w:r>
              <w:rPr>
                <w:rFonts w:ascii="宋体" w:hAnsi="宋体" w:eastAsia="宋体" w:cs="宋体"/>
                <w:color w:val="auto"/>
                <w:sz w:val="21"/>
                <w:szCs w:val="21"/>
              </w:rPr>
              <w:t>不锈钢0Cr19Ni9(304)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44"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691" w:type="dxa"/>
            <w:gridSpan w:val="2"/>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螺旋桨</w:t>
            </w:r>
          </w:p>
        </w:tc>
        <w:tc>
          <w:tcPr>
            <w:tcW w:w="5955" w:type="dxa"/>
            <w:vAlign w:val="center"/>
          </w:tcPr>
          <w:p>
            <w:pPr>
              <w:pStyle w:val="27"/>
              <w:spacing w:line="360" w:lineRule="auto"/>
              <w:ind w:left="110" w:leftChars="50" w:right="110" w:rightChars="50"/>
              <w:jc w:val="center"/>
              <w:rPr>
                <w:rFonts w:ascii="宋体" w:hAnsi="宋体" w:eastAsia="宋体" w:cs="宋体"/>
                <w:color w:val="auto"/>
                <w:sz w:val="21"/>
                <w:szCs w:val="21"/>
              </w:rPr>
            </w:pPr>
            <w:r>
              <w:rPr>
                <w:rFonts w:ascii="宋体" w:hAnsi="宋体" w:eastAsia="宋体" w:cs="宋体"/>
                <w:color w:val="auto"/>
                <w:sz w:val="21"/>
                <w:szCs w:val="21"/>
              </w:rPr>
              <w:t>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44"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691" w:type="dxa"/>
            <w:gridSpan w:val="2"/>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轴</w:t>
            </w:r>
          </w:p>
        </w:tc>
        <w:tc>
          <w:tcPr>
            <w:tcW w:w="5955" w:type="dxa"/>
            <w:vAlign w:val="center"/>
          </w:tcPr>
          <w:p>
            <w:pPr>
              <w:pStyle w:val="27"/>
              <w:spacing w:line="360" w:lineRule="auto"/>
              <w:ind w:left="110" w:leftChars="50" w:right="110" w:rightChars="50"/>
              <w:jc w:val="center"/>
              <w:rPr>
                <w:rFonts w:ascii="宋体" w:hAnsi="宋体" w:eastAsia="宋体" w:cs="宋体"/>
                <w:color w:val="auto"/>
                <w:sz w:val="21"/>
                <w:szCs w:val="21"/>
              </w:rPr>
            </w:pPr>
            <w:r>
              <w:rPr>
                <w:rFonts w:ascii="宋体" w:hAnsi="宋体" w:eastAsia="宋体" w:cs="宋体"/>
                <w:color w:val="auto"/>
                <w:sz w:val="21"/>
                <w:szCs w:val="21"/>
              </w:rPr>
              <w:t>不锈钢2Cr13(420)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44"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691" w:type="dxa"/>
            <w:gridSpan w:val="2"/>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机械密封</w:t>
            </w:r>
          </w:p>
        </w:tc>
        <w:tc>
          <w:tcPr>
            <w:tcW w:w="5955" w:type="dxa"/>
            <w:vAlign w:val="center"/>
          </w:tcPr>
          <w:p>
            <w:pPr>
              <w:pStyle w:val="27"/>
              <w:spacing w:line="360" w:lineRule="auto"/>
              <w:ind w:left="110" w:leftChars="50" w:right="110" w:rightChars="50"/>
              <w:jc w:val="center"/>
              <w:rPr>
                <w:rFonts w:ascii="宋体" w:hAnsi="宋体" w:eastAsia="宋体" w:cs="宋体"/>
                <w:color w:val="auto"/>
                <w:sz w:val="21"/>
                <w:szCs w:val="21"/>
              </w:rPr>
            </w:pPr>
            <w:r>
              <w:rPr>
                <w:rFonts w:ascii="宋体" w:hAnsi="宋体" w:eastAsia="宋体" w:cs="宋体"/>
                <w:color w:val="auto"/>
                <w:sz w:val="21"/>
                <w:szCs w:val="21"/>
              </w:rPr>
              <w:t>耐腐蚀烧结碳化硅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44"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691" w:type="dxa"/>
            <w:gridSpan w:val="2"/>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pacing w:val="-17"/>
                <w:sz w:val="21"/>
                <w:szCs w:val="21"/>
              </w:rPr>
              <w:t>螺栓、螺母、</w:t>
            </w:r>
            <w:r>
              <w:rPr>
                <w:rFonts w:ascii="宋体" w:hAnsi="宋体" w:eastAsia="宋体" w:cs="宋体"/>
                <w:color w:val="auto"/>
                <w:sz w:val="21"/>
                <w:szCs w:val="21"/>
              </w:rPr>
              <w:t>垫圈</w:t>
            </w:r>
          </w:p>
        </w:tc>
        <w:tc>
          <w:tcPr>
            <w:tcW w:w="5955" w:type="dxa"/>
            <w:vAlign w:val="center"/>
          </w:tcPr>
          <w:p>
            <w:pPr>
              <w:pStyle w:val="27"/>
              <w:spacing w:line="360" w:lineRule="auto"/>
              <w:ind w:left="110" w:leftChars="50" w:right="110" w:rightChars="50"/>
              <w:jc w:val="center"/>
              <w:rPr>
                <w:rFonts w:ascii="宋体" w:hAnsi="宋体" w:eastAsia="宋体" w:cs="宋体"/>
                <w:color w:val="auto"/>
                <w:sz w:val="21"/>
                <w:szCs w:val="21"/>
              </w:rPr>
            </w:pPr>
            <w:r>
              <w:rPr>
                <w:rFonts w:ascii="宋体" w:hAnsi="宋体" w:eastAsia="宋体" w:cs="宋体"/>
                <w:color w:val="auto"/>
                <w:sz w:val="21"/>
                <w:szCs w:val="21"/>
              </w:rPr>
              <w:t>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44"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691" w:type="dxa"/>
            <w:gridSpan w:val="2"/>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pacing w:val="-1"/>
                <w:sz w:val="21"/>
                <w:szCs w:val="21"/>
              </w:rPr>
              <w:t>水下提升支</w:t>
            </w:r>
            <w:r>
              <w:rPr>
                <w:rFonts w:ascii="宋体" w:hAnsi="宋体" w:eastAsia="宋体" w:cs="宋体"/>
                <w:color w:val="auto"/>
                <w:sz w:val="21"/>
                <w:szCs w:val="21"/>
              </w:rPr>
              <w:t>架</w:t>
            </w:r>
          </w:p>
        </w:tc>
        <w:tc>
          <w:tcPr>
            <w:tcW w:w="5955" w:type="dxa"/>
            <w:vAlign w:val="center"/>
          </w:tcPr>
          <w:p>
            <w:pPr>
              <w:pStyle w:val="27"/>
              <w:spacing w:line="360" w:lineRule="auto"/>
              <w:ind w:left="110" w:leftChars="50" w:right="110" w:rightChars="50"/>
              <w:jc w:val="center"/>
              <w:rPr>
                <w:rFonts w:ascii="宋体" w:hAnsi="宋体" w:eastAsia="宋体" w:cs="宋体"/>
                <w:color w:val="auto"/>
                <w:sz w:val="21"/>
                <w:szCs w:val="21"/>
              </w:rPr>
            </w:pPr>
            <w:r>
              <w:rPr>
                <w:rFonts w:ascii="宋体" w:hAnsi="宋体" w:eastAsia="宋体" w:cs="宋体"/>
                <w:color w:val="auto"/>
                <w:sz w:val="21"/>
                <w:szCs w:val="21"/>
              </w:rPr>
              <w:t>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44"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691" w:type="dxa"/>
            <w:gridSpan w:val="2"/>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pacing w:val="-1"/>
                <w:sz w:val="21"/>
                <w:szCs w:val="21"/>
              </w:rPr>
              <w:t>水上提升吊</w:t>
            </w:r>
            <w:r>
              <w:rPr>
                <w:rFonts w:ascii="宋体" w:hAnsi="宋体" w:eastAsia="宋体" w:cs="宋体"/>
                <w:color w:val="auto"/>
                <w:sz w:val="21"/>
                <w:szCs w:val="21"/>
              </w:rPr>
              <w:t>架</w:t>
            </w:r>
          </w:p>
        </w:tc>
        <w:tc>
          <w:tcPr>
            <w:tcW w:w="5955" w:type="dxa"/>
            <w:vAlign w:val="center"/>
          </w:tcPr>
          <w:p>
            <w:pPr>
              <w:pStyle w:val="27"/>
              <w:spacing w:line="360" w:lineRule="auto"/>
              <w:ind w:left="110" w:leftChars="50" w:right="110" w:rightChars="50"/>
              <w:jc w:val="center"/>
              <w:rPr>
                <w:rFonts w:ascii="宋体" w:hAnsi="宋体" w:eastAsia="宋体" w:cs="宋体"/>
                <w:color w:val="auto"/>
                <w:sz w:val="21"/>
                <w:szCs w:val="21"/>
              </w:rPr>
            </w:pPr>
            <w:r>
              <w:rPr>
                <w:rFonts w:ascii="宋体" w:hAnsi="宋体" w:eastAsia="宋体" w:cs="宋体"/>
                <w:color w:val="auto"/>
                <w:sz w:val="21"/>
                <w:szCs w:val="21"/>
              </w:rPr>
              <w:t>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44"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691" w:type="dxa"/>
            <w:gridSpan w:val="2"/>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提升钢丝绳</w:t>
            </w:r>
          </w:p>
        </w:tc>
        <w:tc>
          <w:tcPr>
            <w:tcW w:w="5955" w:type="dxa"/>
            <w:vAlign w:val="center"/>
          </w:tcPr>
          <w:p>
            <w:pPr>
              <w:pStyle w:val="27"/>
              <w:spacing w:line="360" w:lineRule="auto"/>
              <w:ind w:left="110" w:leftChars="50" w:right="110" w:rightChars="50"/>
              <w:jc w:val="center"/>
              <w:rPr>
                <w:rFonts w:ascii="宋体" w:hAnsi="宋体" w:eastAsia="宋体" w:cs="宋体"/>
                <w:color w:val="auto"/>
                <w:sz w:val="21"/>
                <w:szCs w:val="21"/>
              </w:rPr>
            </w:pPr>
            <w:r>
              <w:rPr>
                <w:rFonts w:ascii="宋体" w:hAnsi="宋体" w:eastAsia="宋体" w:cs="宋体"/>
                <w:color w:val="auto"/>
                <w:sz w:val="21"/>
                <w:szCs w:val="21"/>
              </w:rPr>
              <w:t>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44"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691" w:type="dxa"/>
            <w:gridSpan w:val="2"/>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控制箱</w:t>
            </w:r>
          </w:p>
        </w:tc>
        <w:tc>
          <w:tcPr>
            <w:tcW w:w="5955" w:type="dxa"/>
            <w:vAlign w:val="center"/>
          </w:tcPr>
          <w:p>
            <w:pPr>
              <w:pStyle w:val="27"/>
              <w:spacing w:line="360" w:lineRule="auto"/>
              <w:ind w:left="110" w:leftChars="50" w:right="110" w:rightChars="50"/>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不锈钢</w:t>
            </w:r>
            <w:r>
              <w:rPr>
                <w:rFonts w:ascii="宋体" w:hAnsi="宋体" w:eastAsia="宋体" w:cs="宋体"/>
                <w:color w:val="auto"/>
                <w:spacing w:val="-5"/>
                <w:sz w:val="21"/>
                <w:szCs w:val="21"/>
                <w:lang w:eastAsia="zh-CN"/>
              </w:rPr>
              <w:t>304，钢板厚度应不小于1.5mm，防护等级应不小于</w:t>
            </w:r>
            <w:r>
              <w:rPr>
                <w:rFonts w:ascii="宋体" w:hAnsi="宋体" w:eastAsia="宋体" w:cs="宋体"/>
                <w:color w:val="auto"/>
                <w:sz w:val="21"/>
                <w:szCs w:val="21"/>
                <w:lang w:eastAsia="zh-CN"/>
              </w:rPr>
              <w:t>IP65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44" w:type="dxa"/>
            <w:vMerge w:val="restart"/>
            <w:vAlign w:val="center"/>
          </w:tcPr>
          <w:p>
            <w:pPr>
              <w:pStyle w:val="27"/>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附件</w:t>
            </w:r>
          </w:p>
        </w:tc>
        <w:tc>
          <w:tcPr>
            <w:tcW w:w="1691" w:type="dxa"/>
            <w:gridSpan w:val="2"/>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潜水电缆</w:t>
            </w:r>
          </w:p>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（长度）</w:t>
            </w:r>
          </w:p>
        </w:tc>
        <w:tc>
          <w:tcPr>
            <w:tcW w:w="5955" w:type="dxa"/>
            <w:vAlign w:val="center"/>
          </w:tcPr>
          <w:p>
            <w:pPr>
              <w:pStyle w:val="27"/>
              <w:spacing w:line="360" w:lineRule="auto"/>
              <w:ind w:left="110" w:leftChars="50" w:right="110" w:rightChars="50"/>
              <w:rPr>
                <w:rFonts w:ascii="宋体" w:hAnsi="宋体" w:eastAsia="宋体" w:cs="宋体"/>
                <w:color w:val="auto"/>
                <w:sz w:val="21"/>
                <w:szCs w:val="21"/>
                <w:lang w:eastAsia="zh-CN"/>
              </w:rPr>
            </w:pPr>
            <w:r>
              <w:rPr>
                <w:rFonts w:ascii="宋体" w:hAnsi="宋体" w:eastAsia="宋体" w:cs="宋体"/>
                <w:color w:val="auto"/>
                <w:sz w:val="21"/>
                <w:szCs w:val="21"/>
                <w:lang w:eastAsia="zh-CN"/>
              </w:rPr>
              <w:t>≥15m米/根，与搅拌器配套，完好无接驳口，达到规范要求的防水等级及绝缘等级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44"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691" w:type="dxa"/>
            <w:gridSpan w:val="2"/>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pacing w:val="-1"/>
                <w:sz w:val="21"/>
                <w:szCs w:val="21"/>
              </w:rPr>
              <w:t>电气专用保</w:t>
            </w:r>
            <w:r>
              <w:rPr>
                <w:rFonts w:ascii="宋体" w:hAnsi="宋体" w:eastAsia="宋体" w:cs="宋体"/>
                <w:color w:val="auto"/>
                <w:sz w:val="21"/>
                <w:szCs w:val="21"/>
              </w:rPr>
              <w:t>护元件</w:t>
            </w:r>
          </w:p>
        </w:tc>
        <w:tc>
          <w:tcPr>
            <w:tcW w:w="5955" w:type="dxa"/>
            <w:vAlign w:val="center"/>
          </w:tcPr>
          <w:p>
            <w:pPr>
              <w:pStyle w:val="27"/>
              <w:spacing w:line="360" w:lineRule="auto"/>
              <w:ind w:left="110" w:leftChars="50" w:right="110" w:rightChars="50"/>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配套电机定子室泄漏传感器、定子绕组过热保护、搅拌器综合</w:t>
            </w:r>
            <w:r>
              <w:rPr>
                <w:rFonts w:ascii="宋体" w:hAnsi="宋体" w:eastAsia="宋体" w:cs="宋体"/>
                <w:color w:val="auto"/>
                <w:sz w:val="21"/>
                <w:szCs w:val="21"/>
                <w:lang w:eastAsia="zh-CN"/>
              </w:rPr>
              <w:t>保护器等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44"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691" w:type="dxa"/>
            <w:gridSpan w:val="2"/>
            <w:vAlign w:val="center"/>
          </w:tcPr>
          <w:p>
            <w:pPr>
              <w:pStyle w:val="27"/>
              <w:spacing w:line="360" w:lineRule="auto"/>
              <w:jc w:val="center"/>
              <w:rPr>
                <w:rFonts w:ascii="宋体" w:hAnsi="宋体" w:eastAsia="宋体" w:cs="宋体"/>
                <w:color w:val="auto"/>
                <w:sz w:val="21"/>
                <w:szCs w:val="21"/>
                <w:lang w:eastAsia="zh-CN"/>
              </w:rPr>
            </w:pPr>
          </w:p>
          <w:p>
            <w:pPr>
              <w:pStyle w:val="27"/>
              <w:spacing w:line="360" w:lineRule="auto"/>
              <w:jc w:val="center"/>
              <w:rPr>
                <w:rFonts w:ascii="宋体" w:hAnsi="宋体" w:eastAsia="宋体" w:cs="宋体"/>
                <w:color w:val="auto"/>
                <w:sz w:val="21"/>
                <w:szCs w:val="21"/>
                <w:lang w:eastAsia="zh-CN"/>
              </w:rPr>
            </w:pPr>
          </w:p>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控制箱</w:t>
            </w:r>
          </w:p>
        </w:tc>
        <w:tc>
          <w:tcPr>
            <w:tcW w:w="5955" w:type="dxa"/>
            <w:vAlign w:val="center"/>
          </w:tcPr>
          <w:p>
            <w:pPr>
              <w:pStyle w:val="27"/>
              <w:spacing w:line="360" w:lineRule="auto"/>
              <w:ind w:left="110" w:leftChars="50" w:right="110" w:rightChars="50"/>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应配备手动/停/自动及现场/遥控的就地控制箱，并需配备向中</w:t>
            </w:r>
            <w:r>
              <w:rPr>
                <w:rFonts w:ascii="宋体" w:hAnsi="宋体" w:eastAsia="宋体" w:cs="宋体"/>
                <w:color w:val="auto"/>
                <w:sz w:val="21"/>
                <w:szCs w:val="21"/>
                <w:lang w:eastAsia="zh-CN"/>
              </w:rPr>
              <w:t>心控制室传输状态显示信号的接口和接受中心控制室遥控信号</w:t>
            </w:r>
            <w:r>
              <w:rPr>
                <w:rFonts w:ascii="宋体" w:hAnsi="宋体" w:eastAsia="宋体" w:cs="宋体"/>
                <w:color w:val="auto"/>
                <w:spacing w:val="-4"/>
                <w:sz w:val="21"/>
                <w:szCs w:val="21"/>
                <w:lang w:eastAsia="zh-CN"/>
              </w:rPr>
              <w:t>的接口。支撑件高度应保证使电气控制箱底部离地</w:t>
            </w:r>
            <w:r>
              <w:rPr>
                <w:rFonts w:ascii="宋体" w:hAnsi="宋体" w:eastAsia="宋体" w:cs="宋体"/>
                <w:color w:val="auto"/>
                <w:sz w:val="21"/>
                <w:szCs w:val="21"/>
                <w:lang w:eastAsia="zh-CN"/>
              </w:rPr>
              <w:t>1.3米安装。</w:t>
            </w:r>
            <w:r>
              <w:rPr>
                <w:rFonts w:ascii="宋体" w:hAnsi="宋体" w:eastAsia="宋体" w:cs="宋体"/>
                <w:color w:val="auto"/>
                <w:spacing w:val="-3"/>
                <w:sz w:val="21"/>
                <w:szCs w:val="21"/>
                <w:lang w:eastAsia="zh-CN"/>
              </w:rPr>
              <w:t>凡需落地安装的电气控制箱，应配套提供用于安装的槽钢基础。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144"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691" w:type="dxa"/>
            <w:gridSpan w:val="2"/>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其它</w:t>
            </w:r>
          </w:p>
        </w:tc>
        <w:tc>
          <w:tcPr>
            <w:tcW w:w="5955" w:type="dxa"/>
            <w:vAlign w:val="center"/>
          </w:tcPr>
          <w:p>
            <w:pPr>
              <w:pStyle w:val="27"/>
              <w:spacing w:line="360" w:lineRule="auto"/>
              <w:ind w:left="110" w:leftChars="50" w:right="110" w:rightChars="50"/>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每台潜水搅拌器均配备一套安装提升系统，安装系统应包括导</w:t>
            </w:r>
            <w:r>
              <w:rPr>
                <w:rFonts w:ascii="宋体" w:hAnsi="宋体" w:eastAsia="宋体" w:cs="宋体"/>
                <w:color w:val="auto"/>
                <w:sz w:val="21"/>
                <w:szCs w:val="21"/>
                <w:lang w:eastAsia="zh-CN"/>
              </w:rPr>
              <w:t>轨、提拉绳，并配有臂式起吊架和手摇式卷升装置。</w:t>
            </w:r>
          </w:p>
        </w:tc>
      </w:tr>
    </w:tbl>
    <w:p>
      <w:pPr>
        <w:pStyle w:val="29"/>
        <w:ind w:firstLine="472"/>
        <w:rPr>
          <w:color w:val="auto"/>
        </w:rPr>
      </w:pPr>
    </w:p>
    <w:p>
      <w:pPr>
        <w:pStyle w:val="31"/>
        <w:rPr>
          <w:color w:val="auto"/>
        </w:rPr>
      </w:pPr>
      <w:r>
        <w:rPr>
          <w:color w:val="auto"/>
        </w:rPr>
        <w:t>混合液回流泵</w:t>
      </w:r>
      <w:r>
        <w:rPr>
          <w:rFonts w:hint="eastAsia"/>
          <w:color w:val="auto"/>
        </w:rPr>
        <w:t>（污水）</w:t>
      </w:r>
    </w:p>
    <w:tbl>
      <w:tblPr>
        <w:tblStyle w:val="25"/>
        <w:tblpPr w:leftFromText="180" w:rightFromText="180" w:vertAnchor="text" w:tblpY="1"/>
        <w:tblOverlap w:val="never"/>
        <w:tblW w:w="85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18"/>
        <w:gridCol w:w="2475"/>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993" w:type="dxa"/>
            <w:gridSpan w:val="2"/>
            <w:vAlign w:val="center"/>
          </w:tcPr>
          <w:p>
            <w:pPr>
              <w:pStyle w:val="27"/>
              <w:tabs>
                <w:tab w:val="left" w:pos="424"/>
              </w:tabs>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项</w:t>
            </w:r>
            <w:r>
              <w:rPr>
                <w:rFonts w:ascii="宋体" w:hAnsi="宋体" w:eastAsia="宋体" w:cs="宋体"/>
                <w:color w:val="auto"/>
                <w:sz w:val="21"/>
                <w:szCs w:val="21"/>
              </w:rPr>
              <w:tab/>
            </w:r>
            <w:r>
              <w:rPr>
                <w:rFonts w:ascii="宋体" w:hAnsi="宋体" w:eastAsia="宋体" w:cs="宋体"/>
                <w:color w:val="auto"/>
                <w:sz w:val="21"/>
                <w:szCs w:val="21"/>
              </w:rPr>
              <w:t>目</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pStyle w:val="27"/>
              <w:spacing w:before="88" w:line="360" w:lineRule="auto"/>
              <w:ind w:left="144" w:right="141"/>
              <w:jc w:val="both"/>
              <w:rPr>
                <w:rFonts w:ascii="宋体" w:hAnsi="宋体" w:eastAsia="宋体" w:cs="宋体"/>
                <w:color w:val="auto"/>
                <w:sz w:val="21"/>
                <w:szCs w:val="21"/>
                <w:lang w:eastAsia="zh-CN"/>
              </w:rPr>
            </w:pPr>
            <w:r>
              <w:rPr>
                <w:rFonts w:ascii="宋体" w:hAnsi="宋体" w:eastAsia="宋体" w:cs="宋体"/>
                <w:color w:val="auto"/>
                <w:sz w:val="21"/>
                <w:szCs w:val="21"/>
              </w:rPr>
              <w:t>技术规</w:t>
            </w:r>
            <w:r>
              <w:rPr>
                <w:rFonts w:hint="eastAsia" w:ascii="宋体" w:hAnsi="宋体" w:eastAsia="宋体" w:cs="宋体"/>
                <w:color w:val="auto"/>
                <w:sz w:val="21"/>
                <w:szCs w:val="21"/>
                <w:lang w:eastAsia="zh-CN"/>
              </w:rPr>
              <w:t>格</w:t>
            </w: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水泵型式</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潜水泵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数量</w:t>
            </w:r>
          </w:p>
        </w:tc>
        <w:tc>
          <w:tcPr>
            <w:tcW w:w="5538" w:type="dxa"/>
            <w:vAlign w:val="center"/>
          </w:tcPr>
          <w:p>
            <w:pPr>
              <w:pStyle w:val="27"/>
              <w:spacing w:before="114"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4</w:t>
            </w:r>
            <w:r>
              <w:rPr>
                <w:rFonts w:ascii="宋体" w:hAnsi="宋体" w:eastAsia="宋体" w:cs="宋体"/>
                <w:color w:val="auto"/>
                <w:sz w:val="21"/>
                <w:szCs w:val="21"/>
              </w:rPr>
              <w:t>套</w:t>
            </w:r>
            <w:r>
              <w:rPr>
                <w:rFonts w:hint="eastAsia" w:ascii="宋体" w:hAnsi="宋体" w:eastAsia="宋体" w:cs="宋体"/>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介质</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城市污水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安装方式</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可拆卸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安装位置</w:t>
            </w:r>
          </w:p>
        </w:tc>
        <w:tc>
          <w:tcPr>
            <w:tcW w:w="5538"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多级AO池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工况点设计流量(m³/h)</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1044</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扬程（m）</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0.8</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工况点水泵效率(%)</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line="360" w:lineRule="auto"/>
              <w:ind w:left="597" w:right="173" w:hanging="420"/>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对应设计范围内的水泵</w:t>
            </w:r>
            <w:r>
              <w:rPr>
                <w:rFonts w:ascii="宋体" w:hAnsi="宋体" w:eastAsia="宋体" w:cs="宋体"/>
                <w:color w:val="auto"/>
                <w:sz w:val="21"/>
                <w:szCs w:val="21"/>
                <w:lang w:eastAsia="zh-CN"/>
              </w:rPr>
              <w:t>最低水泵效率</w:t>
            </w:r>
          </w:p>
        </w:tc>
        <w:tc>
          <w:tcPr>
            <w:tcW w:w="5538" w:type="dxa"/>
            <w:vAlign w:val="center"/>
          </w:tcPr>
          <w:p>
            <w:pPr>
              <w:pStyle w:val="27"/>
              <w:spacing w:before="150"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电机效率(%)</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启动方式</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软启动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叶轮型式</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无阻塞叶轮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电机功率(KW)</w:t>
            </w:r>
          </w:p>
        </w:tc>
        <w:tc>
          <w:tcPr>
            <w:tcW w:w="5538" w:type="dxa"/>
            <w:vAlign w:val="center"/>
          </w:tcPr>
          <w:p>
            <w:pPr>
              <w:pStyle w:val="27"/>
              <w:spacing w:before="115" w:line="360" w:lineRule="auto"/>
              <w:ind w:left="2"/>
              <w:jc w:val="center"/>
              <w:rPr>
                <w:rFonts w:ascii="宋体" w:hAnsi="宋体" w:eastAsia="宋体" w:cs="宋体"/>
                <w:color w:val="auto"/>
                <w:sz w:val="21"/>
                <w:szCs w:val="21"/>
              </w:rPr>
            </w:pPr>
            <w:r>
              <w:rPr>
                <w:rFonts w:ascii="宋体" w:hAnsi="宋体" w:eastAsia="宋体" w:cs="宋体"/>
                <w:color w:val="auto"/>
                <w:sz w:val="21"/>
                <w:szCs w:val="21"/>
                <w:lang w:eastAsia="zh-CN"/>
              </w:rPr>
              <w:t>5.5</w:t>
            </w:r>
            <w:r>
              <w:rPr>
                <w:rFonts w:hint="eastAsia" w:ascii="宋体" w:hAnsi="宋体" w:eastAsia="宋体" w:cs="宋体"/>
                <w:color w:val="auto"/>
                <w:sz w:val="21"/>
                <w:szCs w:val="21"/>
                <w:lang w:eastAsia="zh-CN"/>
              </w:rPr>
              <w:t>kW</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电机转速（rpm）</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工作制</w:t>
            </w:r>
          </w:p>
        </w:tc>
        <w:tc>
          <w:tcPr>
            <w:tcW w:w="5538" w:type="dxa"/>
            <w:vAlign w:val="center"/>
          </w:tcPr>
          <w:p>
            <w:pPr>
              <w:pStyle w:val="27"/>
              <w:spacing w:before="114" w:line="360" w:lineRule="auto"/>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24h/d连续运行并可以间歇运行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50" w:line="360" w:lineRule="auto"/>
              <w:jc w:val="center"/>
              <w:rPr>
                <w:rFonts w:ascii="宋体" w:hAnsi="宋体" w:eastAsia="宋体" w:cs="宋体"/>
                <w:color w:val="auto"/>
                <w:sz w:val="21"/>
                <w:szCs w:val="21"/>
              </w:rPr>
            </w:pPr>
            <w:r>
              <w:rPr>
                <w:rFonts w:ascii="宋体" w:hAnsi="宋体" w:eastAsia="宋体" w:cs="宋体"/>
                <w:color w:val="auto"/>
                <w:sz w:val="21"/>
                <w:szCs w:val="21"/>
              </w:rPr>
              <w:t>冷却方式</w:t>
            </w:r>
          </w:p>
        </w:tc>
        <w:tc>
          <w:tcPr>
            <w:tcW w:w="5538" w:type="dxa"/>
            <w:vAlign w:val="center"/>
          </w:tcPr>
          <w:p>
            <w:pPr>
              <w:pStyle w:val="27"/>
              <w:spacing w:line="360" w:lineRule="auto"/>
              <w:ind w:left="98" w:right="-10"/>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电机冷却需采用直接冷却，如果在停机水位不够的情况下，采用内循环油冷却系统电机，不可以采用水冷夹套的形式。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供电电源</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color w:val="auto"/>
                <w:sz w:val="21"/>
              </w:rPr>
              <w:t>3Ph/50Hz/380V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防护等级</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color w:val="auto"/>
                <w:sz w:val="21"/>
              </w:rPr>
              <w:t>IP68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出口口径（mm）</w:t>
            </w:r>
          </w:p>
        </w:tc>
        <w:tc>
          <w:tcPr>
            <w:tcW w:w="5538" w:type="dxa"/>
            <w:vAlign w:val="center"/>
          </w:tcPr>
          <w:p>
            <w:pPr>
              <w:pStyle w:val="27"/>
              <w:spacing w:before="115"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w:t>
            </w:r>
            <w:r>
              <w:rPr>
                <w:rFonts w:ascii="宋体"/>
                <w:color w:val="auto"/>
                <w:sz w:val="21"/>
              </w:rPr>
              <w:t>500</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颗粒通过能力（mm）</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噪声(dB(A))</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≤80DB(A)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电缆长度</w:t>
            </w:r>
          </w:p>
        </w:tc>
        <w:tc>
          <w:tcPr>
            <w:tcW w:w="5538" w:type="dxa"/>
            <w:vAlign w:val="center"/>
          </w:tcPr>
          <w:p>
            <w:pPr>
              <w:pStyle w:val="27"/>
              <w:spacing w:line="360" w:lineRule="auto"/>
              <w:ind w:left="1497" w:right="103" w:hanging="1392"/>
              <w:rPr>
                <w:rFonts w:ascii="宋体" w:hAnsi="宋体" w:eastAsia="宋体" w:cs="宋体"/>
                <w:color w:val="auto"/>
                <w:sz w:val="21"/>
                <w:szCs w:val="21"/>
                <w:lang w:eastAsia="zh-CN"/>
              </w:rPr>
            </w:pPr>
            <w:r>
              <w:rPr>
                <w:rFonts w:ascii="宋体" w:hAnsi="宋体" w:eastAsia="宋体" w:cs="宋体"/>
                <w:color w:val="auto"/>
                <w:sz w:val="21"/>
                <w:szCs w:val="21"/>
                <w:lang w:eastAsia="zh-CN"/>
              </w:rPr>
              <w:t>10</w:t>
            </w:r>
            <w:r>
              <w:rPr>
                <w:rFonts w:ascii="宋体" w:hAnsi="宋体" w:eastAsia="宋体" w:cs="宋体"/>
                <w:color w:val="auto"/>
                <w:spacing w:val="-6"/>
                <w:sz w:val="21"/>
                <w:szCs w:val="21"/>
                <w:lang w:eastAsia="zh-CN"/>
              </w:rPr>
              <w:t>米/根（暂定），与水泵配套，完好无接驳口，达到规范</w:t>
            </w:r>
            <w:r>
              <w:rPr>
                <w:rFonts w:ascii="宋体" w:hAnsi="宋体" w:eastAsia="宋体" w:cs="宋体"/>
                <w:color w:val="auto"/>
                <w:sz w:val="21"/>
                <w:szCs w:val="21"/>
                <w:lang w:eastAsia="zh-CN"/>
              </w:rPr>
              <w:t>要求的防水等级及绝缘等级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最小绝缘等级</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color w:val="auto"/>
                <w:sz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机械密封的使用寿命</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不低于30,000小时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轴承寿命(L10)</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不得少于100,000</w:t>
            </w:r>
            <w:r>
              <w:rPr>
                <w:rFonts w:ascii="宋体" w:hAnsi="宋体" w:eastAsia="宋体" w:cs="宋体"/>
                <w:color w:val="auto"/>
                <w:spacing w:val="-3"/>
                <w:sz w:val="21"/>
                <w:szCs w:val="21"/>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line="360" w:lineRule="auto"/>
              <w:ind w:left="280" w:right="94" w:hanging="183"/>
              <w:rPr>
                <w:rFonts w:ascii="宋体" w:hAnsi="宋体" w:eastAsia="宋体" w:cs="宋体"/>
                <w:color w:val="auto"/>
                <w:sz w:val="21"/>
                <w:szCs w:val="21"/>
                <w:lang w:eastAsia="zh-CN"/>
              </w:rPr>
            </w:pPr>
            <w:r>
              <w:rPr>
                <w:rFonts w:ascii="宋体" w:hAnsi="宋体" w:eastAsia="宋体" w:cs="宋体"/>
                <w:color w:val="auto"/>
                <w:sz w:val="21"/>
                <w:szCs w:val="21"/>
                <w:lang w:eastAsia="zh-CN"/>
              </w:rPr>
              <w:t>能够在20m水深下持续长期运行安全运行时间</w:t>
            </w:r>
          </w:p>
        </w:tc>
        <w:tc>
          <w:tcPr>
            <w:tcW w:w="5538"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至少为20,000小时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line="360" w:lineRule="auto"/>
              <w:ind w:left="1017" w:right="279" w:hanging="737"/>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允许每小时启动次数</w:t>
            </w:r>
            <w:r>
              <w:rPr>
                <w:rFonts w:ascii="宋体" w:hAnsi="宋体" w:eastAsia="宋体" w:cs="宋体"/>
                <w:color w:val="auto"/>
                <w:sz w:val="21"/>
                <w:szCs w:val="21"/>
                <w:lang w:eastAsia="zh-CN"/>
              </w:rPr>
              <w:t>(次)</w:t>
            </w:r>
          </w:p>
        </w:tc>
        <w:tc>
          <w:tcPr>
            <w:tcW w:w="5538"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≥12次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spacing w:line="360" w:lineRule="auto"/>
              <w:rPr>
                <w:color w:val="auto"/>
                <w:lang w:eastAsia="zh-CN"/>
              </w:rPr>
            </w:pPr>
            <w:r>
              <w:rPr>
                <w:rFonts w:hint="eastAsia"/>
                <w:color w:val="auto"/>
                <w:lang w:eastAsia="zh-CN"/>
              </w:rPr>
              <w:t>材质</w:t>
            </w: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泵壳、电机壳</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不低于灰铸铁GG25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叶轮</w:t>
            </w:r>
          </w:p>
        </w:tc>
        <w:tc>
          <w:tcPr>
            <w:tcW w:w="5538" w:type="dxa"/>
            <w:vAlign w:val="center"/>
          </w:tcPr>
          <w:p>
            <w:pPr>
              <w:pStyle w:val="27"/>
              <w:spacing w:before="114" w:line="360" w:lineRule="auto"/>
              <w:ind w:left="1"/>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不低于球墨铸铁GGG60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主轴</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机械密封</w:t>
            </w:r>
          </w:p>
        </w:tc>
        <w:tc>
          <w:tcPr>
            <w:tcW w:w="5538"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耐腐蚀碳化钨/碳化硅，介质酸碱度范围为pH6～10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螺栓、螺母</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导轨</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吊链</w:t>
            </w:r>
          </w:p>
        </w:tc>
        <w:tc>
          <w:tcPr>
            <w:tcW w:w="5538" w:type="dxa"/>
            <w:vAlign w:val="center"/>
          </w:tcPr>
          <w:p>
            <w:pPr>
              <w:pStyle w:val="27"/>
              <w:spacing w:before="115"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ascii="宋体" w:hAnsi="宋体" w:eastAsia="宋体" w:cs="宋体"/>
                <w:color w:val="auto"/>
                <w:spacing w:val="-6"/>
                <w:sz w:val="21"/>
                <w:szCs w:val="21"/>
                <w:lang w:eastAsia="zh-CN"/>
              </w:rPr>
              <w:t>所有连接附件、地脚螺栓</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spacing w:line="360" w:lineRule="auto"/>
              <w:rPr>
                <w:color w:val="auto"/>
                <w:lang w:eastAsia="zh-CN"/>
              </w:rPr>
            </w:pPr>
            <w:r>
              <w:rPr>
                <w:rFonts w:hint="eastAsia"/>
                <w:color w:val="auto"/>
                <w:lang w:eastAsia="zh-CN"/>
              </w:rPr>
              <w:t>附件</w:t>
            </w:r>
          </w:p>
        </w:tc>
        <w:tc>
          <w:tcPr>
            <w:tcW w:w="2475"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电气专用保护元件</w:t>
            </w:r>
          </w:p>
        </w:tc>
        <w:tc>
          <w:tcPr>
            <w:tcW w:w="5538" w:type="dxa"/>
            <w:vAlign w:val="center"/>
          </w:tcPr>
          <w:p>
            <w:pPr>
              <w:pStyle w:val="27"/>
              <w:spacing w:line="360" w:lineRule="auto"/>
              <w:ind w:left="866" w:right="127" w:hanging="735"/>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定子绕组温度传感器、机械密封泄漏传感器、电机湿度传</w:t>
            </w:r>
            <w:r>
              <w:rPr>
                <w:rFonts w:ascii="宋体" w:hAnsi="宋体" w:eastAsia="宋体" w:cs="宋体"/>
                <w:color w:val="auto"/>
                <w:sz w:val="21"/>
                <w:szCs w:val="21"/>
                <w:lang w:eastAsia="zh-CN"/>
              </w:rPr>
              <w:t>感器、轴承温度传感器和水泵综合保护器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line="360" w:lineRule="auto"/>
              <w:rPr>
                <w:rFonts w:ascii="宋体" w:hAnsi="宋体" w:eastAsia="宋体" w:cs="宋体"/>
                <w:color w:val="auto"/>
                <w:sz w:val="20"/>
                <w:szCs w:val="20"/>
                <w:lang w:eastAsia="zh-CN"/>
              </w:rPr>
            </w:pPr>
          </w:p>
          <w:p>
            <w:pPr>
              <w:pStyle w:val="27"/>
              <w:spacing w:line="360" w:lineRule="auto"/>
              <w:rPr>
                <w:rFonts w:ascii="宋体" w:hAnsi="宋体" w:eastAsia="宋体" w:cs="宋体"/>
                <w:color w:val="auto"/>
                <w:sz w:val="20"/>
                <w:szCs w:val="20"/>
                <w:lang w:eastAsia="zh-CN"/>
              </w:rPr>
            </w:pPr>
          </w:p>
          <w:p>
            <w:pPr>
              <w:pStyle w:val="27"/>
              <w:spacing w:before="2" w:line="360" w:lineRule="auto"/>
              <w:rPr>
                <w:rFonts w:ascii="宋体" w:hAnsi="宋体" w:eastAsia="宋体" w:cs="宋体"/>
                <w:color w:val="auto"/>
                <w:sz w:val="20"/>
                <w:szCs w:val="20"/>
                <w:lang w:eastAsia="zh-CN"/>
              </w:rPr>
            </w:pPr>
          </w:p>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综合保护器</w:t>
            </w:r>
          </w:p>
        </w:tc>
        <w:tc>
          <w:tcPr>
            <w:tcW w:w="5538" w:type="dxa"/>
            <w:vAlign w:val="center"/>
          </w:tcPr>
          <w:p>
            <w:pPr>
              <w:pStyle w:val="27"/>
              <w:spacing w:line="360" w:lineRule="auto"/>
              <w:ind w:left="98" w:right="-10"/>
              <w:rPr>
                <w:rFonts w:ascii="宋体" w:hAnsi="宋体" w:eastAsia="宋体" w:cs="宋体"/>
                <w:color w:val="auto"/>
                <w:sz w:val="21"/>
                <w:szCs w:val="21"/>
                <w:lang w:eastAsia="zh-CN"/>
              </w:rPr>
            </w:pPr>
            <w:r>
              <w:rPr>
                <w:rFonts w:ascii="宋体" w:hAnsi="宋体" w:eastAsia="宋体" w:cs="宋体"/>
                <w:color w:val="auto"/>
                <w:sz w:val="21"/>
                <w:szCs w:val="21"/>
                <w:lang w:eastAsia="zh-CN"/>
              </w:rPr>
              <w:t>每台潜水泵均应配备原厂综合保护器，用于水泵的保护报警信号的监控，应能向泵站控制室PLC传输状态显示信号并接受PLC输出信号的控制，监控继电器应安装在相应的低压配电柜。</w:t>
            </w:r>
            <w:r>
              <w:rPr>
                <w:rFonts w:ascii="宋体" w:hAnsi="宋体" w:eastAsia="宋体" w:cs="宋体"/>
                <w:color w:val="auto"/>
                <w:spacing w:val="-11"/>
                <w:sz w:val="21"/>
                <w:szCs w:val="21"/>
                <w:lang w:eastAsia="zh-CN"/>
              </w:rPr>
              <w:t>应向中控室输出“轴承超温”报警、“电机绕组超温”报警、</w:t>
            </w:r>
            <w:r>
              <w:rPr>
                <w:rFonts w:ascii="宋体" w:hAnsi="宋体" w:eastAsia="宋体" w:cs="宋体"/>
                <w:color w:val="auto"/>
                <w:sz w:val="21"/>
                <w:szCs w:val="21"/>
                <w:lang w:eastAsia="zh-CN"/>
              </w:rPr>
              <w:t>“电机湿度”报警、“密封泄漏”报警信号。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49"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其它</w:t>
            </w:r>
          </w:p>
        </w:tc>
        <w:tc>
          <w:tcPr>
            <w:tcW w:w="5538" w:type="dxa"/>
            <w:vAlign w:val="center"/>
          </w:tcPr>
          <w:p>
            <w:pPr>
              <w:pStyle w:val="27"/>
              <w:spacing w:line="360" w:lineRule="auto"/>
              <w:ind w:left="237" w:right="-10" w:hanging="140"/>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配备综合保护器、耦合用导向杆、90°出水弯座、提升链、</w:t>
            </w:r>
            <w:r>
              <w:rPr>
                <w:rFonts w:ascii="宋体" w:hAnsi="宋体" w:eastAsia="宋体" w:cs="宋体"/>
                <w:color w:val="auto"/>
                <w:sz w:val="21"/>
                <w:szCs w:val="21"/>
                <w:lang w:eastAsia="zh-CN"/>
              </w:rPr>
              <w:t>水下电缆、基础螺栓等有效和安全运行所必需的附件。</w:t>
            </w:r>
          </w:p>
        </w:tc>
      </w:tr>
    </w:tbl>
    <w:p>
      <w:pPr>
        <w:rPr>
          <w:rFonts w:ascii="宋体" w:hAnsi="宋体" w:eastAsia="宋体" w:cs="宋体"/>
          <w:color w:val="auto"/>
          <w:sz w:val="20"/>
          <w:szCs w:val="20"/>
          <w:lang w:eastAsia="zh-CN"/>
        </w:rPr>
      </w:pPr>
    </w:p>
    <w:p>
      <w:pPr>
        <w:pStyle w:val="31"/>
        <w:rPr>
          <w:rFonts w:cs="宋体"/>
          <w:color w:val="auto"/>
          <w:sz w:val="20"/>
          <w:szCs w:val="20"/>
        </w:rPr>
      </w:pPr>
      <w:r>
        <w:rPr>
          <w:rFonts w:hint="eastAsia"/>
          <w:color w:val="auto"/>
        </w:rPr>
        <w:t>污泥回流泵（污水）</w:t>
      </w:r>
    </w:p>
    <w:tbl>
      <w:tblPr>
        <w:tblStyle w:val="25"/>
        <w:tblpPr w:leftFromText="180" w:rightFromText="180" w:vertAnchor="text" w:tblpY="1"/>
        <w:tblOverlap w:val="never"/>
        <w:tblW w:w="85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18"/>
        <w:gridCol w:w="2475"/>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993" w:type="dxa"/>
            <w:gridSpan w:val="2"/>
            <w:vAlign w:val="center"/>
          </w:tcPr>
          <w:p>
            <w:pPr>
              <w:pStyle w:val="27"/>
              <w:tabs>
                <w:tab w:val="left" w:pos="424"/>
              </w:tabs>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项</w:t>
            </w:r>
            <w:r>
              <w:rPr>
                <w:rFonts w:ascii="宋体" w:hAnsi="宋体" w:eastAsia="宋体" w:cs="宋体"/>
                <w:color w:val="auto"/>
                <w:sz w:val="21"/>
                <w:szCs w:val="21"/>
              </w:rPr>
              <w:tab/>
            </w:r>
            <w:r>
              <w:rPr>
                <w:rFonts w:ascii="宋体" w:hAnsi="宋体" w:eastAsia="宋体" w:cs="宋体"/>
                <w:color w:val="auto"/>
                <w:sz w:val="21"/>
                <w:szCs w:val="21"/>
              </w:rPr>
              <w:t>目</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pStyle w:val="27"/>
              <w:spacing w:before="88" w:line="360" w:lineRule="auto"/>
              <w:ind w:left="144" w:right="141"/>
              <w:jc w:val="both"/>
              <w:rPr>
                <w:rFonts w:ascii="宋体" w:hAnsi="宋体" w:eastAsia="宋体" w:cs="宋体"/>
                <w:color w:val="auto"/>
                <w:sz w:val="21"/>
                <w:szCs w:val="21"/>
                <w:lang w:eastAsia="zh-CN"/>
              </w:rPr>
            </w:pPr>
            <w:r>
              <w:rPr>
                <w:rFonts w:ascii="宋体" w:hAnsi="宋体" w:eastAsia="宋体" w:cs="宋体"/>
                <w:color w:val="auto"/>
                <w:sz w:val="21"/>
                <w:szCs w:val="21"/>
              </w:rPr>
              <w:t>技术规</w:t>
            </w:r>
            <w:r>
              <w:rPr>
                <w:rFonts w:hint="eastAsia" w:ascii="宋体" w:hAnsi="宋体" w:eastAsia="宋体" w:cs="宋体"/>
                <w:color w:val="auto"/>
                <w:sz w:val="21"/>
                <w:szCs w:val="21"/>
                <w:lang w:eastAsia="zh-CN"/>
              </w:rPr>
              <w:t>格</w:t>
            </w: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水泵型式</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潜水泵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数量</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4</w:t>
            </w:r>
            <w:r>
              <w:rPr>
                <w:rFonts w:ascii="宋体" w:hAnsi="宋体" w:eastAsia="宋体" w:cs="宋体"/>
                <w:color w:val="auto"/>
                <w:sz w:val="21"/>
                <w:szCs w:val="21"/>
              </w:rPr>
              <w:t>套</w:t>
            </w:r>
            <w:r>
              <w:rPr>
                <w:rFonts w:hint="eastAsia" w:ascii="宋体" w:hAnsi="宋体" w:eastAsia="宋体" w:cs="宋体"/>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介质</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城市污水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安装方式</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可拆卸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安装位置</w:t>
            </w:r>
          </w:p>
        </w:tc>
        <w:tc>
          <w:tcPr>
            <w:tcW w:w="5538"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多级AO池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工况点设计流量(m³/h)</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1044</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扬程（m）</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3.0</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工况点水泵效率(%)</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line="360" w:lineRule="auto"/>
              <w:ind w:left="597" w:right="173" w:hanging="420"/>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对应设计范围内的水泵</w:t>
            </w:r>
            <w:r>
              <w:rPr>
                <w:rFonts w:ascii="宋体" w:hAnsi="宋体" w:eastAsia="宋体" w:cs="宋体"/>
                <w:color w:val="auto"/>
                <w:sz w:val="21"/>
                <w:szCs w:val="21"/>
                <w:lang w:eastAsia="zh-CN"/>
              </w:rPr>
              <w:t>最低水泵效率</w:t>
            </w:r>
          </w:p>
        </w:tc>
        <w:tc>
          <w:tcPr>
            <w:tcW w:w="5538" w:type="dxa"/>
            <w:vAlign w:val="center"/>
          </w:tcPr>
          <w:p>
            <w:pPr>
              <w:pStyle w:val="27"/>
              <w:spacing w:before="150"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电机效率(%)</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启动方式</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软启动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叶轮型式</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无阻塞叶轮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电机功率(KW)</w:t>
            </w:r>
          </w:p>
        </w:tc>
        <w:tc>
          <w:tcPr>
            <w:tcW w:w="5538" w:type="dxa"/>
            <w:vAlign w:val="center"/>
          </w:tcPr>
          <w:p>
            <w:pPr>
              <w:pStyle w:val="27"/>
              <w:spacing w:before="115" w:line="360" w:lineRule="auto"/>
              <w:ind w:left="2"/>
              <w:jc w:val="center"/>
              <w:rPr>
                <w:rFonts w:ascii="宋体" w:hAnsi="宋体" w:eastAsia="宋体" w:cs="宋体"/>
                <w:color w:val="auto"/>
                <w:sz w:val="21"/>
                <w:szCs w:val="21"/>
              </w:rPr>
            </w:pPr>
            <w:r>
              <w:rPr>
                <w:rFonts w:ascii="宋体" w:hAnsi="宋体" w:eastAsia="宋体" w:cs="宋体"/>
                <w:color w:val="auto"/>
                <w:sz w:val="21"/>
                <w:szCs w:val="21"/>
                <w:lang w:eastAsia="zh-CN"/>
              </w:rPr>
              <w:t>16</w:t>
            </w:r>
            <w:r>
              <w:rPr>
                <w:rFonts w:hint="eastAsia" w:ascii="宋体" w:hAnsi="宋体" w:eastAsia="宋体" w:cs="宋体"/>
                <w:color w:val="auto"/>
                <w:sz w:val="21"/>
                <w:szCs w:val="21"/>
                <w:lang w:eastAsia="zh-CN"/>
              </w:rPr>
              <w:t>kW</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电机转速（rpm）</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工作制</w:t>
            </w:r>
          </w:p>
        </w:tc>
        <w:tc>
          <w:tcPr>
            <w:tcW w:w="5538" w:type="dxa"/>
            <w:vAlign w:val="center"/>
          </w:tcPr>
          <w:p>
            <w:pPr>
              <w:pStyle w:val="27"/>
              <w:spacing w:before="114" w:line="360" w:lineRule="auto"/>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24h/d连续运行并可以间歇运行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50" w:line="360" w:lineRule="auto"/>
              <w:jc w:val="center"/>
              <w:rPr>
                <w:rFonts w:ascii="宋体" w:hAnsi="宋体" w:eastAsia="宋体" w:cs="宋体"/>
                <w:color w:val="auto"/>
                <w:sz w:val="21"/>
                <w:szCs w:val="21"/>
              </w:rPr>
            </w:pPr>
            <w:r>
              <w:rPr>
                <w:rFonts w:ascii="宋体" w:hAnsi="宋体" w:eastAsia="宋体" w:cs="宋体"/>
                <w:color w:val="auto"/>
                <w:sz w:val="21"/>
                <w:szCs w:val="21"/>
              </w:rPr>
              <w:t>冷却方式</w:t>
            </w:r>
          </w:p>
        </w:tc>
        <w:tc>
          <w:tcPr>
            <w:tcW w:w="5538" w:type="dxa"/>
            <w:vAlign w:val="center"/>
          </w:tcPr>
          <w:p>
            <w:pPr>
              <w:pStyle w:val="27"/>
              <w:spacing w:line="360" w:lineRule="auto"/>
              <w:ind w:left="98" w:right="-10"/>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电机冷却需采用直接冷却，如果在停机水位不够的情况下，采用内循环油冷却系统电机，不可以采用水冷夹套的形式。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供电电源</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color w:val="auto"/>
                <w:sz w:val="21"/>
              </w:rPr>
              <w:t>3Ph/50Hz/380V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防护等级</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color w:val="auto"/>
                <w:sz w:val="21"/>
              </w:rPr>
              <w:t>IP68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出口口径（mm）</w:t>
            </w:r>
          </w:p>
        </w:tc>
        <w:tc>
          <w:tcPr>
            <w:tcW w:w="5538" w:type="dxa"/>
            <w:vAlign w:val="center"/>
          </w:tcPr>
          <w:p>
            <w:pPr>
              <w:pStyle w:val="27"/>
              <w:spacing w:before="115"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w:t>
            </w:r>
            <w:r>
              <w:rPr>
                <w:rFonts w:ascii="宋体"/>
                <w:color w:val="auto"/>
                <w:sz w:val="21"/>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颗粒通过能力（mm）</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噪声(dB(A))</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≤80DB(A)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电缆长度</w:t>
            </w:r>
          </w:p>
        </w:tc>
        <w:tc>
          <w:tcPr>
            <w:tcW w:w="5538" w:type="dxa"/>
            <w:vAlign w:val="center"/>
          </w:tcPr>
          <w:p>
            <w:pPr>
              <w:pStyle w:val="27"/>
              <w:spacing w:line="360" w:lineRule="auto"/>
              <w:ind w:left="1497" w:right="103" w:hanging="1392"/>
              <w:rPr>
                <w:rFonts w:ascii="宋体" w:hAnsi="宋体" w:eastAsia="宋体" w:cs="宋体"/>
                <w:color w:val="auto"/>
                <w:sz w:val="21"/>
                <w:szCs w:val="21"/>
                <w:lang w:eastAsia="zh-CN"/>
              </w:rPr>
            </w:pPr>
            <w:r>
              <w:rPr>
                <w:rFonts w:ascii="宋体" w:hAnsi="宋体" w:eastAsia="宋体" w:cs="宋体"/>
                <w:color w:val="auto"/>
                <w:sz w:val="21"/>
                <w:szCs w:val="21"/>
                <w:lang w:eastAsia="zh-CN"/>
              </w:rPr>
              <w:t>10</w:t>
            </w:r>
            <w:r>
              <w:rPr>
                <w:rFonts w:ascii="宋体" w:hAnsi="宋体" w:eastAsia="宋体" w:cs="宋体"/>
                <w:color w:val="auto"/>
                <w:spacing w:val="-6"/>
                <w:sz w:val="21"/>
                <w:szCs w:val="21"/>
                <w:lang w:eastAsia="zh-CN"/>
              </w:rPr>
              <w:t>米/根（暂定），与水泵配套，完好无接驳口，达到规范</w:t>
            </w:r>
            <w:r>
              <w:rPr>
                <w:rFonts w:ascii="宋体" w:hAnsi="宋体" w:eastAsia="宋体" w:cs="宋体"/>
                <w:color w:val="auto"/>
                <w:sz w:val="21"/>
                <w:szCs w:val="21"/>
                <w:lang w:eastAsia="zh-CN"/>
              </w:rPr>
              <w:t>要求的防水等级及绝缘等级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最小绝缘等级</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color w:val="auto"/>
                <w:sz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机械密封的使用寿命</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不低于30,000小时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轴承寿命(L10)</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不得少于100,000</w:t>
            </w:r>
            <w:r>
              <w:rPr>
                <w:rFonts w:ascii="宋体" w:hAnsi="宋体" w:eastAsia="宋体" w:cs="宋体"/>
                <w:color w:val="auto"/>
                <w:spacing w:val="-3"/>
                <w:sz w:val="21"/>
                <w:szCs w:val="21"/>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line="360" w:lineRule="auto"/>
              <w:ind w:left="280" w:right="94" w:hanging="183"/>
              <w:rPr>
                <w:rFonts w:ascii="宋体" w:hAnsi="宋体" w:eastAsia="宋体" w:cs="宋体"/>
                <w:color w:val="auto"/>
                <w:sz w:val="21"/>
                <w:szCs w:val="21"/>
                <w:lang w:eastAsia="zh-CN"/>
              </w:rPr>
            </w:pPr>
            <w:r>
              <w:rPr>
                <w:rFonts w:ascii="宋体" w:hAnsi="宋体" w:eastAsia="宋体" w:cs="宋体"/>
                <w:color w:val="auto"/>
                <w:sz w:val="21"/>
                <w:szCs w:val="21"/>
                <w:lang w:eastAsia="zh-CN"/>
              </w:rPr>
              <w:t>能够在20m水深下持续长期运行安全运行时间</w:t>
            </w:r>
          </w:p>
        </w:tc>
        <w:tc>
          <w:tcPr>
            <w:tcW w:w="5538"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至少为20,000小时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line="360" w:lineRule="auto"/>
              <w:ind w:left="1017" w:right="279" w:hanging="737"/>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允许每小时启动次数</w:t>
            </w:r>
            <w:r>
              <w:rPr>
                <w:rFonts w:ascii="宋体" w:hAnsi="宋体" w:eastAsia="宋体" w:cs="宋体"/>
                <w:color w:val="auto"/>
                <w:sz w:val="21"/>
                <w:szCs w:val="21"/>
                <w:lang w:eastAsia="zh-CN"/>
              </w:rPr>
              <w:t>(次)</w:t>
            </w:r>
          </w:p>
        </w:tc>
        <w:tc>
          <w:tcPr>
            <w:tcW w:w="5538"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≥12次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spacing w:line="360" w:lineRule="auto"/>
              <w:rPr>
                <w:color w:val="auto"/>
                <w:lang w:eastAsia="zh-CN"/>
              </w:rPr>
            </w:pPr>
            <w:r>
              <w:rPr>
                <w:rFonts w:hint="eastAsia"/>
                <w:color w:val="auto"/>
                <w:lang w:eastAsia="zh-CN"/>
              </w:rPr>
              <w:t>材质</w:t>
            </w: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泵壳、电机壳</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不低于灰铸铁GG25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叶轮</w:t>
            </w:r>
          </w:p>
        </w:tc>
        <w:tc>
          <w:tcPr>
            <w:tcW w:w="5538" w:type="dxa"/>
            <w:vAlign w:val="center"/>
          </w:tcPr>
          <w:p>
            <w:pPr>
              <w:pStyle w:val="27"/>
              <w:spacing w:before="114" w:line="360" w:lineRule="auto"/>
              <w:ind w:left="1"/>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不低于球墨铸铁GGG60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主轴</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机械密封</w:t>
            </w:r>
          </w:p>
        </w:tc>
        <w:tc>
          <w:tcPr>
            <w:tcW w:w="5538"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耐腐蚀碳化钨/碳化硅，介质酸碱度范围为pH6～10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螺栓、螺母</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导轨</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吊链</w:t>
            </w:r>
          </w:p>
        </w:tc>
        <w:tc>
          <w:tcPr>
            <w:tcW w:w="5538" w:type="dxa"/>
            <w:vAlign w:val="center"/>
          </w:tcPr>
          <w:p>
            <w:pPr>
              <w:pStyle w:val="27"/>
              <w:spacing w:before="115"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ascii="宋体" w:hAnsi="宋体" w:eastAsia="宋体" w:cs="宋体"/>
                <w:color w:val="auto"/>
                <w:spacing w:val="-6"/>
                <w:sz w:val="21"/>
                <w:szCs w:val="21"/>
                <w:lang w:eastAsia="zh-CN"/>
              </w:rPr>
              <w:t>所有连接附件、地脚螺栓</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spacing w:line="360" w:lineRule="auto"/>
              <w:rPr>
                <w:color w:val="auto"/>
                <w:lang w:eastAsia="zh-CN"/>
              </w:rPr>
            </w:pPr>
            <w:r>
              <w:rPr>
                <w:rFonts w:hint="eastAsia"/>
                <w:color w:val="auto"/>
                <w:lang w:eastAsia="zh-CN"/>
              </w:rPr>
              <w:t>附件</w:t>
            </w:r>
          </w:p>
        </w:tc>
        <w:tc>
          <w:tcPr>
            <w:tcW w:w="2475"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电气专用保护元件</w:t>
            </w:r>
          </w:p>
        </w:tc>
        <w:tc>
          <w:tcPr>
            <w:tcW w:w="5538" w:type="dxa"/>
            <w:vAlign w:val="center"/>
          </w:tcPr>
          <w:p>
            <w:pPr>
              <w:pStyle w:val="27"/>
              <w:spacing w:line="360" w:lineRule="auto"/>
              <w:ind w:left="866" w:right="127" w:hanging="735"/>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定子绕组温度传感器、机械密封泄漏传感器、电机湿度传</w:t>
            </w:r>
            <w:r>
              <w:rPr>
                <w:rFonts w:ascii="宋体" w:hAnsi="宋体" w:eastAsia="宋体" w:cs="宋体"/>
                <w:color w:val="auto"/>
                <w:sz w:val="21"/>
                <w:szCs w:val="21"/>
                <w:lang w:eastAsia="zh-CN"/>
              </w:rPr>
              <w:t>感器、轴承温度传感器和水泵综合保护器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line="360" w:lineRule="auto"/>
              <w:rPr>
                <w:rFonts w:ascii="宋体" w:hAnsi="宋体" w:eastAsia="宋体" w:cs="宋体"/>
                <w:color w:val="auto"/>
                <w:sz w:val="20"/>
                <w:szCs w:val="20"/>
                <w:lang w:eastAsia="zh-CN"/>
              </w:rPr>
            </w:pPr>
          </w:p>
          <w:p>
            <w:pPr>
              <w:pStyle w:val="27"/>
              <w:spacing w:line="360" w:lineRule="auto"/>
              <w:rPr>
                <w:rFonts w:ascii="宋体" w:hAnsi="宋体" w:eastAsia="宋体" w:cs="宋体"/>
                <w:color w:val="auto"/>
                <w:sz w:val="20"/>
                <w:szCs w:val="20"/>
                <w:lang w:eastAsia="zh-CN"/>
              </w:rPr>
            </w:pPr>
          </w:p>
          <w:p>
            <w:pPr>
              <w:pStyle w:val="27"/>
              <w:spacing w:before="2" w:line="360" w:lineRule="auto"/>
              <w:rPr>
                <w:rFonts w:ascii="宋体" w:hAnsi="宋体" w:eastAsia="宋体" w:cs="宋体"/>
                <w:color w:val="auto"/>
                <w:sz w:val="20"/>
                <w:szCs w:val="20"/>
                <w:lang w:eastAsia="zh-CN"/>
              </w:rPr>
            </w:pPr>
          </w:p>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综合保护器</w:t>
            </w:r>
          </w:p>
        </w:tc>
        <w:tc>
          <w:tcPr>
            <w:tcW w:w="5538" w:type="dxa"/>
            <w:vAlign w:val="center"/>
          </w:tcPr>
          <w:p>
            <w:pPr>
              <w:pStyle w:val="27"/>
              <w:spacing w:line="360" w:lineRule="auto"/>
              <w:ind w:left="98" w:right="-10"/>
              <w:rPr>
                <w:rFonts w:ascii="宋体" w:hAnsi="宋体" w:eastAsia="宋体" w:cs="宋体"/>
                <w:color w:val="auto"/>
                <w:sz w:val="21"/>
                <w:szCs w:val="21"/>
                <w:lang w:eastAsia="zh-CN"/>
              </w:rPr>
            </w:pPr>
            <w:r>
              <w:rPr>
                <w:rFonts w:ascii="宋体" w:hAnsi="宋体" w:eastAsia="宋体" w:cs="宋体"/>
                <w:color w:val="auto"/>
                <w:sz w:val="21"/>
                <w:szCs w:val="21"/>
                <w:lang w:eastAsia="zh-CN"/>
              </w:rPr>
              <w:t>每台潜水泵均应配备原厂综合保护器，用于水泵的保护报警信号的监控，应能向泵站控制室PLC传输状态显示信号并接受PLC输出信号的控制，监控继电器应安装在相应的低压配电柜。</w:t>
            </w:r>
            <w:r>
              <w:rPr>
                <w:rFonts w:ascii="宋体" w:hAnsi="宋体" w:eastAsia="宋体" w:cs="宋体"/>
                <w:color w:val="auto"/>
                <w:spacing w:val="-11"/>
                <w:sz w:val="21"/>
                <w:szCs w:val="21"/>
                <w:lang w:eastAsia="zh-CN"/>
              </w:rPr>
              <w:t>应向中控室输出“轴承超温”报警、“电机绕组超温”报警、</w:t>
            </w:r>
            <w:r>
              <w:rPr>
                <w:rFonts w:ascii="宋体" w:hAnsi="宋体" w:eastAsia="宋体" w:cs="宋体"/>
                <w:color w:val="auto"/>
                <w:sz w:val="21"/>
                <w:szCs w:val="21"/>
                <w:lang w:eastAsia="zh-CN"/>
              </w:rPr>
              <w:t>“电机湿度”报警、“密封泄漏”报警信号。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49"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其它</w:t>
            </w:r>
          </w:p>
        </w:tc>
        <w:tc>
          <w:tcPr>
            <w:tcW w:w="5538" w:type="dxa"/>
            <w:vAlign w:val="center"/>
          </w:tcPr>
          <w:p>
            <w:pPr>
              <w:pStyle w:val="27"/>
              <w:spacing w:line="360" w:lineRule="auto"/>
              <w:ind w:left="237" w:right="-10" w:hanging="140"/>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配备综合保护器、耦合用导向杆、90°出水弯座、提升链、</w:t>
            </w:r>
            <w:r>
              <w:rPr>
                <w:rFonts w:ascii="宋体" w:hAnsi="宋体" w:eastAsia="宋体" w:cs="宋体"/>
                <w:color w:val="auto"/>
                <w:sz w:val="21"/>
                <w:szCs w:val="21"/>
                <w:lang w:eastAsia="zh-CN"/>
              </w:rPr>
              <w:t>水下电缆、基础螺栓等有效和安全运行所必需的附件。</w:t>
            </w:r>
          </w:p>
        </w:tc>
      </w:tr>
    </w:tbl>
    <w:p>
      <w:pPr>
        <w:pStyle w:val="31"/>
        <w:rPr>
          <w:rFonts w:cs="宋体"/>
          <w:color w:val="auto"/>
          <w:sz w:val="20"/>
          <w:szCs w:val="20"/>
        </w:rPr>
      </w:pPr>
      <w:r>
        <w:rPr>
          <w:rFonts w:hint="eastAsia"/>
          <w:color w:val="auto"/>
        </w:rPr>
        <w:t>剩余污泥泵</w:t>
      </w:r>
    </w:p>
    <w:tbl>
      <w:tblPr>
        <w:tblStyle w:val="25"/>
        <w:tblpPr w:leftFromText="180" w:rightFromText="180" w:vertAnchor="text" w:tblpY="1"/>
        <w:tblOverlap w:val="never"/>
        <w:tblW w:w="85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18"/>
        <w:gridCol w:w="2475"/>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993" w:type="dxa"/>
            <w:gridSpan w:val="2"/>
            <w:vAlign w:val="center"/>
          </w:tcPr>
          <w:p>
            <w:pPr>
              <w:pStyle w:val="27"/>
              <w:tabs>
                <w:tab w:val="left" w:pos="424"/>
              </w:tabs>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项</w:t>
            </w:r>
            <w:r>
              <w:rPr>
                <w:rFonts w:ascii="宋体" w:hAnsi="宋体" w:eastAsia="宋体" w:cs="宋体"/>
                <w:color w:val="auto"/>
                <w:sz w:val="21"/>
                <w:szCs w:val="21"/>
              </w:rPr>
              <w:tab/>
            </w:r>
            <w:r>
              <w:rPr>
                <w:rFonts w:ascii="宋体" w:hAnsi="宋体" w:eastAsia="宋体" w:cs="宋体"/>
                <w:color w:val="auto"/>
                <w:sz w:val="21"/>
                <w:szCs w:val="21"/>
              </w:rPr>
              <w:t>目</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pStyle w:val="27"/>
              <w:spacing w:before="88" w:line="360" w:lineRule="auto"/>
              <w:ind w:left="144" w:right="141"/>
              <w:jc w:val="both"/>
              <w:rPr>
                <w:rFonts w:ascii="宋体" w:hAnsi="宋体" w:eastAsia="宋体" w:cs="宋体"/>
                <w:color w:val="auto"/>
                <w:sz w:val="21"/>
                <w:szCs w:val="21"/>
                <w:lang w:eastAsia="zh-CN"/>
              </w:rPr>
            </w:pPr>
            <w:r>
              <w:rPr>
                <w:rFonts w:ascii="宋体" w:hAnsi="宋体" w:eastAsia="宋体" w:cs="宋体"/>
                <w:color w:val="auto"/>
                <w:sz w:val="21"/>
                <w:szCs w:val="21"/>
              </w:rPr>
              <w:t>技术规</w:t>
            </w:r>
            <w:r>
              <w:rPr>
                <w:rFonts w:hint="eastAsia" w:ascii="宋体" w:hAnsi="宋体" w:eastAsia="宋体" w:cs="宋体"/>
                <w:color w:val="auto"/>
                <w:sz w:val="21"/>
                <w:szCs w:val="21"/>
                <w:lang w:eastAsia="zh-CN"/>
              </w:rPr>
              <w:t>格</w:t>
            </w: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水泵型式</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潜水泵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数量</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4</w:t>
            </w:r>
            <w:r>
              <w:rPr>
                <w:rFonts w:ascii="宋体" w:hAnsi="宋体" w:eastAsia="宋体" w:cs="宋体"/>
                <w:color w:val="auto"/>
                <w:sz w:val="21"/>
                <w:szCs w:val="21"/>
              </w:rPr>
              <w:t>套</w:t>
            </w:r>
            <w:r>
              <w:rPr>
                <w:rFonts w:hint="eastAsia" w:ascii="宋体" w:hAnsi="宋体" w:eastAsia="宋体" w:cs="宋体"/>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介质</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城市污水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安装方式</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可拆卸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安装位置</w:t>
            </w:r>
          </w:p>
        </w:tc>
        <w:tc>
          <w:tcPr>
            <w:tcW w:w="5538"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多级AO池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工况点设计流量(m³/h)</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72</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扬程（m）</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20</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工况点水泵效率(%)</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line="360" w:lineRule="auto"/>
              <w:ind w:left="597" w:right="173" w:hanging="420"/>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对应设计范围内的水泵</w:t>
            </w:r>
            <w:r>
              <w:rPr>
                <w:rFonts w:ascii="宋体" w:hAnsi="宋体" w:eastAsia="宋体" w:cs="宋体"/>
                <w:color w:val="auto"/>
                <w:sz w:val="21"/>
                <w:szCs w:val="21"/>
                <w:lang w:eastAsia="zh-CN"/>
              </w:rPr>
              <w:t>最低水泵效率</w:t>
            </w:r>
          </w:p>
        </w:tc>
        <w:tc>
          <w:tcPr>
            <w:tcW w:w="5538" w:type="dxa"/>
            <w:vAlign w:val="center"/>
          </w:tcPr>
          <w:p>
            <w:pPr>
              <w:pStyle w:val="27"/>
              <w:spacing w:before="150"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电机效率(%)</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启动方式</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软启动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叶轮型式</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无阻塞叶轮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电机功率(KW)</w:t>
            </w:r>
          </w:p>
        </w:tc>
        <w:tc>
          <w:tcPr>
            <w:tcW w:w="5538" w:type="dxa"/>
            <w:vAlign w:val="center"/>
          </w:tcPr>
          <w:p>
            <w:pPr>
              <w:pStyle w:val="27"/>
              <w:spacing w:before="115"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7.5kW</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电机转速（rpm）</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工作制</w:t>
            </w:r>
          </w:p>
        </w:tc>
        <w:tc>
          <w:tcPr>
            <w:tcW w:w="5538" w:type="dxa"/>
            <w:vAlign w:val="center"/>
          </w:tcPr>
          <w:p>
            <w:pPr>
              <w:pStyle w:val="27"/>
              <w:spacing w:before="114" w:line="360" w:lineRule="auto"/>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24h/d连续运行并可以间歇运行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50" w:line="360" w:lineRule="auto"/>
              <w:jc w:val="center"/>
              <w:rPr>
                <w:rFonts w:ascii="宋体" w:hAnsi="宋体" w:eastAsia="宋体" w:cs="宋体"/>
                <w:color w:val="auto"/>
                <w:sz w:val="21"/>
                <w:szCs w:val="21"/>
              </w:rPr>
            </w:pPr>
            <w:r>
              <w:rPr>
                <w:rFonts w:ascii="宋体" w:hAnsi="宋体" w:eastAsia="宋体" w:cs="宋体"/>
                <w:color w:val="auto"/>
                <w:sz w:val="21"/>
                <w:szCs w:val="21"/>
              </w:rPr>
              <w:t>冷却方式</w:t>
            </w:r>
          </w:p>
        </w:tc>
        <w:tc>
          <w:tcPr>
            <w:tcW w:w="5538" w:type="dxa"/>
            <w:vAlign w:val="center"/>
          </w:tcPr>
          <w:p>
            <w:pPr>
              <w:pStyle w:val="27"/>
              <w:spacing w:line="360" w:lineRule="auto"/>
              <w:ind w:left="98" w:right="-10"/>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电机冷却需采用直接冷却，如果在停机水位不够的情况下，采用内循环油冷却系统电机，不可以采用水冷夹套的形式。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供电电源</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color w:val="auto"/>
                <w:sz w:val="21"/>
              </w:rPr>
              <w:t>3Ph/50Hz/380V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防护等级</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color w:val="auto"/>
                <w:sz w:val="21"/>
              </w:rPr>
              <w:t>IP68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出口口径（mm）</w:t>
            </w:r>
          </w:p>
        </w:tc>
        <w:tc>
          <w:tcPr>
            <w:tcW w:w="5538" w:type="dxa"/>
            <w:vAlign w:val="center"/>
          </w:tcPr>
          <w:p>
            <w:pPr>
              <w:pStyle w:val="27"/>
              <w:spacing w:before="115" w:line="360" w:lineRule="auto"/>
              <w:ind w:left="2"/>
              <w:jc w:val="center"/>
              <w:rPr>
                <w:rFonts w:ascii="宋体" w:hAnsi="宋体" w:eastAsia="宋体" w:cs="宋体"/>
                <w:color w:val="auto"/>
                <w:sz w:val="21"/>
                <w:szCs w:val="21"/>
                <w:lang w:eastAsia="zh-CN"/>
              </w:rPr>
            </w:pPr>
            <w:r>
              <w:rPr>
                <w:rFonts w:ascii="宋体" w:hAnsi="宋体" w:eastAsia="宋体" w:cs="宋体"/>
                <w:color w:val="auto"/>
                <w:sz w:val="21"/>
                <w:szCs w:val="21"/>
              </w:rPr>
              <w:t>≥</w:t>
            </w:r>
            <w:r>
              <w:rPr>
                <w:rFonts w:hint="eastAsia" w:ascii="宋体" w:hAnsi="宋体" w:eastAsia="宋体" w:cs="宋体"/>
                <w:color w:val="auto"/>
                <w:sz w:val="21"/>
                <w:szCs w:val="21"/>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噪声(dB(A))</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≤80DB(A)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电缆长度</w:t>
            </w:r>
          </w:p>
        </w:tc>
        <w:tc>
          <w:tcPr>
            <w:tcW w:w="5538" w:type="dxa"/>
            <w:vAlign w:val="center"/>
          </w:tcPr>
          <w:p>
            <w:pPr>
              <w:pStyle w:val="27"/>
              <w:spacing w:line="360" w:lineRule="auto"/>
              <w:ind w:left="1497" w:right="103" w:hanging="1392"/>
              <w:rPr>
                <w:rFonts w:ascii="宋体" w:hAnsi="宋体" w:eastAsia="宋体" w:cs="宋体"/>
                <w:color w:val="auto"/>
                <w:sz w:val="21"/>
                <w:szCs w:val="21"/>
                <w:lang w:eastAsia="zh-CN"/>
              </w:rPr>
            </w:pPr>
            <w:r>
              <w:rPr>
                <w:rFonts w:ascii="宋体" w:hAnsi="宋体" w:eastAsia="宋体" w:cs="宋体"/>
                <w:color w:val="auto"/>
                <w:sz w:val="21"/>
                <w:szCs w:val="21"/>
                <w:lang w:eastAsia="zh-CN"/>
              </w:rPr>
              <w:t>10</w:t>
            </w:r>
            <w:r>
              <w:rPr>
                <w:rFonts w:ascii="宋体" w:hAnsi="宋体" w:eastAsia="宋体" w:cs="宋体"/>
                <w:color w:val="auto"/>
                <w:spacing w:val="-6"/>
                <w:sz w:val="21"/>
                <w:szCs w:val="21"/>
                <w:lang w:eastAsia="zh-CN"/>
              </w:rPr>
              <w:t>米/根（暂定），与水泵配套，完好无接驳口，达到规范</w:t>
            </w:r>
            <w:r>
              <w:rPr>
                <w:rFonts w:ascii="宋体" w:hAnsi="宋体" w:eastAsia="宋体" w:cs="宋体"/>
                <w:color w:val="auto"/>
                <w:sz w:val="21"/>
                <w:szCs w:val="21"/>
                <w:lang w:eastAsia="zh-CN"/>
              </w:rPr>
              <w:t>要求的防水等级及绝缘等级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最小绝缘等级</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color w:val="auto"/>
                <w:sz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机械密封的使用寿命</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不低于30,000小时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轴承寿命(L10)</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不得少于100,000</w:t>
            </w:r>
            <w:r>
              <w:rPr>
                <w:rFonts w:ascii="宋体" w:hAnsi="宋体" w:eastAsia="宋体" w:cs="宋体"/>
                <w:color w:val="auto"/>
                <w:spacing w:val="-3"/>
                <w:sz w:val="21"/>
                <w:szCs w:val="21"/>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line="360" w:lineRule="auto"/>
              <w:ind w:left="280" w:right="94" w:hanging="183"/>
              <w:rPr>
                <w:rFonts w:ascii="宋体" w:hAnsi="宋体" w:eastAsia="宋体" w:cs="宋体"/>
                <w:color w:val="auto"/>
                <w:sz w:val="21"/>
                <w:szCs w:val="21"/>
                <w:lang w:eastAsia="zh-CN"/>
              </w:rPr>
            </w:pPr>
            <w:r>
              <w:rPr>
                <w:rFonts w:ascii="宋体" w:hAnsi="宋体" w:eastAsia="宋体" w:cs="宋体"/>
                <w:color w:val="auto"/>
                <w:sz w:val="21"/>
                <w:szCs w:val="21"/>
                <w:lang w:eastAsia="zh-CN"/>
              </w:rPr>
              <w:t>能够在20m水深下持续长期运行安全运行时间</w:t>
            </w:r>
          </w:p>
        </w:tc>
        <w:tc>
          <w:tcPr>
            <w:tcW w:w="5538"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至少为20,000小时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line="360" w:lineRule="auto"/>
              <w:ind w:left="1017" w:right="279" w:hanging="737"/>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允许每小时启动次数</w:t>
            </w:r>
            <w:r>
              <w:rPr>
                <w:rFonts w:ascii="宋体" w:hAnsi="宋体" w:eastAsia="宋体" w:cs="宋体"/>
                <w:color w:val="auto"/>
                <w:sz w:val="21"/>
                <w:szCs w:val="21"/>
                <w:lang w:eastAsia="zh-CN"/>
              </w:rPr>
              <w:t>(次)</w:t>
            </w:r>
          </w:p>
        </w:tc>
        <w:tc>
          <w:tcPr>
            <w:tcW w:w="5538"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≥12次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spacing w:line="360" w:lineRule="auto"/>
              <w:rPr>
                <w:color w:val="auto"/>
                <w:lang w:eastAsia="zh-CN"/>
              </w:rPr>
            </w:pPr>
            <w:r>
              <w:rPr>
                <w:rFonts w:hint="eastAsia"/>
                <w:color w:val="auto"/>
                <w:lang w:eastAsia="zh-CN"/>
              </w:rPr>
              <w:t>材质</w:t>
            </w: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泵壳、电机壳</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不低于灰铸铁GG25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叶轮</w:t>
            </w:r>
          </w:p>
        </w:tc>
        <w:tc>
          <w:tcPr>
            <w:tcW w:w="5538" w:type="dxa"/>
            <w:vAlign w:val="center"/>
          </w:tcPr>
          <w:p>
            <w:pPr>
              <w:pStyle w:val="27"/>
              <w:spacing w:before="114" w:line="360" w:lineRule="auto"/>
              <w:ind w:left="1"/>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不低于球墨铸铁GGG60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主轴</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机械密封</w:t>
            </w:r>
          </w:p>
        </w:tc>
        <w:tc>
          <w:tcPr>
            <w:tcW w:w="5538"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耐腐蚀碳化钨/碳化硅，介质酸碱度范围为pH6～10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螺栓、螺母</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导轨</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吊链</w:t>
            </w:r>
          </w:p>
        </w:tc>
        <w:tc>
          <w:tcPr>
            <w:tcW w:w="5538" w:type="dxa"/>
            <w:vAlign w:val="center"/>
          </w:tcPr>
          <w:p>
            <w:pPr>
              <w:pStyle w:val="27"/>
              <w:spacing w:before="115"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ascii="宋体" w:hAnsi="宋体" w:eastAsia="宋体" w:cs="宋体"/>
                <w:color w:val="auto"/>
                <w:spacing w:val="-6"/>
                <w:sz w:val="21"/>
                <w:szCs w:val="21"/>
                <w:lang w:eastAsia="zh-CN"/>
              </w:rPr>
              <w:t>所有连接附件、地脚螺栓</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spacing w:line="360" w:lineRule="auto"/>
              <w:rPr>
                <w:color w:val="auto"/>
                <w:lang w:eastAsia="zh-CN"/>
              </w:rPr>
            </w:pPr>
            <w:r>
              <w:rPr>
                <w:rFonts w:hint="eastAsia"/>
                <w:color w:val="auto"/>
                <w:lang w:eastAsia="zh-CN"/>
              </w:rPr>
              <w:t>附件</w:t>
            </w:r>
          </w:p>
        </w:tc>
        <w:tc>
          <w:tcPr>
            <w:tcW w:w="2475"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电气专用保护元件</w:t>
            </w:r>
          </w:p>
        </w:tc>
        <w:tc>
          <w:tcPr>
            <w:tcW w:w="5538" w:type="dxa"/>
            <w:vAlign w:val="center"/>
          </w:tcPr>
          <w:p>
            <w:pPr>
              <w:pStyle w:val="27"/>
              <w:spacing w:line="360" w:lineRule="auto"/>
              <w:ind w:left="866" w:right="127" w:hanging="735"/>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定子绕组温度传感器、机械密封泄漏传感器、电机湿度传</w:t>
            </w:r>
            <w:r>
              <w:rPr>
                <w:rFonts w:ascii="宋体" w:hAnsi="宋体" w:eastAsia="宋体" w:cs="宋体"/>
                <w:color w:val="auto"/>
                <w:sz w:val="21"/>
                <w:szCs w:val="21"/>
                <w:lang w:eastAsia="zh-CN"/>
              </w:rPr>
              <w:t>感器、轴承温度传感器和水泵综合保护器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line="360" w:lineRule="auto"/>
              <w:rPr>
                <w:rFonts w:ascii="宋体" w:hAnsi="宋体" w:eastAsia="宋体" w:cs="宋体"/>
                <w:color w:val="auto"/>
                <w:sz w:val="20"/>
                <w:szCs w:val="20"/>
                <w:lang w:eastAsia="zh-CN"/>
              </w:rPr>
            </w:pPr>
          </w:p>
          <w:p>
            <w:pPr>
              <w:pStyle w:val="27"/>
              <w:spacing w:line="360" w:lineRule="auto"/>
              <w:rPr>
                <w:rFonts w:ascii="宋体" w:hAnsi="宋体" w:eastAsia="宋体" w:cs="宋体"/>
                <w:color w:val="auto"/>
                <w:sz w:val="20"/>
                <w:szCs w:val="20"/>
                <w:lang w:eastAsia="zh-CN"/>
              </w:rPr>
            </w:pPr>
          </w:p>
          <w:p>
            <w:pPr>
              <w:pStyle w:val="27"/>
              <w:spacing w:before="2" w:line="360" w:lineRule="auto"/>
              <w:rPr>
                <w:rFonts w:ascii="宋体" w:hAnsi="宋体" w:eastAsia="宋体" w:cs="宋体"/>
                <w:color w:val="auto"/>
                <w:sz w:val="20"/>
                <w:szCs w:val="20"/>
                <w:lang w:eastAsia="zh-CN"/>
              </w:rPr>
            </w:pPr>
          </w:p>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综合保护器</w:t>
            </w:r>
          </w:p>
        </w:tc>
        <w:tc>
          <w:tcPr>
            <w:tcW w:w="5538" w:type="dxa"/>
            <w:vAlign w:val="center"/>
          </w:tcPr>
          <w:p>
            <w:pPr>
              <w:pStyle w:val="27"/>
              <w:spacing w:line="360" w:lineRule="auto"/>
              <w:ind w:left="98" w:right="-10"/>
              <w:rPr>
                <w:rFonts w:ascii="宋体" w:hAnsi="宋体" w:eastAsia="宋体" w:cs="宋体"/>
                <w:color w:val="auto"/>
                <w:sz w:val="21"/>
                <w:szCs w:val="21"/>
                <w:lang w:eastAsia="zh-CN"/>
              </w:rPr>
            </w:pPr>
            <w:r>
              <w:rPr>
                <w:rFonts w:ascii="宋体" w:hAnsi="宋体" w:eastAsia="宋体" w:cs="宋体"/>
                <w:color w:val="auto"/>
                <w:sz w:val="21"/>
                <w:szCs w:val="21"/>
                <w:lang w:eastAsia="zh-CN"/>
              </w:rPr>
              <w:t>每台潜水泵均应配备原厂综合保护器，用于水泵的保护报警信号的监控，应能向泵站控制室PLC传输状态显示信号并接受PLC输出信号的控制，监控继电器应安装在相应的低压配电柜。</w:t>
            </w:r>
            <w:r>
              <w:rPr>
                <w:rFonts w:ascii="宋体" w:hAnsi="宋体" w:eastAsia="宋体" w:cs="宋体"/>
                <w:color w:val="auto"/>
                <w:spacing w:val="-11"/>
                <w:sz w:val="21"/>
                <w:szCs w:val="21"/>
                <w:lang w:eastAsia="zh-CN"/>
              </w:rPr>
              <w:t>应向中控室输出“轴承超温”报警、“电机绕组超温”报警、</w:t>
            </w:r>
            <w:r>
              <w:rPr>
                <w:rFonts w:ascii="宋体" w:hAnsi="宋体" w:eastAsia="宋体" w:cs="宋体"/>
                <w:color w:val="auto"/>
                <w:sz w:val="21"/>
                <w:szCs w:val="21"/>
                <w:lang w:eastAsia="zh-CN"/>
              </w:rPr>
              <w:t>“电机湿度”报警、“密封泄漏”报警信号。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49"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其它</w:t>
            </w:r>
          </w:p>
        </w:tc>
        <w:tc>
          <w:tcPr>
            <w:tcW w:w="5538" w:type="dxa"/>
            <w:vAlign w:val="center"/>
          </w:tcPr>
          <w:p>
            <w:pPr>
              <w:pStyle w:val="27"/>
              <w:spacing w:line="360" w:lineRule="auto"/>
              <w:ind w:left="237" w:right="-10" w:hanging="140"/>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配备综合保护器、耦合用导向杆、90°出水弯座、提升链、</w:t>
            </w:r>
            <w:r>
              <w:rPr>
                <w:rFonts w:ascii="宋体" w:hAnsi="宋体" w:eastAsia="宋体" w:cs="宋体"/>
                <w:color w:val="auto"/>
                <w:sz w:val="21"/>
                <w:szCs w:val="21"/>
                <w:lang w:eastAsia="zh-CN"/>
              </w:rPr>
              <w:t>水下电缆、基础螺栓等有效和安全运行所必需的附件。</w:t>
            </w:r>
          </w:p>
        </w:tc>
      </w:tr>
    </w:tbl>
    <w:p>
      <w:pPr>
        <w:rPr>
          <w:rFonts w:ascii="宋体" w:hAnsi="宋体" w:eastAsia="宋体" w:cs="宋体"/>
          <w:color w:val="auto"/>
          <w:sz w:val="20"/>
          <w:szCs w:val="20"/>
          <w:lang w:eastAsia="zh-CN"/>
        </w:rPr>
      </w:pPr>
    </w:p>
    <w:p>
      <w:pPr>
        <w:pStyle w:val="31"/>
        <w:rPr>
          <w:color w:val="auto"/>
        </w:rPr>
      </w:pPr>
      <w:r>
        <w:rPr>
          <w:rFonts w:hint="eastAsia"/>
          <w:color w:val="auto"/>
        </w:rPr>
        <w:t>排空</w:t>
      </w:r>
      <w:r>
        <w:rPr>
          <w:color w:val="auto"/>
        </w:rPr>
        <w:t>泵</w:t>
      </w:r>
      <w:r>
        <w:rPr>
          <w:rFonts w:hint="eastAsia"/>
          <w:color w:val="auto"/>
        </w:rPr>
        <w:t>（污水）</w:t>
      </w:r>
    </w:p>
    <w:tbl>
      <w:tblPr>
        <w:tblStyle w:val="25"/>
        <w:tblW w:w="8531"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18"/>
        <w:gridCol w:w="2475"/>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993" w:type="dxa"/>
            <w:gridSpan w:val="2"/>
            <w:vAlign w:val="center"/>
          </w:tcPr>
          <w:p>
            <w:pPr>
              <w:pStyle w:val="27"/>
              <w:tabs>
                <w:tab w:val="left" w:pos="422"/>
              </w:tabs>
              <w:spacing w:before="114" w:line="360" w:lineRule="auto"/>
              <w:ind w:right="8"/>
              <w:jc w:val="center"/>
              <w:rPr>
                <w:rFonts w:ascii="宋体" w:hAnsi="宋体" w:eastAsia="宋体" w:cs="宋体"/>
                <w:color w:val="auto"/>
                <w:sz w:val="21"/>
                <w:szCs w:val="21"/>
              </w:rPr>
            </w:pPr>
            <w:r>
              <w:rPr>
                <w:rFonts w:ascii="宋体" w:hAnsi="宋体" w:eastAsia="宋体" w:cs="宋体"/>
                <w:color w:val="auto"/>
                <w:sz w:val="21"/>
                <w:szCs w:val="21"/>
              </w:rPr>
              <w:t>项</w:t>
            </w:r>
            <w:r>
              <w:rPr>
                <w:rFonts w:ascii="宋体" w:hAnsi="宋体" w:eastAsia="宋体" w:cs="宋体"/>
                <w:color w:val="auto"/>
                <w:sz w:val="21"/>
                <w:szCs w:val="21"/>
              </w:rPr>
              <w:tab/>
            </w:r>
            <w:r>
              <w:rPr>
                <w:rFonts w:ascii="宋体" w:hAnsi="宋体" w:eastAsia="宋体" w:cs="宋体"/>
                <w:color w:val="auto"/>
                <w:sz w:val="21"/>
                <w:szCs w:val="21"/>
              </w:rPr>
              <w:t>目</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pStyle w:val="27"/>
              <w:spacing w:line="360" w:lineRule="auto"/>
              <w:ind w:left="131" w:right="141"/>
              <w:jc w:val="center"/>
              <w:rPr>
                <w:rFonts w:ascii="宋体" w:hAnsi="宋体" w:eastAsia="宋体" w:cs="宋体"/>
                <w:color w:val="auto"/>
                <w:sz w:val="21"/>
                <w:szCs w:val="21"/>
              </w:rPr>
            </w:pPr>
            <w:r>
              <w:rPr>
                <w:rFonts w:ascii="宋体" w:hAnsi="宋体" w:eastAsia="宋体" w:cs="宋体"/>
                <w:color w:val="auto"/>
                <w:sz w:val="21"/>
                <w:szCs w:val="21"/>
              </w:rPr>
              <w:t>技术规格</w:t>
            </w: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水泵型式</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离心式潜水泵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数量</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介质</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城市污水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安装方式</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可拆卸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安装位置</w:t>
            </w:r>
          </w:p>
        </w:tc>
        <w:tc>
          <w:tcPr>
            <w:tcW w:w="5538"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多级AO池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工况点设计流量(m³/h)</w:t>
            </w:r>
          </w:p>
        </w:tc>
        <w:tc>
          <w:tcPr>
            <w:tcW w:w="5538" w:type="dxa"/>
            <w:vAlign w:val="center"/>
          </w:tcPr>
          <w:p>
            <w:pPr>
              <w:pStyle w:val="27"/>
              <w:spacing w:before="114" w:line="360" w:lineRule="auto"/>
              <w:jc w:val="center"/>
              <w:rPr>
                <w:rFonts w:ascii="宋体" w:hAnsi="宋体" w:eastAsia="宋体" w:cs="宋体"/>
                <w:color w:val="auto"/>
                <w:sz w:val="21"/>
                <w:szCs w:val="21"/>
                <w:lang w:eastAsia="zh-CN"/>
              </w:rPr>
            </w:pPr>
            <w:r>
              <w:rPr>
                <w:rFonts w:hint="eastAsia" w:ascii="宋体"/>
                <w:color w:val="auto"/>
                <w:sz w:val="21"/>
                <w:lang w:eastAsia="zh-CN"/>
              </w:rPr>
              <w:t>190（暂定）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5" w:line="360" w:lineRule="auto"/>
              <w:jc w:val="center"/>
              <w:rPr>
                <w:rFonts w:ascii="宋体" w:hAnsi="宋体" w:eastAsia="宋体" w:cs="宋体"/>
                <w:color w:val="auto"/>
                <w:sz w:val="21"/>
                <w:szCs w:val="21"/>
              </w:rPr>
            </w:pPr>
            <w:r>
              <w:rPr>
                <w:rFonts w:ascii="宋体" w:hAnsi="宋体" w:eastAsia="宋体" w:cs="宋体"/>
                <w:color w:val="auto"/>
                <w:sz w:val="21"/>
                <w:szCs w:val="21"/>
              </w:rPr>
              <w:t>扬程（m）</w:t>
            </w:r>
          </w:p>
        </w:tc>
        <w:tc>
          <w:tcPr>
            <w:tcW w:w="5538" w:type="dxa"/>
            <w:vAlign w:val="center"/>
          </w:tcPr>
          <w:p>
            <w:pPr>
              <w:pStyle w:val="27"/>
              <w:spacing w:before="115" w:line="360" w:lineRule="auto"/>
              <w:jc w:val="center"/>
              <w:rPr>
                <w:rFonts w:ascii="宋体" w:hAnsi="宋体" w:eastAsia="宋体" w:cs="宋体"/>
                <w:color w:val="auto"/>
                <w:sz w:val="21"/>
                <w:szCs w:val="21"/>
                <w:lang w:eastAsia="zh-CN"/>
              </w:rPr>
            </w:pPr>
            <w:r>
              <w:rPr>
                <w:rFonts w:hint="eastAsia" w:ascii="宋体"/>
                <w:color w:val="auto"/>
                <w:sz w:val="21"/>
                <w:lang w:eastAsia="zh-CN"/>
              </w:rPr>
              <w:t>12（暂定）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工况点水泵效率(%)</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电机效率(%)</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启动方式</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直接启动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叶轮型式</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无阻塞叶轮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电机功率(KW)</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11</w:t>
            </w:r>
            <w:r>
              <w:rPr>
                <w:rFonts w:ascii="宋体" w:hAnsi="宋体" w:eastAsia="宋体" w:cs="宋体"/>
                <w:color w:val="auto"/>
                <w:sz w:val="21"/>
                <w:szCs w:val="21"/>
              </w:rPr>
              <w:t>KW</w:t>
            </w:r>
            <w:r>
              <w:rPr>
                <w:rFonts w:hint="eastAsia" w:ascii="宋体"/>
                <w:color w:val="auto"/>
                <w:sz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工作制</w:t>
            </w:r>
          </w:p>
        </w:tc>
        <w:tc>
          <w:tcPr>
            <w:tcW w:w="5538" w:type="dxa"/>
            <w:vAlign w:val="center"/>
          </w:tcPr>
          <w:p>
            <w:pPr>
              <w:pStyle w:val="27"/>
              <w:spacing w:before="115" w:line="360" w:lineRule="auto"/>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24h/d连续运行并可以间歇运行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冷却方式</w:t>
            </w:r>
          </w:p>
        </w:tc>
        <w:tc>
          <w:tcPr>
            <w:tcW w:w="5538" w:type="dxa"/>
            <w:vAlign w:val="center"/>
          </w:tcPr>
          <w:p>
            <w:pPr>
              <w:pStyle w:val="27"/>
              <w:spacing w:before="114" w:line="360" w:lineRule="auto"/>
              <w:ind w:left="1"/>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电机冷却需采用直接冷却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供电电源</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color w:val="auto"/>
                <w:sz w:val="21"/>
              </w:rPr>
              <w:t>3Ph/50Hz/380V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防护等级</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color w:val="auto"/>
                <w:sz w:val="21"/>
              </w:rPr>
              <w:t>IP68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出口口径（mm）</w:t>
            </w:r>
          </w:p>
        </w:tc>
        <w:tc>
          <w:tcPr>
            <w:tcW w:w="5538"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ascii="宋体" w:hAnsi="宋体" w:eastAsia="宋体" w:cs="宋体"/>
                <w:color w:val="auto"/>
                <w:sz w:val="21"/>
                <w:szCs w:val="21"/>
              </w:rPr>
              <w:t>≥</w:t>
            </w:r>
            <w:r>
              <w:rPr>
                <w:rFonts w:hint="eastAsia" w:ascii="宋体" w:hAnsi="宋体" w:eastAsia="宋体" w:cs="宋体"/>
                <w:color w:val="auto"/>
                <w:sz w:val="21"/>
                <w:szCs w:val="21"/>
                <w:lang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颗粒通过能力（mm）</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噪声(dB(A))</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≤80DB(A)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rPr>
            </w:pPr>
          </w:p>
        </w:tc>
        <w:tc>
          <w:tcPr>
            <w:tcW w:w="2475" w:type="dxa"/>
            <w:vAlign w:val="center"/>
          </w:tcPr>
          <w:p>
            <w:pPr>
              <w:pStyle w:val="27"/>
              <w:spacing w:before="149" w:line="360" w:lineRule="auto"/>
              <w:jc w:val="center"/>
              <w:rPr>
                <w:rFonts w:ascii="宋体" w:hAnsi="宋体" w:eastAsia="宋体" w:cs="宋体"/>
                <w:color w:val="auto"/>
                <w:sz w:val="21"/>
                <w:szCs w:val="21"/>
              </w:rPr>
            </w:pPr>
            <w:r>
              <w:rPr>
                <w:rFonts w:ascii="宋体" w:hAnsi="宋体" w:eastAsia="宋体" w:cs="宋体"/>
                <w:color w:val="auto"/>
                <w:sz w:val="21"/>
                <w:szCs w:val="21"/>
              </w:rPr>
              <w:t>电缆长度</w:t>
            </w:r>
          </w:p>
        </w:tc>
        <w:tc>
          <w:tcPr>
            <w:tcW w:w="5538" w:type="dxa"/>
            <w:vAlign w:val="center"/>
          </w:tcPr>
          <w:p>
            <w:pPr>
              <w:pStyle w:val="27"/>
              <w:spacing w:line="360" w:lineRule="auto"/>
              <w:ind w:left="1497" w:right="103" w:hanging="1392"/>
              <w:rPr>
                <w:rFonts w:ascii="宋体" w:hAnsi="宋体" w:eastAsia="宋体" w:cs="宋体"/>
                <w:color w:val="auto"/>
                <w:sz w:val="21"/>
                <w:szCs w:val="21"/>
                <w:lang w:eastAsia="zh-CN"/>
              </w:rPr>
            </w:pPr>
            <w:r>
              <w:rPr>
                <w:rFonts w:ascii="宋体" w:hAnsi="宋体" w:eastAsia="宋体" w:cs="宋体"/>
                <w:color w:val="auto"/>
                <w:sz w:val="21"/>
                <w:szCs w:val="21"/>
                <w:lang w:eastAsia="zh-CN"/>
              </w:rPr>
              <w:t>15</w:t>
            </w:r>
            <w:r>
              <w:rPr>
                <w:rFonts w:ascii="宋体" w:hAnsi="宋体" w:eastAsia="宋体" w:cs="宋体"/>
                <w:color w:val="auto"/>
                <w:spacing w:val="-6"/>
                <w:sz w:val="21"/>
                <w:szCs w:val="21"/>
                <w:lang w:eastAsia="zh-CN"/>
              </w:rPr>
              <w:t>米/根（暂定），与水泵配套，完好无接驳口，达到规范</w:t>
            </w:r>
            <w:r>
              <w:rPr>
                <w:rFonts w:ascii="宋体" w:hAnsi="宋体" w:eastAsia="宋体" w:cs="宋体"/>
                <w:color w:val="auto"/>
                <w:sz w:val="21"/>
                <w:szCs w:val="21"/>
                <w:lang w:eastAsia="zh-CN"/>
              </w:rPr>
              <w:t>要求的防水等级及绝缘等级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最小绝缘等级</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color w:val="auto"/>
                <w:sz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机械密封的使用寿命</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不低于30,000小时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轴承寿命(L10)</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不得少于100,000</w:t>
            </w:r>
            <w:r>
              <w:rPr>
                <w:rFonts w:ascii="宋体" w:hAnsi="宋体" w:eastAsia="宋体" w:cs="宋体"/>
                <w:color w:val="auto"/>
                <w:spacing w:val="-3"/>
                <w:sz w:val="21"/>
                <w:szCs w:val="21"/>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line="360" w:lineRule="auto"/>
              <w:ind w:left="280" w:right="94" w:hanging="183"/>
              <w:rPr>
                <w:rFonts w:ascii="宋体" w:hAnsi="宋体" w:eastAsia="宋体" w:cs="宋体"/>
                <w:color w:val="auto"/>
                <w:sz w:val="21"/>
                <w:szCs w:val="21"/>
                <w:lang w:eastAsia="zh-CN"/>
              </w:rPr>
            </w:pPr>
            <w:r>
              <w:rPr>
                <w:rFonts w:ascii="宋体" w:hAnsi="宋体" w:eastAsia="宋体" w:cs="宋体"/>
                <w:color w:val="auto"/>
                <w:sz w:val="21"/>
                <w:szCs w:val="21"/>
                <w:lang w:eastAsia="zh-CN"/>
              </w:rPr>
              <w:t>能够在20m水深下持续长期运行安全运行时间</w:t>
            </w:r>
          </w:p>
        </w:tc>
        <w:tc>
          <w:tcPr>
            <w:tcW w:w="5538" w:type="dxa"/>
            <w:vAlign w:val="center"/>
          </w:tcPr>
          <w:p>
            <w:pPr>
              <w:pStyle w:val="27"/>
              <w:spacing w:before="150" w:line="360" w:lineRule="auto"/>
              <w:jc w:val="center"/>
              <w:rPr>
                <w:rFonts w:ascii="宋体" w:hAnsi="宋体" w:eastAsia="宋体" w:cs="宋体"/>
                <w:color w:val="auto"/>
                <w:sz w:val="21"/>
                <w:szCs w:val="21"/>
              </w:rPr>
            </w:pPr>
            <w:r>
              <w:rPr>
                <w:rFonts w:ascii="宋体" w:hAnsi="宋体" w:eastAsia="宋体" w:cs="宋体"/>
                <w:color w:val="auto"/>
                <w:sz w:val="21"/>
                <w:szCs w:val="21"/>
              </w:rPr>
              <w:t>至少为20,000小时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line="360" w:lineRule="auto"/>
              <w:ind w:left="1017" w:right="279" w:hanging="737"/>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允许每小时启动次数</w:t>
            </w:r>
            <w:r>
              <w:rPr>
                <w:rFonts w:ascii="宋体" w:hAnsi="宋体" w:eastAsia="宋体" w:cs="宋体"/>
                <w:color w:val="auto"/>
                <w:sz w:val="21"/>
                <w:szCs w:val="21"/>
                <w:lang w:eastAsia="zh-CN"/>
              </w:rPr>
              <w:t>(次)</w:t>
            </w:r>
          </w:p>
        </w:tc>
        <w:tc>
          <w:tcPr>
            <w:tcW w:w="5538" w:type="dxa"/>
            <w:vAlign w:val="center"/>
          </w:tcPr>
          <w:p>
            <w:pPr>
              <w:pStyle w:val="27"/>
              <w:spacing w:before="150" w:line="360" w:lineRule="auto"/>
              <w:jc w:val="center"/>
              <w:rPr>
                <w:rFonts w:ascii="宋体" w:hAnsi="宋体" w:eastAsia="宋体" w:cs="宋体"/>
                <w:color w:val="auto"/>
                <w:sz w:val="21"/>
                <w:szCs w:val="21"/>
              </w:rPr>
            </w:pPr>
            <w:r>
              <w:rPr>
                <w:rFonts w:ascii="宋体" w:hAnsi="宋体" w:eastAsia="宋体" w:cs="宋体"/>
                <w:color w:val="auto"/>
                <w:sz w:val="21"/>
                <w:szCs w:val="21"/>
              </w:rPr>
              <w:t>≥12次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spacing w:line="360" w:lineRule="auto"/>
              <w:rPr>
                <w:color w:val="auto"/>
                <w:lang w:eastAsia="zh-CN"/>
              </w:rPr>
            </w:pPr>
            <w:r>
              <w:rPr>
                <w:rFonts w:hint="eastAsia"/>
                <w:color w:val="auto"/>
                <w:lang w:eastAsia="zh-CN"/>
              </w:rPr>
              <w:t>材质</w:t>
            </w: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泵壳、电机壳</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不低于灰铸铁GG25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38"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叶轮</w:t>
            </w:r>
          </w:p>
        </w:tc>
        <w:tc>
          <w:tcPr>
            <w:tcW w:w="5538" w:type="dxa"/>
            <w:vAlign w:val="center"/>
          </w:tcPr>
          <w:p>
            <w:pPr>
              <w:pStyle w:val="27"/>
              <w:spacing w:before="138" w:line="360" w:lineRule="auto"/>
              <w:ind w:left="1"/>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不低于球墨铸铁GGG60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38"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主轴</w:t>
            </w:r>
          </w:p>
        </w:tc>
        <w:tc>
          <w:tcPr>
            <w:tcW w:w="5538" w:type="dxa"/>
            <w:vAlign w:val="center"/>
          </w:tcPr>
          <w:p>
            <w:pPr>
              <w:pStyle w:val="27"/>
              <w:spacing w:before="138"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38" w:line="360" w:lineRule="auto"/>
              <w:jc w:val="center"/>
              <w:rPr>
                <w:rFonts w:ascii="宋体" w:hAnsi="宋体" w:eastAsia="宋体" w:cs="宋体"/>
                <w:color w:val="auto"/>
                <w:sz w:val="21"/>
                <w:szCs w:val="21"/>
              </w:rPr>
            </w:pPr>
            <w:r>
              <w:rPr>
                <w:rFonts w:ascii="宋体" w:hAnsi="宋体" w:eastAsia="宋体" w:cs="宋体"/>
                <w:color w:val="auto"/>
                <w:sz w:val="21"/>
                <w:szCs w:val="21"/>
              </w:rPr>
              <w:t>机械密封</w:t>
            </w:r>
          </w:p>
        </w:tc>
        <w:tc>
          <w:tcPr>
            <w:tcW w:w="5538" w:type="dxa"/>
            <w:vAlign w:val="center"/>
          </w:tcPr>
          <w:p>
            <w:pPr>
              <w:pStyle w:val="27"/>
              <w:spacing w:before="138" w:line="360" w:lineRule="auto"/>
              <w:ind w:left="2"/>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耐腐蚀碳化钨/碳化硅，介质酸碱度范围为pH6～10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38" w:line="360" w:lineRule="auto"/>
              <w:jc w:val="center"/>
              <w:rPr>
                <w:rFonts w:ascii="宋体" w:hAnsi="宋体" w:eastAsia="宋体" w:cs="宋体"/>
                <w:color w:val="auto"/>
                <w:sz w:val="21"/>
                <w:szCs w:val="21"/>
              </w:rPr>
            </w:pPr>
            <w:r>
              <w:rPr>
                <w:rFonts w:ascii="宋体" w:hAnsi="宋体" w:eastAsia="宋体" w:cs="宋体"/>
                <w:color w:val="auto"/>
                <w:sz w:val="21"/>
                <w:szCs w:val="21"/>
              </w:rPr>
              <w:t>螺栓、螺母</w:t>
            </w:r>
          </w:p>
        </w:tc>
        <w:tc>
          <w:tcPr>
            <w:tcW w:w="5538" w:type="dxa"/>
            <w:vAlign w:val="center"/>
          </w:tcPr>
          <w:p>
            <w:pPr>
              <w:pStyle w:val="27"/>
              <w:spacing w:before="138"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38"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导轨</w:t>
            </w:r>
          </w:p>
        </w:tc>
        <w:tc>
          <w:tcPr>
            <w:tcW w:w="5538" w:type="dxa"/>
            <w:vAlign w:val="center"/>
          </w:tcPr>
          <w:p>
            <w:pPr>
              <w:pStyle w:val="27"/>
              <w:spacing w:before="138"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38"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吊链</w:t>
            </w:r>
          </w:p>
        </w:tc>
        <w:tc>
          <w:tcPr>
            <w:tcW w:w="5538" w:type="dxa"/>
            <w:vAlign w:val="center"/>
          </w:tcPr>
          <w:p>
            <w:pPr>
              <w:pStyle w:val="27"/>
              <w:spacing w:before="138"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38" w:line="360" w:lineRule="auto"/>
              <w:ind w:left="2"/>
              <w:jc w:val="center"/>
              <w:rPr>
                <w:rFonts w:ascii="宋体" w:hAnsi="宋体" w:eastAsia="宋体" w:cs="宋体"/>
                <w:color w:val="auto"/>
                <w:sz w:val="21"/>
                <w:szCs w:val="21"/>
                <w:lang w:eastAsia="zh-CN"/>
              </w:rPr>
            </w:pPr>
            <w:r>
              <w:rPr>
                <w:rFonts w:ascii="宋体" w:hAnsi="宋体" w:eastAsia="宋体" w:cs="宋体"/>
                <w:color w:val="auto"/>
                <w:spacing w:val="-6"/>
                <w:sz w:val="21"/>
                <w:szCs w:val="21"/>
                <w:lang w:eastAsia="zh-CN"/>
              </w:rPr>
              <w:t>所有连接附件、地脚螺栓</w:t>
            </w:r>
          </w:p>
        </w:tc>
        <w:tc>
          <w:tcPr>
            <w:tcW w:w="5538" w:type="dxa"/>
            <w:vAlign w:val="center"/>
          </w:tcPr>
          <w:p>
            <w:pPr>
              <w:pStyle w:val="27"/>
              <w:spacing w:before="138"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spacing w:line="360" w:lineRule="auto"/>
              <w:rPr>
                <w:color w:val="auto"/>
                <w:lang w:eastAsia="zh-CN"/>
              </w:rPr>
            </w:pPr>
            <w:r>
              <w:rPr>
                <w:rFonts w:hint="eastAsia"/>
                <w:color w:val="auto"/>
                <w:lang w:eastAsia="zh-CN"/>
              </w:rPr>
              <w:t>附件</w:t>
            </w:r>
          </w:p>
        </w:tc>
        <w:tc>
          <w:tcPr>
            <w:tcW w:w="2475" w:type="dxa"/>
            <w:vAlign w:val="center"/>
          </w:tcPr>
          <w:p>
            <w:pPr>
              <w:pStyle w:val="27"/>
              <w:spacing w:before="153" w:line="360" w:lineRule="auto"/>
              <w:jc w:val="center"/>
              <w:rPr>
                <w:rFonts w:ascii="宋体" w:hAnsi="宋体" w:eastAsia="宋体" w:cs="宋体"/>
                <w:color w:val="auto"/>
                <w:sz w:val="21"/>
                <w:szCs w:val="21"/>
              </w:rPr>
            </w:pPr>
            <w:r>
              <w:rPr>
                <w:rFonts w:ascii="宋体" w:hAnsi="宋体" w:eastAsia="宋体" w:cs="宋体"/>
                <w:color w:val="auto"/>
                <w:sz w:val="21"/>
                <w:szCs w:val="21"/>
              </w:rPr>
              <w:t>电气专用保护元件</w:t>
            </w:r>
          </w:p>
        </w:tc>
        <w:tc>
          <w:tcPr>
            <w:tcW w:w="5538" w:type="dxa"/>
            <w:vAlign w:val="center"/>
          </w:tcPr>
          <w:p>
            <w:pPr>
              <w:pStyle w:val="27"/>
              <w:spacing w:line="360" w:lineRule="auto"/>
              <w:ind w:left="2549" w:right="127" w:hanging="2418"/>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定子绕组温度传感器、机械密封泄漏传感器和水泵综合保</w:t>
            </w:r>
            <w:r>
              <w:rPr>
                <w:rFonts w:ascii="宋体" w:hAnsi="宋体" w:eastAsia="宋体" w:cs="宋体"/>
                <w:color w:val="auto"/>
                <w:sz w:val="21"/>
                <w:szCs w:val="21"/>
                <w:lang w:eastAsia="zh-CN"/>
              </w:rPr>
              <w:t>护器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line="360" w:lineRule="auto"/>
              <w:rPr>
                <w:rFonts w:ascii="宋体" w:hAnsi="宋体" w:eastAsia="宋体" w:cs="宋体"/>
                <w:color w:val="auto"/>
                <w:sz w:val="20"/>
                <w:szCs w:val="20"/>
                <w:lang w:eastAsia="zh-CN"/>
              </w:rPr>
            </w:pPr>
          </w:p>
          <w:p>
            <w:pPr>
              <w:pStyle w:val="27"/>
              <w:spacing w:line="360" w:lineRule="auto"/>
              <w:rPr>
                <w:rFonts w:ascii="宋体" w:hAnsi="宋体" w:eastAsia="宋体" w:cs="宋体"/>
                <w:color w:val="auto"/>
                <w:sz w:val="20"/>
                <w:szCs w:val="20"/>
                <w:lang w:eastAsia="zh-CN"/>
              </w:rPr>
            </w:pPr>
          </w:p>
          <w:p>
            <w:pPr>
              <w:pStyle w:val="27"/>
              <w:spacing w:before="6" w:line="360" w:lineRule="auto"/>
              <w:rPr>
                <w:rFonts w:ascii="宋体" w:hAnsi="宋体" w:eastAsia="宋体" w:cs="宋体"/>
                <w:color w:val="auto"/>
                <w:sz w:val="20"/>
                <w:szCs w:val="20"/>
                <w:lang w:eastAsia="zh-CN"/>
              </w:rPr>
            </w:pPr>
          </w:p>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综合保护器</w:t>
            </w:r>
          </w:p>
        </w:tc>
        <w:tc>
          <w:tcPr>
            <w:tcW w:w="5538" w:type="dxa"/>
            <w:vAlign w:val="center"/>
          </w:tcPr>
          <w:p>
            <w:pPr>
              <w:pStyle w:val="27"/>
              <w:spacing w:line="360" w:lineRule="auto"/>
              <w:ind w:left="98" w:right="91"/>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每台潜水泵均应配备原厂综合保护器，用于水泵的保护报警信号的监控，应能向泵站控制室PLC传输状态显示信号并接受PLC输出信号的控制，监控继电器应安装在相应的低压配电柜。</w:t>
            </w:r>
          </w:p>
          <w:p>
            <w:pPr>
              <w:pStyle w:val="27"/>
              <w:spacing w:before="10" w:line="360" w:lineRule="auto"/>
              <w:ind w:left="98" w:right="89"/>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应向中控室输出“电机绕组超温”报警、“密封泄漏”报警信号。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lang w:eastAsia="zh-CN"/>
              </w:rPr>
            </w:pPr>
          </w:p>
        </w:tc>
        <w:tc>
          <w:tcPr>
            <w:tcW w:w="2475" w:type="dxa"/>
            <w:vAlign w:val="center"/>
          </w:tcPr>
          <w:p>
            <w:pPr>
              <w:pStyle w:val="27"/>
              <w:spacing w:before="153"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其它</w:t>
            </w:r>
          </w:p>
        </w:tc>
        <w:tc>
          <w:tcPr>
            <w:tcW w:w="5538" w:type="dxa"/>
            <w:vAlign w:val="center"/>
          </w:tcPr>
          <w:p>
            <w:pPr>
              <w:pStyle w:val="27"/>
              <w:spacing w:line="360" w:lineRule="auto"/>
              <w:ind w:left="237" w:right="-10" w:hanging="140"/>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配备综合保护器、耦合用导向杆、90°出水弯座、提升链、</w:t>
            </w:r>
            <w:r>
              <w:rPr>
                <w:rFonts w:ascii="宋体" w:hAnsi="宋体" w:eastAsia="宋体" w:cs="宋体"/>
                <w:color w:val="auto"/>
                <w:sz w:val="21"/>
                <w:szCs w:val="21"/>
                <w:lang w:eastAsia="zh-CN"/>
              </w:rPr>
              <w:t>水下电缆、基础螺栓等有效和安全运行所必需的附件。</w:t>
            </w:r>
          </w:p>
        </w:tc>
      </w:tr>
    </w:tbl>
    <w:p>
      <w:pPr>
        <w:spacing w:before="1"/>
        <w:rPr>
          <w:rFonts w:ascii="宋体" w:hAnsi="宋体" w:eastAsia="宋体" w:cs="宋体"/>
          <w:color w:val="auto"/>
          <w:sz w:val="20"/>
          <w:szCs w:val="20"/>
          <w:lang w:eastAsia="zh-CN"/>
        </w:rPr>
      </w:pPr>
    </w:p>
    <w:p>
      <w:pPr>
        <w:pStyle w:val="31"/>
        <w:rPr>
          <w:color w:val="auto"/>
        </w:rPr>
      </w:pPr>
      <w:r>
        <w:rPr>
          <w:color w:val="auto"/>
        </w:rPr>
        <w:t>曝气</w:t>
      </w:r>
      <w:r>
        <w:rPr>
          <w:rFonts w:hint="eastAsia"/>
          <w:color w:val="auto"/>
        </w:rPr>
        <w:t>器</w:t>
      </w:r>
    </w:p>
    <w:tbl>
      <w:tblPr>
        <w:tblStyle w:val="25"/>
        <w:tblW w:w="8760" w:type="dxa"/>
        <w:jc w:val="center"/>
        <w:tblInd w:w="0" w:type="dxa"/>
        <w:tblLayout w:type="fixed"/>
        <w:tblCellMar>
          <w:top w:w="0" w:type="dxa"/>
          <w:left w:w="0" w:type="dxa"/>
          <w:bottom w:w="0" w:type="dxa"/>
          <w:right w:w="0" w:type="dxa"/>
        </w:tblCellMar>
      </w:tblPr>
      <w:tblGrid>
        <w:gridCol w:w="709"/>
        <w:gridCol w:w="5103"/>
        <w:gridCol w:w="2948"/>
      </w:tblGrid>
      <w:tr>
        <w:tblPrEx>
          <w:tblLayout w:type="fixed"/>
          <w:tblCellMar>
            <w:top w:w="0" w:type="dxa"/>
            <w:left w:w="0" w:type="dxa"/>
            <w:bottom w:w="0" w:type="dxa"/>
            <w:right w:w="0"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03" w:right="129"/>
              <w:rPr>
                <w:rFonts w:ascii="宋体" w:hAnsi="宋体" w:eastAsia="宋体" w:cs="宋体"/>
                <w:color w:val="auto"/>
                <w:sz w:val="21"/>
                <w:szCs w:val="21"/>
              </w:rPr>
            </w:pPr>
            <w:r>
              <w:rPr>
                <w:rFonts w:ascii="宋体" w:hAnsi="宋体" w:eastAsia="宋体" w:cs="宋体"/>
                <w:color w:val="auto"/>
                <w:sz w:val="21"/>
                <w:szCs w:val="21"/>
              </w:rPr>
              <w:t>序号</w:t>
            </w:r>
          </w:p>
        </w:tc>
        <w:tc>
          <w:tcPr>
            <w:tcW w:w="510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技术规格</w:t>
            </w:r>
          </w:p>
        </w:tc>
        <w:tc>
          <w:tcPr>
            <w:tcW w:w="2948"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技术要求</w:t>
            </w:r>
          </w:p>
        </w:tc>
      </w:tr>
      <w:tr>
        <w:tblPrEx>
          <w:tblLayout w:type="fixed"/>
          <w:tblCellMar>
            <w:top w:w="0" w:type="dxa"/>
            <w:left w:w="0" w:type="dxa"/>
            <w:bottom w:w="0" w:type="dxa"/>
            <w:right w:w="0"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color w:val="auto"/>
                <w:sz w:val="21"/>
              </w:rPr>
              <w:t>1</w:t>
            </w:r>
          </w:p>
        </w:tc>
        <w:tc>
          <w:tcPr>
            <w:tcW w:w="510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主要设备</w:t>
            </w:r>
          </w:p>
        </w:tc>
        <w:tc>
          <w:tcPr>
            <w:tcW w:w="2948"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03" w:right="214"/>
              <w:rPr>
                <w:rFonts w:ascii="宋体" w:hAnsi="宋体" w:eastAsia="宋体" w:cs="宋体"/>
                <w:color w:val="auto"/>
                <w:sz w:val="21"/>
                <w:szCs w:val="21"/>
                <w:lang w:eastAsia="zh-CN"/>
              </w:rPr>
            </w:pPr>
            <w:r>
              <w:rPr>
                <w:rFonts w:ascii="宋体" w:hAnsi="宋体" w:eastAsia="宋体" w:cs="宋体"/>
                <w:color w:val="auto"/>
                <w:sz w:val="21"/>
                <w:szCs w:val="21"/>
                <w:lang w:eastAsia="zh-CN"/>
              </w:rPr>
              <w:t>主要设备：</w:t>
            </w:r>
          </w:p>
          <w:p>
            <w:pPr>
              <w:pStyle w:val="27"/>
              <w:spacing w:line="360" w:lineRule="auto"/>
              <w:ind w:left="103" w:right="214"/>
              <w:rPr>
                <w:rFonts w:ascii="宋体" w:hAnsi="宋体" w:eastAsia="宋体" w:cs="宋体"/>
                <w:color w:val="auto"/>
                <w:spacing w:val="-2"/>
                <w:sz w:val="21"/>
                <w:szCs w:val="21"/>
                <w:lang w:eastAsia="zh-CN"/>
              </w:rPr>
            </w:pPr>
            <w:r>
              <w:rPr>
                <w:rFonts w:ascii="宋体" w:hAnsi="宋体" w:eastAsia="宋体" w:cs="宋体"/>
                <w:color w:val="auto"/>
                <w:spacing w:val="-2"/>
                <w:sz w:val="21"/>
                <w:szCs w:val="21"/>
                <w:lang w:eastAsia="zh-CN"/>
              </w:rPr>
              <w:t>设备名称：</w:t>
            </w:r>
            <w:r>
              <w:rPr>
                <w:rFonts w:hint="eastAsia" w:ascii="宋体" w:hAnsi="宋体" w:eastAsia="宋体" w:cs="宋体"/>
                <w:color w:val="auto"/>
                <w:spacing w:val="-2"/>
                <w:sz w:val="21"/>
                <w:szCs w:val="21"/>
                <w:lang w:eastAsia="zh-CN"/>
              </w:rPr>
              <w:t>管式</w:t>
            </w:r>
            <w:r>
              <w:rPr>
                <w:rFonts w:ascii="宋体" w:hAnsi="宋体" w:eastAsia="宋体" w:cs="宋体"/>
                <w:color w:val="auto"/>
                <w:spacing w:val="-2"/>
                <w:sz w:val="21"/>
                <w:szCs w:val="21"/>
                <w:lang w:eastAsia="zh-CN"/>
              </w:rPr>
              <w:t>曝气器</w:t>
            </w:r>
            <w:r>
              <w:rPr>
                <w:rFonts w:hint="eastAsia" w:ascii="宋体" w:hAnsi="宋体" w:eastAsia="宋体" w:cs="宋体"/>
                <w:color w:val="auto"/>
                <w:spacing w:val="-2"/>
                <w:sz w:val="21"/>
                <w:szCs w:val="21"/>
                <w:lang w:eastAsia="zh-CN"/>
              </w:rPr>
              <w:t>（暂定）</w:t>
            </w:r>
            <w:r>
              <w:rPr>
                <w:rFonts w:ascii="宋体" w:hAnsi="宋体" w:eastAsia="宋体" w:cs="宋体"/>
                <w:color w:val="auto"/>
                <w:spacing w:val="-2"/>
                <w:sz w:val="21"/>
                <w:szCs w:val="21"/>
                <w:lang w:eastAsia="zh-CN"/>
              </w:rPr>
              <w:t>；</w:t>
            </w:r>
          </w:p>
          <w:p>
            <w:pPr>
              <w:pStyle w:val="27"/>
              <w:spacing w:line="360" w:lineRule="auto"/>
              <w:ind w:left="103" w:right="214"/>
              <w:rPr>
                <w:rFonts w:ascii="宋体" w:hAnsi="宋体" w:eastAsia="宋体" w:cs="宋体"/>
                <w:color w:val="auto"/>
                <w:sz w:val="21"/>
                <w:szCs w:val="21"/>
                <w:lang w:eastAsia="zh-CN"/>
              </w:rPr>
            </w:pPr>
            <w:r>
              <w:rPr>
                <w:rFonts w:ascii="宋体" w:hAnsi="宋体" w:eastAsia="宋体" w:cs="宋体"/>
                <w:color w:val="auto"/>
                <w:sz w:val="21"/>
                <w:szCs w:val="21"/>
                <w:lang w:eastAsia="zh-CN"/>
              </w:rPr>
              <w:t>安装地点：</w:t>
            </w:r>
            <w:r>
              <w:rPr>
                <w:rFonts w:hint="eastAsia" w:ascii="宋体" w:hAnsi="宋体" w:eastAsia="宋体" w:cs="宋体"/>
                <w:color w:val="auto"/>
                <w:sz w:val="21"/>
                <w:szCs w:val="21"/>
                <w:lang w:eastAsia="zh-CN"/>
              </w:rPr>
              <w:t>多级AO池</w:t>
            </w:r>
            <w:r>
              <w:rPr>
                <w:rFonts w:ascii="宋体" w:hAnsi="宋体" w:eastAsia="宋体" w:cs="宋体"/>
                <w:color w:val="auto"/>
                <w:sz w:val="21"/>
                <w:szCs w:val="21"/>
                <w:lang w:eastAsia="zh-CN"/>
              </w:rPr>
              <w:t>；</w:t>
            </w:r>
          </w:p>
        </w:tc>
      </w:tr>
      <w:tr>
        <w:tblPrEx>
          <w:tblLayout w:type="fixed"/>
          <w:tblCellMar>
            <w:top w:w="0" w:type="dxa"/>
            <w:left w:w="0" w:type="dxa"/>
            <w:bottom w:w="0" w:type="dxa"/>
            <w:right w:w="0"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color w:val="auto"/>
                <w:sz w:val="21"/>
              </w:rPr>
              <w:t>2</w:t>
            </w:r>
          </w:p>
        </w:tc>
        <w:tc>
          <w:tcPr>
            <w:tcW w:w="510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性能和结构:</w:t>
            </w:r>
          </w:p>
        </w:tc>
        <w:tc>
          <w:tcPr>
            <w:tcW w:w="2948" w:type="dxa"/>
            <w:tcBorders>
              <w:top w:val="single" w:color="000000" w:sz="4" w:space="0"/>
              <w:left w:val="single" w:color="000000" w:sz="4" w:space="0"/>
              <w:bottom w:val="single" w:color="000000" w:sz="4" w:space="0"/>
              <w:right w:val="single" w:color="000000" w:sz="4" w:space="0"/>
            </w:tcBorders>
            <w:vAlign w:val="center"/>
          </w:tcPr>
          <w:p>
            <w:pPr>
              <w:spacing w:line="360" w:lineRule="auto"/>
              <w:rPr>
                <w:color w:val="auto"/>
              </w:rPr>
            </w:pPr>
          </w:p>
        </w:tc>
      </w:tr>
      <w:tr>
        <w:tblPrEx>
          <w:tblLayout w:type="fixed"/>
          <w:tblCellMar>
            <w:top w:w="0" w:type="dxa"/>
            <w:left w:w="0" w:type="dxa"/>
            <w:bottom w:w="0" w:type="dxa"/>
            <w:right w:w="0"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spacing w:line="360" w:lineRule="auto"/>
              <w:rPr>
                <w:color w:val="auto"/>
              </w:rPr>
            </w:pPr>
          </w:p>
        </w:tc>
        <w:tc>
          <w:tcPr>
            <w:tcW w:w="5103" w:type="dxa"/>
            <w:tcBorders>
              <w:top w:val="single" w:color="000000" w:sz="4" w:space="0"/>
              <w:left w:val="single" w:color="000000" w:sz="4" w:space="0"/>
              <w:bottom w:val="single" w:color="000000" w:sz="4" w:space="0"/>
              <w:right w:val="single" w:color="000000" w:sz="4" w:space="0"/>
            </w:tcBorders>
            <w:vAlign w:val="center"/>
          </w:tcPr>
          <w:p>
            <w:pPr>
              <w:pStyle w:val="27"/>
              <w:spacing w:before="38" w:line="360" w:lineRule="auto"/>
              <w:ind w:left="103" w:right="2348"/>
              <w:rPr>
                <w:rFonts w:ascii="宋体" w:hAnsi="宋体" w:eastAsia="宋体" w:cs="宋体"/>
                <w:color w:val="auto"/>
                <w:sz w:val="21"/>
                <w:szCs w:val="21"/>
                <w:lang w:eastAsia="zh-CN"/>
              </w:rPr>
            </w:pPr>
            <w:r>
              <w:rPr>
                <w:rFonts w:ascii="宋体" w:hAnsi="宋体" w:eastAsia="宋体" w:cs="宋体"/>
                <w:color w:val="auto"/>
                <w:sz w:val="21"/>
                <w:szCs w:val="21"/>
                <w:lang w:eastAsia="zh-CN"/>
              </w:rPr>
              <w:t>空气阻力损失</w:t>
            </w:r>
          </w:p>
          <w:p>
            <w:pPr>
              <w:pStyle w:val="27"/>
              <w:spacing w:before="38" w:line="360" w:lineRule="auto"/>
              <w:ind w:left="103" w:right="2348"/>
              <w:rPr>
                <w:rFonts w:ascii="宋体" w:hAnsi="宋体" w:eastAsia="宋体" w:cs="宋体"/>
                <w:color w:val="auto"/>
                <w:sz w:val="21"/>
                <w:szCs w:val="21"/>
                <w:lang w:eastAsia="zh-CN"/>
              </w:rPr>
            </w:pPr>
            <w:r>
              <w:rPr>
                <w:rFonts w:ascii="宋体" w:hAnsi="宋体" w:eastAsia="宋体" w:cs="宋体"/>
                <w:color w:val="auto"/>
                <w:sz w:val="21"/>
                <w:szCs w:val="21"/>
                <w:lang w:eastAsia="zh-CN"/>
              </w:rPr>
              <w:t>充氧能力</w:t>
            </w:r>
          </w:p>
          <w:p>
            <w:pPr>
              <w:pStyle w:val="27"/>
              <w:spacing w:before="38" w:line="360" w:lineRule="auto"/>
              <w:ind w:left="103" w:right="2348"/>
              <w:rPr>
                <w:rFonts w:ascii="宋体" w:hAnsi="宋体" w:eastAsia="宋体" w:cs="宋体"/>
                <w:color w:val="auto"/>
                <w:sz w:val="21"/>
                <w:szCs w:val="21"/>
                <w:lang w:eastAsia="zh-CN"/>
              </w:rPr>
            </w:pPr>
            <w:r>
              <w:rPr>
                <w:rFonts w:ascii="宋体" w:hAnsi="宋体" w:eastAsia="宋体" w:cs="宋体"/>
                <w:color w:val="auto"/>
                <w:sz w:val="21"/>
                <w:szCs w:val="21"/>
                <w:lang w:eastAsia="zh-CN"/>
              </w:rPr>
              <w:t>氧利用率(水深</w:t>
            </w:r>
            <w:r>
              <w:rPr>
                <w:rFonts w:hint="eastAsia" w:ascii="宋体" w:hAnsi="宋体" w:eastAsia="宋体" w:cs="宋体"/>
                <w:color w:val="auto"/>
                <w:sz w:val="21"/>
                <w:szCs w:val="21"/>
                <w:lang w:eastAsia="zh-CN"/>
              </w:rPr>
              <w:t>8</w:t>
            </w:r>
            <w:r>
              <w:rPr>
                <w:rFonts w:ascii="宋体" w:hAnsi="宋体" w:eastAsia="宋体" w:cs="宋体"/>
                <w:color w:val="auto"/>
                <w:sz w:val="21"/>
                <w:szCs w:val="21"/>
                <w:lang w:eastAsia="zh-CN"/>
              </w:rPr>
              <w:t>m)</w:t>
            </w:r>
          </w:p>
          <w:p>
            <w:pPr>
              <w:pStyle w:val="27"/>
              <w:spacing w:before="38" w:line="360" w:lineRule="auto"/>
              <w:ind w:left="103" w:right="2348"/>
              <w:rPr>
                <w:rFonts w:ascii="宋体" w:hAnsi="宋体" w:eastAsia="宋体" w:cs="宋体"/>
                <w:color w:val="auto"/>
                <w:sz w:val="21"/>
                <w:szCs w:val="21"/>
                <w:lang w:eastAsia="zh-CN"/>
              </w:rPr>
            </w:pPr>
          </w:p>
          <w:p>
            <w:pPr>
              <w:pStyle w:val="27"/>
              <w:spacing w:before="38" w:line="360" w:lineRule="auto"/>
              <w:ind w:left="103" w:right="2348"/>
              <w:rPr>
                <w:rFonts w:ascii="宋体" w:hAnsi="宋体" w:eastAsia="宋体" w:cs="宋体"/>
                <w:color w:val="auto"/>
                <w:sz w:val="21"/>
                <w:szCs w:val="21"/>
                <w:lang w:eastAsia="zh-CN"/>
              </w:rPr>
            </w:pPr>
            <w:r>
              <w:rPr>
                <w:rFonts w:ascii="宋体" w:hAnsi="宋体" w:eastAsia="宋体" w:cs="宋体"/>
                <w:color w:val="auto"/>
                <w:sz w:val="21"/>
                <w:szCs w:val="21"/>
                <w:lang w:eastAsia="zh-CN"/>
              </w:rPr>
              <w:t>理论动力效率</w:t>
            </w:r>
          </w:p>
          <w:p>
            <w:pPr>
              <w:pStyle w:val="27"/>
              <w:spacing w:before="38" w:line="360" w:lineRule="auto"/>
              <w:ind w:left="103" w:right="2348"/>
              <w:rPr>
                <w:rFonts w:ascii="宋体" w:hAnsi="宋体" w:eastAsia="宋体" w:cs="宋体"/>
                <w:color w:val="auto"/>
                <w:sz w:val="21"/>
                <w:szCs w:val="21"/>
                <w:lang w:eastAsia="zh-CN"/>
              </w:rPr>
            </w:pPr>
          </w:p>
        </w:tc>
        <w:tc>
          <w:tcPr>
            <w:tcW w:w="2948"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03"/>
              <w:rPr>
                <w:rFonts w:ascii="宋体" w:hAnsi="宋体" w:eastAsia="宋体" w:cs="宋体"/>
                <w:color w:val="auto"/>
                <w:sz w:val="21"/>
                <w:szCs w:val="21"/>
                <w:lang w:eastAsia="zh-CN"/>
              </w:rPr>
            </w:pPr>
            <w:r>
              <w:rPr>
                <w:rFonts w:ascii="宋体" w:hAnsi="宋体" w:eastAsia="宋体" w:cs="宋体"/>
                <w:color w:val="auto"/>
                <w:sz w:val="21"/>
                <w:szCs w:val="21"/>
                <w:lang w:eastAsia="zh-CN"/>
              </w:rPr>
              <w:t>≤300</w:t>
            </w:r>
            <w:r>
              <w:rPr>
                <w:rFonts w:ascii="宋体" w:hAnsi="宋体" w:eastAsia="宋体" w:cs="宋体"/>
                <w:color w:val="auto"/>
                <w:spacing w:val="-3"/>
                <w:sz w:val="21"/>
                <w:szCs w:val="21"/>
                <w:lang w:eastAsia="zh-CN"/>
              </w:rPr>
              <w:t>m</w:t>
            </w:r>
            <w:r>
              <w:rPr>
                <w:rFonts w:ascii="宋体" w:hAnsi="宋体" w:eastAsia="宋体" w:cs="宋体"/>
                <w:color w:val="auto"/>
                <w:sz w:val="21"/>
                <w:szCs w:val="21"/>
                <w:lang w:eastAsia="zh-CN"/>
              </w:rPr>
              <w:t>m</w:t>
            </w:r>
            <w:r>
              <w:rPr>
                <w:rFonts w:ascii="宋体" w:hAnsi="宋体" w:eastAsia="宋体" w:cs="宋体"/>
                <w:color w:val="auto"/>
                <w:spacing w:val="-3"/>
                <w:sz w:val="21"/>
                <w:szCs w:val="21"/>
                <w:lang w:eastAsia="zh-CN"/>
              </w:rPr>
              <w:t>水</w:t>
            </w:r>
            <w:r>
              <w:rPr>
                <w:rFonts w:ascii="宋体" w:hAnsi="宋体" w:eastAsia="宋体" w:cs="宋体"/>
                <w:color w:val="auto"/>
                <w:sz w:val="21"/>
                <w:szCs w:val="21"/>
                <w:lang w:eastAsia="zh-CN"/>
              </w:rPr>
              <w:t>柱</w:t>
            </w:r>
            <w:r>
              <w:rPr>
                <w:rFonts w:ascii="宋体" w:hAnsi="宋体" w:eastAsia="宋体" w:cs="宋体"/>
                <w:color w:val="auto"/>
                <w:spacing w:val="-109"/>
                <w:sz w:val="21"/>
                <w:szCs w:val="21"/>
                <w:lang w:eastAsia="zh-CN"/>
              </w:rPr>
              <w:t>；</w:t>
            </w:r>
            <w:r>
              <w:rPr>
                <w:rFonts w:ascii="宋体" w:hAnsi="宋体" w:eastAsia="宋体" w:cs="宋体"/>
                <w:color w:val="auto"/>
                <w:sz w:val="21"/>
                <w:szCs w:val="21"/>
                <w:lang w:eastAsia="zh-CN"/>
              </w:rPr>
              <w:t>（</w:t>
            </w:r>
            <w:r>
              <w:rPr>
                <w:rFonts w:ascii="宋体" w:hAnsi="宋体" w:eastAsia="宋体" w:cs="宋体"/>
                <w:color w:val="auto"/>
                <w:spacing w:val="-3"/>
                <w:sz w:val="21"/>
                <w:szCs w:val="21"/>
                <w:lang w:eastAsia="zh-CN"/>
              </w:rPr>
              <w:t>暂</w:t>
            </w:r>
            <w:r>
              <w:rPr>
                <w:rFonts w:ascii="宋体" w:hAnsi="宋体" w:eastAsia="宋体" w:cs="宋体"/>
                <w:color w:val="auto"/>
                <w:sz w:val="21"/>
                <w:szCs w:val="21"/>
                <w:lang w:eastAsia="zh-CN"/>
              </w:rPr>
              <w:t>定）</w:t>
            </w:r>
          </w:p>
          <w:p>
            <w:pPr>
              <w:pStyle w:val="27"/>
              <w:spacing w:line="360" w:lineRule="auto"/>
              <w:ind w:left="103"/>
              <w:rPr>
                <w:rFonts w:ascii="宋体" w:hAnsi="宋体" w:eastAsia="宋体" w:cs="宋体"/>
                <w:color w:val="auto"/>
                <w:sz w:val="21"/>
                <w:szCs w:val="21"/>
                <w:lang w:eastAsia="zh-CN"/>
              </w:rPr>
            </w:pPr>
            <w:r>
              <w:rPr>
                <w:rFonts w:ascii="宋体" w:hAnsi="宋体" w:eastAsia="宋体" w:cs="宋体"/>
                <w:color w:val="auto"/>
                <w:sz w:val="21"/>
                <w:szCs w:val="21"/>
                <w:lang w:eastAsia="zh-CN"/>
              </w:rPr>
              <w:t>≥0.4</w:t>
            </w:r>
            <w:r>
              <w:rPr>
                <w:rFonts w:ascii="宋体" w:hAnsi="宋体" w:eastAsia="宋体" w:cs="宋体"/>
                <w:color w:val="auto"/>
                <w:spacing w:val="-3"/>
                <w:sz w:val="21"/>
                <w:szCs w:val="21"/>
                <w:lang w:eastAsia="zh-CN"/>
              </w:rPr>
              <w:t>k</w:t>
            </w:r>
            <w:r>
              <w:rPr>
                <w:rFonts w:ascii="宋体" w:hAnsi="宋体" w:eastAsia="宋体" w:cs="宋体"/>
                <w:color w:val="auto"/>
                <w:sz w:val="21"/>
                <w:szCs w:val="21"/>
                <w:lang w:eastAsia="zh-CN"/>
              </w:rPr>
              <w:t>gO2/</w:t>
            </w:r>
            <w:r>
              <w:rPr>
                <w:rFonts w:ascii="宋体" w:hAnsi="宋体" w:eastAsia="宋体" w:cs="宋体"/>
                <w:color w:val="auto"/>
                <w:spacing w:val="-1"/>
                <w:sz w:val="21"/>
                <w:szCs w:val="21"/>
                <w:lang w:eastAsia="zh-CN"/>
              </w:rPr>
              <w:t>h</w:t>
            </w:r>
            <w:r>
              <w:rPr>
                <w:rFonts w:ascii="宋体" w:hAnsi="宋体" w:eastAsia="宋体" w:cs="宋体"/>
                <w:color w:val="auto"/>
                <w:spacing w:val="-108"/>
                <w:sz w:val="21"/>
                <w:szCs w:val="21"/>
                <w:lang w:eastAsia="zh-CN"/>
              </w:rPr>
              <w:t>；</w:t>
            </w:r>
            <w:r>
              <w:rPr>
                <w:rFonts w:ascii="宋体" w:hAnsi="宋体" w:eastAsia="宋体" w:cs="宋体"/>
                <w:color w:val="auto"/>
                <w:sz w:val="21"/>
                <w:szCs w:val="21"/>
                <w:lang w:eastAsia="zh-CN"/>
              </w:rPr>
              <w:t>（</w:t>
            </w:r>
            <w:r>
              <w:rPr>
                <w:rFonts w:ascii="宋体" w:hAnsi="宋体" w:eastAsia="宋体" w:cs="宋体"/>
                <w:color w:val="auto"/>
                <w:spacing w:val="-3"/>
                <w:sz w:val="21"/>
                <w:szCs w:val="21"/>
                <w:lang w:eastAsia="zh-CN"/>
              </w:rPr>
              <w:t>暂</w:t>
            </w:r>
            <w:r>
              <w:rPr>
                <w:rFonts w:ascii="宋体" w:hAnsi="宋体" w:eastAsia="宋体" w:cs="宋体"/>
                <w:color w:val="auto"/>
                <w:sz w:val="21"/>
                <w:szCs w:val="21"/>
                <w:lang w:eastAsia="zh-CN"/>
              </w:rPr>
              <w:t>定）</w:t>
            </w:r>
          </w:p>
          <w:p>
            <w:pPr>
              <w:pStyle w:val="27"/>
              <w:spacing w:line="360" w:lineRule="auto"/>
              <w:ind w:left="103"/>
              <w:rPr>
                <w:rFonts w:ascii="宋体" w:hAnsi="宋体" w:eastAsia="宋体" w:cs="宋体"/>
                <w:color w:val="auto"/>
                <w:sz w:val="21"/>
                <w:szCs w:val="21"/>
                <w:lang w:eastAsia="zh-CN"/>
              </w:rPr>
            </w:pPr>
            <w:r>
              <w:rPr>
                <w:rFonts w:ascii="宋体" w:hAnsi="宋体" w:eastAsia="宋体" w:cs="宋体"/>
                <w:color w:val="auto"/>
                <w:sz w:val="21"/>
                <w:szCs w:val="21"/>
                <w:lang w:eastAsia="zh-CN"/>
              </w:rPr>
              <w:t>≥30％(</w:t>
            </w:r>
            <w:r>
              <w:rPr>
                <w:rFonts w:hint="eastAsia" w:ascii="宋体" w:hAnsi="宋体" w:eastAsia="宋体" w:cs="宋体"/>
                <w:color w:val="auto"/>
                <w:sz w:val="21"/>
                <w:szCs w:val="21"/>
                <w:lang w:eastAsia="zh-CN"/>
              </w:rPr>
              <w:t>8</w:t>
            </w:r>
            <w:r>
              <w:rPr>
                <w:rFonts w:ascii="宋体" w:hAnsi="宋体" w:eastAsia="宋体" w:cs="宋体"/>
                <w:color w:val="auto"/>
                <w:sz w:val="21"/>
                <w:szCs w:val="21"/>
                <w:lang w:eastAsia="zh-CN"/>
              </w:rPr>
              <w:t>m</w:t>
            </w:r>
            <w:r>
              <w:rPr>
                <w:rFonts w:ascii="宋体" w:hAnsi="宋体" w:eastAsia="宋体" w:cs="宋体"/>
                <w:color w:val="auto"/>
                <w:spacing w:val="-8"/>
                <w:sz w:val="21"/>
                <w:szCs w:val="21"/>
                <w:lang w:eastAsia="zh-CN"/>
              </w:rPr>
              <w:t>淹没水深，标准</w:t>
            </w:r>
            <w:r>
              <w:rPr>
                <w:rFonts w:ascii="宋体" w:hAnsi="宋体" w:eastAsia="宋体" w:cs="宋体"/>
                <w:color w:val="auto"/>
                <w:spacing w:val="-11"/>
                <w:sz w:val="21"/>
                <w:szCs w:val="21"/>
                <w:lang w:eastAsia="zh-CN"/>
              </w:rPr>
              <w:t>空气通量下)；（暂定）</w:t>
            </w:r>
            <w:r>
              <w:rPr>
                <w:rFonts w:ascii="宋体" w:hAnsi="宋体" w:eastAsia="宋体" w:cs="宋体"/>
                <w:color w:val="auto"/>
                <w:sz w:val="21"/>
                <w:szCs w:val="21"/>
                <w:lang w:eastAsia="zh-CN"/>
              </w:rPr>
              <w:t>≥2.5</w:t>
            </w:r>
            <w:r>
              <w:rPr>
                <w:rFonts w:ascii="宋体" w:hAnsi="宋体" w:eastAsia="宋体" w:cs="宋体"/>
                <w:color w:val="auto"/>
                <w:spacing w:val="-3"/>
                <w:sz w:val="21"/>
                <w:szCs w:val="21"/>
                <w:lang w:eastAsia="zh-CN"/>
              </w:rPr>
              <w:t>~</w:t>
            </w:r>
            <w:r>
              <w:rPr>
                <w:rFonts w:ascii="宋体" w:hAnsi="宋体" w:eastAsia="宋体" w:cs="宋体"/>
                <w:color w:val="auto"/>
                <w:sz w:val="21"/>
                <w:szCs w:val="21"/>
                <w:lang w:eastAsia="zh-CN"/>
              </w:rPr>
              <w:t>7kg</w:t>
            </w:r>
            <w:r>
              <w:rPr>
                <w:rFonts w:ascii="宋体" w:hAnsi="宋体" w:eastAsia="宋体" w:cs="宋体"/>
                <w:color w:val="auto"/>
                <w:spacing w:val="-3"/>
                <w:sz w:val="21"/>
                <w:szCs w:val="21"/>
                <w:lang w:eastAsia="zh-CN"/>
              </w:rPr>
              <w:t>O</w:t>
            </w:r>
            <w:r>
              <w:rPr>
                <w:rFonts w:ascii="宋体" w:hAnsi="宋体" w:eastAsia="宋体" w:cs="宋体"/>
                <w:color w:val="auto"/>
                <w:sz w:val="21"/>
                <w:szCs w:val="21"/>
                <w:lang w:eastAsia="zh-CN"/>
              </w:rPr>
              <w:t>2/k</w:t>
            </w:r>
            <w:r>
              <w:rPr>
                <w:rFonts w:ascii="宋体" w:hAnsi="宋体" w:eastAsia="宋体" w:cs="宋体"/>
                <w:color w:val="auto"/>
                <w:spacing w:val="-3"/>
                <w:sz w:val="21"/>
                <w:szCs w:val="21"/>
                <w:lang w:eastAsia="zh-CN"/>
              </w:rPr>
              <w:t>w</w:t>
            </w:r>
            <w:r>
              <w:rPr>
                <w:rFonts w:ascii="宋体" w:hAnsi="宋体" w:eastAsia="宋体" w:cs="宋体"/>
                <w:color w:val="auto"/>
                <w:spacing w:val="-1"/>
                <w:sz w:val="21"/>
                <w:szCs w:val="21"/>
                <w:lang w:eastAsia="zh-CN"/>
              </w:rPr>
              <w:t>h</w:t>
            </w:r>
            <w:r>
              <w:rPr>
                <w:rFonts w:ascii="宋体" w:hAnsi="宋体" w:eastAsia="宋体" w:cs="宋体"/>
                <w:color w:val="auto"/>
                <w:spacing w:val="-106"/>
                <w:sz w:val="21"/>
                <w:szCs w:val="21"/>
                <w:lang w:eastAsia="zh-CN"/>
              </w:rPr>
              <w:t>；</w:t>
            </w:r>
            <w:r>
              <w:rPr>
                <w:rFonts w:ascii="宋体" w:hAnsi="宋体" w:eastAsia="宋体" w:cs="宋体"/>
                <w:color w:val="auto"/>
                <w:spacing w:val="-3"/>
                <w:sz w:val="21"/>
                <w:szCs w:val="21"/>
                <w:lang w:eastAsia="zh-CN"/>
              </w:rPr>
              <w:t>（</w:t>
            </w:r>
            <w:r>
              <w:rPr>
                <w:rFonts w:ascii="宋体" w:hAnsi="宋体" w:eastAsia="宋体" w:cs="宋体"/>
                <w:color w:val="auto"/>
                <w:sz w:val="21"/>
                <w:szCs w:val="21"/>
                <w:lang w:eastAsia="zh-CN"/>
              </w:rPr>
              <w:t>暂</w:t>
            </w:r>
            <w:r>
              <w:rPr>
                <w:rFonts w:ascii="宋体" w:hAnsi="宋体" w:eastAsia="宋体" w:cs="宋体"/>
                <w:color w:val="auto"/>
                <w:spacing w:val="-3"/>
                <w:sz w:val="21"/>
                <w:szCs w:val="21"/>
                <w:lang w:eastAsia="zh-CN"/>
              </w:rPr>
              <w:t>定</w:t>
            </w:r>
            <w:r>
              <w:rPr>
                <w:rFonts w:ascii="宋体" w:hAnsi="宋体" w:eastAsia="宋体" w:cs="宋体"/>
                <w:color w:val="auto"/>
                <w:sz w:val="21"/>
                <w:szCs w:val="21"/>
                <w:lang w:eastAsia="zh-CN"/>
              </w:rPr>
              <w:t>）</w:t>
            </w:r>
          </w:p>
        </w:tc>
      </w:tr>
      <w:tr>
        <w:tblPrEx>
          <w:tblLayout w:type="fixed"/>
          <w:tblCellMar>
            <w:top w:w="0" w:type="dxa"/>
            <w:left w:w="0" w:type="dxa"/>
            <w:bottom w:w="0" w:type="dxa"/>
            <w:right w:w="0"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color w:val="auto"/>
                <w:sz w:val="21"/>
              </w:rPr>
              <w:t>3</w:t>
            </w:r>
          </w:p>
        </w:tc>
        <w:tc>
          <w:tcPr>
            <w:tcW w:w="510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主要材料</w:t>
            </w:r>
          </w:p>
        </w:tc>
        <w:tc>
          <w:tcPr>
            <w:tcW w:w="2948" w:type="dxa"/>
            <w:tcBorders>
              <w:top w:val="single" w:color="000000" w:sz="4" w:space="0"/>
              <w:left w:val="single" w:color="000000" w:sz="4" w:space="0"/>
              <w:bottom w:val="single" w:color="000000" w:sz="4" w:space="0"/>
              <w:right w:val="single" w:color="000000" w:sz="4" w:space="0"/>
            </w:tcBorders>
            <w:vAlign w:val="center"/>
          </w:tcPr>
          <w:p>
            <w:pPr>
              <w:spacing w:line="360" w:lineRule="auto"/>
              <w:rPr>
                <w:color w:val="auto"/>
              </w:rPr>
            </w:pPr>
          </w:p>
        </w:tc>
      </w:tr>
      <w:tr>
        <w:tblPrEx>
          <w:tblLayout w:type="fixed"/>
          <w:tblCellMar>
            <w:top w:w="0" w:type="dxa"/>
            <w:left w:w="0" w:type="dxa"/>
            <w:bottom w:w="0" w:type="dxa"/>
            <w:right w:w="0"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spacing w:line="360" w:lineRule="auto"/>
              <w:rPr>
                <w:color w:val="auto"/>
              </w:rPr>
            </w:pPr>
          </w:p>
        </w:tc>
        <w:tc>
          <w:tcPr>
            <w:tcW w:w="5103" w:type="dxa"/>
            <w:tcBorders>
              <w:top w:val="single" w:color="000000" w:sz="4" w:space="0"/>
              <w:left w:val="single" w:color="000000" w:sz="4" w:space="0"/>
              <w:bottom w:val="single" w:color="000000" w:sz="4" w:space="0"/>
              <w:right w:val="single" w:color="000000" w:sz="4" w:space="0"/>
            </w:tcBorders>
            <w:vAlign w:val="center"/>
          </w:tcPr>
          <w:p>
            <w:pPr>
              <w:pStyle w:val="27"/>
              <w:spacing w:before="8" w:line="360" w:lineRule="auto"/>
              <w:ind w:left="103"/>
              <w:rPr>
                <w:rFonts w:ascii="宋体" w:hAnsi="宋体" w:eastAsia="宋体" w:cs="宋体"/>
                <w:color w:val="auto"/>
                <w:spacing w:val="-2"/>
                <w:sz w:val="21"/>
                <w:szCs w:val="21"/>
                <w:lang w:eastAsia="zh-CN"/>
              </w:rPr>
            </w:pPr>
            <w:r>
              <w:rPr>
                <w:rFonts w:ascii="宋体" w:hAnsi="宋体" w:eastAsia="宋体" w:cs="宋体"/>
                <w:color w:val="auto"/>
                <w:spacing w:val="-2"/>
                <w:sz w:val="21"/>
                <w:szCs w:val="21"/>
                <w:lang w:eastAsia="zh-CN"/>
              </w:rPr>
              <w:t>曝气管</w:t>
            </w:r>
            <w:r>
              <w:rPr>
                <w:rFonts w:hint="eastAsia" w:ascii="宋体" w:hAnsi="宋体" w:eastAsia="宋体" w:cs="宋体"/>
                <w:color w:val="auto"/>
                <w:spacing w:val="-2"/>
                <w:sz w:val="21"/>
                <w:szCs w:val="21"/>
                <w:lang w:eastAsia="zh-CN"/>
              </w:rPr>
              <w:t>、</w:t>
            </w:r>
            <w:r>
              <w:rPr>
                <w:rFonts w:ascii="宋体" w:hAnsi="宋体" w:eastAsia="宋体" w:cs="宋体"/>
                <w:color w:val="auto"/>
                <w:spacing w:val="-2"/>
                <w:sz w:val="21"/>
                <w:szCs w:val="21"/>
                <w:lang w:eastAsia="zh-CN"/>
              </w:rPr>
              <w:t>整流板</w:t>
            </w:r>
          </w:p>
          <w:p>
            <w:pPr>
              <w:pStyle w:val="27"/>
              <w:spacing w:before="8" w:line="360" w:lineRule="auto"/>
              <w:ind w:left="103"/>
              <w:rPr>
                <w:rFonts w:ascii="宋体" w:hAnsi="宋体" w:eastAsia="宋体" w:cs="宋体"/>
                <w:color w:val="auto"/>
                <w:sz w:val="21"/>
                <w:szCs w:val="21"/>
                <w:lang w:eastAsia="zh-CN"/>
              </w:rPr>
            </w:pPr>
            <w:r>
              <w:rPr>
                <w:rFonts w:ascii="宋体" w:hAnsi="宋体" w:eastAsia="宋体" w:cs="宋体"/>
                <w:color w:val="auto"/>
                <w:sz w:val="21"/>
                <w:szCs w:val="21"/>
                <w:lang w:eastAsia="zh-CN"/>
              </w:rPr>
              <w:t>单向阀</w:t>
            </w:r>
          </w:p>
          <w:p>
            <w:pPr>
              <w:pStyle w:val="27"/>
              <w:spacing w:before="8" w:line="360" w:lineRule="auto"/>
              <w:ind w:left="103"/>
              <w:rPr>
                <w:rFonts w:ascii="宋体" w:hAnsi="宋体" w:eastAsia="宋体" w:cs="宋体"/>
                <w:color w:val="auto"/>
                <w:spacing w:val="-2"/>
                <w:sz w:val="21"/>
                <w:szCs w:val="21"/>
                <w:lang w:eastAsia="zh-CN"/>
              </w:rPr>
            </w:pPr>
            <w:r>
              <w:rPr>
                <w:rFonts w:ascii="宋体" w:hAnsi="宋体" w:eastAsia="宋体" w:cs="宋体"/>
                <w:color w:val="auto"/>
                <w:spacing w:val="-2"/>
                <w:sz w:val="21"/>
                <w:szCs w:val="21"/>
                <w:lang w:eastAsia="zh-CN"/>
              </w:rPr>
              <w:t>水下支管、管配件</w:t>
            </w:r>
          </w:p>
          <w:p>
            <w:pPr>
              <w:pStyle w:val="27"/>
              <w:spacing w:before="8" w:line="360" w:lineRule="auto"/>
              <w:ind w:left="103"/>
              <w:rPr>
                <w:rFonts w:ascii="宋体" w:hAnsi="宋体" w:eastAsia="宋体" w:cs="宋体"/>
                <w:color w:val="auto"/>
                <w:spacing w:val="-2"/>
                <w:sz w:val="21"/>
                <w:szCs w:val="21"/>
                <w:lang w:eastAsia="zh-CN"/>
              </w:rPr>
            </w:pPr>
            <w:r>
              <w:rPr>
                <w:rFonts w:ascii="宋体" w:hAnsi="宋体" w:eastAsia="宋体" w:cs="宋体"/>
                <w:color w:val="auto"/>
                <w:spacing w:val="-2"/>
                <w:sz w:val="21"/>
                <w:szCs w:val="21"/>
                <w:lang w:eastAsia="zh-CN"/>
              </w:rPr>
              <w:t>池内竖管、管配件</w:t>
            </w:r>
          </w:p>
          <w:p>
            <w:pPr>
              <w:pStyle w:val="27"/>
              <w:spacing w:before="8" w:line="360" w:lineRule="auto"/>
              <w:ind w:left="103"/>
              <w:rPr>
                <w:rFonts w:ascii="宋体" w:hAnsi="宋体" w:eastAsia="宋体" w:cs="宋体"/>
                <w:color w:val="auto"/>
                <w:sz w:val="21"/>
                <w:szCs w:val="21"/>
                <w:lang w:eastAsia="zh-CN"/>
              </w:rPr>
            </w:pPr>
            <w:r>
              <w:rPr>
                <w:rFonts w:ascii="宋体" w:hAnsi="宋体" w:eastAsia="宋体" w:cs="宋体"/>
                <w:color w:val="auto"/>
                <w:sz w:val="21"/>
                <w:szCs w:val="21"/>
                <w:lang w:eastAsia="zh-CN"/>
              </w:rPr>
              <w:t>支架、螺栓、螺母、垫圈等紧固件</w:t>
            </w:r>
          </w:p>
        </w:tc>
        <w:tc>
          <w:tcPr>
            <w:tcW w:w="2948" w:type="dxa"/>
            <w:tcBorders>
              <w:top w:val="single" w:color="000000" w:sz="4" w:space="0"/>
              <w:left w:val="single" w:color="000000" w:sz="4" w:space="0"/>
              <w:bottom w:val="single" w:color="000000" w:sz="4" w:space="0"/>
              <w:right w:val="single" w:color="000000" w:sz="4" w:space="0"/>
            </w:tcBorders>
            <w:vAlign w:val="center"/>
          </w:tcPr>
          <w:p>
            <w:pPr>
              <w:pStyle w:val="27"/>
              <w:spacing w:before="42" w:line="360" w:lineRule="auto"/>
              <w:ind w:left="103"/>
              <w:rPr>
                <w:rFonts w:ascii="宋体" w:hAnsi="宋体" w:eastAsia="宋体" w:cs="宋体"/>
                <w:color w:val="auto"/>
                <w:sz w:val="21"/>
                <w:szCs w:val="21"/>
                <w:lang w:eastAsia="zh-CN"/>
              </w:rPr>
            </w:pPr>
            <w:r>
              <w:rPr>
                <w:rFonts w:ascii="宋体" w:hAnsi="宋体" w:eastAsia="宋体" w:cs="宋体"/>
                <w:color w:val="auto"/>
                <w:sz w:val="21"/>
                <w:szCs w:val="21"/>
                <w:lang w:eastAsia="zh-CN"/>
              </w:rPr>
              <w:t>国际知名品牌</w:t>
            </w:r>
          </w:p>
          <w:p>
            <w:pPr>
              <w:pStyle w:val="27"/>
              <w:spacing w:before="42" w:line="360" w:lineRule="auto"/>
              <w:ind w:left="103"/>
              <w:rPr>
                <w:rFonts w:ascii="宋体" w:hAnsi="宋体" w:eastAsia="宋体" w:cs="宋体"/>
                <w:color w:val="auto"/>
                <w:sz w:val="21"/>
                <w:szCs w:val="21"/>
                <w:lang w:eastAsia="zh-CN"/>
              </w:rPr>
            </w:pPr>
            <w:r>
              <w:rPr>
                <w:rFonts w:ascii="宋体" w:hAnsi="宋体" w:eastAsia="宋体" w:cs="宋体"/>
                <w:color w:val="auto"/>
                <w:sz w:val="21"/>
                <w:szCs w:val="21"/>
                <w:lang w:eastAsia="zh-CN"/>
              </w:rPr>
              <w:t>不锈钢</w:t>
            </w:r>
          </w:p>
          <w:p>
            <w:pPr>
              <w:pStyle w:val="27"/>
              <w:spacing w:before="42" w:line="360" w:lineRule="auto"/>
              <w:ind w:left="103"/>
              <w:rPr>
                <w:rFonts w:ascii="宋体" w:hAnsi="宋体" w:eastAsia="宋体" w:cs="宋体"/>
                <w:color w:val="auto"/>
                <w:sz w:val="21"/>
                <w:szCs w:val="21"/>
                <w:lang w:eastAsia="zh-CN"/>
              </w:rPr>
            </w:pPr>
            <w:r>
              <w:rPr>
                <w:rFonts w:ascii="宋体" w:hAnsi="宋体" w:eastAsia="宋体" w:cs="宋体"/>
                <w:color w:val="auto"/>
                <w:sz w:val="21"/>
                <w:szCs w:val="21"/>
                <w:lang w:eastAsia="zh-CN"/>
              </w:rPr>
              <w:t>国际知名品牌</w:t>
            </w:r>
          </w:p>
          <w:p>
            <w:pPr>
              <w:pStyle w:val="27"/>
              <w:spacing w:before="42" w:line="360" w:lineRule="auto"/>
              <w:ind w:left="103"/>
              <w:rPr>
                <w:rFonts w:ascii="宋体"/>
                <w:color w:val="auto"/>
                <w:sz w:val="21"/>
                <w:lang w:eastAsia="zh-CN"/>
              </w:rPr>
            </w:pPr>
            <w:r>
              <w:rPr>
                <w:rFonts w:ascii="宋体"/>
                <w:color w:val="auto"/>
                <w:sz w:val="21"/>
              </w:rPr>
              <w:t>0Cr19Ni9(304)</w:t>
            </w:r>
          </w:p>
          <w:p>
            <w:pPr>
              <w:pStyle w:val="27"/>
              <w:spacing w:before="42" w:line="360" w:lineRule="auto"/>
              <w:ind w:left="103"/>
              <w:rPr>
                <w:rFonts w:ascii="宋体" w:hAnsi="宋体" w:eastAsia="宋体" w:cs="宋体"/>
                <w:color w:val="auto"/>
                <w:sz w:val="21"/>
                <w:szCs w:val="21"/>
                <w:lang w:eastAsia="zh-CN"/>
              </w:rPr>
            </w:pPr>
            <w:r>
              <w:rPr>
                <w:rFonts w:ascii="宋体"/>
                <w:color w:val="auto"/>
                <w:sz w:val="21"/>
              </w:rPr>
              <w:t>0Cr19Ni9(3</w:t>
            </w:r>
            <w:r>
              <w:rPr>
                <w:rFonts w:hint="eastAsia" w:ascii="宋体"/>
                <w:color w:val="auto"/>
                <w:sz w:val="21"/>
                <w:lang w:eastAsia="zh-CN"/>
              </w:rPr>
              <w:t>16</w:t>
            </w:r>
            <w:r>
              <w:rPr>
                <w:rFonts w:ascii="宋体"/>
                <w:color w:val="auto"/>
                <w:sz w:val="21"/>
              </w:rPr>
              <w:t>)</w:t>
            </w:r>
          </w:p>
        </w:tc>
      </w:tr>
      <w:tr>
        <w:tblPrEx>
          <w:tblLayout w:type="fixed"/>
          <w:tblCellMar>
            <w:top w:w="0" w:type="dxa"/>
            <w:left w:w="0" w:type="dxa"/>
            <w:bottom w:w="0" w:type="dxa"/>
            <w:right w:w="0"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color w:val="auto"/>
                <w:sz w:val="21"/>
              </w:rPr>
              <w:t>4</w:t>
            </w:r>
          </w:p>
        </w:tc>
        <w:tc>
          <w:tcPr>
            <w:tcW w:w="5103" w:type="dxa"/>
            <w:tcBorders>
              <w:top w:val="single" w:color="000000" w:sz="4" w:space="0"/>
              <w:left w:val="single" w:color="000000" w:sz="4" w:space="0"/>
              <w:bottom w:val="single" w:color="000000" w:sz="4" w:space="0"/>
              <w:right w:val="single" w:color="000000" w:sz="4" w:space="0"/>
            </w:tcBorders>
            <w:vAlign w:val="center"/>
          </w:tcPr>
          <w:p>
            <w:pPr>
              <w:pStyle w:val="27"/>
              <w:spacing w:before="10" w:line="360" w:lineRule="auto"/>
              <w:ind w:left="103" w:right="96"/>
              <w:rPr>
                <w:rFonts w:ascii="宋体" w:hAnsi="宋体" w:eastAsia="宋体" w:cs="宋体"/>
                <w:color w:val="auto"/>
                <w:sz w:val="21"/>
                <w:szCs w:val="21"/>
                <w:lang w:eastAsia="zh-CN"/>
              </w:rPr>
            </w:pPr>
            <w:r>
              <w:rPr>
                <w:rFonts w:ascii="宋体" w:hAnsi="宋体" w:eastAsia="宋体" w:cs="宋体"/>
                <w:color w:val="auto"/>
                <w:spacing w:val="-8"/>
                <w:sz w:val="21"/>
                <w:szCs w:val="21"/>
                <w:lang w:eastAsia="zh-CN"/>
              </w:rPr>
              <w:t>自空气支管阀门连接法兰以后所有的管道、管件、伸缩节、固定件等；应保证曝气器的安装、运行不另需要其它附件。</w:t>
            </w:r>
            <w:r>
              <w:rPr>
                <w:rFonts w:ascii="宋体" w:hAnsi="宋体" w:eastAsia="宋体" w:cs="宋体"/>
                <w:color w:val="auto"/>
                <w:spacing w:val="-2"/>
                <w:sz w:val="21"/>
                <w:szCs w:val="21"/>
                <w:lang w:eastAsia="zh-CN"/>
              </w:rPr>
              <w:t>设备至少包括以下部分：1、曝气器；2、自池面</w:t>
            </w:r>
            <w:r>
              <w:rPr>
                <w:rFonts w:ascii="宋体" w:hAnsi="宋体" w:eastAsia="宋体" w:cs="宋体"/>
                <w:color w:val="auto"/>
                <w:sz w:val="21"/>
                <w:szCs w:val="21"/>
                <w:lang w:eastAsia="zh-CN"/>
              </w:rPr>
              <w:t>200</w:t>
            </w:r>
            <w:r>
              <w:rPr>
                <w:rFonts w:ascii="宋体" w:hAnsi="宋体" w:eastAsia="宋体" w:cs="宋体"/>
                <w:color w:val="auto"/>
                <w:spacing w:val="-5"/>
                <w:sz w:val="21"/>
                <w:szCs w:val="21"/>
                <w:lang w:eastAsia="zh-CN"/>
              </w:rPr>
              <w:t>蝶阀法兰（包括此处</w:t>
            </w:r>
            <w:r>
              <w:rPr>
                <w:rFonts w:ascii="宋体" w:hAnsi="宋体" w:eastAsia="宋体" w:cs="宋体"/>
                <w:color w:val="auto"/>
                <w:sz w:val="21"/>
                <w:szCs w:val="21"/>
                <w:lang w:eastAsia="zh-CN"/>
              </w:rPr>
              <w:t>1</w:t>
            </w:r>
            <w:r>
              <w:rPr>
                <w:rFonts w:ascii="宋体" w:hAnsi="宋体" w:eastAsia="宋体" w:cs="宋体"/>
                <w:color w:val="auto"/>
                <w:spacing w:val="-4"/>
                <w:sz w:val="21"/>
                <w:szCs w:val="21"/>
                <w:lang w:eastAsia="zh-CN"/>
              </w:rPr>
              <w:t>个不锈钢法兰）以下的所有空气竖</w:t>
            </w:r>
            <w:r>
              <w:rPr>
                <w:rFonts w:ascii="宋体" w:hAnsi="宋体" w:eastAsia="宋体" w:cs="宋体"/>
                <w:color w:val="auto"/>
                <w:sz w:val="21"/>
                <w:szCs w:val="21"/>
                <w:lang w:eastAsia="zh-CN"/>
              </w:rPr>
              <w:t>管，管壁厚度不小于4mm；3、沿池底敷设的空气支管及</w:t>
            </w:r>
            <w:r>
              <w:rPr>
                <w:rFonts w:ascii="宋体" w:hAnsi="宋体" w:eastAsia="宋体" w:cs="宋体"/>
                <w:color w:val="auto"/>
                <w:spacing w:val="-8"/>
                <w:sz w:val="21"/>
                <w:szCs w:val="21"/>
                <w:lang w:eastAsia="zh-CN"/>
              </w:rPr>
              <w:t>所需管件（弯管、三通、堵头）；4、池底空气支管末端的</w:t>
            </w:r>
            <w:r>
              <w:rPr>
                <w:rFonts w:ascii="宋体" w:hAnsi="宋体" w:eastAsia="宋体" w:cs="宋体"/>
                <w:color w:val="auto"/>
                <w:sz w:val="21"/>
                <w:szCs w:val="21"/>
                <w:lang w:eastAsia="zh-CN"/>
              </w:rPr>
              <w:t>放空管、放空阀及其固定件；5、管道固定用的管夹、管支架、调节器；6、1套酸清洗装置；7、所有其他必要的附件、预埋件等；8、两年的备品备件及专用工具</w:t>
            </w:r>
          </w:p>
        </w:tc>
        <w:tc>
          <w:tcPr>
            <w:tcW w:w="2948" w:type="dxa"/>
            <w:tcBorders>
              <w:top w:val="single" w:color="000000" w:sz="4" w:space="0"/>
              <w:left w:val="single" w:color="000000" w:sz="4" w:space="0"/>
              <w:bottom w:val="single" w:color="000000" w:sz="4" w:space="0"/>
              <w:right w:val="single" w:color="000000" w:sz="4" w:space="0"/>
            </w:tcBorders>
            <w:vAlign w:val="center"/>
          </w:tcPr>
          <w:p>
            <w:pPr>
              <w:spacing w:line="360" w:lineRule="auto"/>
              <w:rPr>
                <w:color w:val="auto"/>
                <w:lang w:eastAsia="zh-CN"/>
              </w:rPr>
            </w:pPr>
          </w:p>
        </w:tc>
      </w:tr>
      <w:tr>
        <w:tblPrEx>
          <w:tblLayout w:type="fixed"/>
          <w:tblCellMar>
            <w:top w:w="0" w:type="dxa"/>
            <w:left w:w="0" w:type="dxa"/>
            <w:bottom w:w="0" w:type="dxa"/>
            <w:right w:w="0"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color w:val="auto"/>
                <w:sz w:val="21"/>
              </w:rPr>
              <w:t>5</w:t>
            </w:r>
          </w:p>
        </w:tc>
        <w:tc>
          <w:tcPr>
            <w:tcW w:w="510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left="103"/>
              <w:rPr>
                <w:rFonts w:ascii="宋体"/>
                <w:color w:val="auto"/>
                <w:sz w:val="21"/>
                <w:lang w:eastAsia="zh-CN"/>
              </w:rPr>
            </w:pPr>
            <w:r>
              <w:rPr>
                <w:rFonts w:ascii="宋体"/>
                <w:color w:val="auto"/>
                <w:sz w:val="21"/>
                <w:lang w:eastAsia="zh-CN"/>
              </w:rPr>
              <w:t>工作条件：</w:t>
            </w:r>
          </w:p>
          <w:p>
            <w:pPr>
              <w:pStyle w:val="27"/>
              <w:spacing w:line="360" w:lineRule="auto"/>
              <w:ind w:left="103"/>
              <w:rPr>
                <w:rFonts w:ascii="宋体"/>
                <w:color w:val="auto"/>
                <w:sz w:val="21"/>
                <w:lang w:eastAsia="zh-CN"/>
              </w:rPr>
            </w:pPr>
            <w:r>
              <w:rPr>
                <w:rFonts w:ascii="宋体"/>
                <w:color w:val="auto"/>
                <w:sz w:val="21"/>
                <w:lang w:eastAsia="zh-CN"/>
              </w:rPr>
              <w:t>介质：城市污水混合液、高温空气</w:t>
            </w:r>
          </w:p>
          <w:p>
            <w:pPr>
              <w:pStyle w:val="27"/>
              <w:spacing w:line="360" w:lineRule="auto"/>
              <w:ind w:left="103"/>
              <w:rPr>
                <w:rFonts w:ascii="宋体"/>
                <w:color w:val="auto"/>
                <w:sz w:val="21"/>
                <w:lang w:eastAsia="zh-CN"/>
              </w:rPr>
            </w:pPr>
            <w:r>
              <w:rPr>
                <w:rFonts w:ascii="宋体"/>
                <w:color w:val="auto"/>
                <w:sz w:val="21"/>
                <w:lang w:eastAsia="zh-CN"/>
              </w:rPr>
              <w:t>运行方式：连续</w:t>
            </w:r>
          </w:p>
          <w:p>
            <w:pPr>
              <w:pStyle w:val="27"/>
              <w:spacing w:line="360" w:lineRule="auto"/>
              <w:ind w:left="103"/>
              <w:rPr>
                <w:rFonts w:ascii="微软雅黑" w:hAnsi="微软雅黑" w:eastAsia="微软雅黑" w:cs="微软雅黑"/>
                <w:color w:val="auto"/>
                <w:sz w:val="21"/>
                <w:lang w:eastAsia="zh-CN"/>
              </w:rPr>
            </w:pPr>
            <w:r>
              <w:rPr>
                <w:rFonts w:ascii="宋体"/>
                <w:color w:val="auto"/>
                <w:sz w:val="21"/>
                <w:lang w:eastAsia="zh-CN"/>
              </w:rPr>
              <w:t>环境温度：0～45</w:t>
            </w:r>
            <w:r>
              <w:rPr>
                <w:rFonts w:hint="eastAsia" w:ascii="微软雅黑" w:hAnsi="微软雅黑" w:eastAsia="微软雅黑" w:cs="微软雅黑"/>
                <w:color w:val="auto"/>
                <w:sz w:val="21"/>
                <w:lang w:eastAsia="zh-CN"/>
              </w:rPr>
              <w:t>℃</w:t>
            </w:r>
          </w:p>
          <w:p>
            <w:pPr>
              <w:pStyle w:val="27"/>
              <w:spacing w:line="360" w:lineRule="auto"/>
              <w:ind w:left="103"/>
              <w:rPr>
                <w:rFonts w:ascii="微软雅黑" w:hAnsi="微软雅黑" w:eastAsia="微软雅黑" w:cs="微软雅黑"/>
                <w:color w:val="auto"/>
                <w:sz w:val="21"/>
                <w:lang w:eastAsia="zh-CN"/>
              </w:rPr>
            </w:pPr>
            <w:r>
              <w:rPr>
                <w:rFonts w:ascii="宋体"/>
                <w:color w:val="auto"/>
                <w:sz w:val="21"/>
                <w:lang w:eastAsia="zh-CN"/>
              </w:rPr>
              <w:t>污水温度：5～30</w:t>
            </w:r>
            <w:r>
              <w:rPr>
                <w:rFonts w:hint="eastAsia" w:ascii="微软雅黑" w:hAnsi="微软雅黑" w:eastAsia="微软雅黑" w:cs="微软雅黑"/>
                <w:color w:val="auto"/>
                <w:sz w:val="21"/>
                <w:lang w:eastAsia="zh-CN"/>
              </w:rPr>
              <w:t>℃</w:t>
            </w:r>
          </w:p>
          <w:p>
            <w:pPr>
              <w:pStyle w:val="27"/>
              <w:spacing w:line="360" w:lineRule="auto"/>
              <w:ind w:left="103"/>
              <w:rPr>
                <w:rFonts w:ascii="微软雅黑" w:hAnsi="微软雅黑" w:eastAsia="微软雅黑" w:cs="微软雅黑"/>
                <w:color w:val="auto"/>
                <w:sz w:val="21"/>
                <w:lang w:eastAsia="zh-CN"/>
              </w:rPr>
            </w:pPr>
            <w:r>
              <w:rPr>
                <w:rFonts w:ascii="宋体"/>
                <w:color w:val="auto"/>
                <w:sz w:val="21"/>
                <w:lang w:eastAsia="zh-CN"/>
              </w:rPr>
              <w:t>空气温度：≤100</w:t>
            </w:r>
            <w:r>
              <w:rPr>
                <w:rFonts w:hint="eastAsia" w:ascii="微软雅黑" w:hAnsi="微软雅黑" w:eastAsia="微软雅黑" w:cs="微软雅黑"/>
                <w:color w:val="auto"/>
                <w:sz w:val="21"/>
                <w:lang w:eastAsia="zh-CN"/>
              </w:rPr>
              <w:t>℃</w:t>
            </w:r>
          </w:p>
          <w:p>
            <w:pPr>
              <w:pStyle w:val="27"/>
              <w:spacing w:line="360" w:lineRule="auto"/>
              <w:ind w:left="103"/>
              <w:rPr>
                <w:rFonts w:ascii="宋体"/>
                <w:color w:val="auto"/>
                <w:sz w:val="21"/>
                <w:lang w:eastAsia="zh-CN"/>
              </w:rPr>
            </w:pPr>
            <w:r>
              <w:rPr>
                <w:rFonts w:ascii="宋体"/>
                <w:color w:val="auto"/>
                <w:sz w:val="21"/>
                <w:lang w:eastAsia="zh-CN"/>
              </w:rPr>
              <w:t>pH：6.5～9.5（曝气工况）</w:t>
            </w:r>
          </w:p>
          <w:p>
            <w:pPr>
              <w:pStyle w:val="27"/>
              <w:spacing w:line="360" w:lineRule="auto"/>
              <w:ind w:left="103"/>
              <w:rPr>
                <w:rFonts w:ascii="宋体"/>
                <w:color w:val="auto"/>
                <w:sz w:val="21"/>
                <w:lang w:eastAsia="zh-CN"/>
              </w:rPr>
            </w:pPr>
            <w:r>
              <w:rPr>
                <w:rFonts w:ascii="宋体"/>
                <w:color w:val="auto"/>
                <w:sz w:val="21"/>
                <w:lang w:eastAsia="zh-CN"/>
              </w:rPr>
              <w:t>MLSS</w:t>
            </w:r>
            <w:r>
              <w:rPr>
                <w:rFonts w:hint="eastAsia" w:ascii="宋体"/>
                <w:color w:val="auto"/>
                <w:sz w:val="21"/>
                <w:lang w:eastAsia="zh-CN"/>
              </w:rPr>
              <w:t>：</w:t>
            </w:r>
            <w:r>
              <w:rPr>
                <w:rFonts w:ascii="宋体"/>
                <w:color w:val="auto"/>
                <w:sz w:val="21"/>
                <w:lang w:eastAsia="zh-CN"/>
              </w:rPr>
              <w:t>2000~4000mg/L（启动时）</w:t>
            </w:r>
          </w:p>
          <w:p>
            <w:pPr>
              <w:pStyle w:val="27"/>
              <w:spacing w:line="360" w:lineRule="auto"/>
              <w:ind w:left="103"/>
              <w:rPr>
                <w:rFonts w:ascii="宋体"/>
                <w:color w:val="auto"/>
                <w:sz w:val="21"/>
              </w:rPr>
            </w:pPr>
            <w:r>
              <w:rPr>
                <w:rFonts w:ascii="宋体"/>
                <w:color w:val="auto"/>
                <w:sz w:val="21"/>
              </w:rPr>
              <w:t>MLSS：8000mg/L</w:t>
            </w:r>
          </w:p>
        </w:tc>
        <w:tc>
          <w:tcPr>
            <w:tcW w:w="2948" w:type="dxa"/>
            <w:tcBorders>
              <w:top w:val="single" w:color="000000" w:sz="4" w:space="0"/>
              <w:left w:val="single" w:color="000000" w:sz="4" w:space="0"/>
              <w:bottom w:val="single" w:color="000000" w:sz="4" w:space="0"/>
              <w:right w:val="single" w:color="000000" w:sz="4" w:space="0"/>
            </w:tcBorders>
            <w:vAlign w:val="center"/>
          </w:tcPr>
          <w:p>
            <w:pPr>
              <w:spacing w:line="360" w:lineRule="auto"/>
              <w:rPr>
                <w:color w:val="auto"/>
                <w:lang w:eastAsia="zh-CN"/>
              </w:rPr>
            </w:pPr>
          </w:p>
        </w:tc>
      </w:tr>
    </w:tbl>
    <w:p>
      <w:pPr>
        <w:pStyle w:val="31"/>
        <w:rPr>
          <w:color w:val="auto"/>
        </w:rPr>
      </w:pPr>
      <w:r>
        <w:rPr>
          <w:color w:val="auto"/>
        </w:rPr>
        <w:t>闸门</w:t>
      </w:r>
    </w:p>
    <w:tbl>
      <w:tblPr>
        <w:tblStyle w:val="25"/>
        <w:tblW w:w="8709" w:type="dxa"/>
        <w:jc w:val="center"/>
        <w:tblInd w:w="0" w:type="dxa"/>
        <w:tblLayout w:type="fixed"/>
        <w:tblCellMar>
          <w:top w:w="0" w:type="dxa"/>
          <w:left w:w="0" w:type="dxa"/>
          <w:bottom w:w="0" w:type="dxa"/>
          <w:right w:w="0" w:type="dxa"/>
        </w:tblCellMar>
      </w:tblPr>
      <w:tblGrid>
        <w:gridCol w:w="1904"/>
        <w:gridCol w:w="2129"/>
        <w:gridCol w:w="1068"/>
        <w:gridCol w:w="2758"/>
        <w:gridCol w:w="850"/>
      </w:tblGrid>
      <w:tr>
        <w:tblPrEx>
          <w:tblLayout w:type="fixed"/>
          <w:tblCellMar>
            <w:top w:w="0" w:type="dxa"/>
            <w:left w:w="0" w:type="dxa"/>
            <w:bottom w:w="0" w:type="dxa"/>
            <w:right w:w="0" w:type="dxa"/>
          </w:tblCellMar>
        </w:tblPrEx>
        <w:trPr>
          <w:jc w:val="center"/>
        </w:trPr>
        <w:tc>
          <w:tcPr>
            <w:tcW w:w="1904" w:type="dxa"/>
            <w:tcBorders>
              <w:top w:val="single" w:color="000000" w:sz="2" w:space="0"/>
              <w:left w:val="single" w:color="000000" w:sz="2" w:space="0"/>
              <w:bottom w:val="single" w:color="000000" w:sz="6" w:space="0"/>
              <w:right w:val="single" w:color="000000" w:sz="6" w:space="0"/>
            </w:tcBorders>
            <w:vAlign w:val="center"/>
          </w:tcPr>
          <w:p>
            <w:pPr>
              <w:pStyle w:val="27"/>
              <w:spacing w:before="11" w:line="360" w:lineRule="auto"/>
              <w:rPr>
                <w:rFonts w:ascii="宋体" w:hAnsi="宋体" w:eastAsia="宋体" w:cs="宋体"/>
                <w:color w:val="auto"/>
                <w:sz w:val="21"/>
                <w:szCs w:val="21"/>
              </w:rPr>
            </w:pPr>
            <w:r>
              <w:rPr>
                <w:rFonts w:ascii="宋体" w:hAnsi="宋体" w:eastAsia="宋体" w:cs="宋体"/>
                <w:color w:val="auto"/>
                <w:sz w:val="21"/>
                <w:szCs w:val="21"/>
              </w:rPr>
              <w:t>设备名称</w:t>
            </w:r>
          </w:p>
        </w:tc>
        <w:tc>
          <w:tcPr>
            <w:tcW w:w="2129" w:type="dxa"/>
            <w:tcBorders>
              <w:top w:val="single" w:color="000000" w:sz="2" w:space="0"/>
              <w:left w:val="single" w:color="000000" w:sz="6" w:space="0"/>
              <w:bottom w:val="single" w:color="000000" w:sz="6" w:space="0"/>
              <w:right w:val="single" w:color="000000" w:sz="6" w:space="0"/>
            </w:tcBorders>
            <w:vAlign w:val="center"/>
          </w:tcPr>
          <w:p>
            <w:pPr>
              <w:pStyle w:val="27"/>
              <w:spacing w:before="11" w:line="360" w:lineRule="auto"/>
              <w:ind w:left="-1"/>
              <w:rPr>
                <w:rFonts w:ascii="宋体" w:hAnsi="宋体" w:eastAsia="宋体" w:cs="宋体"/>
                <w:color w:val="auto"/>
                <w:sz w:val="21"/>
                <w:szCs w:val="21"/>
              </w:rPr>
            </w:pPr>
            <w:r>
              <w:rPr>
                <w:rFonts w:ascii="宋体" w:hAnsi="宋体" w:eastAsia="宋体" w:cs="宋体"/>
                <w:color w:val="auto"/>
                <w:sz w:val="21"/>
                <w:szCs w:val="21"/>
              </w:rPr>
              <w:t>规格</w:t>
            </w:r>
          </w:p>
        </w:tc>
        <w:tc>
          <w:tcPr>
            <w:tcW w:w="1068" w:type="dxa"/>
            <w:tcBorders>
              <w:top w:val="single" w:color="000000" w:sz="2" w:space="0"/>
              <w:left w:val="single" w:color="000000" w:sz="6" w:space="0"/>
              <w:bottom w:val="single" w:color="000000" w:sz="6" w:space="0"/>
              <w:right w:val="single" w:color="000000" w:sz="2" w:space="0"/>
            </w:tcBorders>
            <w:vAlign w:val="center"/>
          </w:tcPr>
          <w:p>
            <w:pPr>
              <w:pStyle w:val="27"/>
              <w:spacing w:before="11" w:line="360" w:lineRule="auto"/>
              <w:rPr>
                <w:rFonts w:ascii="宋体" w:hAnsi="宋体" w:eastAsia="宋体" w:cs="宋体"/>
                <w:color w:val="auto"/>
                <w:sz w:val="21"/>
                <w:szCs w:val="21"/>
              </w:rPr>
            </w:pPr>
            <w:r>
              <w:rPr>
                <w:rFonts w:ascii="宋体" w:hAnsi="宋体" w:eastAsia="宋体" w:cs="宋体"/>
                <w:color w:val="auto"/>
                <w:sz w:val="21"/>
                <w:szCs w:val="21"/>
              </w:rPr>
              <w:t>数量</w:t>
            </w:r>
          </w:p>
        </w:tc>
        <w:tc>
          <w:tcPr>
            <w:tcW w:w="2758" w:type="dxa"/>
            <w:tcBorders>
              <w:top w:val="single" w:color="000000" w:sz="2" w:space="0"/>
              <w:left w:val="single" w:color="000000" w:sz="2" w:space="0"/>
              <w:bottom w:val="single" w:color="000000" w:sz="6" w:space="0"/>
              <w:right w:val="single" w:color="000000" w:sz="2" w:space="0"/>
            </w:tcBorders>
            <w:vAlign w:val="center"/>
          </w:tcPr>
          <w:p>
            <w:pPr>
              <w:pStyle w:val="27"/>
              <w:spacing w:before="11" w:line="360" w:lineRule="auto"/>
              <w:rPr>
                <w:rFonts w:ascii="宋体" w:hAnsi="宋体" w:eastAsia="宋体" w:cs="宋体"/>
                <w:color w:val="auto"/>
                <w:sz w:val="21"/>
                <w:szCs w:val="21"/>
              </w:rPr>
            </w:pPr>
            <w:r>
              <w:rPr>
                <w:rFonts w:ascii="宋体" w:hAnsi="宋体" w:eastAsia="宋体" w:cs="宋体"/>
                <w:color w:val="auto"/>
                <w:sz w:val="21"/>
                <w:szCs w:val="21"/>
              </w:rPr>
              <w:t>启闭方式</w:t>
            </w:r>
          </w:p>
        </w:tc>
        <w:tc>
          <w:tcPr>
            <w:tcW w:w="850" w:type="dxa"/>
            <w:tcBorders>
              <w:top w:val="single" w:color="000000" w:sz="2" w:space="0"/>
              <w:left w:val="single" w:color="000000" w:sz="2" w:space="0"/>
              <w:bottom w:val="single" w:color="000000" w:sz="6" w:space="0"/>
              <w:right w:val="single" w:color="000000" w:sz="2" w:space="0"/>
            </w:tcBorders>
            <w:vAlign w:val="center"/>
          </w:tcPr>
          <w:p>
            <w:pPr>
              <w:pStyle w:val="27"/>
              <w:spacing w:before="11" w:line="360" w:lineRule="auto"/>
              <w:ind w:left="-1"/>
              <w:rPr>
                <w:rFonts w:ascii="宋体" w:hAnsi="宋体" w:eastAsia="宋体" w:cs="宋体"/>
                <w:color w:val="auto"/>
                <w:sz w:val="21"/>
                <w:szCs w:val="21"/>
              </w:rPr>
            </w:pPr>
            <w:r>
              <w:rPr>
                <w:rFonts w:ascii="宋体" w:hAnsi="宋体" w:eastAsia="宋体" w:cs="宋体"/>
                <w:color w:val="auto"/>
                <w:sz w:val="21"/>
                <w:szCs w:val="21"/>
              </w:rPr>
              <w:t>材质</w:t>
            </w:r>
          </w:p>
        </w:tc>
      </w:tr>
      <w:tr>
        <w:tblPrEx>
          <w:tblLayout w:type="fixed"/>
          <w:tblCellMar>
            <w:top w:w="0" w:type="dxa"/>
            <w:left w:w="0" w:type="dxa"/>
            <w:bottom w:w="0" w:type="dxa"/>
            <w:right w:w="0" w:type="dxa"/>
          </w:tblCellMar>
        </w:tblPrEx>
        <w:trPr>
          <w:jc w:val="center"/>
        </w:trPr>
        <w:tc>
          <w:tcPr>
            <w:tcW w:w="1904" w:type="dxa"/>
            <w:tcBorders>
              <w:top w:val="single" w:color="000000" w:sz="6" w:space="0"/>
              <w:left w:val="single" w:color="000000" w:sz="2" w:space="0"/>
              <w:bottom w:val="single" w:color="000000" w:sz="6" w:space="0"/>
              <w:right w:val="single" w:color="000000" w:sz="6" w:space="0"/>
            </w:tcBorders>
            <w:vAlign w:val="center"/>
          </w:tcPr>
          <w:p>
            <w:pPr>
              <w:pStyle w:val="27"/>
              <w:spacing w:line="360" w:lineRule="auto"/>
              <w:rPr>
                <w:rFonts w:ascii="宋体" w:hAnsi="宋体" w:eastAsia="宋体" w:cs="宋体"/>
                <w:color w:val="auto"/>
                <w:sz w:val="21"/>
                <w:szCs w:val="21"/>
              </w:rPr>
            </w:pPr>
            <w:r>
              <w:rPr>
                <w:color w:val="auto"/>
                <w:sz w:val="21"/>
                <w:szCs w:val="21"/>
              </w:rPr>
              <w:t>手动调节堰门</w:t>
            </w:r>
          </w:p>
        </w:tc>
        <w:tc>
          <w:tcPr>
            <w:tcW w:w="2129"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right="-3"/>
              <w:rPr>
                <w:rFonts w:ascii="宋体" w:hAnsi="宋体" w:eastAsia="宋体" w:cs="宋体"/>
                <w:color w:val="auto"/>
                <w:sz w:val="21"/>
                <w:szCs w:val="21"/>
              </w:rPr>
            </w:pPr>
            <w:r>
              <w:rPr>
                <w:color w:val="auto"/>
                <w:sz w:val="21"/>
                <w:szCs w:val="21"/>
              </w:rPr>
              <w:t>B×H=1500mm×600mm</w:t>
            </w:r>
          </w:p>
        </w:tc>
        <w:tc>
          <w:tcPr>
            <w:tcW w:w="1068" w:type="dxa"/>
            <w:tcBorders>
              <w:top w:val="single" w:color="000000" w:sz="6" w:space="0"/>
              <w:left w:val="single" w:color="000000" w:sz="6" w:space="0"/>
              <w:bottom w:val="single" w:color="000000" w:sz="6" w:space="0"/>
              <w:right w:val="single" w:color="000000" w:sz="2" w:space="0"/>
            </w:tcBorders>
            <w:vAlign w:val="center"/>
          </w:tcPr>
          <w:p>
            <w:pPr>
              <w:pStyle w:val="27"/>
              <w:spacing w:before="13" w:line="360" w:lineRule="auto"/>
              <w:rPr>
                <w:rFonts w:ascii="宋体" w:hAnsi="宋体" w:eastAsia="宋体" w:cs="宋体"/>
                <w:color w:val="auto"/>
                <w:sz w:val="21"/>
                <w:szCs w:val="21"/>
              </w:rPr>
            </w:pPr>
          </w:p>
          <w:p>
            <w:pPr>
              <w:pStyle w:val="27"/>
              <w:spacing w:line="360" w:lineRule="auto"/>
              <w:rPr>
                <w:rFonts w:ascii="宋体" w:hAnsi="宋体" w:eastAsia="宋体" w:cs="宋体"/>
                <w:color w:val="auto"/>
                <w:sz w:val="21"/>
                <w:szCs w:val="21"/>
              </w:rPr>
            </w:pPr>
            <w:r>
              <w:rPr>
                <w:rFonts w:ascii="宋体" w:hAnsi="宋体" w:eastAsia="宋体" w:cs="宋体"/>
                <w:color w:val="auto"/>
                <w:sz w:val="21"/>
                <w:szCs w:val="21"/>
              </w:rPr>
              <w:t>4台</w:t>
            </w:r>
            <w:r>
              <w:rPr>
                <w:rFonts w:hint="eastAsia" w:ascii="宋体" w:hAnsi="宋体" w:eastAsia="宋体" w:cs="宋体"/>
                <w:color w:val="auto"/>
                <w:spacing w:val="-2"/>
                <w:sz w:val="21"/>
                <w:szCs w:val="21"/>
                <w:lang w:eastAsia="zh-CN"/>
              </w:rPr>
              <w:t>（暂定）</w:t>
            </w:r>
          </w:p>
        </w:tc>
        <w:tc>
          <w:tcPr>
            <w:tcW w:w="2758" w:type="dxa"/>
            <w:tcBorders>
              <w:top w:val="single" w:color="000000" w:sz="6" w:space="0"/>
              <w:left w:val="single" w:color="000000" w:sz="2" w:space="0"/>
              <w:bottom w:val="single" w:color="000000" w:sz="6" w:space="0"/>
              <w:right w:val="single" w:color="000000" w:sz="2" w:space="0"/>
            </w:tcBorders>
            <w:vAlign w:val="center"/>
          </w:tcPr>
          <w:p>
            <w:pPr>
              <w:pStyle w:val="27"/>
              <w:spacing w:before="74" w:line="360" w:lineRule="auto"/>
              <w:ind w:right="17"/>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采用手动启闭方式</w:t>
            </w:r>
            <w:r>
              <w:rPr>
                <w:rFonts w:hint="eastAsia" w:ascii="宋体" w:hAnsi="宋体" w:eastAsia="宋体" w:cs="宋体"/>
                <w:color w:val="auto"/>
                <w:spacing w:val="-2"/>
                <w:sz w:val="21"/>
                <w:szCs w:val="21"/>
                <w:lang w:eastAsia="zh-CN"/>
              </w:rPr>
              <w:t>（暂定）</w:t>
            </w:r>
          </w:p>
        </w:tc>
        <w:tc>
          <w:tcPr>
            <w:tcW w:w="850" w:type="dxa"/>
            <w:vMerge w:val="restart"/>
            <w:tcBorders>
              <w:top w:val="single" w:color="000000" w:sz="6" w:space="0"/>
              <w:left w:val="single" w:color="000000" w:sz="2" w:space="0"/>
              <w:right w:val="single" w:color="000000" w:sz="2" w:space="0"/>
            </w:tcBorders>
            <w:vAlign w:val="center"/>
          </w:tcPr>
          <w:p>
            <w:pPr>
              <w:pStyle w:val="27"/>
              <w:spacing w:line="360" w:lineRule="auto"/>
              <w:ind w:left="-1"/>
              <w:rPr>
                <w:rFonts w:ascii="宋体" w:hAnsi="宋体" w:eastAsia="宋体" w:cs="宋体"/>
                <w:color w:val="auto"/>
                <w:sz w:val="21"/>
                <w:szCs w:val="21"/>
              </w:rPr>
            </w:pPr>
            <w:r>
              <w:rPr>
                <w:rFonts w:ascii="宋体" w:hAnsi="宋体" w:eastAsia="宋体" w:cs="宋体"/>
                <w:color w:val="auto"/>
                <w:sz w:val="21"/>
                <w:szCs w:val="21"/>
              </w:rPr>
              <w:t>不锈钢</w:t>
            </w:r>
          </w:p>
        </w:tc>
      </w:tr>
      <w:tr>
        <w:tblPrEx>
          <w:tblLayout w:type="fixed"/>
          <w:tblCellMar>
            <w:top w:w="0" w:type="dxa"/>
            <w:left w:w="0" w:type="dxa"/>
            <w:bottom w:w="0" w:type="dxa"/>
            <w:right w:w="0" w:type="dxa"/>
          </w:tblCellMar>
        </w:tblPrEx>
        <w:trPr>
          <w:jc w:val="center"/>
        </w:trPr>
        <w:tc>
          <w:tcPr>
            <w:tcW w:w="1904" w:type="dxa"/>
            <w:tcBorders>
              <w:top w:val="single" w:color="000000" w:sz="6" w:space="0"/>
              <w:left w:val="single" w:color="000000" w:sz="2" w:space="0"/>
              <w:bottom w:val="single" w:color="000000" w:sz="6" w:space="0"/>
              <w:right w:val="single" w:color="000000" w:sz="6" w:space="0"/>
            </w:tcBorders>
            <w:vAlign w:val="center"/>
          </w:tcPr>
          <w:p>
            <w:pPr>
              <w:pStyle w:val="27"/>
              <w:spacing w:before="177" w:line="360" w:lineRule="auto"/>
              <w:rPr>
                <w:rFonts w:ascii="宋体" w:hAnsi="宋体" w:eastAsia="宋体" w:cs="宋体"/>
                <w:color w:val="auto"/>
                <w:sz w:val="21"/>
                <w:szCs w:val="21"/>
              </w:rPr>
            </w:pPr>
            <w:r>
              <w:rPr>
                <w:color w:val="auto"/>
                <w:sz w:val="21"/>
                <w:szCs w:val="21"/>
              </w:rPr>
              <w:t>手动调节堰门</w:t>
            </w:r>
          </w:p>
        </w:tc>
        <w:tc>
          <w:tcPr>
            <w:tcW w:w="2129"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right="-3"/>
              <w:rPr>
                <w:rFonts w:ascii="宋体" w:hAnsi="宋体" w:eastAsia="宋体" w:cs="宋体"/>
                <w:color w:val="auto"/>
                <w:sz w:val="21"/>
                <w:szCs w:val="21"/>
              </w:rPr>
            </w:pPr>
            <w:r>
              <w:rPr>
                <w:color w:val="auto"/>
                <w:sz w:val="21"/>
                <w:szCs w:val="21"/>
              </w:rPr>
              <w:t>B×H=1500mm×600mm</w:t>
            </w:r>
          </w:p>
        </w:tc>
        <w:tc>
          <w:tcPr>
            <w:tcW w:w="1068" w:type="dxa"/>
            <w:tcBorders>
              <w:top w:val="single" w:color="000000" w:sz="6" w:space="0"/>
              <w:left w:val="single" w:color="000000" w:sz="6" w:space="0"/>
              <w:bottom w:val="single" w:color="000000" w:sz="6" w:space="0"/>
              <w:right w:val="single" w:color="000000" w:sz="2" w:space="0"/>
            </w:tcBorders>
            <w:vAlign w:val="center"/>
          </w:tcPr>
          <w:p>
            <w:pPr>
              <w:pStyle w:val="27"/>
              <w:spacing w:before="177" w:line="360" w:lineRule="auto"/>
              <w:rPr>
                <w:rFonts w:ascii="宋体" w:hAnsi="宋体" w:eastAsia="宋体" w:cs="宋体"/>
                <w:color w:val="auto"/>
                <w:sz w:val="21"/>
                <w:szCs w:val="21"/>
              </w:rPr>
            </w:pPr>
            <w:r>
              <w:rPr>
                <w:rFonts w:ascii="宋体" w:hAnsi="宋体" w:eastAsia="宋体" w:cs="宋体"/>
                <w:color w:val="auto"/>
                <w:sz w:val="21"/>
                <w:szCs w:val="21"/>
              </w:rPr>
              <w:t>4台</w:t>
            </w:r>
            <w:r>
              <w:rPr>
                <w:rFonts w:hint="eastAsia" w:ascii="宋体" w:hAnsi="宋体" w:eastAsia="宋体" w:cs="宋体"/>
                <w:color w:val="auto"/>
                <w:spacing w:val="-2"/>
                <w:sz w:val="21"/>
                <w:szCs w:val="21"/>
                <w:lang w:eastAsia="zh-CN"/>
              </w:rPr>
              <w:t>（暂定）</w:t>
            </w:r>
          </w:p>
        </w:tc>
        <w:tc>
          <w:tcPr>
            <w:tcW w:w="2758" w:type="dxa"/>
            <w:tcBorders>
              <w:top w:val="single" w:color="000000" w:sz="6" w:space="0"/>
              <w:left w:val="single" w:color="000000" w:sz="2" w:space="0"/>
              <w:bottom w:val="single" w:color="000000" w:sz="6" w:space="0"/>
              <w:right w:val="single" w:color="000000" w:sz="2" w:space="0"/>
            </w:tcBorders>
            <w:vAlign w:val="center"/>
          </w:tcPr>
          <w:p>
            <w:pPr>
              <w:pStyle w:val="27"/>
              <w:spacing w:before="16" w:line="360" w:lineRule="auto"/>
              <w:ind w:right="17"/>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采用手动启闭方式</w:t>
            </w:r>
            <w:r>
              <w:rPr>
                <w:rFonts w:hint="eastAsia" w:ascii="宋体" w:hAnsi="宋体" w:eastAsia="宋体" w:cs="宋体"/>
                <w:color w:val="auto"/>
                <w:spacing w:val="-2"/>
                <w:sz w:val="21"/>
                <w:szCs w:val="21"/>
                <w:lang w:eastAsia="zh-CN"/>
              </w:rPr>
              <w:t>（暂定）</w:t>
            </w:r>
          </w:p>
        </w:tc>
        <w:tc>
          <w:tcPr>
            <w:tcW w:w="850" w:type="dxa"/>
            <w:vMerge w:val="continue"/>
            <w:tcBorders>
              <w:left w:val="single" w:color="000000" w:sz="2" w:space="0"/>
              <w:right w:val="single" w:color="000000" w:sz="2" w:space="0"/>
            </w:tcBorders>
            <w:vAlign w:val="center"/>
          </w:tcPr>
          <w:p>
            <w:pPr>
              <w:spacing w:line="360" w:lineRule="auto"/>
              <w:rPr>
                <w:color w:val="auto"/>
                <w:sz w:val="21"/>
                <w:szCs w:val="21"/>
                <w:lang w:eastAsia="zh-CN"/>
              </w:rPr>
            </w:pPr>
          </w:p>
        </w:tc>
      </w:tr>
      <w:tr>
        <w:tblPrEx>
          <w:tblLayout w:type="fixed"/>
          <w:tblCellMar>
            <w:top w:w="0" w:type="dxa"/>
            <w:left w:w="0" w:type="dxa"/>
            <w:bottom w:w="0" w:type="dxa"/>
            <w:right w:w="0" w:type="dxa"/>
          </w:tblCellMar>
        </w:tblPrEx>
        <w:trPr>
          <w:jc w:val="center"/>
        </w:trPr>
        <w:tc>
          <w:tcPr>
            <w:tcW w:w="1904" w:type="dxa"/>
            <w:tcBorders>
              <w:top w:val="single" w:color="000000" w:sz="6" w:space="0"/>
              <w:left w:val="single" w:color="000000" w:sz="2" w:space="0"/>
              <w:bottom w:val="single" w:color="000000" w:sz="6" w:space="0"/>
              <w:right w:val="single" w:color="000000" w:sz="6" w:space="0"/>
            </w:tcBorders>
            <w:vAlign w:val="center"/>
          </w:tcPr>
          <w:p>
            <w:pPr>
              <w:pStyle w:val="27"/>
              <w:spacing w:line="360" w:lineRule="auto"/>
              <w:rPr>
                <w:rFonts w:ascii="宋体" w:hAnsi="宋体" w:eastAsia="宋体" w:cs="宋体"/>
                <w:color w:val="auto"/>
                <w:sz w:val="21"/>
                <w:szCs w:val="21"/>
              </w:rPr>
            </w:pPr>
            <w:r>
              <w:rPr>
                <w:rFonts w:ascii="宋体" w:hAnsi="宋体" w:eastAsia="宋体" w:cs="宋体"/>
                <w:color w:val="auto"/>
                <w:sz w:val="21"/>
                <w:szCs w:val="21"/>
              </w:rPr>
              <w:t>手动蝶阀</w:t>
            </w:r>
          </w:p>
        </w:tc>
        <w:tc>
          <w:tcPr>
            <w:tcW w:w="2129" w:type="dxa"/>
            <w:tcBorders>
              <w:top w:val="single" w:color="000000" w:sz="6" w:space="0"/>
              <w:left w:val="single" w:color="000000" w:sz="6" w:space="0"/>
              <w:bottom w:val="single" w:color="000000" w:sz="6" w:space="0"/>
              <w:right w:val="single" w:color="000000" w:sz="6" w:space="0"/>
            </w:tcBorders>
            <w:vAlign w:val="center"/>
          </w:tcPr>
          <w:p>
            <w:pPr>
              <w:pStyle w:val="27"/>
              <w:tabs>
                <w:tab w:val="left" w:pos="736"/>
              </w:tabs>
              <w:spacing w:line="360" w:lineRule="auto"/>
              <w:ind w:left="-1"/>
              <w:rPr>
                <w:rFonts w:ascii="宋体" w:hAnsi="宋体" w:eastAsia="宋体" w:cs="宋体"/>
                <w:color w:val="auto"/>
                <w:sz w:val="21"/>
                <w:szCs w:val="21"/>
              </w:rPr>
            </w:pPr>
            <w:r>
              <w:rPr>
                <w:rFonts w:ascii="宋体" w:hAnsi="宋体" w:eastAsia="宋体" w:cs="宋体"/>
                <w:color w:val="auto"/>
                <w:sz w:val="21"/>
                <w:szCs w:val="21"/>
              </w:rPr>
              <w:t>DN3</w:t>
            </w:r>
            <w:r>
              <w:rPr>
                <w:rFonts w:hint="eastAsia" w:ascii="宋体" w:hAnsi="宋体" w:eastAsia="宋体" w:cs="宋体"/>
                <w:color w:val="auto"/>
                <w:sz w:val="21"/>
                <w:szCs w:val="21"/>
                <w:lang w:eastAsia="zh-CN"/>
              </w:rPr>
              <w:t>0</w:t>
            </w:r>
            <w:r>
              <w:rPr>
                <w:rFonts w:ascii="宋体" w:hAnsi="宋体" w:eastAsia="宋体" w:cs="宋体"/>
                <w:color w:val="auto"/>
                <w:sz w:val="21"/>
                <w:szCs w:val="21"/>
              </w:rPr>
              <w:t>0</w:t>
            </w:r>
            <w:r>
              <w:rPr>
                <w:rFonts w:ascii="宋体" w:hAnsi="宋体" w:eastAsia="宋体" w:cs="宋体"/>
                <w:color w:val="auto"/>
                <w:sz w:val="21"/>
                <w:szCs w:val="21"/>
              </w:rPr>
              <w:tab/>
            </w:r>
            <w:r>
              <w:rPr>
                <w:rFonts w:ascii="宋体" w:hAnsi="宋体" w:eastAsia="宋体" w:cs="宋体"/>
                <w:color w:val="auto"/>
                <w:sz w:val="21"/>
                <w:szCs w:val="21"/>
              </w:rPr>
              <w:t>PN1.0MPa，</w:t>
            </w:r>
          </w:p>
        </w:tc>
        <w:tc>
          <w:tcPr>
            <w:tcW w:w="1068" w:type="dxa"/>
            <w:tcBorders>
              <w:top w:val="single" w:color="000000" w:sz="6" w:space="0"/>
              <w:left w:val="single" w:color="000000" w:sz="6" w:space="0"/>
              <w:bottom w:val="single" w:color="000000" w:sz="6" w:space="0"/>
              <w:right w:val="single" w:color="000000" w:sz="2" w:space="0"/>
            </w:tcBorders>
            <w:vAlign w:val="center"/>
          </w:tcPr>
          <w:p>
            <w:pPr>
              <w:pStyle w:val="27"/>
              <w:spacing w:before="6" w:line="360" w:lineRule="auto"/>
              <w:rPr>
                <w:rFonts w:ascii="宋体" w:hAnsi="宋体" w:eastAsia="宋体" w:cs="宋体"/>
                <w:color w:val="auto"/>
                <w:sz w:val="21"/>
                <w:szCs w:val="21"/>
              </w:rPr>
            </w:pPr>
            <w:r>
              <w:rPr>
                <w:rFonts w:hint="eastAsia" w:ascii="宋体" w:hAnsi="宋体" w:eastAsia="宋体" w:cs="宋体"/>
                <w:color w:val="auto"/>
                <w:sz w:val="21"/>
                <w:szCs w:val="21"/>
                <w:lang w:eastAsia="zh-CN"/>
              </w:rPr>
              <w:t>3</w:t>
            </w:r>
            <w:r>
              <w:rPr>
                <w:rFonts w:ascii="宋体" w:hAnsi="宋体" w:eastAsia="宋体" w:cs="宋体"/>
                <w:color w:val="auto"/>
                <w:sz w:val="21"/>
                <w:szCs w:val="21"/>
              </w:rPr>
              <w:t>个</w:t>
            </w:r>
          </w:p>
        </w:tc>
        <w:tc>
          <w:tcPr>
            <w:tcW w:w="2758" w:type="dxa"/>
            <w:tcBorders>
              <w:top w:val="single" w:color="000000" w:sz="6" w:space="0"/>
              <w:left w:val="single" w:color="000000" w:sz="2" w:space="0"/>
              <w:bottom w:val="single" w:color="000000" w:sz="6" w:space="0"/>
              <w:right w:val="single" w:color="000000" w:sz="2" w:space="0"/>
            </w:tcBorders>
            <w:vAlign w:val="center"/>
          </w:tcPr>
          <w:p>
            <w:pPr>
              <w:pStyle w:val="27"/>
              <w:spacing w:before="6" w:line="360" w:lineRule="auto"/>
              <w:rPr>
                <w:rFonts w:ascii="宋体" w:hAnsi="宋体" w:eastAsia="宋体" w:cs="宋体"/>
                <w:color w:val="auto"/>
                <w:sz w:val="21"/>
                <w:szCs w:val="21"/>
                <w:lang w:eastAsia="zh-CN"/>
              </w:rPr>
            </w:pPr>
            <w:r>
              <w:rPr>
                <w:rFonts w:ascii="宋体" w:hAnsi="宋体" w:eastAsia="宋体" w:cs="宋体"/>
                <w:color w:val="auto"/>
                <w:sz w:val="21"/>
                <w:szCs w:val="21"/>
                <w:lang w:eastAsia="zh-CN"/>
              </w:rPr>
              <w:t>采用手动启闭方式</w:t>
            </w:r>
            <w:r>
              <w:rPr>
                <w:rFonts w:hint="eastAsia" w:ascii="宋体" w:hAnsi="宋体" w:eastAsia="宋体" w:cs="宋体"/>
                <w:color w:val="auto"/>
                <w:spacing w:val="-2"/>
                <w:sz w:val="21"/>
                <w:szCs w:val="21"/>
                <w:lang w:eastAsia="zh-CN"/>
              </w:rPr>
              <w:t>（暂定）</w:t>
            </w:r>
          </w:p>
        </w:tc>
        <w:tc>
          <w:tcPr>
            <w:tcW w:w="850" w:type="dxa"/>
            <w:vMerge w:val="continue"/>
            <w:tcBorders>
              <w:left w:val="single" w:color="000000" w:sz="2" w:space="0"/>
              <w:right w:val="single" w:color="000000" w:sz="2" w:space="0"/>
            </w:tcBorders>
            <w:vAlign w:val="center"/>
          </w:tcPr>
          <w:p>
            <w:pPr>
              <w:spacing w:line="360" w:lineRule="auto"/>
              <w:rPr>
                <w:color w:val="auto"/>
                <w:sz w:val="21"/>
                <w:szCs w:val="21"/>
                <w:lang w:eastAsia="zh-CN"/>
              </w:rPr>
            </w:pPr>
          </w:p>
        </w:tc>
      </w:tr>
      <w:tr>
        <w:tblPrEx>
          <w:tblLayout w:type="fixed"/>
          <w:tblCellMar>
            <w:top w:w="0" w:type="dxa"/>
            <w:left w:w="0" w:type="dxa"/>
            <w:bottom w:w="0" w:type="dxa"/>
            <w:right w:w="0" w:type="dxa"/>
          </w:tblCellMar>
        </w:tblPrEx>
        <w:trPr>
          <w:jc w:val="center"/>
        </w:trPr>
        <w:tc>
          <w:tcPr>
            <w:tcW w:w="1904" w:type="dxa"/>
            <w:tcBorders>
              <w:top w:val="single" w:color="000000" w:sz="6" w:space="0"/>
              <w:left w:val="single" w:color="000000" w:sz="2" w:space="0"/>
              <w:bottom w:val="single" w:color="000000" w:sz="6" w:space="0"/>
              <w:right w:val="single" w:color="000000" w:sz="6" w:space="0"/>
            </w:tcBorders>
            <w:vAlign w:val="center"/>
          </w:tcPr>
          <w:p>
            <w:pPr>
              <w:pStyle w:val="27"/>
              <w:spacing w:line="360" w:lineRule="auto"/>
              <w:rPr>
                <w:rFonts w:ascii="宋体" w:hAnsi="宋体" w:eastAsia="宋体" w:cs="宋体"/>
                <w:color w:val="auto"/>
                <w:sz w:val="21"/>
                <w:szCs w:val="21"/>
              </w:rPr>
            </w:pPr>
            <w:r>
              <w:rPr>
                <w:rFonts w:ascii="宋体" w:hAnsi="宋体" w:eastAsia="宋体" w:cs="宋体"/>
                <w:color w:val="auto"/>
                <w:sz w:val="21"/>
                <w:szCs w:val="21"/>
              </w:rPr>
              <w:t>手动蝶阀</w:t>
            </w:r>
          </w:p>
        </w:tc>
        <w:tc>
          <w:tcPr>
            <w:tcW w:w="2129" w:type="dxa"/>
            <w:tcBorders>
              <w:top w:val="single" w:color="000000" w:sz="6" w:space="0"/>
              <w:left w:val="single" w:color="000000" w:sz="6" w:space="0"/>
              <w:bottom w:val="single" w:color="000000" w:sz="6" w:space="0"/>
              <w:right w:val="single" w:color="000000" w:sz="6" w:space="0"/>
            </w:tcBorders>
            <w:vAlign w:val="center"/>
          </w:tcPr>
          <w:p>
            <w:pPr>
              <w:pStyle w:val="27"/>
              <w:tabs>
                <w:tab w:val="left" w:pos="736"/>
              </w:tabs>
              <w:spacing w:line="360" w:lineRule="auto"/>
              <w:ind w:left="-1"/>
              <w:rPr>
                <w:rFonts w:ascii="宋体" w:hAnsi="宋体" w:eastAsia="宋体" w:cs="宋体"/>
                <w:color w:val="auto"/>
                <w:sz w:val="21"/>
                <w:szCs w:val="21"/>
              </w:rPr>
            </w:pPr>
            <w:r>
              <w:rPr>
                <w:rFonts w:ascii="宋体" w:hAnsi="宋体" w:eastAsia="宋体" w:cs="宋体"/>
                <w:color w:val="auto"/>
                <w:sz w:val="21"/>
                <w:szCs w:val="21"/>
              </w:rPr>
              <w:t>DN</w:t>
            </w:r>
            <w:r>
              <w:rPr>
                <w:rFonts w:hint="eastAsia" w:ascii="宋体" w:hAnsi="宋体" w:eastAsia="宋体" w:cs="宋体"/>
                <w:color w:val="auto"/>
                <w:sz w:val="21"/>
                <w:szCs w:val="21"/>
                <w:lang w:eastAsia="zh-CN"/>
              </w:rPr>
              <w:t>1</w:t>
            </w:r>
            <w:r>
              <w:rPr>
                <w:rFonts w:ascii="宋体" w:hAnsi="宋体" w:eastAsia="宋体" w:cs="宋体"/>
                <w:color w:val="auto"/>
                <w:sz w:val="21"/>
                <w:szCs w:val="21"/>
              </w:rPr>
              <w:t>50</w:t>
            </w:r>
            <w:r>
              <w:rPr>
                <w:rFonts w:ascii="宋体" w:hAnsi="宋体" w:eastAsia="宋体" w:cs="宋体"/>
                <w:color w:val="auto"/>
                <w:sz w:val="21"/>
                <w:szCs w:val="21"/>
              </w:rPr>
              <w:tab/>
            </w:r>
            <w:r>
              <w:rPr>
                <w:rFonts w:ascii="宋体" w:hAnsi="宋体" w:eastAsia="宋体" w:cs="宋体"/>
                <w:color w:val="auto"/>
                <w:sz w:val="21"/>
                <w:szCs w:val="21"/>
              </w:rPr>
              <w:t>PN1.0MPa，</w:t>
            </w:r>
          </w:p>
        </w:tc>
        <w:tc>
          <w:tcPr>
            <w:tcW w:w="1068" w:type="dxa"/>
            <w:tcBorders>
              <w:top w:val="single" w:color="000000" w:sz="6" w:space="0"/>
              <w:left w:val="single" w:color="000000" w:sz="6" w:space="0"/>
              <w:bottom w:val="single" w:color="000000" w:sz="6" w:space="0"/>
              <w:right w:val="single" w:color="000000" w:sz="2" w:space="0"/>
            </w:tcBorders>
            <w:vAlign w:val="center"/>
          </w:tcPr>
          <w:p>
            <w:pPr>
              <w:pStyle w:val="27"/>
              <w:spacing w:before="9" w:line="360" w:lineRule="auto"/>
              <w:rPr>
                <w:rFonts w:ascii="宋体" w:hAnsi="宋体" w:eastAsia="宋体" w:cs="宋体"/>
                <w:color w:val="auto"/>
                <w:sz w:val="21"/>
                <w:szCs w:val="21"/>
              </w:rPr>
            </w:pPr>
            <w:r>
              <w:rPr>
                <w:rFonts w:ascii="宋体" w:hAnsi="宋体" w:eastAsia="宋体" w:cs="宋体"/>
                <w:color w:val="auto"/>
                <w:sz w:val="21"/>
                <w:szCs w:val="21"/>
              </w:rPr>
              <w:t>24个</w:t>
            </w:r>
            <w:r>
              <w:rPr>
                <w:rFonts w:hint="eastAsia" w:ascii="宋体" w:hAnsi="宋体" w:eastAsia="宋体" w:cs="宋体"/>
                <w:color w:val="auto"/>
                <w:spacing w:val="-2"/>
                <w:sz w:val="21"/>
                <w:szCs w:val="21"/>
                <w:lang w:eastAsia="zh-CN"/>
              </w:rPr>
              <w:t>（暂定）</w:t>
            </w:r>
          </w:p>
        </w:tc>
        <w:tc>
          <w:tcPr>
            <w:tcW w:w="2758" w:type="dxa"/>
            <w:tcBorders>
              <w:top w:val="single" w:color="000000" w:sz="6" w:space="0"/>
              <w:left w:val="single" w:color="000000" w:sz="2" w:space="0"/>
              <w:bottom w:val="single" w:color="000000" w:sz="6" w:space="0"/>
              <w:right w:val="single" w:color="000000" w:sz="2" w:space="0"/>
            </w:tcBorders>
            <w:vAlign w:val="center"/>
          </w:tcPr>
          <w:p>
            <w:pPr>
              <w:pStyle w:val="27"/>
              <w:spacing w:before="9" w:line="360" w:lineRule="auto"/>
              <w:rPr>
                <w:rFonts w:ascii="宋体" w:hAnsi="宋体" w:eastAsia="宋体" w:cs="宋体"/>
                <w:color w:val="auto"/>
                <w:sz w:val="21"/>
                <w:szCs w:val="21"/>
              </w:rPr>
            </w:pPr>
            <w:r>
              <w:rPr>
                <w:rFonts w:ascii="宋体" w:hAnsi="宋体" w:eastAsia="宋体" w:cs="宋体"/>
                <w:color w:val="auto"/>
                <w:sz w:val="21"/>
                <w:szCs w:val="21"/>
              </w:rPr>
              <w:t>采用手动启闭方式</w:t>
            </w:r>
          </w:p>
        </w:tc>
        <w:tc>
          <w:tcPr>
            <w:tcW w:w="850" w:type="dxa"/>
            <w:vMerge w:val="continue"/>
            <w:tcBorders>
              <w:left w:val="single" w:color="000000" w:sz="2" w:space="0"/>
              <w:right w:val="single" w:color="000000" w:sz="2" w:space="0"/>
            </w:tcBorders>
            <w:vAlign w:val="center"/>
          </w:tcPr>
          <w:p>
            <w:pPr>
              <w:spacing w:line="360" w:lineRule="auto"/>
              <w:rPr>
                <w:color w:val="auto"/>
                <w:sz w:val="21"/>
                <w:szCs w:val="21"/>
              </w:rPr>
            </w:pPr>
          </w:p>
        </w:tc>
      </w:tr>
      <w:tr>
        <w:tblPrEx>
          <w:tblLayout w:type="fixed"/>
          <w:tblCellMar>
            <w:top w:w="0" w:type="dxa"/>
            <w:left w:w="0" w:type="dxa"/>
            <w:bottom w:w="0" w:type="dxa"/>
            <w:right w:w="0" w:type="dxa"/>
          </w:tblCellMar>
        </w:tblPrEx>
        <w:trPr>
          <w:jc w:val="center"/>
        </w:trPr>
        <w:tc>
          <w:tcPr>
            <w:tcW w:w="8709" w:type="dxa"/>
            <w:gridSpan w:val="5"/>
            <w:tcBorders>
              <w:top w:val="single" w:color="000000" w:sz="6" w:space="0"/>
              <w:left w:val="single" w:color="000000" w:sz="2" w:space="0"/>
              <w:bottom w:val="single" w:color="000000" w:sz="6" w:space="0"/>
              <w:right w:val="single" w:color="000000" w:sz="2" w:space="0"/>
            </w:tcBorders>
            <w:vAlign w:val="center"/>
          </w:tcPr>
          <w:p>
            <w:pPr>
              <w:pStyle w:val="27"/>
              <w:spacing w:line="360" w:lineRule="auto"/>
              <w:ind w:left="24"/>
              <w:rPr>
                <w:rFonts w:ascii="宋体" w:hAnsi="宋体" w:eastAsia="宋体" w:cs="宋体"/>
                <w:color w:val="auto"/>
                <w:sz w:val="21"/>
                <w:szCs w:val="21"/>
              </w:rPr>
            </w:pPr>
            <w:r>
              <w:rPr>
                <w:rFonts w:ascii="宋体" w:hAnsi="宋体" w:eastAsia="宋体" w:cs="宋体"/>
                <w:color w:val="auto"/>
                <w:sz w:val="21"/>
                <w:szCs w:val="21"/>
              </w:rPr>
              <w:t>技术要求</w:t>
            </w:r>
          </w:p>
        </w:tc>
      </w:tr>
      <w:tr>
        <w:tblPrEx>
          <w:tblLayout w:type="fixed"/>
          <w:tblCellMar>
            <w:top w:w="0" w:type="dxa"/>
            <w:left w:w="0" w:type="dxa"/>
            <w:bottom w:w="0" w:type="dxa"/>
            <w:right w:w="0" w:type="dxa"/>
          </w:tblCellMar>
        </w:tblPrEx>
        <w:trPr>
          <w:jc w:val="center"/>
        </w:trPr>
        <w:tc>
          <w:tcPr>
            <w:tcW w:w="8709" w:type="dxa"/>
            <w:gridSpan w:val="5"/>
            <w:tcBorders>
              <w:top w:val="single" w:color="000000" w:sz="6" w:space="0"/>
              <w:left w:val="single" w:color="000000" w:sz="2" w:space="0"/>
              <w:bottom w:val="single" w:color="000000" w:sz="6" w:space="0"/>
              <w:right w:val="single" w:color="000000" w:sz="2" w:space="0"/>
            </w:tcBorders>
            <w:vAlign w:val="center"/>
          </w:tcPr>
          <w:p>
            <w:pPr>
              <w:pStyle w:val="27"/>
              <w:spacing w:line="360" w:lineRule="auto"/>
              <w:ind w:left="24"/>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1、</w:t>
            </w:r>
            <w:r>
              <w:rPr>
                <w:rFonts w:hint="eastAsia" w:ascii="宋体" w:hAnsi="宋体" w:eastAsia="宋体" w:cs="宋体"/>
                <w:color w:val="auto"/>
                <w:sz w:val="21"/>
                <w:szCs w:val="21"/>
                <w:lang w:eastAsia="zh-CN"/>
              </w:rPr>
              <w:t>堰门</w:t>
            </w:r>
          </w:p>
          <w:p>
            <w:pPr>
              <w:pStyle w:val="27"/>
              <w:spacing w:before="44" w:line="360" w:lineRule="auto"/>
              <w:ind w:left="24" w:right="17"/>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a.电动（手动）堰门≥1800时应采用双吊点垂直升降，铸铁闸门和金属密封止水的型式，</w:t>
            </w:r>
            <w:r>
              <w:rPr>
                <w:rFonts w:ascii="宋体" w:hAnsi="宋体" w:eastAsia="宋体" w:cs="宋体"/>
                <w:color w:val="auto"/>
                <w:spacing w:val="-4"/>
                <w:sz w:val="21"/>
                <w:szCs w:val="21"/>
                <w:lang w:eastAsia="zh-CN"/>
              </w:rPr>
              <w:t>整机由电动驱动装置、连接杆、圆锥齿轮减速器、机座、螺杆、堰门本体（铜合金密封）护</w:t>
            </w:r>
            <w:r>
              <w:rPr>
                <w:rFonts w:ascii="宋体" w:hAnsi="宋体" w:eastAsia="宋体" w:cs="宋体"/>
                <w:color w:val="auto"/>
                <w:sz w:val="21"/>
                <w:szCs w:val="21"/>
                <w:lang w:eastAsia="zh-CN"/>
              </w:rPr>
              <w:t>罩、控制箱等部件组成。</w:t>
            </w:r>
          </w:p>
          <w:p>
            <w:pPr>
              <w:pStyle w:val="27"/>
              <w:spacing w:before="10" w:line="360" w:lineRule="auto"/>
              <w:ind w:left="24" w:right="15" w:firstLine="419"/>
              <w:rPr>
                <w:rFonts w:ascii="宋体" w:hAnsi="宋体" w:eastAsia="宋体" w:cs="宋体"/>
                <w:color w:val="auto"/>
                <w:spacing w:val="-4"/>
                <w:sz w:val="21"/>
                <w:szCs w:val="21"/>
                <w:lang w:eastAsia="zh-CN"/>
              </w:rPr>
            </w:pPr>
            <w:r>
              <w:rPr>
                <w:rFonts w:ascii="宋体" w:hAnsi="宋体" w:eastAsia="宋体" w:cs="宋体"/>
                <w:color w:val="auto"/>
                <w:spacing w:val="-4"/>
                <w:sz w:val="21"/>
                <w:szCs w:val="21"/>
                <w:lang w:eastAsia="zh-CN"/>
              </w:rPr>
              <w:t>堰门应具有良好的密封性能，泄漏量不大于1.25l/min²m(密封长度)。</w:t>
            </w:r>
          </w:p>
          <w:p>
            <w:pPr>
              <w:pStyle w:val="27"/>
              <w:spacing w:before="10" w:line="360" w:lineRule="auto"/>
              <w:ind w:left="24" w:right="1762"/>
              <w:rPr>
                <w:rFonts w:ascii="宋体" w:hAnsi="宋体" w:eastAsia="宋体" w:cs="宋体"/>
                <w:color w:val="auto"/>
                <w:sz w:val="21"/>
                <w:szCs w:val="21"/>
                <w:lang w:eastAsia="zh-CN"/>
              </w:rPr>
            </w:pPr>
            <w:r>
              <w:rPr>
                <w:rFonts w:ascii="宋体" w:hAnsi="宋体" w:eastAsia="宋体" w:cs="宋体"/>
                <w:color w:val="auto"/>
                <w:sz w:val="21"/>
                <w:szCs w:val="21"/>
                <w:lang w:eastAsia="zh-CN"/>
              </w:rPr>
              <w:t>b.驱动装置</w:t>
            </w:r>
          </w:p>
          <w:p>
            <w:pPr>
              <w:pStyle w:val="27"/>
              <w:spacing w:before="10" w:line="360" w:lineRule="auto"/>
              <w:ind w:left="24" w:right="15" w:firstLine="419"/>
              <w:rPr>
                <w:rFonts w:ascii="宋体" w:hAnsi="宋体" w:eastAsia="宋体" w:cs="宋体"/>
                <w:color w:val="auto"/>
                <w:sz w:val="21"/>
                <w:szCs w:val="21"/>
                <w:lang w:eastAsia="zh-CN"/>
              </w:rPr>
            </w:pPr>
            <w:r>
              <w:rPr>
                <w:rFonts w:ascii="宋体" w:hAnsi="宋体" w:eastAsia="宋体" w:cs="宋体"/>
                <w:color w:val="auto"/>
                <w:spacing w:val="-4"/>
                <w:sz w:val="21"/>
                <w:szCs w:val="21"/>
                <w:lang w:eastAsia="zh-CN"/>
              </w:rPr>
              <w:t>电动驱动装置应通过传动轴与两端的圆锥齿轮减速箱(位于启闭机座上)联结，由圆锥齿</w:t>
            </w:r>
            <w:r>
              <w:rPr>
                <w:rFonts w:ascii="宋体" w:hAnsi="宋体" w:eastAsia="宋体" w:cs="宋体"/>
                <w:color w:val="auto"/>
                <w:sz w:val="21"/>
                <w:szCs w:val="21"/>
                <w:lang w:eastAsia="zh-CN"/>
              </w:rPr>
              <w:t>轮减速箱同步驱动二螺杆带动堰门升降。电机转速不大于1500r/min，电源供给为380V，</w:t>
            </w:r>
            <w:r>
              <w:rPr>
                <w:rFonts w:ascii="宋体" w:hAnsi="宋体" w:eastAsia="宋体" w:cs="宋体"/>
                <w:color w:val="auto"/>
                <w:spacing w:val="-9"/>
                <w:sz w:val="21"/>
                <w:szCs w:val="21"/>
                <w:lang w:eastAsia="zh-CN"/>
              </w:rPr>
              <w:t>50Hz，3</w:t>
            </w:r>
            <w:r>
              <w:rPr>
                <w:rFonts w:ascii="宋体" w:hAnsi="宋体" w:eastAsia="宋体" w:cs="宋体"/>
                <w:color w:val="auto"/>
                <w:spacing w:val="-10"/>
                <w:sz w:val="21"/>
                <w:szCs w:val="21"/>
                <w:lang w:eastAsia="zh-CN"/>
              </w:rPr>
              <w:t>相。防护等级</w:t>
            </w:r>
            <w:r>
              <w:rPr>
                <w:rFonts w:ascii="宋体" w:hAnsi="宋体" w:eastAsia="宋体" w:cs="宋体"/>
                <w:color w:val="auto"/>
                <w:spacing w:val="-5"/>
                <w:sz w:val="21"/>
                <w:szCs w:val="21"/>
                <w:lang w:eastAsia="zh-CN"/>
              </w:rPr>
              <w:t>IP65，驱动装置应润滑充分，并设有行程控制开关及过力矩保护装置</w:t>
            </w:r>
            <w:r>
              <w:rPr>
                <w:rFonts w:ascii="宋体" w:hAnsi="宋体" w:eastAsia="宋体" w:cs="宋体"/>
                <w:color w:val="auto"/>
                <w:sz w:val="21"/>
                <w:szCs w:val="21"/>
                <w:lang w:eastAsia="zh-CN"/>
              </w:rPr>
              <w:t>电动驱动装置的控制装置与机械机构合为一体。</w:t>
            </w:r>
          </w:p>
          <w:p>
            <w:pPr>
              <w:pStyle w:val="27"/>
              <w:spacing w:before="10" w:line="360" w:lineRule="auto"/>
              <w:ind w:left="24"/>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c.螺杆</w:t>
            </w:r>
          </w:p>
          <w:p>
            <w:pPr>
              <w:pStyle w:val="27"/>
              <w:spacing w:before="44" w:line="360" w:lineRule="auto"/>
              <w:ind w:left="24" w:right="15" w:firstLine="419"/>
              <w:rPr>
                <w:rFonts w:ascii="宋体" w:hAnsi="宋体" w:eastAsia="宋体" w:cs="宋体"/>
                <w:color w:val="auto"/>
                <w:sz w:val="21"/>
                <w:szCs w:val="21"/>
                <w:lang w:eastAsia="zh-CN"/>
              </w:rPr>
            </w:pPr>
            <w:r>
              <w:rPr>
                <w:rFonts w:ascii="宋体" w:hAnsi="宋体" w:eastAsia="宋体" w:cs="宋体"/>
                <w:color w:val="auto"/>
                <w:spacing w:val="-4"/>
                <w:sz w:val="21"/>
                <w:szCs w:val="21"/>
                <w:lang w:eastAsia="zh-CN"/>
              </w:rPr>
              <w:t>螺杆设计应满足堰门升降的需要，必须具备足够的强度和稳定性，无弯曲和变形，采用</w:t>
            </w:r>
            <w:r>
              <w:rPr>
                <w:rFonts w:ascii="宋体" w:hAnsi="宋体" w:eastAsia="宋体" w:cs="宋体"/>
                <w:color w:val="auto"/>
                <w:sz w:val="21"/>
                <w:szCs w:val="21"/>
                <w:lang w:eastAsia="zh-CN"/>
              </w:rPr>
              <w:t>不锈钢2Cr13(403)制作。</w:t>
            </w:r>
          </w:p>
          <w:p>
            <w:pPr>
              <w:pStyle w:val="27"/>
              <w:spacing w:before="10" w:line="360" w:lineRule="auto"/>
              <w:ind w:left="24"/>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d.堰板、门框</w:t>
            </w:r>
          </w:p>
          <w:p>
            <w:pPr>
              <w:pStyle w:val="27"/>
              <w:spacing w:before="44" w:line="360" w:lineRule="auto"/>
              <w:ind w:left="24" w:right="122" w:firstLine="419"/>
              <w:jc w:val="both"/>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堰板应具有足够的强度以承受水压力，门板升降灵活。堰板和门框采用优质铸铁制作</w:t>
            </w:r>
            <w:r>
              <w:rPr>
                <w:rFonts w:ascii="宋体" w:hAnsi="宋体" w:eastAsia="宋体" w:cs="宋体"/>
                <w:color w:val="auto"/>
                <w:sz w:val="21"/>
                <w:szCs w:val="21"/>
                <w:lang w:eastAsia="zh-CN"/>
              </w:rPr>
              <w:t>所有安装用的紧固体均为不锈钢</w:t>
            </w:r>
            <w:r>
              <w:rPr>
                <w:rFonts w:ascii="宋体" w:hAnsi="宋体" w:eastAsia="宋体" w:cs="宋体"/>
                <w:color w:val="auto"/>
                <w:spacing w:val="-5"/>
                <w:sz w:val="21"/>
                <w:szCs w:val="21"/>
                <w:lang w:eastAsia="zh-CN"/>
              </w:rPr>
              <w:t>0Cr17Ni9(304)。密封件采用铜合金制造，厚度不小于</w:t>
            </w:r>
            <w:r>
              <w:rPr>
                <w:rFonts w:ascii="宋体" w:hAnsi="宋体" w:eastAsia="宋体" w:cs="宋体"/>
                <w:color w:val="auto"/>
                <w:sz w:val="21"/>
                <w:szCs w:val="21"/>
                <w:lang w:eastAsia="zh-CN"/>
              </w:rPr>
              <w:t>8mme防腐蚀</w:t>
            </w:r>
          </w:p>
          <w:p>
            <w:pPr>
              <w:pStyle w:val="27"/>
              <w:spacing w:before="10" w:line="360" w:lineRule="auto"/>
              <w:ind w:left="24" w:right="15" w:firstLine="419"/>
              <w:rPr>
                <w:rFonts w:ascii="宋体" w:hAnsi="宋体" w:eastAsia="宋体" w:cs="宋体"/>
                <w:color w:val="auto"/>
                <w:sz w:val="21"/>
                <w:szCs w:val="21"/>
                <w:lang w:eastAsia="zh-CN"/>
              </w:rPr>
            </w:pPr>
            <w:r>
              <w:rPr>
                <w:rFonts w:ascii="宋体" w:hAnsi="宋体" w:eastAsia="宋体" w:cs="宋体"/>
                <w:color w:val="auto"/>
                <w:spacing w:val="-4"/>
                <w:sz w:val="21"/>
                <w:szCs w:val="21"/>
                <w:lang w:eastAsia="zh-CN"/>
              </w:rPr>
              <w:t>堰门应能适合在污水环境下抗腐蚀气体中使用，除不锈钢以外均应按一般技术条款进行</w:t>
            </w:r>
            <w:r>
              <w:rPr>
                <w:rFonts w:ascii="宋体" w:hAnsi="宋体" w:eastAsia="宋体" w:cs="宋体"/>
                <w:color w:val="auto"/>
                <w:sz w:val="21"/>
                <w:szCs w:val="21"/>
                <w:lang w:eastAsia="zh-CN"/>
              </w:rPr>
              <w:t>处理。</w:t>
            </w:r>
          </w:p>
        </w:tc>
      </w:tr>
      <w:tr>
        <w:tblPrEx>
          <w:tblLayout w:type="fixed"/>
          <w:tblCellMar>
            <w:top w:w="0" w:type="dxa"/>
            <w:left w:w="0" w:type="dxa"/>
            <w:bottom w:w="0" w:type="dxa"/>
            <w:right w:w="0" w:type="dxa"/>
          </w:tblCellMar>
        </w:tblPrEx>
        <w:trPr>
          <w:jc w:val="center"/>
        </w:trPr>
        <w:tc>
          <w:tcPr>
            <w:tcW w:w="8709" w:type="dxa"/>
            <w:gridSpan w:val="5"/>
            <w:tcBorders>
              <w:top w:val="single" w:color="000000" w:sz="6" w:space="0"/>
              <w:left w:val="single" w:color="000000" w:sz="2" w:space="0"/>
              <w:bottom w:val="single" w:color="000000" w:sz="6" w:space="0"/>
              <w:right w:val="single" w:color="000000" w:sz="2" w:space="0"/>
            </w:tcBorders>
            <w:vAlign w:val="center"/>
          </w:tcPr>
          <w:p>
            <w:pPr>
              <w:pStyle w:val="27"/>
              <w:spacing w:line="360" w:lineRule="auto"/>
              <w:ind w:left="24"/>
              <w:rPr>
                <w:rFonts w:ascii="宋体" w:hAnsi="宋体" w:eastAsia="宋体" w:cs="宋体"/>
                <w:color w:val="auto"/>
                <w:sz w:val="21"/>
                <w:szCs w:val="21"/>
                <w:lang w:eastAsia="zh-CN"/>
              </w:rPr>
            </w:pPr>
            <w:r>
              <w:rPr>
                <w:rFonts w:ascii="宋体" w:hAnsi="宋体" w:eastAsia="宋体" w:cs="宋体"/>
                <w:color w:val="auto"/>
                <w:sz w:val="21"/>
                <w:szCs w:val="21"/>
                <w:lang w:eastAsia="zh-CN"/>
              </w:rPr>
              <w:t>2、蝶阀</w:t>
            </w:r>
          </w:p>
          <w:p>
            <w:pPr>
              <w:pStyle w:val="27"/>
              <w:spacing w:before="44" w:line="360" w:lineRule="auto"/>
              <w:ind w:left="24"/>
              <w:rPr>
                <w:rFonts w:ascii="宋体" w:hAnsi="宋体" w:eastAsia="宋体" w:cs="宋体"/>
                <w:color w:val="auto"/>
                <w:sz w:val="21"/>
                <w:szCs w:val="21"/>
                <w:lang w:eastAsia="zh-CN"/>
              </w:rPr>
            </w:pPr>
            <w:r>
              <w:rPr>
                <w:rFonts w:ascii="宋体" w:hAnsi="宋体" w:eastAsia="宋体" w:cs="宋体"/>
                <w:color w:val="auto"/>
                <w:sz w:val="21"/>
                <w:szCs w:val="21"/>
                <w:lang w:eastAsia="zh-CN"/>
              </w:rPr>
              <w:t>2.1设计要求</w:t>
            </w:r>
          </w:p>
          <w:p>
            <w:pPr>
              <w:pStyle w:val="27"/>
              <w:spacing w:before="44" w:line="360" w:lineRule="auto"/>
              <w:ind w:left="338"/>
              <w:rPr>
                <w:rFonts w:ascii="宋体" w:hAnsi="宋体" w:eastAsia="宋体" w:cs="宋体"/>
                <w:color w:val="auto"/>
                <w:sz w:val="21"/>
                <w:szCs w:val="21"/>
                <w:lang w:eastAsia="zh-CN"/>
              </w:rPr>
            </w:pPr>
            <w:r>
              <w:rPr>
                <w:rFonts w:ascii="宋体" w:hAnsi="宋体" w:eastAsia="宋体" w:cs="宋体"/>
                <w:color w:val="auto"/>
                <w:sz w:val="21"/>
                <w:szCs w:val="21"/>
                <w:lang w:eastAsia="zh-CN"/>
              </w:rPr>
              <w:t>蝶阀应采用双（三）偏心式金属密封蝶阀，阀门全开或全关所需的时间应小于2分钟。</w:t>
            </w:r>
          </w:p>
          <w:p>
            <w:pPr>
              <w:pStyle w:val="27"/>
              <w:spacing w:before="42" w:line="360" w:lineRule="auto"/>
              <w:ind w:left="24"/>
              <w:rPr>
                <w:rFonts w:ascii="宋体" w:hAnsi="宋体" w:eastAsia="宋体" w:cs="宋体"/>
                <w:color w:val="auto"/>
                <w:sz w:val="21"/>
                <w:szCs w:val="21"/>
                <w:lang w:eastAsia="zh-CN"/>
              </w:rPr>
            </w:pPr>
            <w:r>
              <w:rPr>
                <w:rFonts w:ascii="宋体" w:hAnsi="宋体" w:eastAsia="宋体" w:cs="宋体"/>
                <w:color w:val="auto"/>
                <w:sz w:val="21"/>
                <w:szCs w:val="21"/>
                <w:lang w:eastAsia="zh-CN"/>
              </w:rPr>
              <w:t>2.2结构和材料</w:t>
            </w:r>
          </w:p>
          <w:p>
            <w:pPr>
              <w:pStyle w:val="27"/>
              <w:spacing w:before="10" w:line="360" w:lineRule="auto"/>
              <w:ind w:left="24" w:right="17" w:firstLine="314"/>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法兰应符合ISOPN10（Bar）标准，法兰到法兰的尺寸应符合ISO或GB标准。阀门的轴应由1Cr17Ni2不锈钢或更好材料制作，阀轴采用整体轴，也可采用两个分开的“短轴”式，嵌入轴孔的长度不小于轴径的1.5倍，阀轴与阀板的连接强度应保证阀轴能传递最大扭矩。</w:t>
            </w:r>
          </w:p>
          <w:p>
            <w:pPr>
              <w:pStyle w:val="27"/>
              <w:spacing w:before="10" w:line="360" w:lineRule="auto"/>
              <w:ind w:left="24" w:right="17" w:firstLine="314"/>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阀轴的轴套应使用不需要任何外加润滑的自润滑轴承。阀板的金属密封座为不锈钢复合体，由不锈钢螺母和螺钉紧固在阀板上，阀体密封座可采用铸造不锈钢或堆焊的形式与阀体连成一体，阀板密封座与阀体密封座二者需有硬度差阀板采用球墨铸铁制造，必须具有足够的强度和刚度。轴伸出穿过阀体外，应提供轴密封装置，密封装置最好设计成标准O型密封，O型环密封应装在一个防腐的可移动凹槽内。</w:t>
            </w:r>
          </w:p>
          <w:p>
            <w:pPr>
              <w:pStyle w:val="27"/>
              <w:spacing w:before="42" w:line="360" w:lineRule="auto"/>
              <w:ind w:left="24"/>
              <w:rPr>
                <w:rFonts w:ascii="宋体" w:hAnsi="宋体" w:eastAsia="宋体" w:cs="宋体"/>
                <w:color w:val="auto"/>
                <w:sz w:val="21"/>
                <w:szCs w:val="21"/>
                <w:lang w:eastAsia="zh-CN"/>
              </w:rPr>
            </w:pPr>
            <w:r>
              <w:rPr>
                <w:rFonts w:ascii="宋体" w:hAnsi="宋体" w:eastAsia="宋体" w:cs="宋体"/>
                <w:color w:val="auto"/>
                <w:sz w:val="21"/>
                <w:szCs w:val="21"/>
                <w:lang w:eastAsia="zh-CN"/>
              </w:rPr>
              <w:t>2.3蝶阀的电动装置</w:t>
            </w:r>
          </w:p>
          <w:p>
            <w:pPr>
              <w:pStyle w:val="27"/>
              <w:spacing w:before="10" w:line="360" w:lineRule="auto"/>
              <w:ind w:left="24" w:right="17" w:firstLine="314"/>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电动装置应是户外式防水型的（IP55），电动装置的尺寸应满足当阀二边的压差为0.6MPa时，足以阀门的启闭操作。阀用电动装置为卧式安装。</w:t>
            </w:r>
          </w:p>
          <w:p>
            <w:pPr>
              <w:pStyle w:val="27"/>
              <w:spacing w:before="10" w:line="360" w:lineRule="auto"/>
              <w:ind w:left="24" w:right="17" w:firstLine="314"/>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电动装置的齿轮设计应符合</w:t>
            </w:r>
            <w:r>
              <w:rPr>
                <w:rFonts w:ascii="宋体" w:hAnsi="宋体" w:eastAsia="宋体" w:cs="宋体"/>
                <w:color w:val="auto"/>
                <w:spacing w:val="-3"/>
                <w:sz w:val="21"/>
                <w:szCs w:val="21"/>
                <w:lang w:eastAsia="zh-CN"/>
              </w:rPr>
              <w:t>ISO、DIN或等同标准，服务系数不小于2.0，齿轮材料为低合金钢，渗碳谇火处理，齿面硬度不低于HRC58。轴承寿命（B10）大于</w:t>
            </w:r>
            <w:r>
              <w:rPr>
                <w:rFonts w:ascii="宋体" w:hAnsi="宋体" w:eastAsia="宋体" w:cs="宋体"/>
                <w:color w:val="auto"/>
                <w:sz w:val="21"/>
                <w:szCs w:val="21"/>
                <w:lang w:eastAsia="zh-CN"/>
              </w:rPr>
              <w:t>10万小时，适宜于</w:t>
            </w:r>
            <w:r>
              <w:rPr>
                <w:rFonts w:ascii="宋体" w:hAnsi="宋体" w:eastAsia="宋体" w:cs="宋体"/>
                <w:color w:val="auto"/>
                <w:spacing w:val="-2"/>
                <w:sz w:val="21"/>
                <w:szCs w:val="21"/>
                <w:lang w:eastAsia="zh-CN"/>
              </w:rPr>
              <w:t>现场供电操作和远程控制，当电压降至正常电压的90%时，仍能保持满意的操作。</w:t>
            </w:r>
          </w:p>
          <w:p>
            <w:pPr>
              <w:pStyle w:val="27"/>
              <w:spacing w:before="10" w:line="360" w:lineRule="auto"/>
              <w:ind w:left="24" w:right="17" w:firstLine="314"/>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电动机应符合“电气条款”的要求，电机采用F级绝缘，额定时间为15分钟或成二倍的阀的行程时间，二者取大值。阀用驱动装置的齿轮箱应为全封闭油浴润滑型的。</w:t>
            </w:r>
          </w:p>
          <w:p>
            <w:pPr>
              <w:spacing w:before="10" w:line="360" w:lineRule="auto"/>
              <w:ind w:left="33" w:firstLine="314"/>
              <w:rPr>
                <w:rFonts w:ascii="宋体" w:hAnsi="宋体" w:eastAsia="宋体" w:cs="宋体"/>
                <w:color w:val="auto"/>
                <w:sz w:val="21"/>
                <w:szCs w:val="21"/>
                <w:lang w:eastAsia="zh-CN"/>
              </w:rPr>
            </w:pPr>
            <w:r>
              <w:rPr>
                <w:rFonts w:ascii="宋体" w:hAnsi="宋体" w:eastAsia="宋体" w:cs="宋体"/>
                <w:color w:val="auto"/>
                <w:spacing w:val="-13"/>
                <w:sz w:val="21"/>
                <w:szCs w:val="21"/>
                <w:lang w:eastAsia="zh-CN"/>
              </w:rPr>
              <w:t>应设置手轮操作机构，手动操作时，手轮启闭力（“推拉”力）应不大于</w:t>
            </w:r>
            <w:r>
              <w:rPr>
                <w:rFonts w:ascii="宋体" w:hAnsi="宋体" w:eastAsia="宋体" w:cs="宋体"/>
                <w:color w:val="auto"/>
                <w:spacing w:val="-8"/>
                <w:sz w:val="21"/>
                <w:szCs w:val="21"/>
                <w:lang w:eastAsia="zh-CN"/>
              </w:rPr>
              <w:t>150N（总共</w:t>
            </w:r>
            <w:r>
              <w:rPr>
                <w:rFonts w:ascii="宋体" w:hAnsi="宋体" w:eastAsia="宋体" w:cs="宋体"/>
                <w:color w:val="auto"/>
                <w:spacing w:val="-1"/>
                <w:sz w:val="21"/>
                <w:szCs w:val="21"/>
                <w:lang w:eastAsia="zh-CN"/>
              </w:rPr>
              <w:t>300N）</w:t>
            </w:r>
            <w:r>
              <w:rPr>
                <w:rFonts w:ascii="宋体" w:hAnsi="宋体" w:eastAsia="宋体" w:cs="宋体"/>
                <w:color w:val="auto"/>
                <w:sz w:val="21"/>
                <w:szCs w:val="21"/>
                <w:lang w:eastAsia="zh-CN"/>
              </w:rPr>
              <w:t>应设置刻度盘来指示阀门的开度，并安装过力矩保护装置及限位开关。</w:t>
            </w:r>
          </w:p>
          <w:p>
            <w:pPr>
              <w:spacing w:before="10" w:line="360" w:lineRule="auto"/>
              <w:ind w:left="33" w:right="113" w:firstLine="314"/>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电动执行机构应具有无错定位，与中央控制室数字通讯，可接受计算机进行现场数据处</w:t>
            </w:r>
            <w:r>
              <w:rPr>
                <w:rFonts w:ascii="宋体" w:hAnsi="宋体" w:eastAsia="宋体" w:cs="宋体"/>
                <w:color w:val="auto"/>
                <w:sz w:val="21"/>
                <w:szCs w:val="21"/>
                <w:lang w:eastAsia="zh-CN"/>
              </w:rPr>
              <w:t>理和自动设定功能等智能性。</w:t>
            </w:r>
          </w:p>
        </w:tc>
      </w:tr>
    </w:tbl>
    <w:p>
      <w:pPr>
        <w:pStyle w:val="30"/>
        <w:spacing w:before="120" w:after="120"/>
        <w:rPr>
          <w:b w:val="0"/>
          <w:bCs/>
          <w:color w:val="auto"/>
        </w:rPr>
      </w:pPr>
      <w:bookmarkStart w:id="257" w:name="_Toc117181370"/>
      <w:r>
        <w:rPr>
          <w:color w:val="auto"/>
        </w:rPr>
        <w:t>二沉池</w:t>
      </w:r>
      <w:bookmarkEnd w:id="257"/>
    </w:p>
    <w:p>
      <w:pPr>
        <w:pStyle w:val="31"/>
        <w:rPr>
          <w:color w:val="auto"/>
        </w:rPr>
      </w:pPr>
      <w:r>
        <w:rPr>
          <w:color w:val="auto"/>
        </w:rPr>
        <w:t>链式刮泥刮渣机</w:t>
      </w:r>
    </w:p>
    <w:tbl>
      <w:tblPr>
        <w:tblStyle w:val="25"/>
        <w:tblW w:w="8525" w:type="dxa"/>
        <w:tblInd w:w="0" w:type="dxa"/>
        <w:tblLayout w:type="fixed"/>
        <w:tblCellMar>
          <w:top w:w="0" w:type="dxa"/>
          <w:left w:w="0" w:type="dxa"/>
          <w:bottom w:w="0" w:type="dxa"/>
          <w:right w:w="0" w:type="dxa"/>
        </w:tblCellMar>
      </w:tblPr>
      <w:tblGrid>
        <w:gridCol w:w="1668"/>
        <w:gridCol w:w="2593"/>
        <w:gridCol w:w="2132"/>
        <w:gridCol w:w="2132"/>
      </w:tblGrid>
      <w:tr>
        <w:tblPrEx>
          <w:tblLayout w:type="fixed"/>
          <w:tblCellMar>
            <w:top w:w="0" w:type="dxa"/>
            <w:left w:w="0" w:type="dxa"/>
            <w:bottom w:w="0" w:type="dxa"/>
            <w:right w:w="0" w:type="dxa"/>
          </w:tblCellMar>
        </w:tblPrEx>
        <w:tc>
          <w:tcPr>
            <w:tcW w:w="1668"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20" w:firstLineChars="200"/>
              <w:rPr>
                <w:rFonts w:ascii="宋体" w:hAnsi="宋体" w:eastAsia="宋体" w:cs="宋体"/>
                <w:color w:val="auto"/>
                <w:sz w:val="21"/>
                <w:szCs w:val="21"/>
              </w:rPr>
            </w:pPr>
            <w:r>
              <w:rPr>
                <w:rFonts w:ascii="宋体" w:hAnsi="宋体" w:eastAsia="宋体" w:cs="宋体"/>
                <w:color w:val="auto"/>
                <w:sz w:val="21"/>
                <w:szCs w:val="21"/>
              </w:rPr>
              <w:t>设备名称</w:t>
            </w:r>
          </w:p>
        </w:tc>
        <w:tc>
          <w:tcPr>
            <w:tcW w:w="259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20" w:firstLineChars="200"/>
              <w:rPr>
                <w:rFonts w:ascii="宋体" w:hAnsi="宋体" w:eastAsia="宋体" w:cs="宋体"/>
                <w:color w:val="auto"/>
                <w:sz w:val="21"/>
                <w:szCs w:val="21"/>
              </w:rPr>
            </w:pPr>
            <w:r>
              <w:rPr>
                <w:rFonts w:ascii="宋体" w:hAnsi="宋体" w:eastAsia="宋体" w:cs="宋体"/>
                <w:color w:val="auto"/>
                <w:sz w:val="21"/>
                <w:szCs w:val="21"/>
              </w:rPr>
              <w:t>规格</w:t>
            </w:r>
          </w:p>
        </w:tc>
        <w:tc>
          <w:tcPr>
            <w:tcW w:w="213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20" w:firstLineChars="200"/>
              <w:rPr>
                <w:rFonts w:ascii="宋体" w:hAnsi="宋体" w:eastAsia="宋体" w:cs="宋体"/>
                <w:color w:val="auto"/>
                <w:sz w:val="21"/>
                <w:szCs w:val="21"/>
              </w:rPr>
            </w:pPr>
            <w:r>
              <w:rPr>
                <w:rFonts w:ascii="宋体" w:hAnsi="宋体" w:eastAsia="宋体" w:cs="宋体"/>
                <w:color w:val="auto"/>
                <w:sz w:val="21"/>
                <w:szCs w:val="21"/>
              </w:rPr>
              <w:t>数量</w:t>
            </w:r>
          </w:p>
        </w:tc>
        <w:tc>
          <w:tcPr>
            <w:tcW w:w="213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20" w:firstLineChars="200"/>
              <w:rPr>
                <w:rFonts w:ascii="宋体" w:hAnsi="宋体" w:eastAsia="宋体" w:cs="宋体"/>
                <w:color w:val="auto"/>
                <w:sz w:val="21"/>
                <w:szCs w:val="21"/>
              </w:rPr>
            </w:pPr>
            <w:r>
              <w:rPr>
                <w:rFonts w:ascii="宋体" w:hAnsi="宋体" w:eastAsia="宋体" w:cs="宋体"/>
                <w:color w:val="auto"/>
                <w:sz w:val="21"/>
                <w:szCs w:val="21"/>
              </w:rPr>
              <w:t>备注</w:t>
            </w:r>
          </w:p>
        </w:tc>
      </w:tr>
      <w:tr>
        <w:tblPrEx>
          <w:tblLayout w:type="fixed"/>
          <w:tblCellMar>
            <w:top w:w="0" w:type="dxa"/>
            <w:left w:w="0" w:type="dxa"/>
            <w:bottom w:w="0" w:type="dxa"/>
            <w:right w:w="0" w:type="dxa"/>
          </w:tblCellMar>
        </w:tblPrEx>
        <w:tc>
          <w:tcPr>
            <w:tcW w:w="1668"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rPr>
                <w:rFonts w:ascii="宋体" w:hAnsi="宋体" w:eastAsia="宋体" w:cs="宋体"/>
                <w:color w:val="auto"/>
                <w:sz w:val="21"/>
                <w:szCs w:val="21"/>
              </w:rPr>
            </w:pPr>
            <w:r>
              <w:rPr>
                <w:rFonts w:ascii="宋体" w:hAnsi="宋体" w:eastAsia="宋体" w:cs="宋体"/>
                <w:color w:val="auto"/>
                <w:sz w:val="21"/>
                <w:szCs w:val="21"/>
              </w:rPr>
              <w:t>链式刮泥刮渣机</w:t>
            </w:r>
          </w:p>
        </w:tc>
        <w:tc>
          <w:tcPr>
            <w:tcW w:w="259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rPr>
                <w:rFonts w:ascii="宋体" w:hAnsi="宋体" w:eastAsia="宋体" w:cs="宋体"/>
                <w:color w:val="auto"/>
                <w:sz w:val="21"/>
                <w:szCs w:val="21"/>
              </w:rPr>
            </w:pPr>
            <w:r>
              <w:rPr>
                <w:rFonts w:ascii="宋体" w:hAnsi="宋体" w:eastAsia="宋体" w:cs="宋体"/>
                <w:color w:val="auto"/>
                <w:sz w:val="21"/>
                <w:szCs w:val="21"/>
              </w:rPr>
              <w:t>渠宽B=4.2m</w:t>
            </w:r>
            <w:r>
              <w:rPr>
                <w:rFonts w:hint="eastAsia" w:ascii="宋体" w:hAnsi="宋体" w:eastAsia="宋体" w:cs="宋体"/>
                <w:color w:val="auto"/>
                <w:sz w:val="21"/>
                <w:szCs w:val="21"/>
                <w:lang w:eastAsia="zh-CN"/>
              </w:rPr>
              <w:t>，</w:t>
            </w:r>
            <w:r>
              <w:rPr>
                <w:rFonts w:ascii="宋体" w:hAnsi="宋体" w:eastAsia="宋体" w:cs="宋体"/>
                <w:color w:val="auto"/>
                <w:sz w:val="21"/>
                <w:szCs w:val="21"/>
              </w:rPr>
              <w:t>渠长L=</w:t>
            </w:r>
            <w:r>
              <w:rPr>
                <w:rFonts w:hint="eastAsia" w:ascii="宋体" w:hAnsi="宋体" w:eastAsia="宋体" w:cs="宋体"/>
                <w:color w:val="auto"/>
                <w:sz w:val="21"/>
                <w:szCs w:val="21"/>
                <w:lang w:eastAsia="zh-CN"/>
              </w:rPr>
              <w:t>52</w:t>
            </w:r>
            <w:r>
              <w:rPr>
                <w:rFonts w:ascii="宋体" w:hAnsi="宋体" w:eastAsia="宋体" w:cs="宋体"/>
                <w:color w:val="auto"/>
                <w:sz w:val="21"/>
                <w:szCs w:val="21"/>
              </w:rPr>
              <w:t>m</w:t>
            </w:r>
            <w:r>
              <w:rPr>
                <w:rFonts w:hint="eastAsia" w:ascii="宋体" w:hAnsi="宋体" w:eastAsia="宋体" w:cs="宋体"/>
                <w:color w:val="auto"/>
                <w:sz w:val="21"/>
                <w:szCs w:val="21"/>
                <w:lang w:eastAsia="zh-CN"/>
              </w:rPr>
              <w:t>，</w:t>
            </w:r>
            <w:r>
              <w:rPr>
                <w:rFonts w:ascii="宋体" w:hAnsi="宋体" w:eastAsia="宋体" w:cs="宋体"/>
                <w:color w:val="auto"/>
                <w:sz w:val="21"/>
                <w:szCs w:val="21"/>
              </w:rPr>
              <w:t>V=0.2~0.6m/min</w:t>
            </w:r>
            <w:r>
              <w:rPr>
                <w:rFonts w:hint="eastAsia" w:ascii="宋体" w:hAnsi="宋体" w:eastAsia="宋体" w:cs="宋体"/>
                <w:color w:val="auto"/>
                <w:sz w:val="21"/>
                <w:szCs w:val="21"/>
                <w:lang w:eastAsia="zh-CN"/>
              </w:rPr>
              <w:t>，</w:t>
            </w:r>
            <w:r>
              <w:rPr>
                <w:rFonts w:ascii="宋体" w:hAnsi="宋体" w:eastAsia="宋体" w:cs="宋体"/>
                <w:color w:val="auto"/>
                <w:sz w:val="21"/>
                <w:szCs w:val="21"/>
              </w:rPr>
              <w:t>N</w:t>
            </w:r>
            <w:r>
              <w:rPr>
                <w:rFonts w:ascii="宋体"/>
                <w:color w:val="auto"/>
                <w:sz w:val="21"/>
              </w:rPr>
              <w:t>=</w:t>
            </w:r>
            <w:r>
              <w:rPr>
                <w:rFonts w:hint="eastAsia" w:ascii="宋体"/>
                <w:color w:val="auto"/>
                <w:sz w:val="21"/>
                <w:lang w:eastAsia="zh-CN"/>
              </w:rPr>
              <w:t>2.0</w:t>
            </w:r>
            <w:r>
              <w:rPr>
                <w:rFonts w:ascii="宋体"/>
                <w:color w:val="auto"/>
                <w:sz w:val="21"/>
              </w:rPr>
              <w:t>kW</w:t>
            </w:r>
          </w:p>
        </w:tc>
        <w:tc>
          <w:tcPr>
            <w:tcW w:w="213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rPr>
                <w:rFonts w:ascii="宋体" w:hAnsi="宋体" w:eastAsia="宋体" w:cs="宋体"/>
                <w:color w:val="auto"/>
                <w:sz w:val="21"/>
                <w:szCs w:val="21"/>
                <w:lang w:eastAsia="zh-CN"/>
              </w:rPr>
            </w:pPr>
            <w:r>
              <w:rPr>
                <w:rFonts w:hint="eastAsia" w:ascii="宋体"/>
                <w:color w:val="auto"/>
                <w:sz w:val="21"/>
                <w:lang w:eastAsia="zh-CN"/>
              </w:rPr>
              <w:t>5</w:t>
            </w:r>
          </w:p>
        </w:tc>
        <w:tc>
          <w:tcPr>
            <w:tcW w:w="213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含进水渠配水孔管，S304不锈钢导流板、出水堰板和挡渣板等配套设施</w:t>
            </w:r>
          </w:p>
        </w:tc>
      </w:tr>
      <w:tr>
        <w:tblPrEx>
          <w:tblLayout w:type="fixed"/>
          <w:tblCellMar>
            <w:top w:w="0" w:type="dxa"/>
            <w:left w:w="0" w:type="dxa"/>
            <w:bottom w:w="0" w:type="dxa"/>
            <w:right w:w="0" w:type="dxa"/>
          </w:tblCellMar>
        </w:tblPrEx>
        <w:tc>
          <w:tcPr>
            <w:tcW w:w="1668"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rPr>
                <w:rFonts w:ascii="宋体" w:hAnsi="宋体" w:eastAsia="宋体" w:cs="宋体"/>
                <w:color w:val="auto"/>
                <w:sz w:val="21"/>
                <w:szCs w:val="21"/>
                <w:lang w:eastAsia="zh-CN"/>
              </w:rPr>
            </w:pPr>
            <w:r>
              <w:rPr>
                <w:rFonts w:ascii="宋体" w:hAnsi="宋体" w:eastAsia="宋体" w:cs="宋体"/>
                <w:color w:val="auto"/>
                <w:sz w:val="21"/>
                <w:szCs w:val="21"/>
                <w:lang w:eastAsia="zh-CN"/>
              </w:rPr>
              <w:t>液压排泥管及污泥控制阀</w:t>
            </w:r>
          </w:p>
        </w:tc>
        <w:tc>
          <w:tcPr>
            <w:tcW w:w="259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rPr>
                <w:rFonts w:ascii="宋体" w:hAnsi="宋体" w:eastAsia="宋体" w:cs="宋体"/>
                <w:color w:val="auto"/>
                <w:sz w:val="21"/>
                <w:szCs w:val="21"/>
                <w:lang w:eastAsia="zh-CN"/>
              </w:rPr>
            </w:pPr>
            <w:r>
              <w:rPr>
                <w:rFonts w:ascii="宋体" w:hAnsi="宋体" w:eastAsia="宋体" w:cs="宋体"/>
                <w:color w:val="auto"/>
                <w:sz w:val="21"/>
                <w:szCs w:val="21"/>
                <w:lang w:eastAsia="zh-CN"/>
              </w:rPr>
              <w:t>排泥管DN200污泥控制阀液位调节范围1.0m</w:t>
            </w:r>
          </w:p>
        </w:tc>
        <w:tc>
          <w:tcPr>
            <w:tcW w:w="213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rPr>
                <w:rFonts w:ascii="宋体" w:hAnsi="宋体" w:eastAsia="宋体" w:cs="宋体"/>
                <w:color w:val="auto"/>
                <w:sz w:val="21"/>
                <w:szCs w:val="21"/>
                <w:lang w:eastAsia="zh-CN"/>
              </w:rPr>
            </w:pPr>
            <w:r>
              <w:rPr>
                <w:rFonts w:hint="eastAsia" w:ascii="宋体"/>
                <w:color w:val="auto"/>
                <w:sz w:val="21"/>
                <w:lang w:eastAsia="zh-CN"/>
              </w:rPr>
              <w:t>35</w:t>
            </w:r>
          </w:p>
        </w:tc>
        <w:tc>
          <w:tcPr>
            <w:tcW w:w="2132" w:type="dxa"/>
            <w:tcBorders>
              <w:top w:val="single" w:color="000000" w:sz="4" w:space="0"/>
              <w:left w:val="single" w:color="000000" w:sz="4" w:space="0"/>
              <w:bottom w:val="single" w:color="000000" w:sz="4" w:space="0"/>
              <w:right w:val="single" w:color="000000" w:sz="4" w:space="0"/>
            </w:tcBorders>
            <w:vAlign w:val="center"/>
          </w:tcPr>
          <w:p>
            <w:pPr>
              <w:spacing w:line="360" w:lineRule="auto"/>
              <w:rPr>
                <w:color w:val="auto"/>
              </w:rPr>
            </w:pPr>
          </w:p>
        </w:tc>
      </w:tr>
      <w:tr>
        <w:tblPrEx>
          <w:tblLayout w:type="fixed"/>
          <w:tblCellMar>
            <w:top w:w="0" w:type="dxa"/>
            <w:left w:w="0" w:type="dxa"/>
            <w:bottom w:w="0" w:type="dxa"/>
            <w:right w:w="0" w:type="dxa"/>
          </w:tblCellMar>
        </w:tblPrEx>
        <w:tc>
          <w:tcPr>
            <w:tcW w:w="1668"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rPr>
                <w:rFonts w:ascii="宋体" w:hAnsi="宋体" w:eastAsia="宋体" w:cs="宋体"/>
                <w:color w:val="auto"/>
                <w:sz w:val="21"/>
                <w:szCs w:val="21"/>
              </w:rPr>
            </w:pPr>
            <w:r>
              <w:rPr>
                <w:rFonts w:ascii="宋体" w:hAnsi="宋体" w:eastAsia="宋体" w:cs="宋体"/>
                <w:color w:val="auto"/>
                <w:sz w:val="21"/>
                <w:szCs w:val="21"/>
              </w:rPr>
              <w:t>电动旋转撇渣管</w:t>
            </w:r>
          </w:p>
        </w:tc>
        <w:tc>
          <w:tcPr>
            <w:tcW w:w="2593"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DN300，P=1.5kW</w:t>
            </w:r>
          </w:p>
        </w:tc>
        <w:tc>
          <w:tcPr>
            <w:tcW w:w="213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rPr>
                <w:rFonts w:ascii="宋体" w:hAnsi="宋体" w:eastAsia="宋体" w:cs="宋体"/>
                <w:color w:val="auto"/>
                <w:sz w:val="21"/>
                <w:szCs w:val="21"/>
                <w:lang w:eastAsia="zh-CN"/>
              </w:rPr>
            </w:pPr>
            <w:r>
              <w:rPr>
                <w:rFonts w:hint="eastAsia" w:ascii="宋体"/>
                <w:color w:val="auto"/>
                <w:sz w:val="21"/>
                <w:lang w:eastAsia="zh-CN"/>
              </w:rPr>
              <w:t>5</w:t>
            </w:r>
          </w:p>
        </w:tc>
        <w:tc>
          <w:tcPr>
            <w:tcW w:w="2132" w:type="dxa"/>
            <w:tcBorders>
              <w:top w:val="single" w:color="000000" w:sz="4" w:space="0"/>
              <w:left w:val="single" w:color="000000" w:sz="4" w:space="0"/>
              <w:bottom w:val="single" w:color="000000" w:sz="4" w:space="0"/>
              <w:right w:val="single" w:color="000000" w:sz="4" w:space="0"/>
            </w:tcBorders>
            <w:vAlign w:val="center"/>
          </w:tcPr>
          <w:p>
            <w:pPr>
              <w:pStyle w:val="27"/>
              <w:spacing w:line="360" w:lineRule="auto"/>
              <w:rPr>
                <w:rFonts w:ascii="宋体" w:hAnsi="宋体" w:eastAsia="宋体" w:cs="宋体"/>
                <w:color w:val="auto"/>
                <w:sz w:val="21"/>
                <w:szCs w:val="21"/>
              </w:rPr>
            </w:pPr>
            <w:r>
              <w:rPr>
                <w:rFonts w:ascii="宋体" w:hAnsi="宋体" w:eastAsia="宋体" w:cs="宋体"/>
                <w:color w:val="auto"/>
                <w:sz w:val="21"/>
                <w:szCs w:val="21"/>
              </w:rPr>
              <w:t>自带控制箱</w:t>
            </w:r>
          </w:p>
        </w:tc>
      </w:tr>
      <w:tr>
        <w:tblPrEx>
          <w:tblLayout w:type="fixed"/>
          <w:tblCellMar>
            <w:top w:w="0" w:type="dxa"/>
            <w:left w:w="0" w:type="dxa"/>
            <w:bottom w:w="0" w:type="dxa"/>
            <w:right w:w="0" w:type="dxa"/>
          </w:tblCellMar>
        </w:tblPrEx>
        <w:tc>
          <w:tcPr>
            <w:tcW w:w="8525" w:type="dxa"/>
            <w:gridSpan w:val="4"/>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20" w:firstLineChars="200"/>
              <w:rPr>
                <w:rFonts w:ascii="宋体" w:hAnsi="宋体" w:eastAsia="宋体" w:cs="宋体"/>
                <w:color w:val="auto"/>
                <w:sz w:val="21"/>
                <w:szCs w:val="21"/>
              </w:rPr>
            </w:pPr>
            <w:r>
              <w:rPr>
                <w:rFonts w:ascii="宋体" w:hAnsi="宋体" w:eastAsia="宋体" w:cs="宋体"/>
                <w:color w:val="auto"/>
                <w:sz w:val="21"/>
                <w:szCs w:val="21"/>
              </w:rPr>
              <w:t>技术要求</w:t>
            </w:r>
          </w:p>
        </w:tc>
      </w:tr>
      <w:tr>
        <w:tblPrEx>
          <w:tblLayout w:type="fixed"/>
          <w:tblCellMar>
            <w:top w:w="0" w:type="dxa"/>
            <w:left w:w="0" w:type="dxa"/>
            <w:bottom w:w="0" w:type="dxa"/>
            <w:right w:w="0" w:type="dxa"/>
          </w:tblCellMar>
        </w:tblPrEx>
        <w:tc>
          <w:tcPr>
            <w:tcW w:w="8525" w:type="dxa"/>
            <w:gridSpan w:val="4"/>
            <w:tcBorders>
              <w:top w:val="single" w:color="000000" w:sz="4" w:space="0"/>
              <w:left w:val="single" w:color="000000" w:sz="4" w:space="0"/>
              <w:bottom w:val="single" w:color="000000" w:sz="4" w:space="0"/>
              <w:right w:val="single" w:color="000000" w:sz="4" w:space="0"/>
            </w:tcBorders>
            <w:vAlign w:val="center"/>
          </w:tcPr>
          <w:p>
            <w:pPr>
              <w:pStyle w:val="27"/>
              <w:spacing w:line="360" w:lineRule="auto"/>
              <w:ind w:firstLine="420" w:firstLineChars="200"/>
              <w:rPr>
                <w:rFonts w:ascii="宋体" w:hAnsi="宋体" w:eastAsia="宋体" w:cs="宋体"/>
                <w:color w:val="auto"/>
                <w:sz w:val="21"/>
                <w:szCs w:val="21"/>
                <w:lang w:eastAsia="zh-CN"/>
              </w:rPr>
            </w:pPr>
            <w:r>
              <w:rPr>
                <w:rFonts w:ascii="宋体" w:hAnsi="宋体" w:eastAsia="宋体" w:cs="宋体"/>
                <w:color w:val="auto"/>
                <w:sz w:val="21"/>
                <w:szCs w:val="21"/>
                <w:lang w:eastAsia="zh-CN"/>
              </w:rPr>
              <w:t>1．驱动装置</w:t>
            </w:r>
          </w:p>
          <w:p>
            <w:pPr>
              <w:pStyle w:val="27"/>
              <w:tabs>
                <w:tab w:val="left" w:pos="883"/>
              </w:tabs>
              <w:spacing w:line="360" w:lineRule="auto"/>
              <w:ind w:firstLine="420" w:firstLineChars="200"/>
              <w:rPr>
                <w:rFonts w:ascii="宋体" w:hAnsi="宋体" w:eastAsia="宋体" w:cs="宋体"/>
                <w:color w:val="auto"/>
                <w:sz w:val="21"/>
                <w:szCs w:val="21"/>
                <w:lang w:eastAsia="zh-CN"/>
              </w:rPr>
            </w:pPr>
            <w:r>
              <w:rPr>
                <w:rFonts w:ascii="Times New Roman" w:hAnsi="Times New Roman" w:eastAsia="Times New Roman" w:cs="Times New Roman"/>
                <w:color w:val="auto"/>
                <w:sz w:val="21"/>
                <w:szCs w:val="21"/>
                <w:lang w:eastAsia="zh-CN"/>
              </w:rPr>
              <w:t>-</w:t>
            </w:r>
            <w:r>
              <w:rPr>
                <w:rFonts w:ascii="Times New Roman" w:hAnsi="Times New Roman" w:eastAsia="Times New Roman" w:cs="Times New Roman"/>
                <w:color w:val="auto"/>
                <w:sz w:val="21"/>
                <w:szCs w:val="21"/>
                <w:lang w:eastAsia="zh-CN"/>
              </w:rPr>
              <w:tab/>
            </w:r>
            <w:r>
              <w:rPr>
                <w:rFonts w:ascii="宋体" w:hAnsi="宋体" w:eastAsia="宋体" w:cs="宋体"/>
                <w:color w:val="auto"/>
                <w:spacing w:val="-3"/>
                <w:sz w:val="21"/>
                <w:szCs w:val="21"/>
                <w:lang w:eastAsia="zh-CN"/>
              </w:rPr>
              <w:t>沉淀池刮泥机采用单侧驱动装置，每套纵向二沉池刮泥系统设置一台独立的驱动装</w:t>
            </w:r>
            <w:r>
              <w:rPr>
                <w:rFonts w:ascii="宋体" w:hAnsi="宋体" w:eastAsia="宋体" w:cs="宋体"/>
                <w:color w:val="auto"/>
                <w:sz w:val="21"/>
                <w:szCs w:val="21"/>
                <w:lang w:eastAsia="zh-CN"/>
              </w:rPr>
              <w:t>置。</w:t>
            </w:r>
          </w:p>
          <w:p>
            <w:pPr>
              <w:pStyle w:val="27"/>
              <w:tabs>
                <w:tab w:val="left" w:pos="883"/>
              </w:tabs>
              <w:spacing w:line="360" w:lineRule="auto"/>
              <w:ind w:firstLine="420" w:firstLineChars="200"/>
              <w:rPr>
                <w:rFonts w:ascii="宋体" w:hAnsi="宋体" w:eastAsia="宋体" w:cs="宋体"/>
                <w:color w:val="auto"/>
                <w:sz w:val="21"/>
                <w:szCs w:val="21"/>
                <w:lang w:eastAsia="zh-CN"/>
              </w:rPr>
            </w:pPr>
            <w:r>
              <w:rPr>
                <w:rFonts w:ascii="Times New Roman" w:hAnsi="Times New Roman" w:eastAsia="Times New Roman" w:cs="Times New Roman"/>
                <w:color w:val="auto"/>
                <w:sz w:val="21"/>
                <w:szCs w:val="21"/>
                <w:lang w:eastAsia="zh-CN"/>
              </w:rPr>
              <w:t>-</w:t>
            </w:r>
            <w:r>
              <w:rPr>
                <w:rFonts w:ascii="Times New Roman" w:hAnsi="Times New Roman" w:eastAsia="Times New Roman" w:cs="Times New Roman"/>
                <w:color w:val="auto"/>
                <w:sz w:val="21"/>
                <w:szCs w:val="21"/>
                <w:lang w:eastAsia="zh-CN"/>
              </w:rPr>
              <w:tab/>
            </w:r>
            <w:r>
              <w:rPr>
                <w:rFonts w:ascii="宋体" w:hAnsi="宋体" w:eastAsia="宋体" w:cs="宋体"/>
                <w:color w:val="auto"/>
                <w:sz w:val="21"/>
                <w:szCs w:val="21"/>
                <w:lang w:eastAsia="zh-CN"/>
              </w:rPr>
              <w:t>驱动装置的减速机应安装于土建基础上</w:t>
            </w:r>
          </w:p>
          <w:p>
            <w:pPr>
              <w:pStyle w:val="27"/>
              <w:tabs>
                <w:tab w:val="left" w:pos="883"/>
              </w:tabs>
              <w:spacing w:line="360" w:lineRule="auto"/>
              <w:ind w:firstLine="420" w:firstLineChars="200"/>
              <w:rPr>
                <w:rFonts w:ascii="宋体" w:hAnsi="宋体" w:eastAsia="宋体" w:cs="宋体"/>
                <w:color w:val="auto"/>
                <w:sz w:val="21"/>
                <w:szCs w:val="21"/>
                <w:lang w:eastAsia="zh-CN"/>
              </w:rPr>
            </w:pPr>
            <w:r>
              <w:rPr>
                <w:rFonts w:ascii="Times New Roman" w:hAnsi="Times New Roman" w:eastAsia="Times New Roman" w:cs="Times New Roman"/>
                <w:color w:val="auto"/>
                <w:sz w:val="21"/>
                <w:szCs w:val="21"/>
                <w:lang w:eastAsia="zh-CN"/>
              </w:rPr>
              <w:t>-</w:t>
            </w:r>
            <w:r>
              <w:rPr>
                <w:rFonts w:ascii="Times New Roman" w:hAnsi="Times New Roman" w:eastAsia="Times New Roman" w:cs="Times New Roman"/>
                <w:color w:val="auto"/>
                <w:sz w:val="21"/>
                <w:szCs w:val="21"/>
                <w:lang w:eastAsia="zh-CN"/>
              </w:rPr>
              <w:tab/>
            </w:r>
            <w:r>
              <w:rPr>
                <w:rFonts w:ascii="宋体" w:hAnsi="宋体" w:eastAsia="宋体" w:cs="宋体"/>
                <w:color w:val="auto"/>
                <w:spacing w:val="-3"/>
                <w:sz w:val="21"/>
                <w:szCs w:val="21"/>
                <w:lang w:eastAsia="zh-CN"/>
              </w:rPr>
              <w:t>驱动装置应采用电机直联的斜齿式减速机结构，全封闭油传动并全部为耐磨滚珠轴</w:t>
            </w:r>
            <w:r>
              <w:rPr>
                <w:rFonts w:ascii="宋体" w:hAnsi="宋体" w:eastAsia="宋体" w:cs="宋体"/>
                <w:color w:val="auto"/>
                <w:sz w:val="21"/>
                <w:szCs w:val="21"/>
                <w:lang w:eastAsia="zh-CN"/>
              </w:rPr>
              <w:t>承输出。</w:t>
            </w:r>
          </w:p>
          <w:p>
            <w:pPr>
              <w:pStyle w:val="27"/>
              <w:tabs>
                <w:tab w:val="left" w:pos="883"/>
              </w:tabs>
              <w:spacing w:line="360" w:lineRule="auto"/>
              <w:ind w:firstLine="420" w:firstLineChars="200"/>
              <w:rPr>
                <w:rFonts w:ascii="宋体" w:hAnsi="宋体" w:eastAsia="宋体" w:cs="宋体"/>
                <w:color w:val="auto"/>
                <w:sz w:val="21"/>
                <w:szCs w:val="21"/>
                <w:lang w:eastAsia="zh-CN"/>
              </w:rPr>
            </w:pPr>
            <w:r>
              <w:rPr>
                <w:rFonts w:ascii="Times New Roman" w:hAnsi="Times New Roman" w:eastAsia="Times New Roman" w:cs="Times New Roman"/>
                <w:color w:val="auto"/>
                <w:sz w:val="21"/>
                <w:szCs w:val="21"/>
                <w:lang w:eastAsia="zh-CN"/>
              </w:rPr>
              <w:t>-</w:t>
            </w:r>
            <w:r>
              <w:rPr>
                <w:rFonts w:ascii="Times New Roman" w:hAnsi="Times New Roman" w:eastAsia="Times New Roman" w:cs="Times New Roman"/>
                <w:color w:val="auto"/>
                <w:sz w:val="21"/>
                <w:szCs w:val="21"/>
                <w:lang w:eastAsia="zh-CN"/>
              </w:rPr>
              <w:tab/>
            </w:r>
            <w:r>
              <w:rPr>
                <w:rFonts w:ascii="宋体" w:hAnsi="宋体" w:eastAsia="宋体" w:cs="宋体"/>
                <w:color w:val="auto"/>
                <w:sz w:val="21"/>
                <w:szCs w:val="21"/>
                <w:lang w:eastAsia="zh-CN"/>
              </w:rPr>
              <w:t>电机与减速机应采用直联结构形式，三角皮带传动形式不被采纳。</w:t>
            </w:r>
          </w:p>
          <w:p>
            <w:pPr>
              <w:pStyle w:val="27"/>
              <w:spacing w:line="360" w:lineRule="auto"/>
              <w:ind w:firstLine="420" w:firstLineChars="200"/>
              <w:jc w:val="both"/>
              <w:rPr>
                <w:rFonts w:ascii="宋体" w:hAnsi="宋体" w:eastAsia="宋体" w:cs="宋体"/>
                <w:color w:val="auto"/>
                <w:sz w:val="21"/>
                <w:szCs w:val="21"/>
                <w:lang w:eastAsia="zh-CN"/>
              </w:rPr>
            </w:pPr>
            <w:r>
              <w:rPr>
                <w:rFonts w:ascii="Times New Roman" w:hAnsi="Times New Roman" w:eastAsia="Times New Roman" w:cs="Times New Roman"/>
                <w:color w:val="auto"/>
                <w:sz w:val="21"/>
                <w:szCs w:val="21"/>
                <w:lang w:eastAsia="zh-CN"/>
              </w:rPr>
              <w:t>-</w:t>
            </w:r>
            <w:r>
              <w:rPr>
                <w:rFonts w:ascii="宋体" w:hAnsi="宋体" w:eastAsia="宋体" w:cs="宋体"/>
                <w:color w:val="auto"/>
                <w:sz w:val="21"/>
                <w:szCs w:val="21"/>
                <w:lang w:eastAsia="zh-CN"/>
              </w:rPr>
              <w:t>驱动电机应适用于户外使用工作，适用于恒速，大负载启动。在正常操作条件下，能连续驱动设备不会过载。电机为NEMA4标准，电机电压380V，3P，50Hz，防护等级为IP55，绝缘等级为F级，B级温升。</w:t>
            </w:r>
          </w:p>
          <w:p>
            <w:pPr>
              <w:pStyle w:val="11"/>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rFonts w:cs="宋体"/>
                <w:color w:val="auto"/>
                <w:spacing w:val="2"/>
                <w:lang w:eastAsia="zh-CN"/>
              </w:rPr>
              <w:t>驱动装置应由专业制造商在制造厂内完成组装并完整的运到现场以保证所有部件</w:t>
            </w:r>
            <w:r>
              <w:rPr>
                <w:color w:val="auto"/>
                <w:lang w:eastAsia="zh-CN"/>
              </w:rPr>
              <w:t>的完整和良好装配。</w:t>
            </w:r>
          </w:p>
          <w:p>
            <w:pPr>
              <w:spacing w:line="360" w:lineRule="auto"/>
              <w:ind w:firstLine="301" w:firstLineChars="200"/>
              <w:rPr>
                <w:rFonts w:ascii="宋体" w:hAnsi="宋体" w:eastAsia="宋体" w:cs="宋体"/>
                <w:b/>
                <w:bCs/>
                <w:color w:val="auto"/>
                <w:sz w:val="15"/>
                <w:szCs w:val="15"/>
                <w:lang w:eastAsia="zh-CN"/>
              </w:rPr>
            </w:pPr>
          </w:p>
          <w:p>
            <w:pPr>
              <w:pStyle w:val="11"/>
              <w:tabs>
                <w:tab w:val="left" w:pos="883"/>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spacing w:val="-3"/>
                <w:lang w:eastAsia="zh-CN"/>
              </w:rPr>
              <w:t>驱动链应采用不锈钢或非金属工程塑料或增强尼龙或更好材质，以保证在工作过程</w:t>
            </w:r>
            <w:r>
              <w:rPr>
                <w:color w:val="auto"/>
                <w:spacing w:val="-4"/>
                <w:lang w:eastAsia="zh-CN"/>
              </w:rPr>
              <w:t>中链条的延伸量小且不出现链条断裂的情况，其最大破断强度的安全系数应大于</w:t>
            </w:r>
            <w:r>
              <w:rPr>
                <w:rFonts w:cs="宋体"/>
                <w:color w:val="auto"/>
                <w:spacing w:val="-2"/>
                <w:lang w:eastAsia="zh-CN"/>
              </w:rPr>
              <w:t>4</w:t>
            </w:r>
            <w:r>
              <w:rPr>
                <w:color w:val="auto"/>
                <w:spacing w:val="-2"/>
                <w:lang w:eastAsia="zh-CN"/>
              </w:rPr>
              <w:t>。</w:t>
            </w:r>
          </w:p>
          <w:p>
            <w:pPr>
              <w:pStyle w:val="11"/>
              <w:tabs>
                <w:tab w:val="left" w:pos="883"/>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减速箱的齿轮设计应符合</w:t>
            </w:r>
            <w:r>
              <w:rPr>
                <w:rFonts w:cs="宋体"/>
                <w:color w:val="auto"/>
                <w:lang w:eastAsia="zh-CN"/>
              </w:rPr>
              <w:t>ISO</w:t>
            </w:r>
            <w:r>
              <w:rPr>
                <w:color w:val="auto"/>
                <w:lang w:eastAsia="zh-CN"/>
              </w:rPr>
              <w:t>或同类标准，服务系数不低于</w:t>
            </w:r>
            <w:r>
              <w:rPr>
                <w:rFonts w:cs="宋体"/>
                <w:color w:val="auto"/>
                <w:lang w:eastAsia="zh-CN"/>
              </w:rPr>
              <w:t>2.0</w:t>
            </w:r>
            <w:r>
              <w:rPr>
                <w:color w:val="auto"/>
                <w:lang w:eastAsia="zh-CN"/>
              </w:rPr>
              <w:t>，轴承使用寿命</w:t>
            </w:r>
          </w:p>
          <w:p>
            <w:pPr>
              <w:pStyle w:val="11"/>
              <w:spacing w:line="360" w:lineRule="auto"/>
              <w:ind w:left="0" w:firstLine="420" w:firstLineChars="200"/>
              <w:rPr>
                <w:color w:val="auto"/>
                <w:lang w:eastAsia="zh-CN"/>
              </w:rPr>
            </w:pPr>
            <w:r>
              <w:rPr>
                <w:color w:val="auto"/>
                <w:lang w:eastAsia="zh-CN"/>
              </w:rPr>
              <w:t>（</w:t>
            </w:r>
            <w:r>
              <w:rPr>
                <w:rFonts w:cs="宋体"/>
                <w:color w:val="auto"/>
                <w:lang w:eastAsia="zh-CN"/>
              </w:rPr>
              <w:t>LIO</w:t>
            </w:r>
            <w:r>
              <w:rPr>
                <w:color w:val="auto"/>
                <w:lang w:eastAsia="zh-CN"/>
              </w:rPr>
              <w:t>）大于</w:t>
            </w:r>
            <w:r>
              <w:rPr>
                <w:rFonts w:cs="宋体"/>
                <w:color w:val="auto"/>
                <w:lang w:eastAsia="zh-CN"/>
              </w:rPr>
              <w:t>100000</w:t>
            </w:r>
            <w:r>
              <w:rPr>
                <w:color w:val="auto"/>
                <w:lang w:eastAsia="zh-CN"/>
              </w:rPr>
              <w:t>小时，齿面硬度不低于</w:t>
            </w:r>
            <w:r>
              <w:rPr>
                <w:rFonts w:cs="宋体"/>
                <w:color w:val="auto"/>
                <w:lang w:eastAsia="zh-CN"/>
              </w:rPr>
              <w:t>HRC58</w:t>
            </w:r>
            <w:r>
              <w:rPr>
                <w:color w:val="auto"/>
                <w:lang w:eastAsia="zh-CN"/>
              </w:rPr>
              <w:t>。</w:t>
            </w:r>
            <w:r>
              <w:rPr>
                <w:rFonts w:cs="宋体"/>
                <w:color w:val="auto"/>
                <w:lang w:eastAsia="zh-CN"/>
              </w:rPr>
              <w:t>2</w:t>
            </w:r>
            <w:r>
              <w:rPr>
                <w:color w:val="auto"/>
                <w:lang w:eastAsia="zh-CN"/>
              </w:rPr>
              <w:t>．刮泥链</w:t>
            </w:r>
          </w:p>
          <w:p>
            <w:pPr>
              <w:pStyle w:val="11"/>
              <w:spacing w:line="360" w:lineRule="auto"/>
              <w:ind w:left="0" w:firstLine="420" w:firstLineChars="200"/>
              <w:jc w:val="both"/>
              <w:rPr>
                <w:color w:val="auto"/>
                <w:lang w:eastAsia="zh-CN"/>
              </w:rPr>
            </w:pPr>
            <w:r>
              <w:rPr>
                <w:rFonts w:ascii="Times New Roman" w:hAnsi="Times New Roman" w:eastAsia="Times New Roman" w:cs="Times New Roman"/>
                <w:color w:val="auto"/>
                <w:lang w:eastAsia="zh-CN"/>
              </w:rPr>
              <w:t>-</w:t>
            </w:r>
            <w:r>
              <w:rPr>
                <w:color w:val="auto"/>
                <w:spacing w:val="-5"/>
                <w:lang w:eastAsia="zh-CN"/>
              </w:rPr>
              <w:t>带动刮板运行的刮泥链应采用热塑工艺的聚缩醛树脂（</w:t>
            </w:r>
            <w:r>
              <w:rPr>
                <w:rFonts w:cs="宋体"/>
                <w:color w:val="auto"/>
                <w:spacing w:val="-5"/>
                <w:lang w:eastAsia="zh-CN"/>
              </w:rPr>
              <w:t>POM</w:t>
            </w:r>
            <w:r>
              <w:rPr>
                <w:color w:val="auto"/>
                <w:spacing w:val="-5"/>
                <w:lang w:eastAsia="zh-CN"/>
              </w:rPr>
              <w:t>）或乙缩醛树脂（</w:t>
            </w:r>
            <w:r>
              <w:rPr>
                <w:rFonts w:cs="宋体"/>
                <w:color w:val="auto"/>
                <w:spacing w:val="-5"/>
                <w:lang w:eastAsia="zh-CN"/>
              </w:rPr>
              <w:t>ACETAL</w:t>
            </w:r>
            <w:r>
              <w:rPr>
                <w:rFonts w:cs="宋体"/>
                <w:color w:val="auto"/>
                <w:spacing w:val="-3"/>
                <w:lang w:eastAsia="zh-CN"/>
              </w:rPr>
              <w:t>RESIN</w:t>
            </w:r>
            <w:r>
              <w:rPr>
                <w:color w:val="auto"/>
                <w:spacing w:val="-3"/>
                <w:lang w:eastAsia="zh-CN"/>
              </w:rPr>
              <w:t>）或玻璃纤维加强聚酯材料，节距</w:t>
            </w:r>
            <w:r>
              <w:rPr>
                <w:rFonts w:cs="宋体"/>
                <w:color w:val="auto"/>
                <w:lang w:eastAsia="zh-CN"/>
              </w:rPr>
              <w:t>150mm</w:t>
            </w:r>
            <w:r>
              <w:rPr>
                <w:color w:val="auto"/>
                <w:lang w:eastAsia="zh-CN"/>
              </w:rPr>
              <w:t>～</w:t>
            </w:r>
            <w:r>
              <w:rPr>
                <w:rFonts w:cs="宋体"/>
                <w:color w:val="auto"/>
                <w:lang w:eastAsia="zh-CN"/>
              </w:rPr>
              <w:t>160mm</w:t>
            </w:r>
            <w:r>
              <w:rPr>
                <w:color w:val="auto"/>
                <w:lang w:eastAsia="zh-CN"/>
              </w:rPr>
              <w:t>，并相互连接组成完整的链条。</w:t>
            </w:r>
          </w:p>
          <w:p>
            <w:pPr>
              <w:pStyle w:val="11"/>
              <w:tabs>
                <w:tab w:val="left" w:pos="883"/>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spacing w:val="-2"/>
                <w:lang w:eastAsia="zh-CN"/>
              </w:rPr>
              <w:t>链条的正常工作负载不小于</w:t>
            </w:r>
            <w:r>
              <w:rPr>
                <w:rFonts w:cs="宋体"/>
                <w:color w:val="auto"/>
                <w:spacing w:val="-2"/>
                <w:lang w:eastAsia="zh-CN"/>
              </w:rPr>
              <w:t>13KN</w:t>
            </w:r>
            <w:r>
              <w:rPr>
                <w:color w:val="auto"/>
                <w:spacing w:val="-2"/>
                <w:lang w:eastAsia="zh-CN"/>
              </w:rPr>
              <w:t>，应提供权威机构出具的检测报告。</w:t>
            </w:r>
          </w:p>
          <w:p>
            <w:pPr>
              <w:pStyle w:val="11"/>
              <w:tabs>
                <w:tab w:val="left" w:pos="883"/>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spacing w:val="-2"/>
                <w:lang w:eastAsia="zh-CN"/>
              </w:rPr>
              <w:t>保证抗拉强度不小于</w:t>
            </w:r>
            <w:r>
              <w:rPr>
                <w:rFonts w:cs="宋体"/>
                <w:color w:val="auto"/>
                <w:spacing w:val="-2"/>
                <w:lang w:eastAsia="zh-CN"/>
              </w:rPr>
              <w:t>25KN</w:t>
            </w:r>
            <w:r>
              <w:rPr>
                <w:color w:val="auto"/>
                <w:spacing w:val="-2"/>
                <w:lang w:eastAsia="zh-CN"/>
              </w:rPr>
              <w:t>。提供权威机构出具的检测报告。</w:t>
            </w:r>
          </w:p>
          <w:p>
            <w:pPr>
              <w:pStyle w:val="11"/>
              <w:tabs>
                <w:tab w:val="left" w:pos="883"/>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破断强度应大于</w:t>
            </w:r>
            <w:r>
              <w:rPr>
                <w:rFonts w:cs="宋体"/>
                <w:color w:val="auto"/>
                <w:lang w:eastAsia="zh-CN"/>
              </w:rPr>
              <w:t>27KN</w:t>
            </w:r>
            <w:r>
              <w:rPr>
                <w:color w:val="auto"/>
                <w:lang w:eastAsia="zh-CN"/>
              </w:rPr>
              <w:t>。提供权威机构出具的检测报告。</w:t>
            </w:r>
          </w:p>
          <w:p>
            <w:pPr>
              <w:pStyle w:val="11"/>
              <w:tabs>
                <w:tab w:val="left" w:pos="883"/>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spacing w:val="-3"/>
                <w:lang w:eastAsia="zh-CN"/>
              </w:rPr>
              <w:t>链节的形式应为板式链节，整体注塑而成，链节带有加强筋，通过固定销和锁紧环</w:t>
            </w:r>
            <w:r>
              <w:rPr>
                <w:color w:val="auto"/>
                <w:lang w:eastAsia="zh-CN"/>
              </w:rPr>
              <w:t>将各个链节连接起来。</w:t>
            </w:r>
          </w:p>
          <w:p>
            <w:pPr>
              <w:pStyle w:val="11"/>
              <w:tabs>
                <w:tab w:val="left" w:pos="883"/>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spacing w:val="-3"/>
                <w:lang w:eastAsia="zh-CN"/>
              </w:rPr>
              <w:t>刮泥链应具有足够的硬度，在正常运转条件下和正常工作符合下，链节的延伸率应</w:t>
            </w:r>
            <w:r>
              <w:rPr>
                <w:color w:val="auto"/>
                <w:lang w:eastAsia="zh-CN"/>
              </w:rPr>
              <w:t>小于</w:t>
            </w:r>
            <w:r>
              <w:rPr>
                <w:rFonts w:cs="宋体"/>
                <w:color w:val="auto"/>
                <w:lang w:eastAsia="zh-CN"/>
              </w:rPr>
              <w:t>0.5</w:t>
            </w:r>
            <w:r>
              <w:rPr>
                <w:color w:val="auto"/>
                <w:lang w:eastAsia="zh-CN"/>
              </w:rPr>
              <w:t>％。</w:t>
            </w:r>
          </w:p>
          <w:p>
            <w:pPr>
              <w:pStyle w:val="11"/>
              <w:tabs>
                <w:tab w:val="left" w:pos="883"/>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在设计工况下保证链节及组件的连续工作寿命大于</w:t>
            </w:r>
            <w:r>
              <w:rPr>
                <w:rFonts w:cs="宋体"/>
                <w:color w:val="auto"/>
                <w:lang w:eastAsia="zh-CN"/>
              </w:rPr>
              <w:t>20</w:t>
            </w:r>
            <w:r>
              <w:rPr>
                <w:color w:val="auto"/>
                <w:spacing w:val="-3"/>
                <w:lang w:eastAsia="zh-CN"/>
              </w:rPr>
              <w:t>年。</w:t>
            </w:r>
          </w:p>
          <w:p>
            <w:pPr>
              <w:pStyle w:val="11"/>
              <w:tabs>
                <w:tab w:val="left" w:pos="883"/>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刮泥链张紧后，两支撑点间的弧垂度应小于</w:t>
            </w:r>
            <w:r>
              <w:rPr>
                <w:rFonts w:cs="宋体"/>
                <w:color w:val="auto"/>
                <w:lang w:eastAsia="zh-CN"/>
              </w:rPr>
              <w:t>1/50</w:t>
            </w:r>
            <w:r>
              <w:rPr>
                <w:color w:val="auto"/>
                <w:lang w:eastAsia="zh-CN"/>
              </w:rPr>
              <w:t>的支撑点间距，链节破断强度至少大于链条运行张紧力的</w:t>
            </w:r>
            <w:r>
              <w:rPr>
                <w:rFonts w:cs="宋体"/>
                <w:color w:val="auto"/>
                <w:lang w:eastAsia="zh-CN"/>
              </w:rPr>
              <w:t>6</w:t>
            </w:r>
            <w:r>
              <w:rPr>
                <w:color w:val="auto"/>
                <w:lang w:eastAsia="zh-CN"/>
              </w:rPr>
              <w:t>倍。</w:t>
            </w:r>
          </w:p>
          <w:p>
            <w:pPr>
              <w:pStyle w:val="11"/>
              <w:tabs>
                <w:tab w:val="left" w:pos="883"/>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刮泥链应适用于</w:t>
            </w:r>
            <w:r>
              <w:rPr>
                <w:rFonts w:hint="eastAsia" w:cs="宋体"/>
                <w:color w:val="auto"/>
                <w:lang w:eastAsia="zh-CN"/>
              </w:rPr>
              <w:t>52</w:t>
            </w:r>
            <w:r>
              <w:rPr>
                <w:color w:val="auto"/>
                <w:lang w:eastAsia="zh-CN"/>
              </w:rPr>
              <w:t>米长和</w:t>
            </w:r>
            <w:r>
              <w:rPr>
                <w:rFonts w:hint="eastAsia" w:cs="宋体"/>
                <w:color w:val="auto"/>
                <w:lang w:eastAsia="zh-CN"/>
              </w:rPr>
              <w:t>7.0</w:t>
            </w:r>
            <w:r>
              <w:rPr>
                <w:color w:val="auto"/>
                <w:lang w:eastAsia="zh-CN"/>
              </w:rPr>
              <w:t>米宽的池型。</w:t>
            </w:r>
            <w:r>
              <w:rPr>
                <w:rFonts w:cs="宋体"/>
                <w:color w:val="auto"/>
                <w:lang w:eastAsia="zh-CN"/>
              </w:rPr>
              <w:t>3</w:t>
            </w:r>
            <w:r>
              <w:rPr>
                <w:color w:val="auto"/>
                <w:lang w:eastAsia="zh-CN"/>
              </w:rPr>
              <w:t>．刮板</w:t>
            </w:r>
          </w:p>
          <w:p>
            <w:pPr>
              <w:pStyle w:val="11"/>
              <w:tabs>
                <w:tab w:val="left" w:pos="883"/>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纵向刮板应适用于</w:t>
            </w:r>
            <w:r>
              <w:rPr>
                <w:rFonts w:hint="eastAsia" w:cs="宋体"/>
                <w:color w:val="auto"/>
                <w:lang w:eastAsia="zh-CN"/>
              </w:rPr>
              <w:t>7.0</w:t>
            </w:r>
            <w:r>
              <w:rPr>
                <w:color w:val="auto"/>
                <w:lang w:eastAsia="zh-CN"/>
              </w:rPr>
              <w:t>米池宽的要求。</w:t>
            </w:r>
          </w:p>
          <w:p>
            <w:pPr>
              <w:pStyle w:val="11"/>
              <w:tabs>
                <w:tab w:val="left" w:pos="883"/>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按照最大池宽设计有</w:t>
            </w:r>
            <w:r>
              <w:rPr>
                <w:rFonts w:cs="宋体"/>
                <w:color w:val="auto"/>
                <w:lang w:eastAsia="zh-CN"/>
              </w:rPr>
              <w:t>15</w:t>
            </w:r>
            <w:r>
              <w:rPr>
                <w:color w:val="auto"/>
                <w:lang w:eastAsia="zh-CN"/>
              </w:rPr>
              <w:t>年安装和运行业绩。</w:t>
            </w:r>
          </w:p>
          <w:p>
            <w:pPr>
              <w:pStyle w:val="11"/>
              <w:tabs>
                <w:tab w:val="left" w:pos="883"/>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刮板应由增强玻璃钢纤维</w:t>
            </w:r>
            <w:r>
              <w:rPr>
                <w:rFonts w:cs="宋体"/>
                <w:color w:val="auto"/>
                <w:lang w:eastAsia="zh-CN"/>
              </w:rPr>
              <w:t>(FRP)</w:t>
            </w:r>
            <w:r>
              <w:rPr>
                <w:color w:val="auto"/>
                <w:lang w:eastAsia="zh-CN"/>
              </w:rPr>
              <w:t>或更好材料制成。</w:t>
            </w:r>
          </w:p>
          <w:p>
            <w:pPr>
              <w:pStyle w:val="11"/>
              <w:tabs>
                <w:tab w:val="left" w:pos="883"/>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刮板间距应均匀布置，最大间距约</w:t>
            </w:r>
            <w:r>
              <w:rPr>
                <w:rFonts w:cs="宋体"/>
                <w:color w:val="auto"/>
                <w:lang w:eastAsia="zh-CN"/>
              </w:rPr>
              <w:t>3</w:t>
            </w:r>
            <w:r>
              <w:rPr>
                <w:color w:val="auto"/>
                <w:lang w:eastAsia="zh-CN"/>
              </w:rPr>
              <w:t>米。</w:t>
            </w:r>
          </w:p>
          <w:p>
            <w:pPr>
              <w:pStyle w:val="11"/>
              <w:tabs>
                <w:tab w:val="left" w:pos="883"/>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刮板的截面形状为</w:t>
            </w:r>
            <w:r>
              <w:rPr>
                <w:rFonts w:cs="宋体"/>
                <w:color w:val="auto"/>
                <w:lang w:eastAsia="zh-CN"/>
              </w:rPr>
              <w:t>F</w:t>
            </w:r>
            <w:r>
              <w:rPr>
                <w:color w:val="auto"/>
                <w:lang w:eastAsia="zh-CN"/>
              </w:rPr>
              <w:t>型或</w:t>
            </w:r>
            <w:r>
              <w:rPr>
                <w:rFonts w:ascii="Arial" w:hAnsi="Arial" w:eastAsia="Arial" w:cs="Arial"/>
                <w:color w:val="auto"/>
              </w:rPr>
              <w:t>Σ</w:t>
            </w:r>
            <w:r>
              <w:rPr>
                <w:color w:val="auto"/>
                <w:lang w:eastAsia="zh-CN"/>
              </w:rPr>
              <w:t>型或</w:t>
            </w:r>
            <w:r>
              <w:rPr>
                <w:rFonts w:cs="宋体"/>
                <w:color w:val="auto"/>
                <w:lang w:eastAsia="zh-CN"/>
              </w:rPr>
              <w:t>C</w:t>
            </w:r>
            <w:r>
              <w:rPr>
                <w:color w:val="auto"/>
                <w:lang w:eastAsia="zh-CN"/>
              </w:rPr>
              <w:t>型，开口处应加装加强板。</w:t>
            </w:r>
          </w:p>
          <w:p>
            <w:pPr>
              <w:pStyle w:val="11"/>
              <w:tabs>
                <w:tab w:val="left" w:pos="883"/>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spacing w:val="-2"/>
                <w:lang w:eastAsia="zh-CN"/>
              </w:rPr>
              <w:t>刮板应采用高强度一次成型的挤拉工艺制造，不接受拼接结构的刮板或加强筋。</w:t>
            </w:r>
            <w:r>
              <w:rPr>
                <w:rFonts w:cs="宋体"/>
                <w:color w:val="auto"/>
                <w:lang w:eastAsia="zh-CN"/>
              </w:rPr>
              <w:t>4</w:t>
            </w:r>
            <w:r>
              <w:rPr>
                <w:color w:val="auto"/>
                <w:lang w:eastAsia="zh-CN"/>
              </w:rPr>
              <w:t>．耐磨靴</w: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spacing w:val="-3"/>
                <w:lang w:eastAsia="zh-CN"/>
              </w:rPr>
              <w:t>刮板的上下两侧都应安装耐磨靴。刮泥时下部耐磨靴在底轨上滑动，回程时，上部</w:t>
            </w:r>
          </w:p>
          <w:p>
            <w:pPr>
              <w:pStyle w:val="11"/>
              <w:spacing w:line="360" w:lineRule="auto"/>
              <w:ind w:left="0" w:firstLine="420" w:firstLineChars="200"/>
              <w:rPr>
                <w:color w:val="auto"/>
                <w:lang w:eastAsia="zh-CN"/>
              </w:rPr>
            </w:pPr>
            <w:r>
              <w:rPr>
                <w:color w:val="auto"/>
                <w:lang w:eastAsia="zh-CN"/>
              </w:rPr>
              <w:t>耐磨靴在侧轨上滑行。</w: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耐磨靴设计应具有防止刮板跑偏，碰撞池壁的功能。</w: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耐磨靴应采用</w:t>
            </w:r>
            <w:r>
              <w:rPr>
                <w:rFonts w:cs="宋体"/>
                <w:color w:val="auto"/>
                <w:lang w:eastAsia="zh-CN"/>
              </w:rPr>
              <w:t>PE</w:t>
            </w:r>
            <w:r>
              <w:rPr>
                <w:color w:val="auto"/>
                <w:spacing w:val="-3"/>
                <w:lang w:eastAsia="zh-CN"/>
              </w:rPr>
              <w:t>材质或超高分子聚乙烯（</w:t>
            </w:r>
            <w:r>
              <w:rPr>
                <w:rFonts w:cs="宋体"/>
                <w:color w:val="auto"/>
                <w:spacing w:val="-3"/>
                <w:lang w:eastAsia="zh-CN"/>
              </w:rPr>
              <w:t>UHMW</w:t>
            </w:r>
            <w:r>
              <w:rPr>
                <w:color w:val="auto"/>
                <w:spacing w:val="-3"/>
                <w:lang w:eastAsia="zh-CN"/>
              </w:rPr>
              <w:t>－</w:t>
            </w:r>
            <w:r>
              <w:rPr>
                <w:rFonts w:cs="宋体"/>
                <w:color w:val="auto"/>
                <w:spacing w:val="-3"/>
                <w:lang w:eastAsia="zh-CN"/>
              </w:rPr>
              <w:t>PE</w:t>
            </w:r>
            <w:r>
              <w:rPr>
                <w:color w:val="auto"/>
                <w:spacing w:val="-3"/>
                <w:lang w:eastAsia="zh-CN"/>
              </w:rPr>
              <w:t>）或尼龙</w:t>
            </w:r>
            <w:r>
              <w:rPr>
                <w:rFonts w:cs="宋体"/>
                <w:color w:val="auto"/>
                <w:lang w:eastAsia="zh-CN"/>
              </w:rPr>
              <w:t>6/6</w:t>
            </w:r>
            <w:r>
              <w:rPr>
                <w:color w:val="auto"/>
                <w:lang w:eastAsia="zh-CN"/>
              </w:rPr>
              <w:t>或更好材料制造。</w: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耐磨靴的工作寿命在设计工况下可连续使用</w:t>
            </w:r>
            <w:r>
              <w:rPr>
                <w:rFonts w:cs="宋体"/>
                <w:color w:val="auto"/>
                <w:lang w:eastAsia="zh-CN"/>
              </w:rPr>
              <w:t>5</w:t>
            </w:r>
            <w:r>
              <w:rPr>
                <w:color w:val="auto"/>
                <w:spacing w:val="-4"/>
                <w:lang w:eastAsia="zh-CN"/>
              </w:rPr>
              <w:t>年以上。所有耐磨靴都应是双面可用</w:t>
            </w:r>
            <w:r>
              <w:rPr>
                <w:color w:val="auto"/>
                <w:lang w:eastAsia="zh-CN"/>
              </w:rPr>
              <w:t>的，通过调换使用面达到延长使用寿命的效果。</w:t>
            </w:r>
          </w:p>
          <w:p>
            <w:pPr>
              <w:pStyle w:val="11"/>
              <w:spacing w:line="360" w:lineRule="auto"/>
              <w:ind w:left="0" w:firstLine="420" w:firstLineChars="200"/>
              <w:rPr>
                <w:color w:val="auto"/>
                <w:lang w:eastAsia="zh-CN"/>
              </w:rPr>
            </w:pPr>
            <w:r>
              <w:rPr>
                <w:rFonts w:cs="宋体"/>
                <w:color w:val="auto"/>
                <w:lang w:eastAsia="zh-CN"/>
              </w:rPr>
              <w:t>5</w:t>
            </w:r>
            <w:r>
              <w:rPr>
                <w:color w:val="auto"/>
                <w:lang w:eastAsia="zh-CN"/>
              </w:rPr>
              <w:t>．驱动链和驱动链轮</w: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spacing w:val="-3"/>
                <w:lang w:eastAsia="zh-CN"/>
              </w:rPr>
              <w:t>驱动链应采用不锈钢材质或增强尼龙或非金属工程塑料或更好的材料制造，应保证</w:t>
            </w:r>
            <w:r>
              <w:rPr>
                <w:color w:val="auto"/>
                <w:lang w:eastAsia="zh-CN"/>
              </w:rPr>
              <w:t>在高负荷运行条件下，链条不会发生断裂现象，同时链条的延伸率小。</w: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驱动链轮的主体应为</w:t>
            </w:r>
            <w:r>
              <w:rPr>
                <w:rFonts w:cs="宋体"/>
                <w:color w:val="auto"/>
                <w:lang w:eastAsia="zh-CN"/>
              </w:rPr>
              <w:t>PE</w:t>
            </w:r>
            <w:r>
              <w:rPr>
                <w:color w:val="auto"/>
                <w:lang w:eastAsia="zh-CN"/>
              </w:rPr>
              <w:t>或聚亚安脂或铸尼龙</w:t>
            </w:r>
            <w:r>
              <w:rPr>
                <w:rFonts w:cs="宋体"/>
                <w:color w:val="auto"/>
                <w:lang w:eastAsia="zh-CN"/>
              </w:rPr>
              <w:t>6</w:t>
            </w:r>
            <w:r>
              <w:rPr>
                <w:color w:val="auto"/>
                <w:lang w:eastAsia="zh-CN"/>
              </w:rPr>
              <w:t>带不锈钢衬套或更好的材料。</w:t>
            </w:r>
            <w:r>
              <w:rPr>
                <w:rFonts w:cs="宋体"/>
                <w:color w:val="auto"/>
                <w:lang w:eastAsia="zh-CN"/>
              </w:rPr>
              <w:t>6</w:t>
            </w:r>
            <w:r>
              <w:rPr>
                <w:color w:val="auto"/>
                <w:lang w:eastAsia="zh-CN"/>
              </w:rPr>
              <w:t>．从动轮和从动轴</w: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从动轴应采用悬臂式支撑结构。</w: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从动轴应具有足够的抗拉，抗弯和抗扭强度。</w: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从动轴应使用不锈钢或铸尼龙</w:t>
            </w:r>
            <w:r>
              <w:rPr>
                <w:rFonts w:cs="宋体"/>
                <w:color w:val="auto"/>
                <w:lang w:eastAsia="zh-CN"/>
              </w:rPr>
              <w:t>6</w:t>
            </w:r>
            <w:r>
              <w:rPr>
                <w:color w:val="auto"/>
                <w:lang w:eastAsia="zh-CN"/>
              </w:rPr>
              <w:t>材质，应保证轴体具有足够的强度。</w: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从动轮的材质应为</w:t>
            </w:r>
            <w:r>
              <w:rPr>
                <w:rFonts w:cs="宋体"/>
                <w:color w:val="auto"/>
                <w:lang w:eastAsia="zh-CN"/>
              </w:rPr>
              <w:t>PE</w:t>
            </w:r>
            <w:r>
              <w:rPr>
                <w:color w:val="auto"/>
                <w:lang w:eastAsia="zh-CN"/>
              </w:rPr>
              <w:t>或聚亚安脂或铸尼龙</w:t>
            </w:r>
            <w:r>
              <w:rPr>
                <w:rFonts w:cs="宋体"/>
                <w:color w:val="auto"/>
                <w:lang w:eastAsia="zh-CN"/>
              </w:rPr>
              <w:t>6</w:t>
            </w:r>
            <w:r>
              <w:rPr>
                <w:color w:val="auto"/>
                <w:lang w:eastAsia="zh-CN"/>
              </w:rPr>
              <w:t>或更好的材料。</w:t>
            </w:r>
            <w:r>
              <w:rPr>
                <w:rFonts w:cs="宋体"/>
                <w:color w:val="auto"/>
                <w:lang w:eastAsia="zh-CN"/>
              </w:rPr>
              <w:t>7</w:t>
            </w:r>
            <w:r>
              <w:rPr>
                <w:color w:val="auto"/>
                <w:lang w:eastAsia="zh-CN"/>
              </w:rPr>
              <w:t>．轴承</w: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spacing w:val="-3"/>
                <w:lang w:eastAsia="zh-CN"/>
              </w:rPr>
              <w:t>水下轴承应为可更换式整体自润滑轴承，轴承应具有良好的承载力和耐磨性，采用</w:t>
            </w:r>
            <w:r>
              <w:rPr>
                <w:rFonts w:cs="宋体"/>
                <w:color w:val="auto"/>
                <w:lang w:eastAsia="zh-CN"/>
              </w:rPr>
              <w:t>PE</w:t>
            </w:r>
            <w:r>
              <w:rPr>
                <w:color w:val="auto"/>
                <w:lang w:eastAsia="zh-CN"/>
              </w:rPr>
              <w:t>或聚亚安脂或更好的材料制造。</w:t>
            </w:r>
          </w:p>
          <w:p>
            <w:pPr>
              <w:pStyle w:val="11"/>
              <w:spacing w:line="360" w:lineRule="auto"/>
              <w:ind w:left="0" w:firstLine="420" w:firstLineChars="200"/>
              <w:rPr>
                <w:color w:val="auto"/>
                <w:lang w:eastAsia="zh-CN"/>
              </w:rPr>
            </w:pPr>
            <w:r>
              <w:rPr>
                <w:rFonts w:cs="宋体"/>
                <w:color w:val="auto"/>
                <w:lang w:eastAsia="zh-CN"/>
              </w:rPr>
              <w:t>8</w:t>
            </w:r>
            <w:r>
              <w:rPr>
                <w:color w:val="auto"/>
                <w:lang w:eastAsia="zh-CN"/>
              </w:rPr>
              <w:t>．回转轨的支</w: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回转轨的支撑可使用非金属或更好的材料。</w: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支撑固定于池壁，应坚实，稳固并具有足够的承载能力。</w: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所有固定螺栓和紧固件应均采用不锈钢</w:t>
            </w:r>
            <w:r>
              <w:rPr>
                <w:rFonts w:cs="宋体"/>
                <w:color w:val="auto"/>
                <w:lang w:eastAsia="zh-CN"/>
              </w:rPr>
              <w:t>316</w:t>
            </w:r>
            <w:r>
              <w:rPr>
                <w:color w:val="auto"/>
                <w:lang w:eastAsia="zh-CN"/>
              </w:rPr>
              <w:t>材质。</w:t>
            </w:r>
            <w:r>
              <w:rPr>
                <w:rFonts w:cs="宋体"/>
                <w:color w:val="auto"/>
                <w:lang w:eastAsia="zh-CN"/>
              </w:rPr>
              <w:t>9</w:t>
            </w:r>
            <w:r>
              <w:rPr>
                <w:color w:val="auto"/>
                <w:lang w:eastAsia="zh-CN"/>
              </w:rPr>
              <w:t>．导轨</w: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导轨应采用非金属或更好的材质制成。</w: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池底导轨应采用</w:t>
            </w:r>
            <w:r>
              <w:rPr>
                <w:rFonts w:cs="宋体"/>
                <w:color w:val="auto"/>
                <w:lang w:eastAsia="zh-CN"/>
              </w:rPr>
              <w:t>316</w:t>
            </w:r>
            <w:r>
              <w:rPr>
                <w:color w:val="auto"/>
                <w:lang w:eastAsia="zh-CN"/>
              </w:rPr>
              <w:t>不锈钢螺栓固定在池底，池底应设有</w:t>
            </w:r>
            <w:r>
              <w:rPr>
                <w:rFonts w:cs="宋体"/>
                <w:color w:val="auto"/>
                <w:lang w:eastAsia="zh-CN"/>
              </w:rPr>
              <w:t>2</w:t>
            </w:r>
            <w:r>
              <w:rPr>
                <w:color w:val="auto"/>
                <w:lang w:eastAsia="zh-CN"/>
              </w:rPr>
              <w:t>－</w:t>
            </w:r>
            <w:r>
              <w:rPr>
                <w:rFonts w:cs="宋体"/>
                <w:color w:val="auto"/>
                <w:lang w:eastAsia="zh-CN"/>
              </w:rPr>
              <w:t>3</w:t>
            </w:r>
            <w:r>
              <w:rPr>
                <w:color w:val="auto"/>
                <w:lang w:eastAsia="zh-CN"/>
              </w:rPr>
              <w:t>条底轨。</w:t>
            </w:r>
          </w:p>
          <w:p>
            <w:pPr>
              <w:pStyle w:val="11"/>
              <w:tabs>
                <w:tab w:val="left" w:pos="359"/>
              </w:tabs>
              <w:spacing w:line="360" w:lineRule="auto"/>
              <w:ind w:left="0" w:firstLine="420" w:firstLineChars="200"/>
              <w:rPr>
                <w:rFonts w:ascii="Times New Roman" w:hAnsi="Times New Roman" w:eastAsia="Times New Roman" w:cs="Times New Roman"/>
                <w:color w:val="auto"/>
                <w:lang w:eastAsia="zh-CN"/>
              </w:rPr>
            </w:pPr>
            <w:r>
              <w:rPr>
                <w:color w:val="auto"/>
              </w:rPr>
              <mc:AlternateContent>
                <mc:Choice Requires="wps">
                  <w:drawing>
                    <wp:inline distT="0" distB="0" distL="114300" distR="114300">
                      <wp:extent cx="268605" cy="134620"/>
                      <wp:effectExtent l="0" t="0" r="0" b="0"/>
                      <wp:docPr id="1" name="Text Box 10"/>
                      <wp:cNvGraphicFramePr/>
                      <a:graphic xmlns:a="http://schemas.openxmlformats.org/drawingml/2006/main">
                        <a:graphicData uri="http://schemas.microsoft.com/office/word/2010/wordprocessingShape">
                          <wps:wsp>
                            <wps:cNvSpPr txBox="1"/>
                            <wps:spPr>
                              <a:xfrm>
                                <a:off x="0" y="0"/>
                                <a:ext cx="268605" cy="134620"/>
                              </a:xfrm>
                              <a:prstGeom prst="rect">
                                <a:avLst/>
                              </a:prstGeom>
                              <a:noFill/>
                              <a:ln>
                                <a:noFill/>
                              </a:ln>
                            </wps:spPr>
                            <wps:txbx>
                              <w:txbxContent>
                                <w:p>
                                  <w:pPr>
                                    <w:pStyle w:val="11"/>
                                    <w:spacing w:line="211" w:lineRule="exact"/>
                                    <w:ind w:left="0"/>
                                  </w:pPr>
                                  <w:r>
                                    <w:rPr>
                                      <w:rFonts w:cs="宋体"/>
                                    </w:rPr>
                                    <w:t>10</w:t>
                                  </w:r>
                                  <w:r>
                                    <w:t>．</w:t>
                                  </w:r>
                                </w:p>
                              </w:txbxContent>
                            </wps:txbx>
                            <wps:bodyPr lIns="0" tIns="0" rIns="0" bIns="0" upright="1"/>
                          </wps:wsp>
                        </a:graphicData>
                      </a:graphic>
                    </wp:inline>
                  </w:drawing>
                </mc:Choice>
                <mc:Fallback>
                  <w:pict>
                    <v:shape id="Text Box 10" o:spid="_x0000_s1026" o:spt="202" type="#_x0000_t202" style="height:10.6pt;width:21.15pt;" filled="f" stroked="f" coordsize="21600,21600" o:gfxdata="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">
                      <v:fill on="f" focussize="0,0"/>
                      <v:stroke on="f"/>
                      <v:imagedata o:title=""/>
                      <o:lock v:ext="edit" aspectratio="f"/>
                      <v:textbox inset="0mm,0mm,0mm,0mm">
                        <w:txbxContent>
                          <w:p>
                            <w:pPr>
                              <w:pStyle w:val="11"/>
                              <w:spacing w:line="211" w:lineRule="exact"/>
                              <w:ind w:left="0"/>
                            </w:pPr>
                            <w:r>
                              <w:rPr>
                                <w:rFonts w:cs="宋体"/>
                              </w:rPr>
                              <w:t>10</w:t>
                            </w:r>
                            <w:r>
                              <w:t>．</w:t>
                            </w:r>
                          </w:p>
                        </w:txbxContent>
                      </v:textbox>
                      <w10:wrap type="none"/>
                      <w10:anchorlock/>
                    </v:shape>
                  </w:pict>
                </mc:Fallback>
              </mc:AlternateContent>
            </w:r>
            <w:r>
              <w:rPr>
                <w:color w:val="auto"/>
              </w:rPr>
              <mc:AlternateContent>
                <mc:Choice Requires="wps">
                  <w:drawing>
                    <wp:inline distT="0" distB="0" distL="114300" distR="114300">
                      <wp:extent cx="535305" cy="134620"/>
                      <wp:effectExtent l="0" t="0" r="0" b="0"/>
                      <wp:docPr id="2" name="Text Box 9"/>
                      <wp:cNvGraphicFramePr/>
                      <a:graphic xmlns:a="http://schemas.openxmlformats.org/drawingml/2006/main">
                        <a:graphicData uri="http://schemas.microsoft.com/office/word/2010/wordprocessingShape">
                          <wps:wsp>
                            <wps:cNvSpPr txBox="1"/>
                            <wps:spPr>
                              <a:xfrm>
                                <a:off x="0" y="0"/>
                                <a:ext cx="535305" cy="134620"/>
                              </a:xfrm>
                              <a:prstGeom prst="rect">
                                <a:avLst/>
                              </a:prstGeom>
                              <a:noFill/>
                              <a:ln>
                                <a:noFill/>
                              </a:ln>
                            </wps:spPr>
                            <wps:txbx>
                              <w:txbxContent>
                                <w:p>
                                  <w:pPr>
                                    <w:pStyle w:val="11"/>
                                    <w:spacing w:line="211" w:lineRule="exact"/>
                                    <w:ind w:left="0"/>
                                  </w:pPr>
                                  <w:r>
                                    <w:rPr>
                                      <w:spacing w:val="-1"/>
                                    </w:rPr>
                                    <w:t>橡胶刮刀</w:t>
                                  </w:r>
                                </w:p>
                              </w:txbxContent>
                            </wps:txbx>
                            <wps:bodyPr lIns="0" tIns="0" rIns="0" bIns="0" upright="1"/>
                          </wps:wsp>
                        </a:graphicData>
                      </a:graphic>
                    </wp:inline>
                  </w:drawing>
                </mc:Choice>
                <mc:Fallback>
                  <w:pict>
                    <v:shape id="Text Box 9" o:spid="_x0000_s1026" o:spt="202" type="#_x0000_t202" style="height:10.6pt;width:42.15pt;" filled="f" stroked="f" coordsize="21600,21600" o:gfxdata="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jQ+a2NQAAAADAQAADwAAAAAAAAABACAAAAAiAAAAZHJzL2Rvd25y&#10;ZXYueG1sUEsBAhQAFAAAAAgAh07iQLlJ/aKQAQAAIgMAAA4AAAAAAAAAAQAgAAAAIwEAAGRycy9l&#10;Mm9Eb2MueG1sUEsFBgAAAAAGAAYAWQEAACUFAAAAAA==&#10;">
                      <v:fill on="f" focussize="0,0"/>
                      <v:stroke on="f"/>
                      <v:imagedata o:title=""/>
                      <o:lock v:ext="edit" aspectratio="f"/>
                      <v:textbox inset="0mm,0mm,0mm,0mm">
                        <w:txbxContent>
                          <w:p>
                            <w:pPr>
                              <w:pStyle w:val="11"/>
                              <w:spacing w:line="211" w:lineRule="exact"/>
                              <w:ind w:left="0"/>
                            </w:pPr>
                            <w:r>
                              <w:rPr>
                                <w:spacing w:val="-1"/>
                              </w:rPr>
                              <w:t>橡胶刮刀</w:t>
                            </w:r>
                          </w:p>
                        </w:txbxContent>
                      </v:textbox>
                      <w10:wrap type="none"/>
                      <w10:anchorlock/>
                    </v:shape>
                  </w:pict>
                </mc:Fallback>
              </mc:AlternateConten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spacing w:val="-3"/>
                <w:lang w:eastAsia="zh-CN"/>
              </w:rPr>
              <w:t>在刮板的底部和侧部应安装橡胶刮刀，以便去除淤积在池底部和底角的污泥以防污</w:t>
            </w:r>
          </w:p>
          <w:p>
            <w:pPr>
              <w:pStyle w:val="11"/>
              <w:spacing w:line="360" w:lineRule="auto"/>
              <w:ind w:left="0" w:firstLine="420" w:firstLineChars="200"/>
              <w:rPr>
                <w:color w:val="auto"/>
                <w:lang w:eastAsia="zh-CN"/>
              </w:rPr>
            </w:pPr>
            <w:r>
              <w:rPr>
                <w:color w:val="auto"/>
                <w:lang w:eastAsia="zh-CN"/>
              </w:rPr>
              <w:t>泥淤积时间过长，发生变质。同时侧部刮刀在池表面去除侧壁淤积的浮渣。</w: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lang w:eastAsia="zh-CN"/>
              </w:rPr>
              <w:t>橡胶刮刀应使用</w:t>
            </w:r>
            <w:r>
              <w:rPr>
                <w:rFonts w:cs="宋体"/>
                <w:color w:val="auto"/>
                <w:lang w:eastAsia="zh-CN"/>
              </w:rPr>
              <w:t>316</w:t>
            </w:r>
            <w:r>
              <w:rPr>
                <w:color w:val="auto"/>
                <w:lang w:eastAsia="zh-CN"/>
              </w:rPr>
              <w:t>不锈钢螺栓紧固在刮板上。</w:t>
            </w:r>
          </w:p>
          <w:p>
            <w:pPr>
              <w:tabs>
                <w:tab w:val="left" w:pos="1482"/>
              </w:tabs>
              <w:spacing w:line="360" w:lineRule="auto"/>
              <w:ind w:firstLine="440" w:firstLineChars="200"/>
              <w:rPr>
                <w:rFonts w:ascii="Times New Roman"/>
                <w:color w:val="auto"/>
                <w:position w:val="-3"/>
                <w:sz w:val="20"/>
                <w:lang w:eastAsia="zh-CN"/>
              </w:rPr>
            </w:pPr>
            <w:r>
              <w:rPr>
                <w:color w:val="auto"/>
              </w:rPr>
              <mc:AlternateContent>
                <mc:Choice Requires="wps">
                  <w:drawing>
                    <wp:inline distT="0" distB="0" distL="114300" distR="114300">
                      <wp:extent cx="268605" cy="134620"/>
                      <wp:effectExtent l="0" t="0" r="0" b="0"/>
                      <wp:docPr id="3" name="Text Box 8"/>
                      <wp:cNvGraphicFramePr/>
                      <a:graphic xmlns:a="http://schemas.openxmlformats.org/drawingml/2006/main">
                        <a:graphicData uri="http://schemas.microsoft.com/office/word/2010/wordprocessingShape">
                          <wps:wsp>
                            <wps:cNvSpPr txBox="1"/>
                            <wps:spPr>
                              <a:xfrm>
                                <a:off x="0" y="0"/>
                                <a:ext cx="268605" cy="134620"/>
                              </a:xfrm>
                              <a:prstGeom prst="rect">
                                <a:avLst/>
                              </a:prstGeom>
                              <a:noFill/>
                              <a:ln>
                                <a:noFill/>
                              </a:ln>
                            </wps:spPr>
                            <wps:txbx>
                              <w:txbxContent>
                                <w:p>
                                  <w:pPr>
                                    <w:pStyle w:val="11"/>
                                    <w:spacing w:line="211" w:lineRule="exact"/>
                                    <w:ind w:left="0"/>
                                  </w:pPr>
                                  <w:r>
                                    <w:rPr>
                                      <w:rFonts w:cs="宋体"/>
                                    </w:rPr>
                                    <w:t>11</w:t>
                                  </w:r>
                                  <w:r>
                                    <w:t>．</w:t>
                                  </w:r>
                                </w:p>
                              </w:txbxContent>
                            </wps:txbx>
                            <wps:bodyPr lIns="0" tIns="0" rIns="0" bIns="0" upright="1"/>
                          </wps:wsp>
                        </a:graphicData>
                      </a:graphic>
                    </wp:inline>
                  </w:drawing>
                </mc:Choice>
                <mc:Fallback>
                  <w:pict>
                    <v:shape id="Text Box 8" o:spid="_x0000_s1026" o:spt="202" type="#_x0000_t202" style="height:10.6pt;width:21.15pt;" filled="f" stroked="f" coordsize="21600,21600" o:gfxdata="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LCmlCTTAAAAAwEAAA8AAAAAAAAAAQAgAAAAIgAAAGRycy9kb3ducmV2&#10;LnhtbFBLAQIUABQAAAAIAIdO4kDNcCoejwEAACIDAAAOAAAAAAAAAAEAIAAAACIBAABkcnMvZTJv&#10;RG9jLnhtbFBLBQYAAAAABgAGAFkBAAAjBQAAAAA=&#10;">
                      <v:fill on="f" focussize="0,0"/>
                      <v:stroke on="f"/>
                      <v:imagedata o:title=""/>
                      <o:lock v:ext="edit" aspectratio="f"/>
                      <v:textbox inset="0mm,0mm,0mm,0mm">
                        <w:txbxContent>
                          <w:p>
                            <w:pPr>
                              <w:pStyle w:val="11"/>
                              <w:spacing w:line="211" w:lineRule="exact"/>
                              <w:ind w:left="0"/>
                            </w:pPr>
                            <w:r>
                              <w:rPr>
                                <w:rFonts w:cs="宋体"/>
                              </w:rPr>
                              <w:t>11</w:t>
                            </w:r>
                            <w:r>
                              <w:t>．</w:t>
                            </w:r>
                          </w:p>
                        </w:txbxContent>
                      </v:textbox>
                      <w10:wrap type="none"/>
                      <w10:anchorlock/>
                    </v:shape>
                  </w:pict>
                </mc:Fallback>
              </mc:AlternateContent>
            </w:r>
            <w:r>
              <w:rPr>
                <w:color w:val="auto"/>
              </w:rPr>
              <mc:AlternateContent>
                <mc:Choice Requires="wps">
                  <w:drawing>
                    <wp:inline distT="0" distB="0" distL="114300" distR="114300">
                      <wp:extent cx="402590" cy="134620"/>
                      <wp:effectExtent l="0" t="0" r="0" b="0"/>
                      <wp:docPr id="4" name="Text Box 7"/>
                      <wp:cNvGraphicFramePr/>
                      <a:graphic xmlns:a="http://schemas.openxmlformats.org/drawingml/2006/main">
                        <a:graphicData uri="http://schemas.microsoft.com/office/word/2010/wordprocessingShape">
                          <wps:wsp>
                            <wps:cNvSpPr txBox="1"/>
                            <wps:spPr>
                              <a:xfrm>
                                <a:off x="0" y="0"/>
                                <a:ext cx="402590" cy="134620"/>
                              </a:xfrm>
                              <a:prstGeom prst="rect">
                                <a:avLst/>
                              </a:prstGeom>
                              <a:noFill/>
                              <a:ln>
                                <a:noFill/>
                              </a:ln>
                            </wps:spPr>
                            <wps:txbx>
                              <w:txbxContent>
                                <w:p>
                                  <w:pPr>
                                    <w:pStyle w:val="11"/>
                                    <w:spacing w:line="211" w:lineRule="exact"/>
                                    <w:ind w:left="0"/>
                                  </w:pPr>
                                  <w:r>
                                    <w:t>保护罩</w:t>
                                  </w:r>
                                </w:p>
                              </w:txbxContent>
                            </wps:txbx>
                            <wps:bodyPr lIns="0" tIns="0" rIns="0" bIns="0" upright="1"/>
                          </wps:wsp>
                        </a:graphicData>
                      </a:graphic>
                    </wp:inline>
                  </w:drawing>
                </mc:Choice>
                <mc:Fallback>
                  <w:pict>
                    <v:shape id="Text Box 7" o:spid="_x0000_s1026" o:spt="202" type="#_x0000_t202" style="height:10.6pt;width:31.7pt;" filled="f" stroked="f" coordsize="21600,21600" o:gfxdata="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GOv+zHTAAAAAwEAAA8AAAAAAAAAAQAgAAAAIgAAAGRycy9kb3ducmV2&#10;LnhtbFBLAQIUABQAAAAIAIdO4kChADTsjwEAACIDAAAOAAAAAAAAAAEAIAAAACIBAABkcnMvZTJv&#10;RG9jLnhtbFBLBQYAAAAABgAGAFkBAAAjBQAAAAA=&#10;">
                      <v:fill on="f" focussize="0,0"/>
                      <v:stroke on="f"/>
                      <v:imagedata o:title=""/>
                      <o:lock v:ext="edit" aspectratio="f"/>
                      <v:textbox inset="0mm,0mm,0mm,0mm">
                        <w:txbxContent>
                          <w:p>
                            <w:pPr>
                              <w:pStyle w:val="11"/>
                              <w:spacing w:line="211" w:lineRule="exact"/>
                              <w:ind w:left="0"/>
                            </w:pPr>
                            <w:r>
                              <w:t>保护罩</w:t>
                            </w:r>
                          </w:p>
                        </w:txbxContent>
                      </v:textbox>
                      <w10:wrap type="none"/>
                      <w10:anchorlock/>
                    </v:shape>
                  </w:pict>
                </mc:Fallback>
              </mc:AlternateContent>
            </w:r>
          </w:p>
          <w:p>
            <w:pPr>
              <w:pStyle w:val="11"/>
              <w:tabs>
                <w:tab w:val="left" w:pos="35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spacing w:val="-3"/>
                <w:lang w:eastAsia="zh-CN"/>
              </w:rPr>
              <w:t>驱动装置及驱动链条，链轮位于平台上的部分应采用可拆卸的</w:t>
            </w:r>
            <w:r>
              <w:rPr>
                <w:rFonts w:cs="宋体"/>
                <w:color w:val="auto"/>
                <w:lang w:eastAsia="zh-CN"/>
              </w:rPr>
              <w:t>304</w:t>
            </w:r>
            <w:r>
              <w:rPr>
                <w:color w:val="auto"/>
                <w:lang w:eastAsia="zh-CN"/>
              </w:rPr>
              <w:t>不锈钢保护罩遮</w:t>
            </w:r>
          </w:p>
          <w:p>
            <w:pPr>
              <w:pStyle w:val="11"/>
              <w:spacing w:line="360" w:lineRule="auto"/>
              <w:ind w:left="0" w:firstLine="420" w:firstLineChars="200"/>
              <w:rPr>
                <w:color w:val="auto"/>
                <w:lang w:eastAsia="zh-CN"/>
              </w:rPr>
            </w:pPr>
            <w:r>
              <w:rPr>
                <w:color w:val="auto"/>
              </w:rPr>
              <w:t>挡。</w:t>
            </w:r>
          </w:p>
          <w:p>
            <w:pPr>
              <w:tabs>
                <w:tab w:val="left" w:pos="1482"/>
              </w:tabs>
              <w:spacing w:line="360" w:lineRule="auto"/>
              <w:ind w:firstLine="440" w:firstLineChars="200"/>
              <w:rPr>
                <w:rFonts w:ascii="Times New Roman" w:hAnsi="Times New Roman" w:eastAsia="Times New Roman" w:cs="Times New Roman"/>
                <w:color w:val="auto"/>
                <w:sz w:val="20"/>
                <w:szCs w:val="20"/>
              </w:rPr>
            </w:pPr>
            <w:r>
              <w:rPr>
                <w:color w:val="auto"/>
              </w:rPr>
              <mc:AlternateContent>
                <mc:Choice Requires="wps">
                  <w:drawing>
                    <wp:inline distT="0" distB="0" distL="114300" distR="114300">
                      <wp:extent cx="268605" cy="134620"/>
                      <wp:effectExtent l="0" t="0" r="0" b="0"/>
                      <wp:docPr id="5" name="Text Box 6"/>
                      <wp:cNvGraphicFramePr/>
                      <a:graphic xmlns:a="http://schemas.openxmlformats.org/drawingml/2006/main">
                        <a:graphicData uri="http://schemas.microsoft.com/office/word/2010/wordprocessingShape">
                          <wps:wsp>
                            <wps:cNvSpPr txBox="1"/>
                            <wps:spPr>
                              <a:xfrm>
                                <a:off x="0" y="0"/>
                                <a:ext cx="268605" cy="134620"/>
                              </a:xfrm>
                              <a:prstGeom prst="rect">
                                <a:avLst/>
                              </a:prstGeom>
                              <a:noFill/>
                              <a:ln>
                                <a:noFill/>
                              </a:ln>
                            </wps:spPr>
                            <wps:txbx>
                              <w:txbxContent>
                                <w:p>
                                  <w:pPr>
                                    <w:pStyle w:val="11"/>
                                    <w:spacing w:line="211" w:lineRule="exact"/>
                                    <w:ind w:left="0"/>
                                  </w:pPr>
                                  <w:r>
                                    <w:rPr>
                                      <w:rFonts w:cs="宋体"/>
                                    </w:rPr>
                                    <w:t>12</w:t>
                                  </w:r>
                                  <w:r>
                                    <w:t>．</w:t>
                                  </w:r>
                                </w:p>
                              </w:txbxContent>
                            </wps:txbx>
                            <wps:bodyPr lIns="0" tIns="0" rIns="0" bIns="0" upright="1"/>
                          </wps:wsp>
                        </a:graphicData>
                      </a:graphic>
                    </wp:inline>
                  </w:drawing>
                </mc:Choice>
                <mc:Fallback>
                  <w:pict>
                    <v:shape id="Text Box 6" o:spid="_x0000_s1026" o:spt="202" type="#_x0000_t202" style="height:10.6pt;width:21.15pt;" filled="f" stroked="f" coordsize="21600,21600" o:gfxdata="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">
                      <v:fill on="f" focussize="0,0"/>
                      <v:stroke on="f"/>
                      <v:imagedata o:title=""/>
                      <o:lock v:ext="edit" aspectratio="f"/>
                      <v:textbox inset="0mm,0mm,0mm,0mm">
                        <w:txbxContent>
                          <w:p>
                            <w:pPr>
                              <w:pStyle w:val="11"/>
                              <w:spacing w:line="211" w:lineRule="exact"/>
                              <w:ind w:left="0"/>
                            </w:pPr>
                            <w:r>
                              <w:rPr>
                                <w:rFonts w:cs="宋体"/>
                              </w:rPr>
                              <w:t>12</w:t>
                            </w:r>
                            <w:r>
                              <w:t>．</w:t>
                            </w:r>
                          </w:p>
                        </w:txbxContent>
                      </v:textbox>
                      <w10:wrap type="none"/>
                      <w10:anchorlock/>
                    </v:shape>
                  </w:pict>
                </mc:Fallback>
              </mc:AlternateContent>
            </w:r>
            <w:r>
              <w:rPr>
                <w:color w:val="auto"/>
              </w:rPr>
              <mc:AlternateContent>
                <mc:Choice Requires="wps">
                  <w:drawing>
                    <wp:inline distT="0" distB="0" distL="114300" distR="114300">
                      <wp:extent cx="802005" cy="134620"/>
                      <wp:effectExtent l="0" t="0" r="0" b="0"/>
                      <wp:docPr id="6" name="Text Box 5"/>
                      <wp:cNvGraphicFramePr/>
                      <a:graphic xmlns:a="http://schemas.openxmlformats.org/drawingml/2006/main">
                        <a:graphicData uri="http://schemas.microsoft.com/office/word/2010/wordprocessingShape">
                          <wps:wsp>
                            <wps:cNvSpPr txBox="1"/>
                            <wps:spPr>
                              <a:xfrm>
                                <a:off x="0" y="0"/>
                                <a:ext cx="802005" cy="134620"/>
                              </a:xfrm>
                              <a:prstGeom prst="rect">
                                <a:avLst/>
                              </a:prstGeom>
                              <a:noFill/>
                              <a:ln>
                                <a:noFill/>
                              </a:ln>
                            </wps:spPr>
                            <wps:txbx>
                              <w:txbxContent>
                                <w:p>
                                  <w:pPr>
                                    <w:pStyle w:val="11"/>
                                    <w:spacing w:line="211" w:lineRule="exact"/>
                                    <w:ind w:left="0"/>
                                  </w:pPr>
                                  <w:r>
                                    <w:rPr>
                                      <w:spacing w:val="-1"/>
                                    </w:rPr>
                                    <w:t>刮板监控系统</w:t>
                                  </w:r>
                                </w:p>
                              </w:txbxContent>
                            </wps:txbx>
                            <wps:bodyPr lIns="0" tIns="0" rIns="0" bIns="0" upright="1"/>
                          </wps:wsp>
                        </a:graphicData>
                      </a:graphic>
                    </wp:inline>
                  </w:drawing>
                </mc:Choice>
                <mc:Fallback>
                  <w:pict>
                    <v:shape id="Text Box 5" o:spid="_x0000_s1026" o:spt="202" type="#_x0000_t202" style="height:10.6pt;width:63.15pt;" filled="f" stroked="f" coordsize="21600,21600" o:gfxdata="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">
                      <v:fill on="f" focussize="0,0"/>
                      <v:stroke on="f"/>
                      <v:imagedata o:title=""/>
                      <o:lock v:ext="edit" aspectratio="f"/>
                      <v:textbox inset="0mm,0mm,0mm,0mm">
                        <w:txbxContent>
                          <w:p>
                            <w:pPr>
                              <w:pStyle w:val="11"/>
                              <w:spacing w:line="211" w:lineRule="exact"/>
                              <w:ind w:left="0"/>
                            </w:pPr>
                            <w:r>
                              <w:rPr>
                                <w:spacing w:val="-1"/>
                              </w:rPr>
                              <w:t>刮板监控系统</w:t>
                            </w:r>
                          </w:p>
                        </w:txbxContent>
                      </v:textbox>
                      <w10:wrap type="none"/>
                      <w10:anchorlock/>
                    </v:shape>
                  </w:pict>
                </mc:Fallback>
              </mc:AlternateContent>
            </w:r>
          </w:p>
          <w:p>
            <w:pPr>
              <w:pStyle w:val="11"/>
              <w:tabs>
                <w:tab w:val="left" w:pos="77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spacing w:val="-3"/>
                <w:lang w:eastAsia="zh-CN"/>
              </w:rPr>
              <w:t>每套链式刮泥系统配备有一套刮板监控系统，用于监测刮板的运行。当监测到有故</w:t>
            </w:r>
          </w:p>
          <w:p>
            <w:pPr>
              <w:pStyle w:val="11"/>
              <w:spacing w:line="360" w:lineRule="auto"/>
              <w:ind w:left="0" w:firstLine="408" w:firstLineChars="200"/>
              <w:rPr>
                <w:color w:val="auto"/>
                <w:lang w:eastAsia="zh-CN"/>
              </w:rPr>
            </w:pPr>
            <w:r>
              <w:rPr>
                <w:color w:val="auto"/>
                <w:spacing w:val="-3"/>
                <w:lang w:eastAsia="zh-CN"/>
              </w:rPr>
              <w:t>障发生时系统将自动停车。监控系统也应具有刮板偏移，断裂或卡住时刮泥机链条</w:t>
            </w:r>
            <w:r>
              <w:rPr>
                <w:color w:val="auto"/>
                <w:lang w:eastAsia="zh-CN"/>
              </w:rPr>
              <w:t>不能运行时监控的功能。</w:t>
            </w:r>
          </w:p>
          <w:p>
            <w:pPr>
              <w:pStyle w:val="11"/>
              <w:spacing w:line="360" w:lineRule="auto"/>
              <w:ind w:left="0" w:firstLine="420" w:firstLineChars="200"/>
              <w:rPr>
                <w:color w:val="auto"/>
                <w:lang w:eastAsia="zh-CN"/>
              </w:rPr>
            </w:pPr>
            <w:r>
              <w:rPr>
                <w:rFonts w:cs="宋体"/>
                <w:color w:val="auto"/>
                <w:lang w:eastAsia="zh-CN"/>
              </w:rPr>
              <w:t>1</w:t>
            </w:r>
            <w:r>
              <w:rPr>
                <w:color w:val="auto"/>
                <w:lang w:eastAsia="zh-CN"/>
              </w:rPr>
              <w:t>）用于监控刮板偏移的组成部件：</w:t>
            </w:r>
          </w:p>
          <w:p>
            <w:pPr>
              <w:pStyle w:val="11"/>
              <w:tabs>
                <w:tab w:val="left" w:pos="1799"/>
              </w:tabs>
              <w:spacing w:line="360" w:lineRule="auto"/>
              <w:ind w:left="0" w:firstLine="420" w:firstLineChars="200"/>
              <w:rPr>
                <w:color w:val="auto"/>
                <w:lang w:eastAsia="zh-CN"/>
              </w:rPr>
            </w:pPr>
            <w:r>
              <w:rPr>
                <w:rFonts w:ascii="Wingdings" w:hAnsi="Wingdings" w:eastAsia="Wingdings" w:cs="Wingdings"/>
                <w:color w:val="auto"/>
                <w:lang w:eastAsia="zh-CN"/>
              </w:rPr>
              <w:t></w:t>
            </w:r>
            <w:r>
              <w:rPr>
                <w:rFonts w:hint="eastAsia" w:cs="宋体"/>
                <w:color w:val="auto"/>
                <w:lang w:eastAsia="zh-CN"/>
              </w:rPr>
              <w:t>、</w:t>
            </w:r>
            <w:r>
              <w:rPr>
                <w:color w:val="auto"/>
                <w:lang w:eastAsia="zh-CN"/>
              </w:rPr>
              <w:t>在刮板两端设有信号标</w:t>
            </w:r>
          </w:p>
          <w:p>
            <w:pPr>
              <w:pStyle w:val="11"/>
              <w:tabs>
                <w:tab w:val="left" w:pos="1799"/>
              </w:tabs>
              <w:spacing w:line="360" w:lineRule="auto"/>
              <w:ind w:left="0" w:firstLine="420" w:firstLineChars="200"/>
              <w:rPr>
                <w:color w:val="auto"/>
                <w:lang w:eastAsia="zh-CN"/>
              </w:rPr>
            </w:pPr>
            <w:r>
              <w:rPr>
                <w:rFonts w:ascii="Wingdings" w:hAnsi="Wingdings" w:eastAsia="Wingdings" w:cs="Wingdings"/>
                <w:color w:val="auto"/>
                <w:lang w:eastAsia="zh-CN"/>
              </w:rPr>
              <w:t></w:t>
            </w:r>
            <w:r>
              <w:rPr>
                <w:rFonts w:hint="eastAsia" w:cs="宋体"/>
                <w:color w:val="auto"/>
                <w:lang w:eastAsia="zh-CN"/>
              </w:rPr>
              <w:t>、</w:t>
            </w:r>
            <w:r>
              <w:rPr>
                <w:color w:val="auto"/>
                <w:spacing w:val="-2"/>
                <w:lang w:eastAsia="zh-CN"/>
              </w:rPr>
              <w:t>由近端传感器监控刮板的通过</w:t>
            </w:r>
            <w:r>
              <w:rPr>
                <w:rFonts w:cs="宋体"/>
                <w:color w:val="auto"/>
                <w:lang w:eastAsia="zh-CN"/>
              </w:rPr>
              <w:t>2</w:t>
            </w:r>
            <w:r>
              <w:rPr>
                <w:color w:val="auto"/>
                <w:lang w:eastAsia="zh-CN"/>
              </w:rPr>
              <w:t>）控制箱包括：</w:t>
            </w:r>
          </w:p>
          <w:p>
            <w:pPr>
              <w:pStyle w:val="11"/>
              <w:tabs>
                <w:tab w:val="left" w:pos="2099"/>
              </w:tabs>
              <w:spacing w:line="360" w:lineRule="auto"/>
              <w:ind w:left="0" w:firstLine="420" w:firstLineChars="200"/>
              <w:rPr>
                <w:color w:val="auto"/>
                <w:lang w:eastAsia="zh-CN"/>
              </w:rPr>
            </w:pPr>
            <w:r>
              <w:rPr>
                <w:rFonts w:ascii="Wingdings" w:hAnsi="Wingdings" w:eastAsia="Wingdings" w:cs="Wingdings"/>
                <w:color w:val="auto"/>
                <w:lang w:eastAsia="zh-CN"/>
              </w:rPr>
              <w:t></w:t>
            </w:r>
            <w:r>
              <w:rPr>
                <w:rFonts w:hint="eastAsia" w:cs="宋体"/>
                <w:color w:val="auto"/>
                <w:lang w:eastAsia="zh-CN"/>
              </w:rPr>
              <w:t>、</w:t>
            </w:r>
            <w:r>
              <w:rPr>
                <w:color w:val="auto"/>
                <w:lang w:eastAsia="zh-CN"/>
              </w:rPr>
              <w:t>用于监控刮板偏移和不运行的</w:t>
            </w:r>
            <w:r>
              <w:rPr>
                <w:rFonts w:cs="宋体"/>
                <w:color w:val="auto"/>
                <w:spacing w:val="-4"/>
                <w:lang w:eastAsia="zh-CN"/>
              </w:rPr>
              <w:t>PLC</w:t>
            </w:r>
            <w:r>
              <w:rPr>
                <w:color w:val="auto"/>
                <w:spacing w:val="-4"/>
                <w:lang w:eastAsia="zh-CN"/>
              </w:rPr>
              <w:t>，在故障发生时可自动发送信号使</w:t>
            </w:r>
            <w:r>
              <w:rPr>
                <w:color w:val="auto"/>
                <w:lang w:eastAsia="zh-CN"/>
              </w:rPr>
              <w:t>电机停止运行，并报警。</w:t>
            </w:r>
          </w:p>
          <w:p>
            <w:pPr>
              <w:pStyle w:val="11"/>
              <w:tabs>
                <w:tab w:val="left" w:pos="2099"/>
              </w:tabs>
              <w:spacing w:line="360" w:lineRule="auto"/>
              <w:ind w:left="0" w:firstLine="420" w:firstLineChars="200"/>
              <w:rPr>
                <w:color w:val="auto"/>
                <w:lang w:eastAsia="zh-CN"/>
              </w:rPr>
            </w:pPr>
            <w:r>
              <w:rPr>
                <w:rFonts w:ascii="Wingdings" w:hAnsi="Wingdings" w:eastAsia="Wingdings" w:cs="Wingdings"/>
                <w:color w:val="auto"/>
                <w:lang w:eastAsia="zh-CN"/>
              </w:rPr>
              <w:t></w:t>
            </w:r>
            <w:r>
              <w:rPr>
                <w:rFonts w:hint="eastAsia" w:cs="宋体"/>
                <w:color w:val="auto"/>
                <w:lang w:eastAsia="zh-CN"/>
              </w:rPr>
              <w:t>、</w:t>
            </w:r>
            <w:r>
              <w:rPr>
                <w:color w:val="auto"/>
                <w:lang w:eastAsia="zh-CN"/>
              </w:rPr>
              <w:t>分别提供正常运转和刮板偏移，不运行的报警指示灯信号</w:t>
            </w:r>
          </w:p>
          <w:p>
            <w:pPr>
              <w:pStyle w:val="11"/>
              <w:tabs>
                <w:tab w:val="left" w:pos="2099"/>
              </w:tabs>
              <w:spacing w:line="360" w:lineRule="auto"/>
              <w:ind w:left="0" w:firstLine="420" w:firstLineChars="200"/>
              <w:rPr>
                <w:color w:val="auto"/>
                <w:lang w:eastAsia="zh-CN"/>
              </w:rPr>
            </w:pPr>
            <w:r>
              <w:rPr>
                <w:rFonts w:ascii="Wingdings" w:hAnsi="Wingdings" w:eastAsia="Wingdings" w:cs="Wingdings"/>
                <w:color w:val="auto"/>
                <w:lang w:eastAsia="zh-CN"/>
              </w:rPr>
              <w:t></w:t>
            </w:r>
            <w:r>
              <w:rPr>
                <w:rFonts w:hint="eastAsia" w:cs="宋体"/>
                <w:color w:val="auto"/>
                <w:lang w:eastAsia="zh-CN"/>
              </w:rPr>
              <w:t>、</w:t>
            </w:r>
            <w:r>
              <w:rPr>
                <w:color w:val="auto"/>
                <w:lang w:eastAsia="zh-CN"/>
              </w:rPr>
              <w:t>提供停车报警和允许系统再启动的复位按键</w:t>
            </w:r>
          </w:p>
          <w:p>
            <w:pPr>
              <w:pStyle w:val="11"/>
              <w:tabs>
                <w:tab w:val="left" w:pos="77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spacing w:val="-3"/>
                <w:lang w:eastAsia="zh-CN"/>
              </w:rPr>
              <w:t>刮板监控系统也可采用链轮监控系统等其他技术，但应提供证明其技术可靠性的证</w:t>
            </w:r>
            <w:r>
              <w:rPr>
                <w:color w:val="auto"/>
                <w:lang w:eastAsia="zh-CN"/>
              </w:rPr>
              <w:t>据，应保证运行中及时发现故障并避免引起重大损失。</w:t>
            </w:r>
          </w:p>
          <w:p>
            <w:pPr>
              <w:pStyle w:val="11"/>
              <w:tabs>
                <w:tab w:val="left" w:pos="779"/>
              </w:tabs>
              <w:spacing w:line="360" w:lineRule="auto"/>
              <w:ind w:left="0" w:firstLine="420" w:firstLineChars="200"/>
              <w:rPr>
                <w:color w:val="auto"/>
                <w:lang w:eastAsia="zh-CN"/>
              </w:rPr>
            </w:pPr>
            <w:r>
              <w:rPr>
                <w:rFonts w:ascii="Times New Roman" w:hAnsi="Times New Roman" w:eastAsia="Times New Roman" w:cs="Times New Roman"/>
                <w:color w:val="auto"/>
                <w:lang w:eastAsia="zh-CN"/>
              </w:rPr>
              <w:t>-</w:t>
            </w:r>
            <w:r>
              <w:rPr>
                <w:rFonts w:ascii="Times New Roman" w:hAnsi="Times New Roman" w:eastAsia="Times New Roman" w:cs="Times New Roman"/>
                <w:color w:val="auto"/>
                <w:lang w:eastAsia="zh-CN"/>
              </w:rPr>
              <w:tab/>
            </w:r>
            <w:r>
              <w:rPr>
                <w:color w:val="auto"/>
                <w:spacing w:val="-2"/>
                <w:lang w:eastAsia="zh-CN"/>
              </w:rPr>
              <w:t>如果卖方确认其设备业绩中</w:t>
            </w:r>
            <w:r>
              <w:rPr>
                <w:rFonts w:cs="宋体"/>
                <w:color w:val="auto"/>
                <w:spacing w:val="-5"/>
                <w:lang w:eastAsia="zh-CN"/>
              </w:rPr>
              <w:t>90</w:t>
            </w:r>
            <w:r>
              <w:rPr>
                <w:color w:val="auto"/>
                <w:spacing w:val="-5"/>
                <w:lang w:eastAsia="zh-CN"/>
              </w:rPr>
              <w:t>％以上不需要刮板监控系统仍可以运行良好，此监控</w:t>
            </w:r>
            <w:r>
              <w:rPr>
                <w:color w:val="auto"/>
                <w:lang w:eastAsia="zh-CN"/>
              </w:rPr>
              <w:t>系统要求也可免除。</w:t>
            </w:r>
          </w:p>
          <w:p>
            <w:pPr>
              <w:spacing w:line="360" w:lineRule="auto"/>
              <w:ind w:firstLine="422" w:firstLineChars="200"/>
              <w:rPr>
                <w:rFonts w:ascii="宋体" w:hAnsi="宋体" w:eastAsia="宋体" w:cs="宋体"/>
                <w:color w:val="auto"/>
                <w:sz w:val="21"/>
                <w:szCs w:val="21"/>
                <w:lang w:eastAsia="zh-CN"/>
              </w:rPr>
            </w:pPr>
            <w:r>
              <w:rPr>
                <w:rFonts w:ascii="宋体" w:hAnsi="宋体" w:eastAsia="宋体" w:cs="宋体"/>
                <w:b/>
                <w:bCs/>
                <w:color w:val="auto"/>
                <w:sz w:val="21"/>
                <w:szCs w:val="21"/>
                <w:lang w:eastAsia="zh-CN"/>
              </w:rPr>
              <w:t>2）主要材质</w:t>
            </w:r>
          </w:p>
          <w:p>
            <w:pPr>
              <w:pStyle w:val="11"/>
              <w:spacing w:line="360" w:lineRule="auto"/>
              <w:ind w:left="0" w:firstLine="420" w:firstLineChars="200"/>
              <w:rPr>
                <w:color w:val="auto"/>
                <w:lang w:eastAsia="zh-CN"/>
              </w:rPr>
            </w:pPr>
            <w:r>
              <w:rPr>
                <w:color w:val="auto"/>
                <w:lang w:eastAsia="zh-CN"/>
              </w:rPr>
              <w:t>驱动链：不锈钢或增强尼龙刮板链条：热塑聚缩醛（</w:t>
            </w:r>
            <w:r>
              <w:rPr>
                <w:rFonts w:cs="宋体"/>
                <w:color w:val="auto"/>
                <w:lang w:eastAsia="zh-CN"/>
              </w:rPr>
              <w:t>POM</w:t>
            </w:r>
            <w:r>
              <w:rPr>
                <w:color w:val="auto"/>
                <w:lang w:eastAsia="zh-CN"/>
              </w:rPr>
              <w:t>）或热塑乙缩醛树脂（</w:t>
            </w:r>
            <w:r>
              <w:rPr>
                <w:rFonts w:cs="宋体"/>
                <w:color w:val="auto"/>
                <w:lang w:eastAsia="zh-CN"/>
              </w:rPr>
              <w:t>ACETALRESIN</w:t>
            </w:r>
            <w:r>
              <w:rPr>
                <w:color w:val="auto"/>
                <w:lang w:eastAsia="zh-CN"/>
              </w:rPr>
              <w:t>）或玻璃纤维加强聚酯材料</w:t>
            </w:r>
          </w:p>
          <w:p>
            <w:pPr>
              <w:pStyle w:val="11"/>
              <w:spacing w:line="360" w:lineRule="auto"/>
              <w:ind w:left="0" w:firstLine="420" w:firstLineChars="200"/>
              <w:rPr>
                <w:color w:val="auto"/>
                <w:lang w:eastAsia="zh-CN"/>
              </w:rPr>
            </w:pPr>
            <w:r>
              <w:rPr>
                <w:color w:val="auto"/>
                <w:lang w:eastAsia="zh-CN"/>
              </w:rPr>
              <w:t>刮板：增强玻璃钢纤维（</w:t>
            </w:r>
            <w:r>
              <w:rPr>
                <w:rFonts w:cs="宋体"/>
                <w:color w:val="auto"/>
                <w:lang w:eastAsia="zh-CN"/>
              </w:rPr>
              <w:t>FRP</w:t>
            </w:r>
            <w:r>
              <w:rPr>
                <w:color w:val="auto"/>
                <w:lang w:eastAsia="zh-CN"/>
              </w:rPr>
              <w:t>）耐磨靴：聚乙烯</w:t>
            </w:r>
            <w:r>
              <w:rPr>
                <w:rFonts w:cs="宋体"/>
                <w:color w:val="auto"/>
                <w:lang w:eastAsia="zh-CN"/>
              </w:rPr>
              <w:t>(PE)</w:t>
            </w:r>
            <w:r>
              <w:rPr>
                <w:color w:val="auto"/>
                <w:lang w:eastAsia="zh-CN"/>
              </w:rPr>
              <w:t>或超高分子聚乙烯（</w:t>
            </w:r>
            <w:r>
              <w:rPr>
                <w:rFonts w:cs="宋体"/>
                <w:color w:val="auto"/>
                <w:lang w:eastAsia="zh-CN"/>
              </w:rPr>
              <w:t>UHMW</w:t>
            </w:r>
            <w:r>
              <w:rPr>
                <w:color w:val="auto"/>
                <w:lang w:eastAsia="zh-CN"/>
              </w:rPr>
              <w:t>－</w:t>
            </w:r>
            <w:r>
              <w:rPr>
                <w:rFonts w:cs="宋体"/>
                <w:color w:val="auto"/>
                <w:lang w:eastAsia="zh-CN"/>
              </w:rPr>
              <w:t>PE</w:t>
            </w:r>
            <w:r>
              <w:rPr>
                <w:color w:val="auto"/>
                <w:lang w:eastAsia="zh-CN"/>
              </w:rPr>
              <w:t>）或尼龙</w:t>
            </w:r>
            <w:r>
              <w:rPr>
                <w:rFonts w:cs="宋体"/>
                <w:color w:val="auto"/>
                <w:lang w:eastAsia="zh-CN"/>
              </w:rPr>
              <w:t>6/6</w:t>
            </w:r>
            <w:r>
              <w:rPr>
                <w:color w:val="auto"/>
                <w:lang w:eastAsia="zh-CN"/>
              </w:rPr>
              <w:t>或更好材料驱动轴和从动轴：不锈钢；或高强度玻璃纤维加强的环氧树脂驱动轴</w:t>
            </w:r>
            <w:r>
              <w:rPr>
                <w:rFonts w:cs="宋体"/>
                <w:color w:val="auto"/>
                <w:lang w:eastAsia="zh-CN"/>
              </w:rPr>
              <w:t>+</w:t>
            </w:r>
            <w:r>
              <w:rPr>
                <w:color w:val="auto"/>
                <w:lang w:eastAsia="zh-CN"/>
              </w:rPr>
              <w:t>铸尼龙</w:t>
            </w:r>
            <w:r>
              <w:rPr>
                <w:rFonts w:cs="宋体"/>
                <w:color w:val="auto"/>
                <w:lang w:eastAsia="zh-CN"/>
              </w:rPr>
              <w:t>6</w:t>
            </w:r>
            <w:r>
              <w:rPr>
                <w:color w:val="auto"/>
                <w:lang w:eastAsia="zh-CN"/>
              </w:rPr>
              <w:t>从动轴</w:t>
            </w:r>
          </w:p>
          <w:p>
            <w:pPr>
              <w:pStyle w:val="11"/>
              <w:spacing w:line="360" w:lineRule="auto"/>
              <w:ind w:left="0" w:firstLine="420" w:firstLineChars="200"/>
              <w:rPr>
                <w:color w:val="auto"/>
                <w:lang w:eastAsia="zh-CN"/>
              </w:rPr>
            </w:pPr>
            <w:r>
              <w:rPr>
                <w:color w:val="auto"/>
                <w:lang w:eastAsia="zh-CN"/>
              </w:rPr>
              <w:t>驱动链轮：不锈钢</w:t>
            </w:r>
            <w:r>
              <w:rPr>
                <w:rFonts w:cs="宋体"/>
                <w:color w:val="auto"/>
                <w:lang w:eastAsia="zh-CN"/>
              </w:rPr>
              <w:t>+</w:t>
            </w:r>
            <w:r>
              <w:rPr>
                <w:color w:val="auto"/>
                <w:lang w:eastAsia="zh-CN"/>
              </w:rPr>
              <w:t>聚乙烯</w:t>
            </w:r>
            <w:r>
              <w:rPr>
                <w:rFonts w:cs="宋体"/>
                <w:color w:val="auto"/>
                <w:lang w:eastAsia="zh-CN"/>
              </w:rPr>
              <w:t>(PE)</w:t>
            </w:r>
            <w:r>
              <w:rPr>
                <w:color w:val="auto"/>
                <w:lang w:eastAsia="zh-CN"/>
              </w:rPr>
              <w:t>或聚亚安脂或铸尼龙</w:t>
            </w:r>
            <w:r>
              <w:rPr>
                <w:rFonts w:cs="宋体"/>
                <w:color w:val="auto"/>
                <w:lang w:eastAsia="zh-CN"/>
              </w:rPr>
              <w:t>6</w:t>
            </w:r>
            <w:r>
              <w:rPr>
                <w:color w:val="auto"/>
                <w:lang w:eastAsia="zh-CN"/>
              </w:rPr>
              <w:t>带不锈钢衬套或更好材料</w:t>
            </w:r>
          </w:p>
          <w:p>
            <w:pPr>
              <w:pStyle w:val="11"/>
              <w:spacing w:line="360" w:lineRule="auto"/>
              <w:ind w:left="0" w:firstLine="420" w:firstLineChars="200"/>
              <w:rPr>
                <w:color w:val="auto"/>
                <w:lang w:eastAsia="zh-CN"/>
              </w:rPr>
            </w:pPr>
            <w:r>
              <w:rPr>
                <w:color w:val="auto"/>
                <w:lang w:eastAsia="zh-CN"/>
              </w:rPr>
              <w:t>从动链轮：聚乙烯（</w:t>
            </w:r>
            <w:r>
              <w:rPr>
                <w:rFonts w:cs="宋体"/>
                <w:color w:val="auto"/>
                <w:lang w:eastAsia="zh-CN"/>
              </w:rPr>
              <w:t>PE</w:t>
            </w:r>
            <w:r>
              <w:rPr>
                <w:color w:val="auto"/>
                <w:lang w:eastAsia="zh-CN"/>
              </w:rPr>
              <w:t>）或聚亚安脂或铸尼龙</w:t>
            </w:r>
            <w:r>
              <w:rPr>
                <w:rFonts w:cs="宋体"/>
                <w:color w:val="auto"/>
                <w:lang w:eastAsia="zh-CN"/>
              </w:rPr>
              <w:t>6</w:t>
            </w:r>
            <w:r>
              <w:rPr>
                <w:color w:val="auto"/>
                <w:lang w:eastAsia="zh-CN"/>
              </w:rPr>
              <w:t>或更好的材料</w:t>
            </w:r>
            <w:r>
              <w:rPr>
                <w:color w:val="auto"/>
                <w:spacing w:val="-2"/>
                <w:lang w:eastAsia="zh-CN"/>
              </w:rPr>
              <w:t>导轨：不锈钢或聚乙烯</w:t>
            </w:r>
            <w:r>
              <w:rPr>
                <w:rFonts w:cs="宋体"/>
                <w:color w:val="auto"/>
                <w:spacing w:val="-2"/>
                <w:lang w:eastAsia="zh-CN"/>
              </w:rPr>
              <w:t>(PE)</w:t>
            </w:r>
            <w:r>
              <w:rPr>
                <w:color w:val="auto"/>
                <w:spacing w:val="-2"/>
                <w:lang w:eastAsia="zh-CN"/>
              </w:rPr>
              <w:t>或超高分子聚乙烯（</w:t>
            </w:r>
            <w:r>
              <w:rPr>
                <w:rFonts w:cs="宋体"/>
                <w:color w:val="auto"/>
                <w:spacing w:val="-2"/>
                <w:lang w:eastAsia="zh-CN"/>
              </w:rPr>
              <w:t>UHMW</w:t>
            </w:r>
            <w:r>
              <w:rPr>
                <w:color w:val="auto"/>
                <w:spacing w:val="-2"/>
                <w:lang w:eastAsia="zh-CN"/>
              </w:rPr>
              <w:t>－</w:t>
            </w:r>
            <w:r>
              <w:rPr>
                <w:rFonts w:cs="宋体"/>
                <w:color w:val="auto"/>
                <w:spacing w:val="-2"/>
                <w:lang w:eastAsia="zh-CN"/>
              </w:rPr>
              <w:t>PE</w:t>
            </w:r>
            <w:r>
              <w:rPr>
                <w:color w:val="auto"/>
                <w:spacing w:val="-2"/>
                <w:lang w:eastAsia="zh-CN"/>
              </w:rPr>
              <w:t>）或玻璃纤维增强塑料</w:t>
            </w:r>
            <w:r>
              <w:rPr>
                <w:color w:val="auto"/>
                <w:lang w:eastAsia="zh-CN"/>
              </w:rPr>
              <w:t>回程轨支撑：不锈钢或尼龙</w:t>
            </w:r>
            <w:r>
              <w:rPr>
                <w:rFonts w:cs="宋体"/>
                <w:color w:val="auto"/>
                <w:lang w:eastAsia="zh-CN"/>
              </w:rPr>
              <w:t>6/6</w:t>
            </w:r>
            <w:r>
              <w:rPr>
                <w:color w:val="auto"/>
                <w:lang w:eastAsia="zh-CN"/>
              </w:rPr>
              <w:t>或非金属</w:t>
            </w:r>
          </w:p>
          <w:p>
            <w:pPr>
              <w:pStyle w:val="11"/>
              <w:spacing w:line="360" w:lineRule="auto"/>
              <w:ind w:left="0" w:firstLine="420" w:firstLineChars="200"/>
              <w:rPr>
                <w:rFonts w:cs="宋体"/>
                <w:color w:val="auto"/>
                <w:lang w:eastAsia="zh-CN"/>
              </w:rPr>
            </w:pPr>
            <w:r>
              <w:rPr>
                <w:color w:val="auto"/>
                <w:lang w:eastAsia="zh-CN"/>
              </w:rPr>
              <w:t>刮刀：橡胶地脚螺栓：化学膨胀螺栓不锈钢</w:t>
            </w:r>
            <w:r>
              <w:rPr>
                <w:rFonts w:cs="宋体"/>
                <w:color w:val="auto"/>
                <w:lang w:eastAsia="zh-CN"/>
              </w:rPr>
              <w:t>316</w:t>
            </w:r>
          </w:p>
          <w:p>
            <w:pPr>
              <w:pStyle w:val="6"/>
              <w:spacing w:line="360" w:lineRule="auto"/>
              <w:ind w:left="0" w:firstLine="422" w:firstLineChars="200"/>
              <w:rPr>
                <w:b w:val="0"/>
                <w:bCs w:val="0"/>
                <w:color w:val="auto"/>
                <w:lang w:eastAsia="zh-CN"/>
              </w:rPr>
            </w:pPr>
            <w:r>
              <w:rPr>
                <w:color w:val="auto"/>
                <w:lang w:eastAsia="zh-CN"/>
              </w:rPr>
              <w:t>二沉池配水系统</w:t>
            </w:r>
          </w:p>
          <w:p>
            <w:pPr>
              <w:pStyle w:val="11"/>
              <w:spacing w:line="360" w:lineRule="auto"/>
              <w:ind w:left="0" w:firstLine="412" w:firstLineChars="200"/>
              <w:rPr>
                <w:color w:val="auto"/>
                <w:lang w:eastAsia="zh-CN"/>
              </w:rPr>
            </w:pPr>
            <w:r>
              <w:rPr>
                <w:color w:val="auto"/>
                <w:spacing w:val="-2"/>
                <w:lang w:eastAsia="zh-CN"/>
              </w:rPr>
              <w:t>包括进水渠配水孔管、反射挡板和导水裙板。</w:t>
            </w:r>
            <w:r>
              <w:rPr>
                <w:rFonts w:cs="宋体"/>
                <w:color w:val="auto"/>
                <w:lang w:eastAsia="zh-CN"/>
              </w:rPr>
              <w:t>1</w:t>
            </w:r>
            <w:r>
              <w:rPr>
                <w:color w:val="auto"/>
                <w:lang w:eastAsia="zh-CN"/>
              </w:rPr>
              <w:t>）总体要求</w:t>
            </w:r>
          </w:p>
          <w:p>
            <w:pPr>
              <w:pStyle w:val="11"/>
              <w:spacing w:line="360" w:lineRule="auto"/>
              <w:ind w:left="0" w:firstLine="404" w:firstLineChars="200"/>
              <w:jc w:val="both"/>
              <w:rPr>
                <w:color w:val="auto"/>
                <w:lang w:eastAsia="zh-CN"/>
              </w:rPr>
            </w:pPr>
            <w:r>
              <w:rPr>
                <w:color w:val="auto"/>
                <w:spacing w:val="-4"/>
                <w:lang w:eastAsia="zh-CN"/>
              </w:rPr>
              <w:t>²周边进水槽的配水孔管应由设备供应商依其系统要求提供，周边配水系统设计应保证</w:t>
            </w:r>
            <w:r>
              <w:rPr>
                <w:color w:val="auto"/>
                <w:lang w:eastAsia="zh-CN"/>
              </w:rPr>
              <w:t>二沉池的水力平衡。</w:t>
            </w:r>
          </w:p>
          <w:p>
            <w:pPr>
              <w:pStyle w:val="11"/>
              <w:spacing w:line="360" w:lineRule="auto"/>
              <w:ind w:left="0" w:firstLine="404" w:firstLineChars="200"/>
              <w:jc w:val="both"/>
              <w:rPr>
                <w:color w:val="auto"/>
                <w:lang w:eastAsia="zh-CN"/>
              </w:rPr>
            </w:pPr>
            <w:r>
              <w:rPr>
                <w:color w:val="auto"/>
                <w:spacing w:val="-4"/>
                <w:lang w:eastAsia="zh-CN"/>
              </w:rPr>
              <w:t>²进水槽必须保证周边均匀地布水，设计的水槽的断面应保证使水流在布水槽中以等速</w:t>
            </w:r>
            <w:r>
              <w:rPr>
                <w:color w:val="auto"/>
                <w:lang w:eastAsia="zh-CN"/>
              </w:rPr>
              <w:t>流动，防止固形物在槽内沉积。</w:t>
            </w:r>
          </w:p>
          <w:p>
            <w:pPr>
              <w:pStyle w:val="11"/>
              <w:spacing w:line="360" w:lineRule="auto"/>
              <w:ind w:left="0" w:firstLine="420" w:firstLineChars="200"/>
              <w:rPr>
                <w:color w:val="auto"/>
                <w:lang w:eastAsia="zh-CN"/>
              </w:rPr>
            </w:pPr>
            <w:r>
              <w:rPr>
                <w:color w:val="auto"/>
                <w:lang w:eastAsia="zh-CN"/>
              </w:rPr>
              <w:t>²配水孔管孔口大小，间距应合理，应能保证水流沿整个池长提供均衡配水的流量。</w:t>
            </w:r>
          </w:p>
          <w:p>
            <w:pPr>
              <w:pStyle w:val="11"/>
              <w:spacing w:line="360" w:lineRule="auto"/>
              <w:ind w:left="0" w:firstLine="404" w:firstLineChars="200"/>
              <w:jc w:val="both"/>
              <w:rPr>
                <w:color w:val="auto"/>
                <w:lang w:eastAsia="zh-CN"/>
              </w:rPr>
            </w:pPr>
            <w:r>
              <w:rPr>
                <w:color w:val="auto"/>
                <w:spacing w:val="-4"/>
                <w:lang w:eastAsia="zh-CN"/>
              </w:rPr>
              <w:t>²水流以低速均匀流入池子，然后向外扩散，并以平缓的环流返回到周边出水槽。承包</w:t>
            </w:r>
            <w:r>
              <w:rPr>
                <w:color w:val="auto"/>
                <w:lang w:eastAsia="zh-CN"/>
              </w:rPr>
              <w:t>人应保证进水的流速不会造成任何的短流和涡动。使悬浮固体均匀降落。</w:t>
            </w:r>
          </w:p>
          <w:p>
            <w:pPr>
              <w:pStyle w:val="11"/>
              <w:spacing w:line="360" w:lineRule="auto"/>
              <w:ind w:left="0" w:firstLine="420" w:firstLineChars="200"/>
              <w:rPr>
                <w:color w:val="auto"/>
                <w:lang w:eastAsia="zh-CN"/>
              </w:rPr>
            </w:pPr>
            <w:r>
              <w:rPr>
                <w:rFonts w:cs="宋体"/>
                <w:color w:val="auto"/>
                <w:lang w:eastAsia="zh-CN"/>
              </w:rPr>
              <w:t>2</w:t>
            </w:r>
            <w:r>
              <w:rPr>
                <w:color w:val="auto"/>
                <w:lang w:eastAsia="zh-CN"/>
              </w:rPr>
              <w:t>）配水孔管为保证水流从进水渠向二沉池内均匀配水，配水孔管的间距和管径沿进水渠应是变化</w:t>
            </w:r>
          </w:p>
          <w:p>
            <w:pPr>
              <w:pStyle w:val="11"/>
              <w:spacing w:line="360" w:lineRule="auto"/>
              <w:ind w:left="0" w:firstLine="404" w:firstLineChars="200"/>
              <w:rPr>
                <w:color w:val="auto"/>
                <w:lang w:eastAsia="zh-CN"/>
              </w:rPr>
            </w:pPr>
            <w:r>
              <w:rPr>
                <w:color w:val="auto"/>
                <w:spacing w:val="-4"/>
                <w:lang w:eastAsia="zh-CN"/>
              </w:rPr>
              <w:t>的，投标商需根据水力条件和各自设备情况确定配水孔管的数量、间距和管径。配水孔管采</w:t>
            </w:r>
            <w:r>
              <w:rPr>
                <w:color w:val="auto"/>
                <w:lang w:eastAsia="zh-CN"/>
              </w:rPr>
              <w:t>用</w:t>
            </w:r>
            <w:r>
              <w:rPr>
                <w:rFonts w:cs="宋体"/>
                <w:color w:val="auto"/>
                <w:lang w:eastAsia="zh-CN"/>
              </w:rPr>
              <w:t>316L</w:t>
            </w:r>
            <w:r>
              <w:rPr>
                <w:color w:val="auto"/>
                <w:lang w:eastAsia="zh-CN"/>
              </w:rPr>
              <w:t>不锈钢材料，厚度不小于</w:t>
            </w:r>
            <w:r>
              <w:rPr>
                <w:rFonts w:cs="宋体"/>
                <w:color w:val="auto"/>
                <w:lang w:eastAsia="zh-CN"/>
              </w:rPr>
              <w:t>1.5mm</w:t>
            </w:r>
            <w:r>
              <w:rPr>
                <w:color w:val="auto"/>
                <w:lang w:eastAsia="zh-CN"/>
              </w:rPr>
              <w:t>。</w:t>
            </w:r>
          </w:p>
          <w:p>
            <w:pPr>
              <w:pStyle w:val="11"/>
              <w:spacing w:line="360" w:lineRule="auto"/>
              <w:ind w:left="0" w:firstLine="420" w:firstLineChars="200"/>
              <w:rPr>
                <w:color w:val="auto"/>
                <w:lang w:eastAsia="zh-CN"/>
              </w:rPr>
            </w:pPr>
            <w:r>
              <w:rPr>
                <w:rFonts w:cs="宋体"/>
                <w:color w:val="auto"/>
                <w:lang w:eastAsia="zh-CN"/>
              </w:rPr>
              <w:t>3</w:t>
            </w:r>
            <w:r>
              <w:rPr>
                <w:color w:val="auto"/>
                <w:lang w:eastAsia="zh-CN"/>
              </w:rPr>
              <w:t>）反射挡板</w:t>
            </w:r>
          </w:p>
          <w:p>
            <w:pPr>
              <w:pStyle w:val="11"/>
              <w:spacing w:line="360" w:lineRule="auto"/>
              <w:ind w:left="0" w:firstLine="420" w:firstLineChars="200"/>
              <w:jc w:val="both"/>
              <w:rPr>
                <w:color w:val="auto"/>
                <w:lang w:eastAsia="zh-CN"/>
              </w:rPr>
            </w:pPr>
            <w:r>
              <w:rPr>
                <w:color w:val="auto"/>
                <w:lang w:eastAsia="zh-CN"/>
              </w:rPr>
              <w:t>采用</w:t>
            </w:r>
            <w:r>
              <w:rPr>
                <w:rFonts w:cs="宋体"/>
                <w:color w:val="auto"/>
                <w:lang w:eastAsia="zh-CN"/>
              </w:rPr>
              <w:t>316L</w:t>
            </w:r>
            <w:r>
              <w:rPr>
                <w:color w:val="auto"/>
                <w:lang w:eastAsia="zh-CN"/>
              </w:rPr>
              <w:t>不锈钢材料，板材厚度不小于</w:t>
            </w:r>
            <w:r>
              <w:rPr>
                <w:rFonts w:cs="宋体"/>
                <w:color w:val="auto"/>
                <w:lang w:eastAsia="zh-CN"/>
              </w:rPr>
              <w:t>3mm</w:t>
            </w:r>
            <w:r>
              <w:rPr>
                <w:color w:val="auto"/>
                <w:lang w:eastAsia="zh-CN"/>
              </w:rPr>
              <w:t>，数量与配水孔管相同，安装在配水孔管下方，用于减小水流的入流速度。由投标商确定反射挡板的平面尺寸和安装位置。</w:t>
            </w:r>
          </w:p>
          <w:p>
            <w:pPr>
              <w:pStyle w:val="11"/>
              <w:spacing w:line="360" w:lineRule="auto"/>
              <w:ind w:left="0" w:firstLine="420" w:firstLineChars="200"/>
              <w:rPr>
                <w:color w:val="auto"/>
                <w:lang w:eastAsia="zh-CN"/>
              </w:rPr>
            </w:pPr>
            <w:r>
              <w:rPr>
                <w:rFonts w:cs="宋体"/>
                <w:color w:val="auto"/>
                <w:lang w:eastAsia="zh-CN"/>
              </w:rPr>
              <w:t>4</w:t>
            </w:r>
            <w:r>
              <w:rPr>
                <w:color w:val="auto"/>
                <w:lang w:eastAsia="zh-CN"/>
              </w:rPr>
              <w:t>）导水裙板</w:t>
            </w:r>
          </w:p>
          <w:p>
            <w:pPr>
              <w:pStyle w:val="11"/>
              <w:spacing w:line="360" w:lineRule="auto"/>
              <w:ind w:left="0" w:firstLine="420" w:firstLineChars="200"/>
              <w:jc w:val="both"/>
              <w:rPr>
                <w:color w:val="auto"/>
                <w:lang w:eastAsia="zh-CN"/>
              </w:rPr>
            </w:pPr>
            <w:r>
              <w:rPr>
                <w:color w:val="auto"/>
                <w:lang w:eastAsia="zh-CN"/>
              </w:rPr>
              <w:t>采用聚丙烯材料，板材厚度不小于</w:t>
            </w:r>
            <w:r>
              <w:rPr>
                <w:rFonts w:cs="宋体"/>
                <w:color w:val="auto"/>
                <w:lang w:eastAsia="zh-CN"/>
              </w:rPr>
              <w:t>5mm</w:t>
            </w:r>
            <w:r>
              <w:rPr>
                <w:color w:val="auto"/>
                <w:lang w:eastAsia="zh-CN"/>
              </w:rPr>
              <w:t>。安装于进水渠</w:t>
            </w:r>
            <w:r>
              <w:rPr>
                <w:rFonts w:cs="宋体"/>
                <w:color w:val="auto"/>
                <w:lang w:eastAsia="zh-CN"/>
              </w:rPr>
              <w:t>/</w:t>
            </w:r>
            <w:r>
              <w:rPr>
                <w:color w:val="auto"/>
                <w:lang w:eastAsia="zh-CN"/>
              </w:rPr>
              <w:t>排水渠下方，用于将水流导入二沉池下部，防止短路。由投标商确定导水裙板的平面尺寸和安装位置。</w:t>
            </w:r>
          </w:p>
          <w:p>
            <w:pPr>
              <w:pStyle w:val="6"/>
              <w:spacing w:line="360" w:lineRule="auto"/>
              <w:ind w:left="0" w:firstLine="422" w:firstLineChars="200"/>
              <w:rPr>
                <w:b w:val="0"/>
                <w:bCs w:val="0"/>
                <w:color w:val="auto"/>
                <w:lang w:eastAsia="zh-CN"/>
              </w:rPr>
            </w:pPr>
            <w:r>
              <w:rPr>
                <w:rFonts w:cs="宋体"/>
                <w:color w:val="auto"/>
                <w:lang w:eastAsia="zh-CN"/>
              </w:rPr>
              <w:t>3.</w:t>
            </w:r>
            <w:r>
              <w:rPr>
                <w:color w:val="auto"/>
                <w:lang w:eastAsia="zh-CN"/>
              </w:rPr>
              <w:t>二沉池排泥系统</w:t>
            </w:r>
          </w:p>
          <w:p>
            <w:pPr>
              <w:pStyle w:val="11"/>
              <w:spacing w:line="360" w:lineRule="auto"/>
              <w:ind w:left="0" w:firstLine="412" w:firstLineChars="200"/>
              <w:rPr>
                <w:color w:val="auto"/>
                <w:lang w:eastAsia="zh-CN"/>
              </w:rPr>
            </w:pPr>
            <w:r>
              <w:rPr>
                <w:color w:val="auto"/>
                <w:spacing w:val="-2"/>
                <w:lang w:eastAsia="zh-CN"/>
              </w:rPr>
              <w:t>包括：液压穿孔排泥管、污泥控制套筒阀、排泥管与污泥控制阀之间的连接管。</w:t>
            </w:r>
            <w:r>
              <w:rPr>
                <w:rFonts w:cs="宋体"/>
                <w:color w:val="auto"/>
                <w:lang w:eastAsia="zh-CN"/>
              </w:rPr>
              <w:t>1</w:t>
            </w:r>
            <w:r>
              <w:rPr>
                <w:color w:val="auto"/>
                <w:lang w:eastAsia="zh-CN"/>
              </w:rPr>
              <w:t>）液压穿孔排泥管：</w:t>
            </w:r>
          </w:p>
          <w:p>
            <w:pPr>
              <w:pStyle w:val="11"/>
              <w:spacing w:line="360" w:lineRule="auto"/>
              <w:ind w:left="0" w:firstLine="420" w:firstLineChars="200"/>
              <w:jc w:val="both"/>
              <w:rPr>
                <w:color w:val="auto"/>
                <w:lang w:eastAsia="zh-CN"/>
              </w:rPr>
            </w:pPr>
            <w:r>
              <w:rPr>
                <w:color w:val="auto"/>
                <w:lang w:eastAsia="zh-CN"/>
              </w:rPr>
              <w:t>数量：每格池</w:t>
            </w:r>
            <w:r>
              <w:rPr>
                <w:rFonts w:cs="宋体"/>
                <w:color w:val="auto"/>
                <w:lang w:eastAsia="zh-CN"/>
              </w:rPr>
              <w:t>7</w:t>
            </w:r>
            <w:r>
              <w:rPr>
                <w:color w:val="auto"/>
                <w:lang w:eastAsia="zh-CN"/>
              </w:rPr>
              <w:t>根，共</w:t>
            </w:r>
            <w:r>
              <w:rPr>
                <w:rFonts w:hint="eastAsia" w:cs="宋体"/>
                <w:color w:val="auto"/>
                <w:lang w:eastAsia="zh-CN"/>
              </w:rPr>
              <w:t>35</w:t>
            </w:r>
            <w:r>
              <w:rPr>
                <w:color w:val="auto"/>
                <w:lang w:eastAsia="zh-CN"/>
              </w:rPr>
              <w:t>根。管长</w:t>
            </w:r>
            <w:r>
              <w:rPr>
                <w:rFonts w:cs="宋体"/>
                <w:color w:val="auto"/>
                <w:lang w:eastAsia="zh-CN"/>
              </w:rPr>
              <w:t>6.0m</w:t>
            </w:r>
            <w:r>
              <w:rPr>
                <w:rFonts w:hint="eastAsia" w:cs="宋体"/>
                <w:color w:val="auto"/>
                <w:lang w:eastAsia="zh-CN"/>
              </w:rPr>
              <w:t>（暂定）</w:t>
            </w:r>
            <w:r>
              <w:rPr>
                <w:color w:val="auto"/>
                <w:lang w:eastAsia="zh-CN"/>
              </w:rPr>
              <w:t>，为方形</w:t>
            </w:r>
            <w:r>
              <w:rPr>
                <w:rFonts w:cs="宋体"/>
                <w:color w:val="auto"/>
                <w:lang w:eastAsia="zh-CN"/>
              </w:rPr>
              <w:t>316L</w:t>
            </w:r>
            <w:r>
              <w:rPr>
                <w:color w:val="auto"/>
                <w:lang w:eastAsia="zh-CN"/>
              </w:rPr>
              <w:t>不锈钢穿孔排泥管，管壁厚度不小于</w:t>
            </w:r>
            <w:r>
              <w:rPr>
                <w:rFonts w:cs="宋体"/>
                <w:color w:val="auto"/>
                <w:spacing w:val="-3"/>
                <w:lang w:eastAsia="zh-CN"/>
              </w:rPr>
              <w:t>4mm</w:t>
            </w:r>
            <w:r>
              <w:rPr>
                <w:color w:val="auto"/>
                <w:spacing w:val="-3"/>
                <w:lang w:eastAsia="zh-CN"/>
              </w:rPr>
              <w:t>，投标商需自行确定排泥管上的孔径和孔间距，并保证将区域内的沉淀污泥有效</w:t>
            </w:r>
            <w:r>
              <w:rPr>
                <w:color w:val="auto"/>
                <w:spacing w:val="5"/>
                <w:lang w:eastAsia="zh-CN"/>
              </w:rPr>
              <w:t>排到池外，同时可以在池内保持适当高度的污泥层，污泥层厚度不小于</w:t>
            </w:r>
            <w:r>
              <w:rPr>
                <w:rFonts w:cs="宋体"/>
                <w:color w:val="auto"/>
                <w:spacing w:val="2"/>
                <w:lang w:eastAsia="zh-CN"/>
              </w:rPr>
              <w:t>600mm</w:t>
            </w:r>
            <w:r>
              <w:rPr>
                <w:color w:val="auto"/>
                <w:spacing w:val="2"/>
                <w:lang w:eastAsia="zh-CN"/>
              </w:rPr>
              <w:t>，不大于</w:t>
            </w:r>
            <w:r>
              <w:rPr>
                <w:rFonts w:cs="宋体"/>
                <w:color w:val="auto"/>
                <w:spacing w:val="-4"/>
                <w:lang w:eastAsia="zh-CN"/>
              </w:rPr>
              <w:t>1000mm</w:t>
            </w:r>
            <w:r>
              <w:rPr>
                <w:color w:val="auto"/>
                <w:spacing w:val="-4"/>
                <w:lang w:eastAsia="zh-CN"/>
              </w:rPr>
              <w:t>，保证经整个池底的沉泥连续吸出，不得有任何的积泥死区，以实现二沉池池底均匀</w:t>
            </w:r>
            <w:r>
              <w:rPr>
                <w:color w:val="auto"/>
                <w:lang w:eastAsia="zh-CN"/>
              </w:rPr>
              <w:t>排泥效果。</w:t>
            </w:r>
          </w:p>
          <w:p>
            <w:pPr>
              <w:pStyle w:val="11"/>
              <w:spacing w:line="360" w:lineRule="auto"/>
              <w:ind w:left="0" w:firstLine="412" w:firstLineChars="200"/>
              <w:rPr>
                <w:color w:val="auto"/>
                <w:lang w:eastAsia="zh-CN"/>
              </w:rPr>
            </w:pPr>
            <w:r>
              <w:rPr>
                <w:rFonts w:cs="宋体"/>
                <w:color w:val="auto"/>
                <w:spacing w:val="-2"/>
                <w:lang w:eastAsia="zh-CN"/>
              </w:rPr>
              <w:t>2</w:t>
            </w:r>
            <w:r>
              <w:rPr>
                <w:color w:val="auto"/>
                <w:spacing w:val="-2"/>
                <w:lang w:eastAsia="zh-CN"/>
              </w:rPr>
              <w:t>）污泥控制阀及排泥管与污泥控制阀之间的连接管：</w:t>
            </w:r>
            <w:r>
              <w:rPr>
                <w:color w:val="auto"/>
                <w:lang w:eastAsia="zh-CN"/>
              </w:rPr>
              <w:t>数量：每格池</w:t>
            </w:r>
            <w:r>
              <w:rPr>
                <w:rFonts w:cs="宋体"/>
                <w:color w:val="auto"/>
                <w:lang w:eastAsia="zh-CN"/>
              </w:rPr>
              <w:t>7</w:t>
            </w:r>
            <w:r>
              <w:rPr>
                <w:color w:val="auto"/>
                <w:lang w:eastAsia="zh-CN"/>
              </w:rPr>
              <w:t>个，共</w:t>
            </w:r>
            <w:r>
              <w:rPr>
                <w:rFonts w:hint="eastAsia" w:cs="宋体"/>
                <w:color w:val="auto"/>
                <w:lang w:eastAsia="zh-CN"/>
              </w:rPr>
              <w:t>35</w:t>
            </w:r>
            <w:r>
              <w:rPr>
                <w:color w:val="auto"/>
                <w:lang w:eastAsia="zh-CN"/>
              </w:rPr>
              <w:t>个。</w:t>
            </w:r>
          </w:p>
          <w:p>
            <w:pPr>
              <w:pStyle w:val="11"/>
              <w:spacing w:line="360" w:lineRule="auto"/>
              <w:ind w:left="0" w:firstLine="404" w:firstLineChars="200"/>
              <w:rPr>
                <w:color w:val="auto"/>
                <w:lang w:eastAsia="zh-CN"/>
              </w:rPr>
            </w:pPr>
            <w:r>
              <w:rPr>
                <w:color w:val="auto"/>
                <w:spacing w:val="-4"/>
                <w:lang w:eastAsia="zh-CN"/>
              </w:rPr>
              <w:t>污泥控制阀可采用套筒阀来调节流量的形式，调节高度</w:t>
            </w:r>
            <w:r>
              <w:rPr>
                <w:rFonts w:cs="宋体"/>
                <w:color w:val="auto"/>
                <w:spacing w:val="-8"/>
                <w:lang w:eastAsia="zh-CN"/>
              </w:rPr>
              <w:t>1m</w:t>
            </w:r>
            <w:r>
              <w:rPr>
                <w:color w:val="auto"/>
                <w:spacing w:val="-8"/>
                <w:lang w:eastAsia="zh-CN"/>
              </w:rPr>
              <w:t>。外套管采用</w:t>
            </w:r>
            <w:r>
              <w:rPr>
                <w:rFonts w:cs="宋体"/>
                <w:color w:val="auto"/>
                <w:lang w:eastAsia="zh-CN"/>
              </w:rPr>
              <w:t>SS316L</w:t>
            </w:r>
            <w:r>
              <w:rPr>
                <w:color w:val="auto"/>
                <w:lang w:eastAsia="zh-CN"/>
              </w:rPr>
              <w:t>不锈钢管，内管采用</w:t>
            </w:r>
            <w:r>
              <w:rPr>
                <w:rFonts w:cs="宋体"/>
                <w:color w:val="auto"/>
                <w:lang w:eastAsia="zh-CN"/>
              </w:rPr>
              <w:t>SS316L</w:t>
            </w:r>
            <w:r>
              <w:rPr>
                <w:color w:val="auto"/>
                <w:lang w:eastAsia="zh-CN"/>
              </w:rPr>
              <w:t>不锈钢管，丝杆</w:t>
            </w:r>
            <w:r>
              <w:rPr>
                <w:rFonts w:cs="宋体"/>
                <w:color w:val="auto"/>
                <w:lang w:eastAsia="zh-CN"/>
              </w:rPr>
              <w:t>2Cr13</w:t>
            </w:r>
            <w:r>
              <w:rPr>
                <w:color w:val="auto"/>
                <w:lang w:eastAsia="zh-CN"/>
              </w:rPr>
              <w:t>，配手轮铸铁启闭机。通过连接管与池底液压</w:t>
            </w:r>
            <w:r>
              <w:rPr>
                <w:color w:val="auto"/>
                <w:spacing w:val="-4"/>
                <w:lang w:eastAsia="zh-CN"/>
              </w:rPr>
              <w:t>穿孔排泥管相连。污泥控制阀应该可以有效调节排泥量。污泥控制阀与排泥管之间的连接管</w:t>
            </w:r>
            <w:r>
              <w:rPr>
                <w:color w:val="auto"/>
                <w:lang w:eastAsia="zh-CN"/>
              </w:rPr>
              <w:t>采用</w:t>
            </w:r>
            <w:r>
              <w:rPr>
                <w:rFonts w:cs="宋体"/>
                <w:color w:val="auto"/>
                <w:lang w:eastAsia="zh-CN"/>
              </w:rPr>
              <w:t>SS316L</w:t>
            </w:r>
            <w:r>
              <w:rPr>
                <w:color w:val="auto"/>
                <w:lang w:eastAsia="zh-CN"/>
              </w:rPr>
              <w:t>不锈钢管，与污泥控制阀采用法兰连接。污泥控制阀也可采用转角式套筒阀，通过调节外套管开口量调节排泥量。外套管采用</w:t>
            </w:r>
          </w:p>
          <w:p>
            <w:pPr>
              <w:pStyle w:val="11"/>
              <w:spacing w:line="360" w:lineRule="auto"/>
              <w:ind w:left="0" w:firstLine="420" w:firstLineChars="200"/>
              <w:jc w:val="both"/>
              <w:rPr>
                <w:color w:val="auto"/>
                <w:lang w:eastAsia="zh-CN"/>
              </w:rPr>
            </w:pPr>
            <w:r>
              <w:rPr>
                <w:rFonts w:cs="宋体"/>
                <w:color w:val="auto"/>
                <w:lang w:eastAsia="zh-CN"/>
              </w:rPr>
              <w:t>SS316L</w:t>
            </w:r>
            <w:r>
              <w:rPr>
                <w:color w:val="auto"/>
                <w:spacing w:val="-6"/>
                <w:lang w:eastAsia="zh-CN"/>
              </w:rPr>
              <w:t>不锈钢管，内管采用</w:t>
            </w:r>
            <w:r>
              <w:rPr>
                <w:rFonts w:cs="宋体"/>
                <w:color w:val="auto"/>
                <w:lang w:eastAsia="zh-CN"/>
              </w:rPr>
              <w:t>SS316L</w:t>
            </w:r>
            <w:r>
              <w:rPr>
                <w:color w:val="auto"/>
                <w:spacing w:val="-4"/>
                <w:lang w:eastAsia="zh-CN"/>
              </w:rPr>
              <w:t>不锈钢管，通过厂家配备的手柄旋转外套管，控制排泥量。污泥控制阀应该可以有效调节排泥量。通过连接管与池底液压穿孔排泥管相连。污泥控</w:t>
            </w:r>
            <w:r>
              <w:rPr>
                <w:color w:val="auto"/>
                <w:lang w:eastAsia="zh-CN"/>
              </w:rPr>
              <w:t>制阀与排泥管之间的连接管采用</w:t>
            </w:r>
            <w:r>
              <w:rPr>
                <w:rFonts w:cs="宋体"/>
                <w:color w:val="auto"/>
                <w:lang w:eastAsia="zh-CN"/>
              </w:rPr>
              <w:t>SS316L</w:t>
            </w:r>
            <w:r>
              <w:rPr>
                <w:color w:val="auto"/>
                <w:lang w:eastAsia="zh-CN"/>
              </w:rPr>
              <w:t>不锈钢管，与污泥控制阀采用法兰连接。</w:t>
            </w:r>
          </w:p>
          <w:p>
            <w:pPr>
              <w:pStyle w:val="6"/>
              <w:spacing w:line="360" w:lineRule="auto"/>
              <w:ind w:left="0" w:firstLine="422" w:firstLineChars="200"/>
              <w:jc w:val="both"/>
              <w:rPr>
                <w:b w:val="0"/>
                <w:bCs w:val="0"/>
                <w:color w:val="auto"/>
                <w:lang w:eastAsia="zh-CN"/>
              </w:rPr>
            </w:pPr>
            <w:r>
              <w:rPr>
                <w:rFonts w:cs="宋体"/>
                <w:color w:val="auto"/>
                <w:lang w:eastAsia="zh-CN"/>
              </w:rPr>
              <w:t>4.</w:t>
            </w:r>
            <w:r>
              <w:rPr>
                <w:color w:val="auto"/>
                <w:lang w:eastAsia="zh-CN"/>
              </w:rPr>
              <w:t>集渣管</w:t>
            </w:r>
          </w:p>
          <w:p>
            <w:pPr>
              <w:pStyle w:val="11"/>
              <w:spacing w:line="360" w:lineRule="auto"/>
              <w:ind w:left="0" w:firstLine="420" w:firstLineChars="200"/>
              <w:rPr>
                <w:color w:val="auto"/>
                <w:lang w:eastAsia="zh-CN"/>
              </w:rPr>
            </w:pPr>
            <w:r>
              <w:rPr>
                <w:color w:val="auto"/>
                <w:lang w:eastAsia="zh-CN"/>
              </w:rPr>
              <w:t>二沉池系统共</w:t>
            </w:r>
            <w:r>
              <w:rPr>
                <w:rFonts w:hint="eastAsia" w:cs="宋体"/>
                <w:color w:val="auto"/>
                <w:lang w:eastAsia="zh-CN"/>
              </w:rPr>
              <w:t>5</w:t>
            </w:r>
            <w:r>
              <w:rPr>
                <w:color w:val="auto"/>
                <w:lang w:eastAsia="zh-CN"/>
              </w:rPr>
              <w:t>格，每池池面集渣宽度</w:t>
            </w:r>
            <w:r>
              <w:rPr>
                <w:rFonts w:hint="eastAsia" w:cs="宋体"/>
                <w:color w:val="auto"/>
                <w:lang w:eastAsia="zh-CN"/>
              </w:rPr>
              <w:t>4.5</w:t>
            </w:r>
            <w:r>
              <w:rPr>
                <w:rFonts w:cs="宋体"/>
                <w:color w:val="auto"/>
                <w:lang w:eastAsia="zh-CN"/>
              </w:rPr>
              <w:t>m</w:t>
            </w:r>
            <w:r>
              <w:rPr>
                <w:color w:val="auto"/>
                <w:lang w:eastAsia="zh-CN"/>
              </w:rPr>
              <w:t>，各设一套手动旋转集渣管。</w:t>
            </w:r>
            <w:r>
              <w:rPr>
                <w:color w:val="auto"/>
                <w:spacing w:val="-4"/>
                <w:lang w:eastAsia="zh-CN"/>
              </w:rPr>
              <w:t>集渣管安装于沉淀池末端，应跨于整个集渣宽度，用于集纳和排出污水中的浮渣。集渣</w:t>
            </w:r>
          </w:p>
          <w:p>
            <w:pPr>
              <w:pStyle w:val="11"/>
              <w:spacing w:line="360" w:lineRule="auto"/>
              <w:ind w:left="0" w:firstLine="416" w:firstLineChars="200"/>
              <w:jc w:val="both"/>
              <w:rPr>
                <w:color w:val="auto"/>
                <w:lang w:eastAsia="zh-CN"/>
              </w:rPr>
            </w:pPr>
            <w:r>
              <w:rPr>
                <w:color w:val="auto"/>
                <w:spacing w:val="-1"/>
                <w:lang w:eastAsia="zh-CN"/>
              </w:rPr>
              <w:t>管的安装位置与安装标高应符合招标图纸的要求，并由投标商根据进</w:t>
            </w:r>
            <w:r>
              <w:rPr>
                <w:rFonts w:cs="宋体"/>
                <w:color w:val="auto"/>
                <w:spacing w:val="-1"/>
                <w:lang w:eastAsia="zh-CN"/>
              </w:rPr>
              <w:t>/</w:t>
            </w:r>
            <w:r>
              <w:rPr>
                <w:color w:val="auto"/>
                <w:spacing w:val="-1"/>
                <w:lang w:eastAsia="zh-CN"/>
              </w:rPr>
              <w:t>出水渠的水力设计进</w:t>
            </w:r>
            <w:r>
              <w:rPr>
                <w:color w:val="auto"/>
                <w:lang w:eastAsia="zh-CN"/>
              </w:rPr>
              <w:t>行调整。</w:t>
            </w:r>
          </w:p>
          <w:p>
            <w:pPr>
              <w:pStyle w:val="11"/>
              <w:spacing w:line="360" w:lineRule="auto"/>
              <w:ind w:left="0" w:firstLine="400" w:firstLineChars="200"/>
              <w:rPr>
                <w:color w:val="auto"/>
                <w:lang w:eastAsia="zh-CN"/>
              </w:rPr>
            </w:pPr>
            <w:r>
              <w:rPr>
                <w:color w:val="auto"/>
                <w:spacing w:val="-5"/>
                <w:lang w:eastAsia="zh-CN"/>
              </w:rPr>
              <w:t>集渣管为手动转动操作的开槽圆管，阀体不锈钢</w:t>
            </w:r>
            <w:r>
              <w:rPr>
                <w:rFonts w:cs="宋体"/>
                <w:color w:val="auto"/>
                <w:spacing w:val="-11"/>
                <w:lang w:eastAsia="zh-CN"/>
              </w:rPr>
              <w:t>316L</w:t>
            </w:r>
            <w:r>
              <w:rPr>
                <w:color w:val="auto"/>
                <w:spacing w:val="-11"/>
                <w:lang w:eastAsia="zh-CN"/>
              </w:rPr>
              <w:t>，丝杆</w:t>
            </w:r>
            <w:r>
              <w:rPr>
                <w:rFonts w:cs="宋体"/>
                <w:color w:val="auto"/>
                <w:spacing w:val="-6"/>
                <w:lang w:eastAsia="zh-CN"/>
              </w:rPr>
              <w:t>2Cr13</w:t>
            </w:r>
            <w:r>
              <w:rPr>
                <w:color w:val="auto"/>
                <w:spacing w:val="-6"/>
                <w:lang w:eastAsia="zh-CN"/>
              </w:rPr>
              <w:t>，配手轮铸铁启闭机，</w:t>
            </w:r>
            <w:r>
              <w:rPr>
                <w:color w:val="auto"/>
                <w:lang w:eastAsia="zh-CN"/>
              </w:rPr>
              <w:t>管径不小于</w:t>
            </w:r>
            <w:r>
              <w:rPr>
                <w:rFonts w:ascii="Arial" w:hAnsi="Arial" w:eastAsia="Arial" w:cs="Arial"/>
                <w:color w:val="auto"/>
                <w:lang w:eastAsia="zh-CN"/>
              </w:rPr>
              <w:t>Ф</w:t>
            </w:r>
            <w:r>
              <w:rPr>
                <w:rFonts w:cs="宋体"/>
                <w:color w:val="auto"/>
                <w:lang w:eastAsia="zh-CN"/>
              </w:rPr>
              <w:t>310mm</w:t>
            </w:r>
            <w:r>
              <w:rPr>
                <w:color w:val="auto"/>
                <w:lang w:eastAsia="zh-CN"/>
              </w:rPr>
              <w:t>，管壁厚≥</w:t>
            </w:r>
            <w:r>
              <w:rPr>
                <w:rFonts w:cs="宋体"/>
                <w:color w:val="auto"/>
                <w:lang w:eastAsia="zh-CN"/>
              </w:rPr>
              <w:t>5mm</w:t>
            </w:r>
            <w:r>
              <w:rPr>
                <w:color w:val="auto"/>
                <w:lang w:eastAsia="zh-CN"/>
              </w:rPr>
              <w:t>，管长应与二沉池相配合，沿管长开设中心角为</w:t>
            </w:r>
            <w:r>
              <w:rPr>
                <w:rFonts w:cs="宋体"/>
                <w:color w:val="auto"/>
                <w:lang w:eastAsia="zh-CN"/>
              </w:rPr>
              <w:t>90</w:t>
            </w:r>
            <w:r>
              <w:rPr>
                <w:color w:val="auto"/>
                <w:lang w:eastAsia="zh-CN"/>
              </w:rPr>
              <w:t>°的槽，在保证受扭和受压强度下，整个管长可形成</w:t>
            </w:r>
            <w:r>
              <w:rPr>
                <w:rFonts w:cs="宋体"/>
                <w:color w:val="auto"/>
                <w:lang w:eastAsia="zh-CN"/>
              </w:rPr>
              <w:t>4</w:t>
            </w:r>
            <w:r>
              <w:rPr>
                <w:color w:val="auto"/>
                <w:lang w:eastAsia="zh-CN"/>
              </w:rPr>
              <w:t>～</w:t>
            </w:r>
            <w:r>
              <w:rPr>
                <w:rFonts w:cs="宋体"/>
                <w:color w:val="auto"/>
                <w:lang w:eastAsia="zh-CN"/>
              </w:rPr>
              <w:t>7</w:t>
            </w:r>
            <w:r>
              <w:rPr>
                <w:color w:val="auto"/>
                <w:lang w:eastAsia="zh-CN"/>
              </w:rPr>
              <w:t>个堰口。</w:t>
            </w:r>
          </w:p>
          <w:p>
            <w:pPr>
              <w:pStyle w:val="11"/>
              <w:spacing w:line="360" w:lineRule="auto"/>
              <w:ind w:left="0" w:firstLine="404" w:firstLineChars="200"/>
              <w:rPr>
                <w:color w:val="auto"/>
                <w:lang w:eastAsia="zh-CN"/>
              </w:rPr>
            </w:pPr>
            <w:r>
              <w:rPr>
                <w:color w:val="auto"/>
                <w:spacing w:val="-4"/>
                <w:lang w:eastAsia="zh-CN"/>
              </w:rPr>
              <w:t>每套集渣管应包括两端的滑动轴承式管支承和电动螺旋传动机构及接渣配管。撇渣管应</w:t>
            </w:r>
            <w:r>
              <w:rPr>
                <w:color w:val="auto"/>
                <w:lang w:eastAsia="zh-CN"/>
              </w:rPr>
              <w:t>转动灵活，并设有限位挡块，两端的轴承支承应有良好的密封措施。</w:t>
            </w:r>
          </w:p>
          <w:p>
            <w:pPr>
              <w:pStyle w:val="11"/>
              <w:spacing w:line="360" w:lineRule="auto"/>
              <w:ind w:left="0" w:firstLine="420" w:firstLineChars="200"/>
              <w:rPr>
                <w:color w:val="auto"/>
                <w:lang w:eastAsia="zh-CN"/>
              </w:rPr>
            </w:pPr>
            <w:r>
              <w:rPr>
                <w:color w:val="auto"/>
                <w:lang w:eastAsia="zh-CN"/>
              </w:rPr>
              <w:t>管的挠度不大于</w:t>
            </w:r>
            <w:r>
              <w:rPr>
                <w:rFonts w:cs="宋体"/>
                <w:color w:val="auto"/>
                <w:lang w:eastAsia="zh-CN"/>
              </w:rPr>
              <w:t>1</w:t>
            </w:r>
            <w:r>
              <w:rPr>
                <w:color w:val="auto"/>
                <w:lang w:eastAsia="zh-CN"/>
              </w:rPr>
              <w:t>／</w:t>
            </w:r>
            <w:r>
              <w:rPr>
                <w:rFonts w:cs="宋体"/>
                <w:color w:val="auto"/>
                <w:lang w:eastAsia="zh-CN"/>
              </w:rPr>
              <w:t>1000</w:t>
            </w:r>
            <w:r>
              <w:rPr>
                <w:color w:val="auto"/>
                <w:spacing w:val="-5"/>
                <w:lang w:eastAsia="zh-CN"/>
              </w:rPr>
              <w:t>管二端支承间长度。管支承结构应考虑管的温差伸缩，滑动轴</w:t>
            </w:r>
            <w:r>
              <w:rPr>
                <w:color w:val="auto"/>
                <w:lang w:eastAsia="zh-CN"/>
              </w:rPr>
              <w:t>承应有可靠的密封构造，泄漏量为</w:t>
            </w:r>
            <w:r>
              <w:rPr>
                <w:rFonts w:cs="宋体"/>
                <w:color w:val="auto"/>
                <w:lang w:eastAsia="zh-CN"/>
              </w:rPr>
              <w:t>0</w:t>
            </w:r>
            <w:r>
              <w:rPr>
                <w:color w:val="auto"/>
                <w:lang w:eastAsia="zh-CN"/>
              </w:rPr>
              <w:t>。</w:t>
            </w:r>
          </w:p>
          <w:p>
            <w:pPr>
              <w:pStyle w:val="11"/>
              <w:spacing w:line="360" w:lineRule="auto"/>
              <w:ind w:left="0" w:firstLine="404" w:firstLineChars="200"/>
              <w:rPr>
                <w:color w:val="auto"/>
                <w:lang w:eastAsia="zh-CN"/>
              </w:rPr>
            </w:pPr>
            <w:r>
              <w:rPr>
                <w:color w:val="auto"/>
                <w:spacing w:val="-4"/>
                <w:lang w:eastAsia="zh-CN"/>
              </w:rPr>
              <w:t>每台撇渣管转动的操作杆应伸出平台并装有手动操作机构，手轮尺寸选择应保证手轮上</w:t>
            </w:r>
            <w:r>
              <w:rPr>
                <w:color w:val="auto"/>
                <w:lang w:eastAsia="zh-CN"/>
              </w:rPr>
              <w:t>的总操作力不大于</w:t>
            </w:r>
            <w:r>
              <w:rPr>
                <w:rFonts w:cs="宋体"/>
                <w:color w:val="auto"/>
                <w:lang w:eastAsia="zh-CN"/>
              </w:rPr>
              <w:t>150N</w:t>
            </w:r>
            <w:r>
              <w:rPr>
                <w:color w:val="auto"/>
                <w:lang w:eastAsia="zh-CN"/>
              </w:rPr>
              <w:t>。</w:t>
            </w:r>
          </w:p>
          <w:p>
            <w:pPr>
              <w:pStyle w:val="11"/>
              <w:spacing w:line="360" w:lineRule="auto"/>
              <w:ind w:left="0" w:firstLine="404" w:firstLineChars="200"/>
              <w:rPr>
                <w:color w:val="auto"/>
                <w:lang w:eastAsia="zh-CN"/>
              </w:rPr>
            </w:pPr>
            <w:r>
              <w:rPr>
                <w:color w:val="auto"/>
                <w:spacing w:val="-4"/>
                <w:lang w:eastAsia="zh-CN"/>
              </w:rPr>
              <w:t>集渣管手轮启闭机的设置位置需由投标商根据平面布置图来确定，应方便安装及日常操</w:t>
            </w:r>
            <w:r>
              <w:rPr>
                <w:color w:val="auto"/>
                <w:lang w:eastAsia="zh-CN"/>
              </w:rPr>
              <w:t>作。</w:t>
            </w:r>
          </w:p>
          <w:p>
            <w:pPr>
              <w:pStyle w:val="6"/>
              <w:spacing w:line="360" w:lineRule="auto"/>
              <w:ind w:left="0" w:firstLine="422" w:firstLineChars="200"/>
              <w:jc w:val="both"/>
              <w:rPr>
                <w:b w:val="0"/>
                <w:bCs w:val="0"/>
                <w:color w:val="auto"/>
                <w:lang w:eastAsia="zh-CN"/>
              </w:rPr>
            </w:pPr>
            <w:r>
              <w:rPr>
                <w:rFonts w:cs="宋体"/>
                <w:color w:val="auto"/>
                <w:lang w:eastAsia="zh-CN"/>
              </w:rPr>
              <w:t>5.</w:t>
            </w:r>
            <w:r>
              <w:rPr>
                <w:color w:val="auto"/>
                <w:lang w:eastAsia="zh-CN"/>
              </w:rPr>
              <w:t>出水堰板、浮渣挡板和支架</w:t>
            </w:r>
          </w:p>
          <w:p>
            <w:pPr>
              <w:pStyle w:val="11"/>
              <w:spacing w:line="360" w:lineRule="auto"/>
              <w:ind w:left="0" w:firstLine="420" w:firstLineChars="200"/>
              <w:rPr>
                <w:color w:val="auto"/>
                <w:lang w:eastAsia="zh-CN"/>
              </w:rPr>
            </w:pPr>
            <w:r>
              <w:rPr>
                <w:rFonts w:cs="宋体"/>
                <w:color w:val="auto"/>
                <w:lang w:eastAsia="zh-CN"/>
              </w:rPr>
              <w:t>1</w:t>
            </w:r>
            <w:r>
              <w:rPr>
                <w:color w:val="auto"/>
                <w:lang w:eastAsia="zh-CN"/>
              </w:rPr>
              <w:t>）排水渠出水堰板</w:t>
            </w:r>
          </w:p>
          <w:p>
            <w:pPr>
              <w:pStyle w:val="11"/>
              <w:spacing w:line="360" w:lineRule="auto"/>
              <w:ind w:left="0" w:firstLine="420" w:firstLineChars="200"/>
              <w:rPr>
                <w:color w:val="auto"/>
                <w:lang w:eastAsia="zh-CN"/>
              </w:rPr>
            </w:pPr>
            <w:r>
              <w:rPr>
                <w:color w:val="auto"/>
                <w:lang w:eastAsia="zh-CN"/>
              </w:rPr>
              <w:t>采用</w:t>
            </w:r>
            <w:r>
              <w:rPr>
                <w:rFonts w:cs="宋体"/>
                <w:color w:val="auto"/>
                <w:spacing w:val="-1"/>
                <w:lang w:eastAsia="zh-CN"/>
              </w:rPr>
              <w:t>316L</w:t>
            </w:r>
            <w:r>
              <w:rPr>
                <w:color w:val="auto"/>
                <w:spacing w:val="-10"/>
                <w:lang w:eastAsia="zh-CN"/>
              </w:rPr>
              <w:t>不锈钢出水堰板，安装在排水渠渠壁上，用于均匀排水，堰板厚度不小于</w:t>
            </w:r>
            <w:r>
              <w:rPr>
                <w:rFonts w:cs="宋体"/>
                <w:color w:val="auto"/>
                <w:spacing w:val="-1"/>
                <w:lang w:eastAsia="zh-CN"/>
              </w:rPr>
              <w:t>3mm</w:t>
            </w:r>
            <w:r>
              <w:rPr>
                <w:color w:val="auto"/>
                <w:spacing w:val="-1"/>
                <w:lang w:eastAsia="zh-CN"/>
              </w:rPr>
              <w:t>，</w:t>
            </w:r>
            <w:r>
              <w:rPr>
                <w:color w:val="auto"/>
                <w:lang w:eastAsia="zh-CN"/>
              </w:rPr>
              <w:t>堰板高度</w:t>
            </w:r>
            <w:r>
              <w:rPr>
                <w:rFonts w:cs="宋体"/>
                <w:color w:val="auto"/>
                <w:lang w:eastAsia="zh-CN"/>
              </w:rPr>
              <w:t>250mm</w:t>
            </w:r>
            <w:r>
              <w:rPr>
                <w:color w:val="auto"/>
                <w:lang w:eastAsia="zh-CN"/>
              </w:rPr>
              <w:t>。</w:t>
            </w:r>
          </w:p>
          <w:p>
            <w:pPr>
              <w:pStyle w:val="11"/>
              <w:spacing w:line="360" w:lineRule="auto"/>
              <w:ind w:left="0" w:firstLine="420" w:firstLineChars="200"/>
              <w:rPr>
                <w:color w:val="auto"/>
                <w:lang w:eastAsia="zh-CN"/>
              </w:rPr>
            </w:pPr>
            <w:r>
              <w:rPr>
                <w:color w:val="auto"/>
                <w:lang w:eastAsia="zh-CN"/>
              </w:rPr>
              <w:t>所有螺栓与紧固件均采用</w:t>
            </w:r>
            <w:r>
              <w:rPr>
                <w:rFonts w:cs="宋体"/>
                <w:color w:val="auto"/>
                <w:lang w:eastAsia="zh-CN"/>
              </w:rPr>
              <w:t>316</w:t>
            </w:r>
            <w:r>
              <w:rPr>
                <w:color w:val="auto"/>
                <w:lang w:eastAsia="zh-CN"/>
              </w:rPr>
              <w:t>不锈钢材料。</w:t>
            </w:r>
            <w:r>
              <w:rPr>
                <w:rFonts w:cs="宋体"/>
                <w:color w:val="auto"/>
                <w:lang w:eastAsia="zh-CN"/>
              </w:rPr>
              <w:t>2</w:t>
            </w:r>
            <w:r>
              <w:rPr>
                <w:color w:val="auto"/>
                <w:lang w:eastAsia="zh-CN"/>
              </w:rPr>
              <w:t>）浮渣挡板及支撑架</w:t>
            </w:r>
          </w:p>
          <w:p>
            <w:pPr>
              <w:pStyle w:val="11"/>
              <w:spacing w:line="360" w:lineRule="auto"/>
              <w:ind w:left="0" w:firstLine="420" w:firstLineChars="200"/>
              <w:rPr>
                <w:color w:val="auto"/>
                <w:lang w:eastAsia="zh-CN"/>
              </w:rPr>
            </w:pPr>
            <w:r>
              <w:rPr>
                <w:color w:val="auto"/>
                <w:lang w:eastAsia="zh-CN"/>
              </w:rPr>
              <w:t>采用</w:t>
            </w:r>
            <w:r>
              <w:rPr>
                <w:rFonts w:cs="宋体"/>
                <w:color w:val="auto"/>
                <w:lang w:eastAsia="zh-CN"/>
              </w:rPr>
              <w:t>316L</w:t>
            </w:r>
            <w:r>
              <w:rPr>
                <w:color w:val="auto"/>
                <w:lang w:eastAsia="zh-CN"/>
              </w:rPr>
              <w:t>不锈钢浮渣挡板，安装在排水渠外，以防止浮渣进水排水渠，挡板的厚度不小于</w:t>
            </w:r>
            <w:r>
              <w:rPr>
                <w:rFonts w:cs="宋体"/>
                <w:color w:val="auto"/>
                <w:spacing w:val="-13"/>
                <w:lang w:eastAsia="zh-CN"/>
              </w:rPr>
              <w:t>3mm</w:t>
            </w:r>
            <w:r>
              <w:rPr>
                <w:color w:val="auto"/>
                <w:spacing w:val="-13"/>
                <w:lang w:eastAsia="zh-CN"/>
              </w:rPr>
              <w:t>，高度</w:t>
            </w:r>
            <w:r>
              <w:rPr>
                <w:rFonts w:cs="宋体"/>
                <w:color w:val="auto"/>
                <w:spacing w:val="-6"/>
                <w:lang w:eastAsia="zh-CN"/>
              </w:rPr>
              <w:t>300mm</w:t>
            </w:r>
            <w:r>
              <w:rPr>
                <w:color w:val="auto"/>
                <w:spacing w:val="-6"/>
                <w:lang w:eastAsia="zh-CN"/>
              </w:rPr>
              <w:t>。浮渣挡板由支撑架固定在排水渠池壁上，支撑架材质为</w:t>
            </w:r>
            <w:r>
              <w:rPr>
                <w:rFonts w:cs="宋体"/>
                <w:color w:val="auto"/>
                <w:lang w:eastAsia="zh-CN"/>
              </w:rPr>
              <w:t>316L</w:t>
            </w:r>
            <w:r>
              <w:rPr>
                <w:color w:val="auto"/>
                <w:lang w:eastAsia="zh-CN"/>
              </w:rPr>
              <w:t>不锈钢。</w:t>
            </w:r>
          </w:p>
          <w:p>
            <w:pPr>
              <w:pStyle w:val="11"/>
              <w:spacing w:line="360" w:lineRule="auto"/>
              <w:ind w:left="0" w:firstLine="420" w:firstLineChars="200"/>
              <w:rPr>
                <w:color w:val="auto"/>
                <w:lang w:eastAsia="zh-CN"/>
              </w:rPr>
            </w:pPr>
            <w:r>
              <w:rPr>
                <w:color w:val="auto"/>
                <w:lang w:eastAsia="zh-CN"/>
              </w:rPr>
              <w:t>所有基础螺栓与紧固件均采用</w:t>
            </w:r>
            <w:r>
              <w:rPr>
                <w:rFonts w:cs="宋体"/>
                <w:color w:val="auto"/>
                <w:lang w:eastAsia="zh-CN"/>
              </w:rPr>
              <w:t>316</w:t>
            </w:r>
            <w:r>
              <w:rPr>
                <w:color w:val="auto"/>
                <w:lang w:eastAsia="zh-CN"/>
              </w:rPr>
              <w:t>不锈钢材料。</w:t>
            </w:r>
          </w:p>
        </w:tc>
      </w:tr>
    </w:tbl>
    <w:p>
      <w:pPr>
        <w:pStyle w:val="29"/>
        <w:ind w:firstLine="472"/>
        <w:rPr>
          <w:color w:val="auto"/>
        </w:rPr>
      </w:pPr>
    </w:p>
    <w:p>
      <w:pPr>
        <w:pStyle w:val="31"/>
        <w:rPr>
          <w:color w:val="auto"/>
        </w:rPr>
      </w:pPr>
      <w:r>
        <w:rPr>
          <w:color w:val="auto"/>
        </w:rPr>
        <w:t>闸门</w:t>
      </w:r>
    </w:p>
    <w:tbl>
      <w:tblPr>
        <w:tblStyle w:val="25"/>
        <w:tblW w:w="8789" w:type="dxa"/>
        <w:tblInd w:w="3" w:type="dxa"/>
        <w:tblLayout w:type="fixed"/>
        <w:tblCellMar>
          <w:top w:w="0" w:type="dxa"/>
          <w:left w:w="0" w:type="dxa"/>
          <w:bottom w:w="0" w:type="dxa"/>
          <w:right w:w="0" w:type="dxa"/>
        </w:tblCellMar>
      </w:tblPr>
      <w:tblGrid>
        <w:gridCol w:w="851"/>
        <w:gridCol w:w="1701"/>
        <w:gridCol w:w="2693"/>
        <w:gridCol w:w="992"/>
        <w:gridCol w:w="1843"/>
        <w:gridCol w:w="709"/>
      </w:tblGrid>
      <w:tr>
        <w:tblPrEx>
          <w:tblLayout w:type="fixed"/>
        </w:tblPrEx>
        <w:tc>
          <w:tcPr>
            <w:tcW w:w="851" w:type="dxa"/>
            <w:tcBorders>
              <w:top w:val="single" w:color="000000" w:sz="2" w:space="0"/>
              <w:left w:val="single" w:color="000000" w:sz="2" w:space="0"/>
              <w:bottom w:val="single" w:color="000000" w:sz="6" w:space="0"/>
              <w:right w:val="single" w:color="000000" w:sz="6" w:space="0"/>
            </w:tcBorders>
            <w:vAlign w:val="center"/>
          </w:tcPr>
          <w:p>
            <w:pPr>
              <w:pStyle w:val="27"/>
              <w:spacing w:before="11" w:line="360" w:lineRule="auto"/>
              <w:jc w:val="center"/>
              <w:rPr>
                <w:rFonts w:ascii="Times New Roman" w:hAnsi="Times New Roman" w:eastAsia="宋体" w:cs="Times New Roman"/>
                <w:b/>
                <w:color w:val="auto"/>
                <w:sz w:val="21"/>
                <w:szCs w:val="21"/>
              </w:rPr>
            </w:pPr>
            <w:r>
              <w:rPr>
                <w:rFonts w:hint="eastAsia" w:ascii="Times New Roman" w:hAnsi="Times New Roman" w:eastAsia="宋体" w:cs="Times New Roman"/>
                <w:b/>
                <w:color w:val="auto"/>
                <w:sz w:val="21"/>
                <w:szCs w:val="21"/>
                <w:lang w:eastAsia="zh-CN"/>
              </w:rPr>
              <w:t>序号</w:t>
            </w:r>
          </w:p>
        </w:tc>
        <w:tc>
          <w:tcPr>
            <w:tcW w:w="1701" w:type="dxa"/>
            <w:tcBorders>
              <w:top w:val="single" w:color="000000" w:sz="2" w:space="0"/>
              <w:left w:val="single" w:color="000000" w:sz="2" w:space="0"/>
              <w:bottom w:val="single" w:color="000000" w:sz="6" w:space="0"/>
              <w:right w:val="single" w:color="000000" w:sz="6" w:space="0"/>
            </w:tcBorders>
            <w:vAlign w:val="center"/>
          </w:tcPr>
          <w:p>
            <w:pPr>
              <w:pStyle w:val="27"/>
              <w:spacing w:before="11" w:line="360" w:lineRule="auto"/>
              <w:jc w:val="center"/>
              <w:rPr>
                <w:rFonts w:ascii="Times New Roman" w:hAnsi="Times New Roman" w:eastAsia="宋体" w:cs="Times New Roman"/>
                <w:b/>
                <w:color w:val="auto"/>
                <w:sz w:val="21"/>
                <w:szCs w:val="21"/>
              </w:rPr>
            </w:pPr>
            <w:r>
              <w:rPr>
                <w:rFonts w:ascii="Times New Roman" w:hAnsi="Times New Roman" w:eastAsia="宋体" w:cs="Times New Roman"/>
                <w:b/>
                <w:color w:val="auto"/>
                <w:sz w:val="21"/>
                <w:szCs w:val="21"/>
              </w:rPr>
              <w:t>设备名称</w:t>
            </w:r>
          </w:p>
        </w:tc>
        <w:tc>
          <w:tcPr>
            <w:tcW w:w="2693" w:type="dxa"/>
            <w:tcBorders>
              <w:top w:val="single" w:color="000000" w:sz="2" w:space="0"/>
              <w:left w:val="single" w:color="000000" w:sz="6" w:space="0"/>
              <w:bottom w:val="single" w:color="000000" w:sz="6" w:space="0"/>
              <w:right w:val="single" w:color="000000" w:sz="6" w:space="0"/>
            </w:tcBorders>
            <w:vAlign w:val="center"/>
          </w:tcPr>
          <w:p>
            <w:pPr>
              <w:pStyle w:val="27"/>
              <w:spacing w:before="11" w:line="360" w:lineRule="auto"/>
              <w:jc w:val="center"/>
              <w:rPr>
                <w:rFonts w:ascii="Times New Roman" w:hAnsi="Times New Roman" w:eastAsia="宋体" w:cs="Times New Roman"/>
                <w:b/>
                <w:color w:val="auto"/>
                <w:sz w:val="21"/>
                <w:szCs w:val="21"/>
              </w:rPr>
            </w:pPr>
            <w:r>
              <w:rPr>
                <w:rFonts w:ascii="Times New Roman" w:hAnsi="Times New Roman" w:eastAsia="宋体" w:cs="Times New Roman"/>
                <w:b/>
                <w:color w:val="auto"/>
                <w:sz w:val="21"/>
                <w:szCs w:val="21"/>
              </w:rPr>
              <w:t>规格</w:t>
            </w:r>
          </w:p>
        </w:tc>
        <w:tc>
          <w:tcPr>
            <w:tcW w:w="992" w:type="dxa"/>
            <w:tcBorders>
              <w:top w:val="single" w:color="000000" w:sz="2" w:space="0"/>
              <w:left w:val="single" w:color="000000" w:sz="6" w:space="0"/>
              <w:bottom w:val="single" w:color="000000" w:sz="6" w:space="0"/>
              <w:right w:val="single" w:color="000000" w:sz="2" w:space="0"/>
            </w:tcBorders>
            <w:vAlign w:val="center"/>
          </w:tcPr>
          <w:p>
            <w:pPr>
              <w:pStyle w:val="27"/>
              <w:spacing w:before="11" w:line="360" w:lineRule="auto"/>
              <w:ind w:left="-1"/>
              <w:jc w:val="center"/>
              <w:rPr>
                <w:rFonts w:ascii="Times New Roman" w:hAnsi="Times New Roman" w:eastAsia="宋体" w:cs="Times New Roman"/>
                <w:b/>
                <w:color w:val="auto"/>
                <w:sz w:val="21"/>
                <w:szCs w:val="21"/>
              </w:rPr>
            </w:pPr>
            <w:r>
              <w:rPr>
                <w:rFonts w:ascii="Times New Roman" w:hAnsi="Times New Roman" w:eastAsia="宋体" w:cs="Times New Roman"/>
                <w:b/>
                <w:color w:val="auto"/>
                <w:sz w:val="21"/>
                <w:szCs w:val="21"/>
              </w:rPr>
              <w:t>数量</w:t>
            </w:r>
          </w:p>
        </w:tc>
        <w:tc>
          <w:tcPr>
            <w:tcW w:w="1843" w:type="dxa"/>
            <w:tcBorders>
              <w:top w:val="single" w:color="000000" w:sz="2" w:space="0"/>
              <w:left w:val="single" w:color="000000" w:sz="2" w:space="0"/>
              <w:bottom w:val="single" w:color="000000" w:sz="6" w:space="0"/>
              <w:right w:val="single" w:color="000000" w:sz="2" w:space="0"/>
            </w:tcBorders>
            <w:vAlign w:val="center"/>
          </w:tcPr>
          <w:p>
            <w:pPr>
              <w:pStyle w:val="27"/>
              <w:spacing w:before="11" w:line="360" w:lineRule="auto"/>
              <w:ind w:left="-1"/>
              <w:jc w:val="center"/>
              <w:rPr>
                <w:rFonts w:ascii="Times New Roman" w:hAnsi="Times New Roman" w:eastAsia="宋体" w:cs="Times New Roman"/>
                <w:b/>
                <w:color w:val="auto"/>
                <w:sz w:val="21"/>
                <w:szCs w:val="21"/>
              </w:rPr>
            </w:pPr>
            <w:r>
              <w:rPr>
                <w:rFonts w:ascii="Times New Roman" w:hAnsi="Times New Roman" w:eastAsia="宋体" w:cs="Times New Roman"/>
                <w:b/>
                <w:color w:val="auto"/>
                <w:sz w:val="21"/>
                <w:szCs w:val="21"/>
              </w:rPr>
              <w:t>启闭方式</w:t>
            </w:r>
          </w:p>
        </w:tc>
        <w:tc>
          <w:tcPr>
            <w:tcW w:w="709" w:type="dxa"/>
            <w:tcBorders>
              <w:top w:val="single" w:color="000000" w:sz="2" w:space="0"/>
              <w:left w:val="single" w:color="000000" w:sz="2" w:space="0"/>
              <w:bottom w:val="single" w:color="000000" w:sz="6" w:space="0"/>
              <w:right w:val="single" w:color="000000" w:sz="2" w:space="0"/>
            </w:tcBorders>
            <w:vAlign w:val="center"/>
          </w:tcPr>
          <w:p>
            <w:pPr>
              <w:pStyle w:val="27"/>
              <w:spacing w:before="11" w:line="360" w:lineRule="auto"/>
              <w:jc w:val="center"/>
              <w:rPr>
                <w:rFonts w:ascii="Times New Roman" w:hAnsi="Times New Roman" w:eastAsia="宋体" w:cs="Times New Roman"/>
                <w:b/>
                <w:color w:val="auto"/>
                <w:sz w:val="21"/>
                <w:szCs w:val="21"/>
              </w:rPr>
            </w:pPr>
            <w:r>
              <w:rPr>
                <w:rFonts w:ascii="Times New Roman" w:hAnsi="Times New Roman" w:eastAsia="宋体" w:cs="Times New Roman"/>
                <w:b/>
                <w:color w:val="auto"/>
                <w:sz w:val="21"/>
                <w:szCs w:val="21"/>
              </w:rPr>
              <w:t>材质</w:t>
            </w:r>
          </w:p>
        </w:tc>
      </w:tr>
      <w:tr>
        <w:tblPrEx>
          <w:tblLayout w:type="fixed"/>
          <w:tblCellMar>
            <w:top w:w="0" w:type="dxa"/>
            <w:left w:w="0" w:type="dxa"/>
            <w:bottom w:w="0" w:type="dxa"/>
            <w:right w:w="0" w:type="dxa"/>
          </w:tblCellMar>
        </w:tblPrEx>
        <w:tc>
          <w:tcPr>
            <w:tcW w:w="851" w:type="dxa"/>
            <w:tcBorders>
              <w:top w:val="single" w:color="000000" w:sz="6" w:space="0"/>
              <w:left w:val="single" w:color="000000" w:sz="2" w:space="0"/>
              <w:bottom w:val="single" w:color="000000" w:sz="6" w:space="0"/>
              <w:right w:val="single" w:color="000000" w:sz="6" w:space="0"/>
            </w:tcBorders>
            <w:vAlign w:val="center"/>
          </w:tcPr>
          <w:p>
            <w:pPr>
              <w:widowControl/>
              <w:spacing w:line="360" w:lineRule="auto"/>
              <w:jc w:val="center"/>
              <w:rPr>
                <w:rFonts w:ascii="Times New Roman" w:hAnsi="Times New Roman" w:cs="Times New Roman"/>
                <w:color w:val="auto"/>
                <w:lang w:eastAsia="zh-CN"/>
              </w:rPr>
            </w:pPr>
            <w:r>
              <w:rPr>
                <w:rFonts w:hint="eastAsia" w:ascii="Times New Roman" w:hAnsi="Times New Roman" w:cs="Times New Roman"/>
                <w:color w:val="auto"/>
                <w:lang w:eastAsia="zh-CN"/>
              </w:rPr>
              <w:t>1</w:t>
            </w:r>
          </w:p>
        </w:tc>
        <w:tc>
          <w:tcPr>
            <w:tcW w:w="1701" w:type="dxa"/>
            <w:tcBorders>
              <w:top w:val="single" w:color="000000" w:sz="6" w:space="0"/>
              <w:left w:val="single" w:color="000000" w:sz="2" w:space="0"/>
              <w:bottom w:val="single" w:color="000000" w:sz="6" w:space="0"/>
              <w:right w:val="single" w:color="000000" w:sz="6" w:space="0"/>
            </w:tcBorders>
            <w:vAlign w:val="center"/>
          </w:tcPr>
          <w:p>
            <w:pPr>
              <w:widowControl/>
              <w:spacing w:line="360" w:lineRule="auto"/>
              <w:jc w:val="center"/>
              <w:rPr>
                <w:rFonts w:ascii="Times New Roman" w:hAnsi="Times New Roman" w:cs="Times New Roman"/>
                <w:color w:val="auto"/>
              </w:rPr>
            </w:pPr>
            <w:r>
              <w:rPr>
                <w:rFonts w:ascii="Times New Roman" w:hAnsi="Times New Roman" w:cs="Times New Roman"/>
                <w:color w:val="auto"/>
              </w:rPr>
              <w:t>电动渠道闸门</w:t>
            </w:r>
          </w:p>
        </w:tc>
        <w:tc>
          <w:tcPr>
            <w:tcW w:w="2693" w:type="dxa"/>
            <w:tcBorders>
              <w:top w:val="single" w:color="000000" w:sz="6" w:space="0"/>
              <w:left w:val="single" w:color="000000" w:sz="6" w:space="0"/>
              <w:bottom w:val="single" w:color="000000" w:sz="6" w:space="0"/>
              <w:right w:val="single" w:color="000000" w:sz="6" w:space="0"/>
            </w:tcBorders>
            <w:vAlign w:val="center"/>
          </w:tcPr>
          <w:p>
            <w:pPr>
              <w:widowControl/>
              <w:spacing w:line="360" w:lineRule="auto"/>
              <w:rPr>
                <w:rFonts w:ascii="Times New Roman" w:hAnsi="Times New Roman" w:cs="Times New Roman"/>
                <w:color w:val="auto"/>
              </w:rPr>
            </w:pPr>
            <w:r>
              <w:rPr>
                <w:rFonts w:ascii="Times New Roman" w:hAnsi="Times New Roman" w:cs="Times New Roman"/>
                <w:color w:val="auto"/>
              </w:rPr>
              <w:t>B×H=700×1500</w:t>
            </w:r>
            <w:r>
              <w:rPr>
                <w:rFonts w:hint="eastAsia" w:ascii="Times New Roman" w:hAnsi="Times New Roman" w:cs="Times New Roman"/>
                <w:color w:val="auto"/>
                <w:lang w:eastAsia="zh-CN"/>
              </w:rPr>
              <w:t>，</w:t>
            </w:r>
            <w:r>
              <w:rPr>
                <w:rFonts w:ascii="Times New Roman" w:hAnsi="Times New Roman" w:cs="Times New Roman"/>
                <w:color w:val="auto"/>
              </w:rPr>
              <w:t>P=1.1kW</w:t>
            </w:r>
          </w:p>
        </w:tc>
        <w:tc>
          <w:tcPr>
            <w:tcW w:w="992" w:type="dxa"/>
            <w:tcBorders>
              <w:top w:val="single" w:color="000000" w:sz="6" w:space="0"/>
              <w:left w:val="single" w:color="000000" w:sz="6" w:space="0"/>
              <w:bottom w:val="single" w:color="000000" w:sz="6" w:space="0"/>
              <w:right w:val="single" w:color="000000" w:sz="2" w:space="0"/>
            </w:tcBorders>
            <w:vAlign w:val="center"/>
          </w:tcPr>
          <w:p>
            <w:pPr>
              <w:pStyle w:val="27"/>
              <w:spacing w:before="9" w:line="360" w:lineRule="auto"/>
              <w:ind w:left="-1"/>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5</w:t>
            </w:r>
          </w:p>
        </w:tc>
        <w:tc>
          <w:tcPr>
            <w:tcW w:w="1843" w:type="dxa"/>
            <w:tcBorders>
              <w:top w:val="single" w:color="000000" w:sz="6" w:space="0"/>
              <w:left w:val="single" w:color="000000" w:sz="2" w:space="0"/>
              <w:bottom w:val="single" w:color="000000" w:sz="6" w:space="0"/>
              <w:right w:val="single" w:color="000000" w:sz="2" w:space="0"/>
            </w:tcBorders>
            <w:vAlign w:val="center"/>
          </w:tcPr>
          <w:p>
            <w:pPr>
              <w:pStyle w:val="27"/>
              <w:spacing w:before="9" w:line="360" w:lineRule="auto"/>
              <w:ind w:left="-1"/>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采用电动方式</w:t>
            </w:r>
          </w:p>
        </w:tc>
        <w:tc>
          <w:tcPr>
            <w:tcW w:w="709" w:type="dxa"/>
            <w:vMerge w:val="restart"/>
            <w:tcBorders>
              <w:top w:val="single" w:color="000000" w:sz="6" w:space="0"/>
              <w:left w:val="single" w:color="000000" w:sz="2" w:space="0"/>
              <w:right w:val="single" w:color="000000" w:sz="2" w:space="0"/>
            </w:tcBorders>
            <w:vAlign w:val="center"/>
          </w:tcPr>
          <w:p>
            <w:pPr>
              <w:pStyle w:val="27"/>
              <w:spacing w:before="6" w:line="360" w:lineRule="auto"/>
              <w:rPr>
                <w:rFonts w:ascii="Times New Roman" w:hAnsi="Times New Roman" w:eastAsia="宋体" w:cs="Times New Roman"/>
                <w:color w:val="auto"/>
                <w:sz w:val="29"/>
                <w:szCs w:val="29"/>
              </w:rPr>
            </w:pPr>
          </w:p>
          <w:p>
            <w:pPr>
              <w:pStyle w:val="27"/>
              <w:spacing w:line="360" w:lineRule="auto"/>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不锈钢</w:t>
            </w:r>
          </w:p>
        </w:tc>
      </w:tr>
      <w:tr>
        <w:tblPrEx>
          <w:tblLayout w:type="fixed"/>
          <w:tblCellMar>
            <w:top w:w="0" w:type="dxa"/>
            <w:left w:w="0" w:type="dxa"/>
            <w:bottom w:w="0" w:type="dxa"/>
            <w:right w:w="0" w:type="dxa"/>
          </w:tblCellMar>
        </w:tblPrEx>
        <w:tc>
          <w:tcPr>
            <w:tcW w:w="851" w:type="dxa"/>
            <w:tcBorders>
              <w:top w:val="single" w:color="000000" w:sz="6" w:space="0"/>
              <w:left w:val="single" w:color="000000" w:sz="2" w:space="0"/>
              <w:bottom w:val="single" w:color="000000" w:sz="6" w:space="0"/>
              <w:right w:val="single" w:color="000000" w:sz="6" w:space="0"/>
            </w:tcBorders>
            <w:vAlign w:val="center"/>
          </w:tcPr>
          <w:p>
            <w:pPr>
              <w:widowControl/>
              <w:spacing w:line="360" w:lineRule="auto"/>
              <w:jc w:val="center"/>
              <w:rPr>
                <w:rFonts w:ascii="Times New Roman" w:hAnsi="Times New Roman" w:cs="Times New Roman"/>
                <w:color w:val="auto"/>
                <w:lang w:eastAsia="zh-CN"/>
              </w:rPr>
            </w:pPr>
            <w:r>
              <w:rPr>
                <w:rFonts w:hint="eastAsia" w:ascii="Times New Roman" w:hAnsi="Times New Roman" w:cs="Times New Roman"/>
                <w:color w:val="auto"/>
                <w:lang w:eastAsia="zh-CN"/>
              </w:rPr>
              <w:t>2</w:t>
            </w:r>
          </w:p>
        </w:tc>
        <w:tc>
          <w:tcPr>
            <w:tcW w:w="1701" w:type="dxa"/>
            <w:tcBorders>
              <w:top w:val="single" w:color="000000" w:sz="6" w:space="0"/>
              <w:left w:val="single" w:color="000000" w:sz="2" w:space="0"/>
              <w:bottom w:val="single" w:color="000000" w:sz="6" w:space="0"/>
              <w:right w:val="single" w:color="000000" w:sz="6" w:space="0"/>
            </w:tcBorders>
            <w:vAlign w:val="center"/>
          </w:tcPr>
          <w:p>
            <w:pPr>
              <w:widowControl/>
              <w:spacing w:line="360" w:lineRule="auto"/>
              <w:jc w:val="center"/>
              <w:rPr>
                <w:rFonts w:ascii="Times New Roman" w:hAnsi="Times New Roman" w:cs="Times New Roman"/>
                <w:color w:val="auto"/>
              </w:rPr>
            </w:pPr>
            <w:r>
              <w:rPr>
                <w:rFonts w:ascii="Times New Roman" w:hAnsi="Times New Roman" w:cs="Times New Roman"/>
                <w:color w:val="auto"/>
              </w:rPr>
              <w:t>电动调节堰门</w:t>
            </w:r>
          </w:p>
        </w:tc>
        <w:tc>
          <w:tcPr>
            <w:tcW w:w="2693" w:type="dxa"/>
            <w:tcBorders>
              <w:top w:val="single" w:color="000000" w:sz="6" w:space="0"/>
              <w:left w:val="single" w:color="000000" w:sz="6" w:space="0"/>
              <w:bottom w:val="single" w:color="000000" w:sz="6" w:space="0"/>
              <w:right w:val="single" w:color="000000" w:sz="6" w:space="0"/>
            </w:tcBorders>
            <w:vAlign w:val="center"/>
          </w:tcPr>
          <w:p>
            <w:pPr>
              <w:widowControl/>
              <w:spacing w:line="360" w:lineRule="auto"/>
              <w:rPr>
                <w:rFonts w:ascii="Times New Roman" w:hAnsi="Times New Roman" w:cs="Times New Roman"/>
                <w:color w:val="auto"/>
              </w:rPr>
            </w:pPr>
            <w:r>
              <w:rPr>
                <w:rFonts w:ascii="Times New Roman" w:hAnsi="Times New Roman" w:cs="Times New Roman"/>
                <w:color w:val="auto"/>
              </w:rPr>
              <w:t>B×H=300×500</w:t>
            </w:r>
            <w:r>
              <w:rPr>
                <w:rFonts w:hint="eastAsia" w:ascii="Times New Roman" w:hAnsi="Times New Roman" w:cs="Times New Roman"/>
                <w:color w:val="auto"/>
                <w:lang w:eastAsia="zh-CN"/>
              </w:rPr>
              <w:t>，</w:t>
            </w:r>
            <w:r>
              <w:rPr>
                <w:rFonts w:ascii="Times New Roman" w:hAnsi="Times New Roman" w:cs="Times New Roman"/>
                <w:color w:val="auto"/>
              </w:rPr>
              <w:t>P=1.1kW</w:t>
            </w:r>
          </w:p>
        </w:tc>
        <w:tc>
          <w:tcPr>
            <w:tcW w:w="992" w:type="dxa"/>
            <w:tcBorders>
              <w:top w:val="single" w:color="000000" w:sz="6" w:space="0"/>
              <w:left w:val="single" w:color="000000" w:sz="6" w:space="0"/>
              <w:bottom w:val="single" w:color="000000" w:sz="6" w:space="0"/>
              <w:right w:val="single" w:color="000000" w:sz="2" w:space="0"/>
            </w:tcBorders>
            <w:vAlign w:val="center"/>
          </w:tcPr>
          <w:p>
            <w:pPr>
              <w:pStyle w:val="27"/>
              <w:spacing w:before="6" w:line="360" w:lineRule="auto"/>
              <w:ind w:left="-1"/>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5</w:t>
            </w:r>
          </w:p>
        </w:tc>
        <w:tc>
          <w:tcPr>
            <w:tcW w:w="1843" w:type="dxa"/>
            <w:tcBorders>
              <w:top w:val="single" w:color="000000" w:sz="6" w:space="0"/>
              <w:left w:val="single" w:color="000000" w:sz="2" w:space="0"/>
              <w:bottom w:val="single" w:color="000000" w:sz="6" w:space="0"/>
              <w:right w:val="single" w:color="000000" w:sz="2" w:space="0"/>
            </w:tcBorders>
            <w:vAlign w:val="center"/>
          </w:tcPr>
          <w:p>
            <w:pPr>
              <w:pStyle w:val="27"/>
              <w:spacing w:before="6" w:line="360" w:lineRule="auto"/>
              <w:ind w:left="-1"/>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采用电动方式</w:t>
            </w:r>
          </w:p>
        </w:tc>
        <w:tc>
          <w:tcPr>
            <w:tcW w:w="709" w:type="dxa"/>
            <w:vMerge w:val="continue"/>
            <w:tcBorders>
              <w:left w:val="single" w:color="000000" w:sz="2" w:space="0"/>
              <w:right w:val="single" w:color="000000" w:sz="2" w:space="0"/>
            </w:tcBorders>
            <w:vAlign w:val="center"/>
          </w:tcPr>
          <w:p>
            <w:pPr>
              <w:spacing w:line="360" w:lineRule="auto"/>
              <w:rPr>
                <w:rFonts w:ascii="Times New Roman" w:hAnsi="Times New Roman" w:cs="Times New Roman"/>
                <w:color w:val="auto"/>
              </w:rPr>
            </w:pPr>
          </w:p>
        </w:tc>
      </w:tr>
      <w:tr>
        <w:tblPrEx>
          <w:tblLayout w:type="fixed"/>
          <w:tblCellMar>
            <w:top w:w="0" w:type="dxa"/>
            <w:left w:w="0" w:type="dxa"/>
            <w:bottom w:w="0" w:type="dxa"/>
            <w:right w:w="0" w:type="dxa"/>
          </w:tblCellMar>
        </w:tblPrEx>
        <w:tc>
          <w:tcPr>
            <w:tcW w:w="851" w:type="dxa"/>
            <w:tcBorders>
              <w:top w:val="single" w:color="000000" w:sz="6" w:space="0"/>
              <w:left w:val="single" w:color="000000" w:sz="2" w:space="0"/>
              <w:bottom w:val="single" w:color="000000" w:sz="6" w:space="0"/>
              <w:right w:val="single" w:color="000000" w:sz="6" w:space="0"/>
            </w:tcBorders>
            <w:vAlign w:val="center"/>
          </w:tcPr>
          <w:p>
            <w:pPr>
              <w:widowControl/>
              <w:spacing w:line="360" w:lineRule="auto"/>
              <w:jc w:val="center"/>
              <w:rPr>
                <w:rFonts w:ascii="Times New Roman" w:hAnsi="Times New Roman" w:cs="Times New Roman"/>
                <w:color w:val="auto"/>
                <w:lang w:eastAsia="zh-CN"/>
              </w:rPr>
            </w:pPr>
            <w:r>
              <w:rPr>
                <w:rFonts w:hint="eastAsia" w:ascii="Times New Roman" w:hAnsi="Times New Roman" w:cs="Times New Roman"/>
                <w:color w:val="auto"/>
                <w:lang w:eastAsia="zh-CN"/>
              </w:rPr>
              <w:t>3</w:t>
            </w:r>
          </w:p>
        </w:tc>
        <w:tc>
          <w:tcPr>
            <w:tcW w:w="1701" w:type="dxa"/>
            <w:tcBorders>
              <w:top w:val="single" w:color="000000" w:sz="6" w:space="0"/>
              <w:left w:val="single" w:color="000000" w:sz="2" w:space="0"/>
              <w:bottom w:val="single" w:color="000000" w:sz="6" w:space="0"/>
              <w:right w:val="single" w:color="000000" w:sz="6" w:space="0"/>
            </w:tcBorders>
            <w:vAlign w:val="center"/>
          </w:tcPr>
          <w:p>
            <w:pPr>
              <w:widowControl/>
              <w:spacing w:line="360" w:lineRule="auto"/>
              <w:jc w:val="center"/>
              <w:rPr>
                <w:rFonts w:ascii="Times New Roman" w:hAnsi="Times New Roman" w:cs="Times New Roman"/>
                <w:color w:val="auto"/>
              </w:rPr>
            </w:pPr>
            <w:r>
              <w:rPr>
                <w:rFonts w:ascii="Times New Roman" w:hAnsi="Times New Roman" w:cs="Times New Roman"/>
                <w:color w:val="auto"/>
              </w:rPr>
              <w:t>手动方闸门</w:t>
            </w:r>
          </w:p>
        </w:tc>
        <w:tc>
          <w:tcPr>
            <w:tcW w:w="2693" w:type="dxa"/>
            <w:tcBorders>
              <w:top w:val="single" w:color="000000" w:sz="6" w:space="0"/>
              <w:left w:val="single" w:color="000000" w:sz="6" w:space="0"/>
              <w:bottom w:val="single" w:color="000000" w:sz="6" w:space="0"/>
              <w:right w:val="single" w:color="000000" w:sz="6" w:space="0"/>
            </w:tcBorders>
            <w:vAlign w:val="center"/>
          </w:tcPr>
          <w:p>
            <w:pPr>
              <w:widowControl/>
              <w:spacing w:line="360" w:lineRule="auto"/>
              <w:rPr>
                <w:rFonts w:ascii="Times New Roman" w:hAnsi="Times New Roman" w:cs="Times New Roman"/>
                <w:color w:val="auto"/>
              </w:rPr>
            </w:pPr>
            <w:r>
              <w:rPr>
                <w:rFonts w:ascii="Times New Roman" w:hAnsi="Times New Roman" w:cs="Times New Roman"/>
                <w:color w:val="auto"/>
              </w:rPr>
              <w:t>B×H=700×700</w:t>
            </w:r>
          </w:p>
        </w:tc>
        <w:tc>
          <w:tcPr>
            <w:tcW w:w="992" w:type="dxa"/>
            <w:tcBorders>
              <w:top w:val="single" w:color="000000" w:sz="6" w:space="0"/>
              <w:left w:val="single" w:color="000000" w:sz="6" w:space="0"/>
              <w:bottom w:val="single" w:color="000000" w:sz="6" w:space="0"/>
              <w:right w:val="single" w:color="000000" w:sz="2" w:space="0"/>
            </w:tcBorders>
            <w:vAlign w:val="center"/>
          </w:tcPr>
          <w:p>
            <w:pPr>
              <w:pStyle w:val="27"/>
              <w:spacing w:before="16" w:line="360" w:lineRule="auto"/>
              <w:ind w:left="-1"/>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5</w:t>
            </w:r>
          </w:p>
        </w:tc>
        <w:tc>
          <w:tcPr>
            <w:tcW w:w="1843" w:type="dxa"/>
            <w:tcBorders>
              <w:top w:val="single" w:color="000000" w:sz="6" w:space="0"/>
              <w:left w:val="single" w:color="000000" w:sz="2" w:space="0"/>
              <w:bottom w:val="single" w:color="000000" w:sz="6" w:space="0"/>
              <w:right w:val="single" w:color="000000" w:sz="2" w:space="0"/>
            </w:tcBorders>
            <w:vAlign w:val="center"/>
          </w:tcPr>
          <w:p>
            <w:pPr>
              <w:pStyle w:val="27"/>
              <w:spacing w:before="16" w:line="360" w:lineRule="auto"/>
              <w:ind w:left="-1"/>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采用手动方式</w:t>
            </w:r>
          </w:p>
        </w:tc>
        <w:tc>
          <w:tcPr>
            <w:tcW w:w="709" w:type="dxa"/>
            <w:vMerge w:val="continue"/>
            <w:tcBorders>
              <w:left w:val="single" w:color="000000" w:sz="2" w:space="0"/>
              <w:right w:val="single" w:color="000000" w:sz="2" w:space="0"/>
            </w:tcBorders>
            <w:vAlign w:val="center"/>
          </w:tcPr>
          <w:p>
            <w:pPr>
              <w:spacing w:line="360" w:lineRule="auto"/>
              <w:rPr>
                <w:rFonts w:ascii="Times New Roman" w:hAnsi="Times New Roman" w:cs="Times New Roman"/>
                <w:color w:val="auto"/>
              </w:rPr>
            </w:pPr>
          </w:p>
        </w:tc>
      </w:tr>
      <w:tr>
        <w:tblPrEx>
          <w:tblLayout w:type="fixed"/>
          <w:tblCellMar>
            <w:top w:w="0" w:type="dxa"/>
            <w:left w:w="0" w:type="dxa"/>
            <w:bottom w:w="0" w:type="dxa"/>
            <w:right w:w="0" w:type="dxa"/>
          </w:tblCellMar>
        </w:tblPrEx>
        <w:tc>
          <w:tcPr>
            <w:tcW w:w="851" w:type="dxa"/>
            <w:tcBorders>
              <w:top w:val="single" w:color="000000" w:sz="6" w:space="0"/>
              <w:left w:val="single" w:color="000000" w:sz="2" w:space="0"/>
              <w:bottom w:val="single" w:color="000000" w:sz="6" w:space="0"/>
              <w:right w:val="single" w:color="000000" w:sz="6" w:space="0"/>
            </w:tcBorders>
            <w:vAlign w:val="center"/>
          </w:tcPr>
          <w:p>
            <w:pPr>
              <w:widowControl/>
              <w:spacing w:line="360" w:lineRule="auto"/>
              <w:jc w:val="center"/>
              <w:rPr>
                <w:rFonts w:ascii="Times New Roman" w:hAnsi="Times New Roman" w:cs="Times New Roman"/>
                <w:color w:val="auto"/>
                <w:lang w:eastAsia="zh-CN"/>
              </w:rPr>
            </w:pPr>
            <w:r>
              <w:rPr>
                <w:rFonts w:hint="eastAsia" w:ascii="Times New Roman" w:hAnsi="Times New Roman" w:cs="Times New Roman"/>
                <w:color w:val="auto"/>
                <w:lang w:eastAsia="zh-CN"/>
              </w:rPr>
              <w:t>4</w:t>
            </w:r>
          </w:p>
        </w:tc>
        <w:tc>
          <w:tcPr>
            <w:tcW w:w="1701" w:type="dxa"/>
            <w:tcBorders>
              <w:top w:val="single" w:color="000000" w:sz="6" w:space="0"/>
              <w:left w:val="single" w:color="000000" w:sz="2" w:space="0"/>
              <w:bottom w:val="single" w:color="000000" w:sz="6" w:space="0"/>
              <w:right w:val="single" w:color="000000" w:sz="6" w:space="0"/>
            </w:tcBorders>
            <w:vAlign w:val="center"/>
          </w:tcPr>
          <w:p>
            <w:pPr>
              <w:widowControl/>
              <w:spacing w:line="360" w:lineRule="auto"/>
              <w:jc w:val="center"/>
              <w:rPr>
                <w:rFonts w:ascii="Times New Roman" w:hAnsi="Times New Roman" w:cs="Times New Roman"/>
                <w:color w:val="auto"/>
              </w:rPr>
            </w:pPr>
            <w:r>
              <w:rPr>
                <w:rFonts w:ascii="Times New Roman" w:hAnsi="Times New Roman" w:cs="Times New Roman"/>
                <w:color w:val="auto"/>
              </w:rPr>
              <w:t>电动方闸门</w:t>
            </w:r>
          </w:p>
        </w:tc>
        <w:tc>
          <w:tcPr>
            <w:tcW w:w="2693" w:type="dxa"/>
            <w:tcBorders>
              <w:top w:val="single" w:color="000000" w:sz="6" w:space="0"/>
              <w:left w:val="single" w:color="000000" w:sz="6" w:space="0"/>
              <w:bottom w:val="single" w:color="000000" w:sz="6" w:space="0"/>
              <w:right w:val="single" w:color="000000" w:sz="6" w:space="0"/>
            </w:tcBorders>
            <w:vAlign w:val="center"/>
          </w:tcPr>
          <w:p>
            <w:pPr>
              <w:widowControl/>
              <w:spacing w:line="360" w:lineRule="auto"/>
              <w:rPr>
                <w:rFonts w:ascii="Times New Roman" w:hAnsi="Times New Roman" w:cs="Times New Roman"/>
                <w:color w:val="auto"/>
              </w:rPr>
            </w:pPr>
            <w:r>
              <w:rPr>
                <w:rFonts w:ascii="Times New Roman" w:hAnsi="Times New Roman" w:cs="Times New Roman"/>
                <w:color w:val="auto"/>
              </w:rPr>
              <w:t>B×H=1500×1500</w:t>
            </w:r>
            <w:r>
              <w:rPr>
                <w:rFonts w:hint="eastAsia" w:ascii="Times New Roman" w:hAnsi="Times New Roman" w:cs="Times New Roman"/>
                <w:color w:val="auto"/>
                <w:lang w:eastAsia="zh-CN"/>
              </w:rPr>
              <w:t>，</w:t>
            </w:r>
            <w:r>
              <w:rPr>
                <w:rFonts w:ascii="Times New Roman" w:hAnsi="Times New Roman" w:cs="Times New Roman"/>
                <w:color w:val="auto"/>
              </w:rPr>
              <w:t>P=1.5kW</w:t>
            </w:r>
          </w:p>
        </w:tc>
        <w:tc>
          <w:tcPr>
            <w:tcW w:w="992" w:type="dxa"/>
            <w:tcBorders>
              <w:top w:val="single" w:color="000000" w:sz="6" w:space="0"/>
              <w:left w:val="single" w:color="000000" w:sz="6" w:space="0"/>
              <w:bottom w:val="single" w:color="000000" w:sz="6" w:space="0"/>
              <w:right w:val="single" w:color="000000" w:sz="2" w:space="0"/>
            </w:tcBorders>
            <w:vAlign w:val="center"/>
          </w:tcPr>
          <w:p>
            <w:pPr>
              <w:pStyle w:val="27"/>
              <w:spacing w:before="16" w:line="360" w:lineRule="auto"/>
              <w:ind w:left="-1"/>
              <w:jc w:val="center"/>
              <w:rPr>
                <w:rFonts w:ascii="Times New Roman" w:hAnsi="Times New Roman" w:cs="Times New Roman"/>
                <w:color w:val="auto"/>
                <w:sz w:val="21"/>
                <w:lang w:eastAsia="zh-CN"/>
              </w:rPr>
            </w:pPr>
            <w:r>
              <w:rPr>
                <w:rFonts w:ascii="Times New Roman" w:hAnsi="Times New Roman" w:cs="Times New Roman"/>
                <w:color w:val="auto"/>
                <w:sz w:val="21"/>
                <w:lang w:eastAsia="zh-CN"/>
              </w:rPr>
              <w:t>2</w:t>
            </w:r>
          </w:p>
        </w:tc>
        <w:tc>
          <w:tcPr>
            <w:tcW w:w="1843" w:type="dxa"/>
            <w:tcBorders>
              <w:top w:val="single" w:color="000000" w:sz="6" w:space="0"/>
              <w:left w:val="single" w:color="000000" w:sz="2" w:space="0"/>
              <w:bottom w:val="single" w:color="000000" w:sz="6" w:space="0"/>
              <w:right w:val="single" w:color="000000" w:sz="2" w:space="0"/>
            </w:tcBorders>
            <w:vAlign w:val="center"/>
          </w:tcPr>
          <w:p>
            <w:pPr>
              <w:pStyle w:val="27"/>
              <w:spacing w:before="16" w:line="360" w:lineRule="auto"/>
              <w:ind w:left="-1"/>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采用电动方式</w:t>
            </w:r>
          </w:p>
        </w:tc>
        <w:tc>
          <w:tcPr>
            <w:tcW w:w="709" w:type="dxa"/>
            <w:vMerge w:val="continue"/>
            <w:tcBorders>
              <w:left w:val="single" w:color="000000" w:sz="2" w:space="0"/>
              <w:right w:val="single" w:color="000000" w:sz="2" w:space="0"/>
            </w:tcBorders>
            <w:vAlign w:val="center"/>
          </w:tcPr>
          <w:p>
            <w:pPr>
              <w:spacing w:line="360" w:lineRule="auto"/>
              <w:rPr>
                <w:rFonts w:ascii="Times New Roman" w:hAnsi="Times New Roman" w:cs="Times New Roman"/>
                <w:color w:val="auto"/>
              </w:rPr>
            </w:pPr>
          </w:p>
        </w:tc>
      </w:tr>
      <w:tr>
        <w:tblPrEx>
          <w:tblLayout w:type="fixed"/>
          <w:tblCellMar>
            <w:top w:w="0" w:type="dxa"/>
            <w:left w:w="0" w:type="dxa"/>
            <w:bottom w:w="0" w:type="dxa"/>
            <w:right w:w="0" w:type="dxa"/>
          </w:tblCellMar>
        </w:tblPrEx>
        <w:tc>
          <w:tcPr>
            <w:tcW w:w="851" w:type="dxa"/>
            <w:tcBorders>
              <w:top w:val="single" w:color="000000" w:sz="6" w:space="0"/>
              <w:left w:val="single" w:color="000000" w:sz="2" w:space="0"/>
              <w:bottom w:val="single" w:color="000000" w:sz="6" w:space="0"/>
              <w:right w:val="single" w:color="000000" w:sz="6" w:space="0"/>
            </w:tcBorders>
            <w:vAlign w:val="center"/>
          </w:tcPr>
          <w:p>
            <w:pPr>
              <w:widowControl/>
              <w:spacing w:line="360" w:lineRule="auto"/>
              <w:jc w:val="center"/>
              <w:rPr>
                <w:rFonts w:ascii="Times New Roman" w:hAnsi="Times New Roman" w:cs="Times New Roman"/>
                <w:color w:val="auto"/>
                <w:lang w:eastAsia="zh-CN"/>
              </w:rPr>
            </w:pPr>
            <w:r>
              <w:rPr>
                <w:rFonts w:hint="eastAsia" w:ascii="Times New Roman" w:hAnsi="Times New Roman" w:cs="Times New Roman"/>
                <w:color w:val="auto"/>
                <w:lang w:eastAsia="zh-CN"/>
              </w:rPr>
              <w:t>5</w:t>
            </w:r>
          </w:p>
        </w:tc>
        <w:tc>
          <w:tcPr>
            <w:tcW w:w="1701" w:type="dxa"/>
            <w:tcBorders>
              <w:top w:val="single" w:color="000000" w:sz="6" w:space="0"/>
              <w:left w:val="single" w:color="000000" w:sz="2" w:space="0"/>
              <w:bottom w:val="single" w:color="000000" w:sz="6" w:space="0"/>
              <w:right w:val="single" w:color="000000" w:sz="6" w:space="0"/>
            </w:tcBorders>
            <w:vAlign w:val="center"/>
          </w:tcPr>
          <w:p>
            <w:pPr>
              <w:widowControl/>
              <w:spacing w:line="360" w:lineRule="auto"/>
              <w:jc w:val="center"/>
              <w:rPr>
                <w:rFonts w:ascii="Times New Roman" w:hAnsi="Times New Roman" w:cs="Times New Roman"/>
                <w:color w:val="auto"/>
              </w:rPr>
            </w:pPr>
            <w:r>
              <w:rPr>
                <w:rFonts w:ascii="Times New Roman" w:hAnsi="Times New Roman" w:cs="Times New Roman"/>
                <w:color w:val="auto"/>
              </w:rPr>
              <w:t>电动闸门</w:t>
            </w:r>
          </w:p>
        </w:tc>
        <w:tc>
          <w:tcPr>
            <w:tcW w:w="2693" w:type="dxa"/>
            <w:tcBorders>
              <w:top w:val="single" w:color="000000" w:sz="6" w:space="0"/>
              <w:left w:val="single" w:color="000000" w:sz="6" w:space="0"/>
              <w:bottom w:val="single" w:color="000000" w:sz="6" w:space="0"/>
              <w:right w:val="single" w:color="000000" w:sz="6" w:space="0"/>
            </w:tcBorders>
            <w:vAlign w:val="center"/>
          </w:tcPr>
          <w:p>
            <w:pPr>
              <w:widowControl/>
              <w:spacing w:line="360" w:lineRule="auto"/>
              <w:rPr>
                <w:rFonts w:ascii="Times New Roman" w:hAnsi="Times New Roman" w:cs="Times New Roman"/>
                <w:color w:val="auto"/>
              </w:rPr>
            </w:pPr>
            <w:r>
              <w:rPr>
                <w:rFonts w:ascii="Times New Roman" w:hAnsi="Times New Roman" w:cs="Times New Roman"/>
                <w:color w:val="auto"/>
              </w:rPr>
              <w:t>DN1000</w:t>
            </w:r>
            <w:r>
              <w:rPr>
                <w:rFonts w:hint="eastAsia" w:ascii="Times New Roman" w:hAnsi="Times New Roman" w:cs="Times New Roman"/>
                <w:color w:val="auto"/>
                <w:lang w:eastAsia="zh-CN"/>
              </w:rPr>
              <w:t>，</w:t>
            </w:r>
            <w:r>
              <w:rPr>
                <w:rFonts w:ascii="Times New Roman" w:hAnsi="Times New Roman" w:cs="Times New Roman"/>
                <w:color w:val="auto"/>
              </w:rPr>
              <w:t>P=1.5kW</w:t>
            </w:r>
          </w:p>
        </w:tc>
        <w:tc>
          <w:tcPr>
            <w:tcW w:w="992" w:type="dxa"/>
            <w:tcBorders>
              <w:top w:val="single" w:color="000000" w:sz="6" w:space="0"/>
              <w:left w:val="single" w:color="000000" w:sz="6" w:space="0"/>
              <w:bottom w:val="single" w:color="000000" w:sz="6" w:space="0"/>
              <w:right w:val="single" w:color="000000" w:sz="2" w:space="0"/>
            </w:tcBorders>
            <w:vAlign w:val="center"/>
          </w:tcPr>
          <w:p>
            <w:pPr>
              <w:pStyle w:val="27"/>
              <w:spacing w:before="16" w:line="360" w:lineRule="auto"/>
              <w:ind w:left="-1"/>
              <w:jc w:val="center"/>
              <w:rPr>
                <w:rFonts w:ascii="Times New Roman" w:hAnsi="Times New Roman" w:cs="Times New Roman"/>
                <w:color w:val="auto"/>
                <w:sz w:val="21"/>
                <w:lang w:eastAsia="zh-CN"/>
              </w:rPr>
            </w:pPr>
            <w:r>
              <w:rPr>
                <w:rFonts w:ascii="Times New Roman" w:hAnsi="Times New Roman" w:cs="Times New Roman"/>
                <w:color w:val="auto"/>
                <w:sz w:val="21"/>
                <w:lang w:eastAsia="zh-CN"/>
              </w:rPr>
              <w:t>1</w:t>
            </w:r>
          </w:p>
        </w:tc>
        <w:tc>
          <w:tcPr>
            <w:tcW w:w="1843" w:type="dxa"/>
            <w:tcBorders>
              <w:top w:val="single" w:color="000000" w:sz="6" w:space="0"/>
              <w:left w:val="single" w:color="000000" w:sz="2" w:space="0"/>
              <w:bottom w:val="single" w:color="000000" w:sz="6" w:space="0"/>
              <w:right w:val="single" w:color="000000" w:sz="2" w:space="0"/>
            </w:tcBorders>
            <w:vAlign w:val="center"/>
          </w:tcPr>
          <w:p>
            <w:pPr>
              <w:pStyle w:val="27"/>
              <w:spacing w:before="16" w:line="360" w:lineRule="auto"/>
              <w:ind w:left="-1"/>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采用电动方式</w:t>
            </w:r>
          </w:p>
        </w:tc>
        <w:tc>
          <w:tcPr>
            <w:tcW w:w="709" w:type="dxa"/>
            <w:vMerge w:val="continue"/>
            <w:tcBorders>
              <w:left w:val="single" w:color="000000" w:sz="2" w:space="0"/>
              <w:right w:val="single" w:color="000000" w:sz="2" w:space="0"/>
            </w:tcBorders>
            <w:vAlign w:val="center"/>
          </w:tcPr>
          <w:p>
            <w:pPr>
              <w:spacing w:line="360" w:lineRule="auto"/>
              <w:rPr>
                <w:rFonts w:ascii="Times New Roman" w:hAnsi="Times New Roman" w:cs="Times New Roman"/>
                <w:color w:val="auto"/>
              </w:rPr>
            </w:pPr>
          </w:p>
        </w:tc>
      </w:tr>
      <w:tr>
        <w:tblPrEx>
          <w:tblLayout w:type="fixed"/>
          <w:tblCellMar>
            <w:top w:w="0" w:type="dxa"/>
            <w:left w:w="0" w:type="dxa"/>
            <w:bottom w:w="0" w:type="dxa"/>
            <w:right w:w="0" w:type="dxa"/>
          </w:tblCellMar>
        </w:tblPrEx>
        <w:tc>
          <w:tcPr>
            <w:tcW w:w="851" w:type="dxa"/>
            <w:tcBorders>
              <w:top w:val="single" w:color="000000" w:sz="6" w:space="0"/>
              <w:left w:val="single" w:color="000000" w:sz="2" w:space="0"/>
              <w:bottom w:val="single" w:color="000000" w:sz="6" w:space="0"/>
              <w:right w:val="single" w:color="000000" w:sz="6" w:space="0"/>
            </w:tcBorders>
            <w:vAlign w:val="center"/>
          </w:tcPr>
          <w:p>
            <w:pPr>
              <w:widowControl/>
              <w:spacing w:line="360" w:lineRule="auto"/>
              <w:jc w:val="center"/>
              <w:rPr>
                <w:rFonts w:ascii="Times New Roman" w:hAnsi="Times New Roman" w:cs="Times New Roman"/>
                <w:color w:val="auto"/>
                <w:lang w:eastAsia="zh-CN"/>
              </w:rPr>
            </w:pPr>
            <w:r>
              <w:rPr>
                <w:rFonts w:hint="eastAsia" w:ascii="Times New Roman" w:hAnsi="Times New Roman" w:cs="Times New Roman"/>
                <w:color w:val="auto"/>
                <w:lang w:eastAsia="zh-CN"/>
              </w:rPr>
              <w:t>6</w:t>
            </w:r>
          </w:p>
        </w:tc>
        <w:tc>
          <w:tcPr>
            <w:tcW w:w="1701" w:type="dxa"/>
            <w:tcBorders>
              <w:top w:val="single" w:color="000000" w:sz="6" w:space="0"/>
              <w:left w:val="single" w:color="000000" w:sz="2" w:space="0"/>
              <w:bottom w:val="single" w:color="000000" w:sz="6" w:space="0"/>
              <w:right w:val="single" w:color="000000" w:sz="6" w:space="0"/>
            </w:tcBorders>
            <w:vAlign w:val="center"/>
          </w:tcPr>
          <w:p>
            <w:pPr>
              <w:widowControl/>
              <w:spacing w:line="360" w:lineRule="auto"/>
              <w:jc w:val="center"/>
              <w:rPr>
                <w:rFonts w:ascii="Times New Roman" w:hAnsi="Times New Roman" w:cs="Times New Roman"/>
                <w:color w:val="auto"/>
              </w:rPr>
            </w:pPr>
            <w:r>
              <w:rPr>
                <w:rFonts w:ascii="Times New Roman" w:hAnsi="Times New Roman" w:cs="Times New Roman"/>
                <w:color w:val="auto"/>
              </w:rPr>
              <w:t>弹性座封闸阀</w:t>
            </w:r>
          </w:p>
        </w:tc>
        <w:tc>
          <w:tcPr>
            <w:tcW w:w="2693" w:type="dxa"/>
            <w:tcBorders>
              <w:top w:val="single" w:color="000000" w:sz="6" w:space="0"/>
              <w:left w:val="single" w:color="000000" w:sz="6" w:space="0"/>
              <w:bottom w:val="single" w:color="000000" w:sz="6" w:space="0"/>
              <w:right w:val="single" w:color="000000" w:sz="6" w:space="0"/>
            </w:tcBorders>
            <w:vAlign w:val="center"/>
          </w:tcPr>
          <w:p>
            <w:pPr>
              <w:widowControl/>
              <w:spacing w:line="360" w:lineRule="auto"/>
              <w:rPr>
                <w:rFonts w:ascii="Times New Roman" w:hAnsi="Times New Roman" w:cs="Times New Roman"/>
                <w:color w:val="auto"/>
              </w:rPr>
            </w:pPr>
            <w:r>
              <w:rPr>
                <w:rFonts w:ascii="Times New Roman" w:hAnsi="Times New Roman" w:cs="Times New Roman"/>
                <w:color w:val="auto"/>
              </w:rPr>
              <w:t>DN300</w:t>
            </w:r>
            <w:r>
              <w:rPr>
                <w:rFonts w:ascii="Times New Roman" w:hAnsi="Times New Roman" w:cs="Times New Roman"/>
                <w:color w:val="auto"/>
                <w:lang w:eastAsia="zh-CN"/>
              </w:rPr>
              <w:t>，</w:t>
            </w:r>
            <w:r>
              <w:rPr>
                <w:rFonts w:ascii="Times New Roman" w:hAnsi="Times New Roman" w:cs="Times New Roman"/>
                <w:color w:val="auto"/>
              </w:rPr>
              <w:t>PN1.0MPa</w:t>
            </w:r>
          </w:p>
        </w:tc>
        <w:tc>
          <w:tcPr>
            <w:tcW w:w="992" w:type="dxa"/>
            <w:tcBorders>
              <w:top w:val="single" w:color="000000" w:sz="6" w:space="0"/>
              <w:left w:val="single" w:color="000000" w:sz="6" w:space="0"/>
              <w:bottom w:val="single" w:color="000000" w:sz="6" w:space="0"/>
              <w:right w:val="single" w:color="000000" w:sz="2" w:space="0"/>
            </w:tcBorders>
            <w:vAlign w:val="center"/>
          </w:tcPr>
          <w:p>
            <w:pPr>
              <w:pStyle w:val="27"/>
              <w:spacing w:before="16" w:line="360" w:lineRule="auto"/>
              <w:ind w:left="-1"/>
              <w:jc w:val="center"/>
              <w:rPr>
                <w:rFonts w:ascii="Times New Roman" w:hAnsi="Times New Roman" w:cs="Times New Roman"/>
                <w:color w:val="auto"/>
                <w:sz w:val="21"/>
                <w:lang w:eastAsia="zh-CN"/>
              </w:rPr>
            </w:pPr>
            <w:r>
              <w:rPr>
                <w:rFonts w:ascii="Times New Roman" w:hAnsi="Times New Roman" w:cs="Times New Roman"/>
                <w:color w:val="auto"/>
                <w:sz w:val="21"/>
                <w:lang w:eastAsia="zh-CN"/>
              </w:rPr>
              <w:t>5</w:t>
            </w:r>
          </w:p>
        </w:tc>
        <w:tc>
          <w:tcPr>
            <w:tcW w:w="1843" w:type="dxa"/>
            <w:tcBorders>
              <w:top w:val="single" w:color="000000" w:sz="6" w:space="0"/>
              <w:left w:val="single" w:color="000000" w:sz="2" w:space="0"/>
              <w:bottom w:val="single" w:color="000000" w:sz="6" w:space="0"/>
              <w:right w:val="single" w:color="000000" w:sz="2" w:space="0"/>
            </w:tcBorders>
            <w:vAlign w:val="center"/>
          </w:tcPr>
          <w:p>
            <w:pPr>
              <w:pStyle w:val="27"/>
              <w:spacing w:before="16" w:line="360" w:lineRule="auto"/>
              <w:ind w:left="-1"/>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采用手动方式</w:t>
            </w:r>
          </w:p>
        </w:tc>
        <w:tc>
          <w:tcPr>
            <w:tcW w:w="709" w:type="dxa"/>
            <w:vMerge w:val="continue"/>
            <w:tcBorders>
              <w:left w:val="single" w:color="000000" w:sz="2" w:space="0"/>
              <w:right w:val="single" w:color="000000" w:sz="2" w:space="0"/>
            </w:tcBorders>
            <w:vAlign w:val="center"/>
          </w:tcPr>
          <w:p>
            <w:pPr>
              <w:spacing w:line="360" w:lineRule="auto"/>
              <w:rPr>
                <w:rFonts w:ascii="Times New Roman" w:hAnsi="Times New Roman" w:cs="Times New Roman"/>
                <w:color w:val="auto"/>
              </w:rPr>
            </w:pPr>
          </w:p>
        </w:tc>
      </w:tr>
      <w:tr>
        <w:tblPrEx>
          <w:tblLayout w:type="fixed"/>
          <w:tblCellMar>
            <w:top w:w="0" w:type="dxa"/>
            <w:left w:w="0" w:type="dxa"/>
            <w:bottom w:w="0" w:type="dxa"/>
            <w:right w:w="0" w:type="dxa"/>
          </w:tblCellMar>
        </w:tblPrEx>
        <w:tc>
          <w:tcPr>
            <w:tcW w:w="8789" w:type="dxa"/>
            <w:gridSpan w:val="6"/>
            <w:tcBorders>
              <w:top w:val="single" w:color="000000" w:sz="6" w:space="0"/>
              <w:left w:val="single" w:color="000000" w:sz="2" w:space="0"/>
              <w:bottom w:val="single" w:color="000000" w:sz="6" w:space="0"/>
              <w:right w:val="single" w:color="000000" w:sz="2" w:space="0"/>
            </w:tcBorders>
            <w:vAlign w:val="center"/>
          </w:tcPr>
          <w:p>
            <w:pPr>
              <w:pStyle w:val="29"/>
              <w:ind w:firstLineChars="97"/>
              <w:rPr>
                <w:rFonts w:cs="Times New Roman"/>
                <w:color w:val="auto"/>
                <w:sz w:val="21"/>
                <w:szCs w:val="21"/>
              </w:rPr>
            </w:pPr>
            <w:r>
              <w:rPr>
                <w:rFonts w:cs="Times New Roman"/>
                <w:color w:val="auto"/>
                <w:sz w:val="21"/>
                <w:szCs w:val="21"/>
              </w:rPr>
              <w:t>1、闸门</w:t>
            </w:r>
          </w:p>
          <w:p>
            <w:pPr>
              <w:pStyle w:val="29"/>
              <w:ind w:firstLine="416"/>
              <w:rPr>
                <w:rFonts w:cs="Times New Roman"/>
                <w:color w:val="auto"/>
                <w:sz w:val="21"/>
                <w:szCs w:val="21"/>
              </w:rPr>
            </w:pPr>
            <w:r>
              <w:rPr>
                <w:rFonts w:cs="Times New Roman"/>
                <w:color w:val="auto"/>
                <w:spacing w:val="-2"/>
                <w:sz w:val="21"/>
                <w:szCs w:val="21"/>
              </w:rPr>
              <w:t>1.1、闸门采用明杆式，墙式安装和孔口镶铜密封的形式，门板的密封采用橡胶对金属的密</w:t>
            </w:r>
            <w:r>
              <w:rPr>
                <w:rFonts w:cs="Times New Roman"/>
                <w:color w:val="auto"/>
                <w:sz w:val="21"/>
                <w:szCs w:val="21"/>
              </w:rPr>
              <w:t>封。闸门应适合于开敞的明渠安装，三边止水，闸门关闭后，门板应高于最高设计水位≥</w:t>
            </w:r>
            <w:r>
              <w:rPr>
                <w:rFonts w:cs="Times New Roman"/>
                <w:color w:val="auto"/>
                <w:spacing w:val="-3"/>
                <w:sz w:val="21"/>
                <w:szCs w:val="21"/>
              </w:rPr>
              <w:t>100mm。门板为梁板式结构应采用</w:t>
            </w:r>
            <w:r>
              <w:rPr>
                <w:rFonts w:cs="Times New Roman"/>
                <w:color w:val="auto"/>
                <w:sz w:val="21"/>
                <w:szCs w:val="21"/>
              </w:rPr>
              <w:t>304L</w:t>
            </w:r>
            <w:r>
              <w:rPr>
                <w:rFonts w:cs="Times New Roman"/>
                <w:color w:val="auto"/>
                <w:spacing w:val="-3"/>
                <w:sz w:val="21"/>
                <w:szCs w:val="21"/>
              </w:rPr>
              <w:t>不锈钢制造，在最大受压条件下应具有足够的强度和刚度。钢板的厚度不低于8mm，挠度不大于1/1000。保证受压后无变形，双向密封的泄漏量</w:t>
            </w:r>
            <w:r>
              <w:rPr>
                <w:rFonts w:cs="Times New Roman"/>
                <w:color w:val="auto"/>
                <w:sz w:val="21"/>
                <w:szCs w:val="21"/>
              </w:rPr>
              <w:t>均不大于0.01L/min.m(密封长度)。</w:t>
            </w:r>
          </w:p>
          <w:p>
            <w:pPr>
              <w:pStyle w:val="29"/>
              <w:ind w:firstLine="412"/>
              <w:rPr>
                <w:rFonts w:cs="Times New Roman"/>
                <w:color w:val="auto"/>
                <w:sz w:val="21"/>
                <w:szCs w:val="21"/>
              </w:rPr>
            </w:pPr>
            <w:r>
              <w:rPr>
                <w:rFonts w:cs="Times New Roman"/>
                <w:color w:val="auto"/>
                <w:sz w:val="21"/>
                <w:szCs w:val="21"/>
              </w:rPr>
              <w:t>1.2、性能和结构</w:t>
            </w:r>
          </w:p>
          <w:p>
            <w:pPr>
              <w:pStyle w:val="29"/>
              <w:ind w:firstLine="412"/>
              <w:rPr>
                <w:rFonts w:cs="Times New Roman"/>
                <w:color w:val="auto"/>
                <w:sz w:val="21"/>
                <w:szCs w:val="21"/>
              </w:rPr>
            </w:pPr>
            <w:r>
              <w:rPr>
                <w:rFonts w:cs="Times New Roman"/>
                <w:color w:val="auto"/>
                <w:sz w:val="21"/>
                <w:szCs w:val="21"/>
              </w:rPr>
              <w:t>a.电动闸门的启闭速度应小于0.5m/min，大于0.2m/min。b.闸门的泄漏量不大于1.25L/min.m（密封长度）。</w:t>
            </w:r>
          </w:p>
          <w:p>
            <w:pPr>
              <w:pStyle w:val="29"/>
              <w:ind w:firstLine="408"/>
              <w:rPr>
                <w:rFonts w:cs="Times New Roman"/>
                <w:color w:val="auto"/>
                <w:sz w:val="21"/>
                <w:szCs w:val="21"/>
              </w:rPr>
            </w:pPr>
            <w:r>
              <w:rPr>
                <w:rFonts w:cs="Times New Roman"/>
                <w:color w:val="auto"/>
                <w:spacing w:val="-6"/>
                <w:sz w:val="21"/>
                <w:szCs w:val="21"/>
              </w:rPr>
              <w:t>c.门杆的导向支承间距与门杆回转半径之比（柔度）应大于200，且门杆直径不得小于</w:t>
            </w:r>
            <w:r>
              <w:rPr>
                <w:rFonts w:cs="Times New Roman"/>
                <w:color w:val="auto"/>
                <w:sz w:val="21"/>
                <w:szCs w:val="21"/>
              </w:rPr>
              <w:t>50mm</w:t>
            </w:r>
          </w:p>
          <w:p>
            <w:pPr>
              <w:pStyle w:val="29"/>
              <w:ind w:firstLine="412"/>
              <w:rPr>
                <w:rFonts w:cs="Times New Roman"/>
                <w:color w:val="auto"/>
                <w:sz w:val="21"/>
                <w:szCs w:val="21"/>
              </w:rPr>
            </w:pPr>
            <w:r>
              <w:rPr>
                <w:rFonts w:cs="Times New Roman"/>
                <w:color w:val="auto"/>
                <w:sz w:val="21"/>
                <w:szCs w:val="21"/>
              </w:rPr>
              <w:t>d.闸门的设计和制造应遵照CJ/T3006-92标准的规定，电动装置的设计和制造应遵照ZBJ16002-87标准的规定。</w:t>
            </w:r>
          </w:p>
          <w:p>
            <w:pPr>
              <w:pStyle w:val="29"/>
              <w:ind w:firstLine="412"/>
              <w:rPr>
                <w:rFonts w:cs="Times New Roman"/>
                <w:color w:val="auto"/>
                <w:sz w:val="21"/>
                <w:szCs w:val="21"/>
              </w:rPr>
            </w:pPr>
            <w:r>
              <w:rPr>
                <w:rFonts w:cs="Times New Roman"/>
                <w:color w:val="auto"/>
                <w:sz w:val="21"/>
                <w:szCs w:val="21"/>
              </w:rPr>
              <w:t>e.电动启闭装置的电机最大转矩应大于额定转矩的3</w:t>
            </w:r>
            <w:r>
              <w:rPr>
                <w:rFonts w:cs="Times New Roman"/>
                <w:color w:val="auto"/>
                <w:spacing w:val="-5"/>
                <w:sz w:val="21"/>
                <w:szCs w:val="21"/>
              </w:rPr>
              <w:t>倍，应满足户外使用的要求，其防护等</w:t>
            </w:r>
            <w:r>
              <w:rPr>
                <w:rFonts w:cs="Times New Roman"/>
                <w:color w:val="auto"/>
                <w:sz w:val="21"/>
                <w:szCs w:val="21"/>
              </w:rPr>
              <w:t>级为IP65。电动启闭装置的机械外壳应为双密封机构，并具有防捶击保护功能。驱动电机的连续运转时间应不低于15分钟。</w:t>
            </w:r>
          </w:p>
          <w:p>
            <w:pPr>
              <w:pStyle w:val="29"/>
              <w:ind w:firstLine="412"/>
              <w:rPr>
                <w:rFonts w:cs="Times New Roman"/>
                <w:color w:val="auto"/>
                <w:sz w:val="21"/>
                <w:szCs w:val="21"/>
              </w:rPr>
            </w:pPr>
            <w:r>
              <w:rPr>
                <w:rFonts w:cs="Times New Roman"/>
                <w:color w:val="auto"/>
                <w:sz w:val="21"/>
                <w:szCs w:val="21"/>
              </w:rPr>
              <w:t>f.电动启闭机应设指示开度计、双向过力矩保护装置及螺杆的护罩。</w:t>
            </w:r>
          </w:p>
          <w:p>
            <w:pPr>
              <w:pStyle w:val="29"/>
              <w:ind w:firstLine="412"/>
              <w:rPr>
                <w:rFonts w:cs="Times New Roman"/>
                <w:color w:val="auto"/>
                <w:sz w:val="21"/>
                <w:szCs w:val="21"/>
              </w:rPr>
            </w:pPr>
            <w:r>
              <w:rPr>
                <w:rFonts w:cs="Times New Roman"/>
                <w:color w:val="auto"/>
                <w:sz w:val="21"/>
                <w:szCs w:val="21"/>
              </w:rPr>
              <w:t>g.电动执行机构采用手轮操作时，手操作力不得大于150N。h.设备启动和运行的噪声应≤150N。</w:t>
            </w:r>
          </w:p>
          <w:p>
            <w:pPr>
              <w:pStyle w:val="29"/>
              <w:ind w:firstLine="412"/>
              <w:rPr>
                <w:rFonts w:cs="Times New Roman"/>
                <w:color w:val="auto"/>
                <w:sz w:val="21"/>
                <w:szCs w:val="21"/>
              </w:rPr>
            </w:pPr>
            <w:r>
              <w:rPr>
                <w:rFonts w:cs="Times New Roman"/>
                <w:color w:val="auto"/>
                <w:sz w:val="21"/>
                <w:szCs w:val="21"/>
              </w:rPr>
              <w:t>1.3、主要材料：</w:t>
            </w:r>
          </w:p>
          <w:p>
            <w:pPr>
              <w:pStyle w:val="29"/>
              <w:ind w:firstLine="402"/>
              <w:rPr>
                <w:rFonts w:cs="Times New Roman"/>
                <w:color w:val="auto"/>
                <w:sz w:val="21"/>
                <w:szCs w:val="21"/>
              </w:rPr>
            </w:pPr>
            <w:r>
              <w:rPr>
                <w:rFonts w:cs="Times New Roman"/>
                <w:color w:val="auto"/>
                <w:spacing w:val="-9"/>
                <w:sz w:val="21"/>
                <w:szCs w:val="21"/>
              </w:rPr>
              <w:t>门板（板与梁组合体）：不锈钢</w:t>
            </w:r>
            <w:r>
              <w:rPr>
                <w:rFonts w:cs="Times New Roman"/>
                <w:color w:val="auto"/>
                <w:spacing w:val="-1"/>
                <w:sz w:val="21"/>
                <w:szCs w:val="21"/>
              </w:rPr>
              <w:t>304L；</w:t>
            </w:r>
            <w:r>
              <w:rPr>
                <w:rFonts w:cs="Times New Roman"/>
                <w:color w:val="auto"/>
                <w:spacing w:val="-2"/>
                <w:sz w:val="21"/>
                <w:szCs w:val="21"/>
              </w:rPr>
              <w:t>闸槽：不锈钢</w:t>
            </w:r>
            <w:r>
              <w:rPr>
                <w:rFonts w:cs="Times New Roman"/>
                <w:color w:val="auto"/>
                <w:spacing w:val="-1"/>
                <w:sz w:val="21"/>
                <w:szCs w:val="21"/>
              </w:rPr>
              <w:t>304L；</w:t>
            </w:r>
            <w:r>
              <w:rPr>
                <w:rFonts w:cs="Times New Roman"/>
                <w:color w:val="auto"/>
                <w:spacing w:val="-2"/>
                <w:sz w:val="21"/>
                <w:szCs w:val="21"/>
              </w:rPr>
              <w:t>密封条：</w:t>
            </w:r>
            <w:r>
              <w:rPr>
                <w:rFonts w:cs="Times New Roman"/>
                <w:color w:val="auto"/>
                <w:spacing w:val="-1"/>
                <w:sz w:val="21"/>
                <w:szCs w:val="21"/>
              </w:rPr>
              <w:t>铜合金</w:t>
            </w:r>
            <w:r>
              <w:rPr>
                <w:rFonts w:cs="Times New Roman"/>
                <w:color w:val="auto"/>
                <w:sz w:val="21"/>
                <w:szCs w:val="21"/>
              </w:rPr>
              <w:t>门杆：不锈钢304L；推力螺母：铜合金</w:t>
            </w:r>
          </w:p>
          <w:p>
            <w:pPr>
              <w:pStyle w:val="29"/>
              <w:ind w:firstLine="412"/>
              <w:rPr>
                <w:rFonts w:cs="Times New Roman"/>
                <w:color w:val="auto"/>
                <w:sz w:val="21"/>
                <w:szCs w:val="21"/>
              </w:rPr>
            </w:pPr>
            <w:r>
              <w:rPr>
                <w:rFonts w:cs="Times New Roman"/>
                <w:color w:val="auto"/>
                <w:sz w:val="21"/>
                <w:szCs w:val="21"/>
              </w:rPr>
              <w:t>门架或横梁：不锈钢304L；螺栓、螺母、垫圈：不锈钢304L；基础螺栓：不锈钢304L</w:t>
            </w:r>
          </w:p>
          <w:p>
            <w:pPr>
              <w:pStyle w:val="27"/>
              <w:spacing w:line="360" w:lineRule="auto"/>
              <w:ind w:firstLine="419"/>
              <w:jc w:val="both"/>
              <w:rPr>
                <w:rFonts w:ascii="Times New Roman" w:hAnsi="Times New Roman" w:cs="Times New Roman"/>
                <w:color w:val="auto"/>
                <w:spacing w:val="-6"/>
                <w:sz w:val="21"/>
                <w:szCs w:val="21"/>
                <w:lang w:eastAsia="zh-CN"/>
              </w:rPr>
            </w:pPr>
            <w:r>
              <w:rPr>
                <w:rFonts w:ascii="Times New Roman" w:hAnsi="Times New Roman" w:cs="Times New Roman"/>
                <w:color w:val="auto"/>
                <w:spacing w:val="-6"/>
                <w:sz w:val="21"/>
                <w:szCs w:val="21"/>
                <w:lang w:eastAsia="zh-CN"/>
              </w:rPr>
              <w:t>1.4、启闭机材质</w:t>
            </w:r>
          </w:p>
          <w:p>
            <w:pPr>
              <w:pStyle w:val="27"/>
              <w:spacing w:line="360" w:lineRule="auto"/>
              <w:ind w:firstLine="419"/>
              <w:jc w:val="both"/>
              <w:rPr>
                <w:rFonts w:ascii="Times New Roman" w:hAnsi="Times New Roman" w:cs="Times New Roman"/>
                <w:color w:val="auto"/>
                <w:spacing w:val="-6"/>
                <w:sz w:val="21"/>
                <w:szCs w:val="21"/>
                <w:lang w:eastAsia="zh-CN"/>
              </w:rPr>
            </w:pPr>
            <w:r>
              <w:rPr>
                <w:rFonts w:ascii="Times New Roman" w:hAnsi="Times New Roman" w:cs="Times New Roman"/>
                <w:color w:val="auto"/>
                <w:spacing w:val="-6"/>
                <w:sz w:val="21"/>
                <w:szCs w:val="21"/>
                <w:lang w:eastAsia="zh-CN"/>
              </w:rPr>
              <w:t>手轮:球墨铸（QT450-10）轴承座:球墨铸铁(QT450-10)、启闭架:球墨铸铁(QT450-10)丝杆:不锈钢(AISI420)。紧固件:不锈钢(AISI304L</w:t>
            </w:r>
          </w:p>
          <w:p>
            <w:pPr>
              <w:pStyle w:val="27"/>
              <w:spacing w:line="360" w:lineRule="auto"/>
              <w:ind w:firstLine="419"/>
              <w:jc w:val="both"/>
              <w:rPr>
                <w:rFonts w:ascii="Times New Roman" w:hAnsi="Times New Roman" w:cs="Times New Roman"/>
                <w:color w:val="auto"/>
                <w:spacing w:val="-6"/>
                <w:sz w:val="21"/>
                <w:szCs w:val="21"/>
                <w:lang w:eastAsia="zh-CN"/>
              </w:rPr>
            </w:pPr>
            <w:r>
              <w:rPr>
                <w:rFonts w:ascii="Times New Roman" w:hAnsi="Times New Roman" w:cs="Times New Roman"/>
                <w:color w:val="auto"/>
                <w:spacing w:val="-6"/>
                <w:sz w:val="21"/>
                <w:szCs w:val="21"/>
                <w:lang w:eastAsia="zh-CN"/>
              </w:rPr>
              <w:t>1.5、电动启闭装置的选型应采用德国欧玛(AUMA）、英国罗托克(ROTORK)、德国西博思(SIPOS)等相同或优于该品牌的产品。</w:t>
            </w:r>
          </w:p>
          <w:p>
            <w:pPr>
              <w:pStyle w:val="27"/>
              <w:spacing w:line="360" w:lineRule="auto"/>
              <w:ind w:left="24"/>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r>
              <w:rPr>
                <w:rFonts w:ascii="宋体" w:hAnsi="宋体" w:eastAsia="宋体" w:cs="宋体"/>
                <w:color w:val="auto"/>
                <w:sz w:val="21"/>
                <w:szCs w:val="21"/>
                <w:lang w:eastAsia="zh-CN"/>
              </w:rPr>
              <w:t>、</w:t>
            </w:r>
            <w:r>
              <w:rPr>
                <w:rFonts w:hint="eastAsia" w:ascii="宋体" w:hAnsi="宋体" w:eastAsia="宋体" w:cs="宋体"/>
                <w:color w:val="auto"/>
                <w:sz w:val="21"/>
                <w:szCs w:val="21"/>
                <w:lang w:eastAsia="zh-CN"/>
              </w:rPr>
              <w:t>堰门</w:t>
            </w:r>
          </w:p>
          <w:p>
            <w:pPr>
              <w:pStyle w:val="27"/>
              <w:spacing w:before="44" w:line="360" w:lineRule="auto"/>
              <w:ind w:left="24" w:right="17"/>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a.电动（手动）堰门≥1800时应采用双吊点垂直升降，铸铁闸门和金属密封止水的型式，</w:t>
            </w:r>
            <w:r>
              <w:rPr>
                <w:rFonts w:ascii="宋体" w:hAnsi="宋体" w:eastAsia="宋体" w:cs="宋体"/>
                <w:color w:val="auto"/>
                <w:spacing w:val="-4"/>
                <w:sz w:val="21"/>
                <w:szCs w:val="21"/>
                <w:lang w:eastAsia="zh-CN"/>
              </w:rPr>
              <w:t>整机由电动驱动装置、连接杆、圆锥齿轮减速器、机座、螺杆、堰门本体（铜合金密封）护</w:t>
            </w:r>
            <w:r>
              <w:rPr>
                <w:rFonts w:ascii="宋体" w:hAnsi="宋体" w:eastAsia="宋体" w:cs="宋体"/>
                <w:color w:val="auto"/>
                <w:sz w:val="21"/>
                <w:szCs w:val="21"/>
                <w:lang w:eastAsia="zh-CN"/>
              </w:rPr>
              <w:t>罩、控制箱等部件组成。</w:t>
            </w:r>
          </w:p>
          <w:p>
            <w:pPr>
              <w:pStyle w:val="27"/>
              <w:spacing w:before="10" w:line="360" w:lineRule="auto"/>
              <w:ind w:left="24" w:right="1762"/>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堰门应具有良好的密封性能，泄漏量不大于1.25l/min²m(密封长度)。</w:t>
            </w:r>
            <w:r>
              <w:rPr>
                <w:rFonts w:ascii="宋体" w:hAnsi="宋体" w:eastAsia="宋体" w:cs="宋体"/>
                <w:color w:val="auto"/>
                <w:sz w:val="21"/>
                <w:szCs w:val="21"/>
                <w:lang w:eastAsia="zh-CN"/>
              </w:rPr>
              <w:t>b.驱动装置</w:t>
            </w:r>
          </w:p>
          <w:p>
            <w:pPr>
              <w:pStyle w:val="27"/>
              <w:spacing w:before="10" w:line="360" w:lineRule="auto"/>
              <w:ind w:left="24" w:right="15" w:firstLine="419"/>
              <w:rPr>
                <w:rFonts w:ascii="宋体" w:hAnsi="宋体" w:eastAsia="宋体" w:cs="宋体"/>
                <w:color w:val="auto"/>
                <w:sz w:val="21"/>
                <w:szCs w:val="21"/>
                <w:lang w:eastAsia="zh-CN"/>
              </w:rPr>
            </w:pPr>
            <w:r>
              <w:rPr>
                <w:rFonts w:ascii="宋体" w:hAnsi="宋体" w:eastAsia="宋体" w:cs="宋体"/>
                <w:color w:val="auto"/>
                <w:spacing w:val="-4"/>
                <w:sz w:val="21"/>
                <w:szCs w:val="21"/>
                <w:lang w:eastAsia="zh-CN"/>
              </w:rPr>
              <w:t>电动驱动装置应通过传动轴与两端的圆锥齿轮减速箱(位于启闭机座上)联结，由圆锥齿</w:t>
            </w:r>
            <w:r>
              <w:rPr>
                <w:rFonts w:ascii="宋体" w:hAnsi="宋体" w:eastAsia="宋体" w:cs="宋体"/>
                <w:color w:val="auto"/>
                <w:sz w:val="21"/>
                <w:szCs w:val="21"/>
                <w:lang w:eastAsia="zh-CN"/>
              </w:rPr>
              <w:t>轮减速箱同步驱动二螺杆带动堰门升降。电机转速不大于1500r/min，电源供给为380V，</w:t>
            </w:r>
            <w:r>
              <w:rPr>
                <w:rFonts w:ascii="宋体" w:hAnsi="宋体" w:eastAsia="宋体" w:cs="宋体"/>
                <w:color w:val="auto"/>
                <w:spacing w:val="-9"/>
                <w:sz w:val="21"/>
                <w:szCs w:val="21"/>
                <w:lang w:eastAsia="zh-CN"/>
              </w:rPr>
              <w:t>50Hz，3</w:t>
            </w:r>
            <w:r>
              <w:rPr>
                <w:rFonts w:ascii="宋体" w:hAnsi="宋体" w:eastAsia="宋体" w:cs="宋体"/>
                <w:color w:val="auto"/>
                <w:spacing w:val="-10"/>
                <w:sz w:val="21"/>
                <w:szCs w:val="21"/>
                <w:lang w:eastAsia="zh-CN"/>
              </w:rPr>
              <w:t>相。防护等级</w:t>
            </w:r>
            <w:r>
              <w:rPr>
                <w:rFonts w:ascii="宋体" w:hAnsi="宋体" w:eastAsia="宋体" w:cs="宋体"/>
                <w:color w:val="auto"/>
                <w:spacing w:val="-5"/>
                <w:sz w:val="21"/>
                <w:szCs w:val="21"/>
                <w:lang w:eastAsia="zh-CN"/>
              </w:rPr>
              <w:t>IP65，驱动装置应润滑充分，并设有行程控制开关及过力矩保护装置</w:t>
            </w:r>
            <w:r>
              <w:rPr>
                <w:rFonts w:ascii="宋体" w:hAnsi="宋体" w:eastAsia="宋体" w:cs="宋体"/>
                <w:color w:val="auto"/>
                <w:sz w:val="21"/>
                <w:szCs w:val="21"/>
                <w:lang w:eastAsia="zh-CN"/>
              </w:rPr>
              <w:t>电动驱动装置的控制装置与机械机构合为一体。</w:t>
            </w:r>
          </w:p>
          <w:p>
            <w:pPr>
              <w:pStyle w:val="27"/>
              <w:spacing w:before="10" w:line="360" w:lineRule="auto"/>
              <w:ind w:left="24"/>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c.螺杆</w:t>
            </w:r>
          </w:p>
          <w:p>
            <w:pPr>
              <w:pStyle w:val="27"/>
              <w:spacing w:before="44" w:line="360" w:lineRule="auto"/>
              <w:ind w:left="24" w:right="15" w:firstLine="419"/>
              <w:rPr>
                <w:rFonts w:ascii="宋体" w:hAnsi="宋体" w:eastAsia="宋体" w:cs="宋体"/>
                <w:color w:val="auto"/>
                <w:sz w:val="21"/>
                <w:szCs w:val="21"/>
                <w:lang w:eastAsia="zh-CN"/>
              </w:rPr>
            </w:pPr>
            <w:r>
              <w:rPr>
                <w:rFonts w:ascii="宋体" w:hAnsi="宋体" w:eastAsia="宋体" w:cs="宋体"/>
                <w:color w:val="auto"/>
                <w:spacing w:val="-4"/>
                <w:sz w:val="21"/>
                <w:szCs w:val="21"/>
                <w:lang w:eastAsia="zh-CN"/>
              </w:rPr>
              <w:t>螺杆设计应满足堰门升降的需要，必须具备足够的强度和稳定性，无弯曲和变形，采用</w:t>
            </w:r>
            <w:r>
              <w:rPr>
                <w:rFonts w:ascii="宋体" w:hAnsi="宋体" w:eastAsia="宋体" w:cs="宋体"/>
                <w:color w:val="auto"/>
                <w:sz w:val="21"/>
                <w:szCs w:val="21"/>
                <w:lang w:eastAsia="zh-CN"/>
              </w:rPr>
              <w:t>不锈钢2Cr13(403)制作。</w:t>
            </w:r>
          </w:p>
          <w:p>
            <w:pPr>
              <w:pStyle w:val="27"/>
              <w:spacing w:before="10" w:line="360" w:lineRule="auto"/>
              <w:ind w:left="24"/>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d.堰板、门框</w:t>
            </w:r>
          </w:p>
          <w:p>
            <w:pPr>
              <w:pStyle w:val="27"/>
              <w:spacing w:before="44" w:line="360" w:lineRule="auto"/>
              <w:ind w:left="24" w:right="122" w:firstLine="419"/>
              <w:jc w:val="both"/>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堰板应具有足够的强度以承受水压力，门板升降灵活。堰板和门框采用优质铸铁制作</w:t>
            </w:r>
            <w:r>
              <w:rPr>
                <w:rFonts w:ascii="宋体" w:hAnsi="宋体" w:eastAsia="宋体" w:cs="宋体"/>
                <w:color w:val="auto"/>
                <w:sz w:val="21"/>
                <w:szCs w:val="21"/>
                <w:lang w:eastAsia="zh-CN"/>
              </w:rPr>
              <w:t>所有安装用的紧固体均为不锈钢</w:t>
            </w:r>
            <w:r>
              <w:rPr>
                <w:rFonts w:ascii="宋体" w:hAnsi="宋体" w:eastAsia="宋体" w:cs="宋体"/>
                <w:color w:val="auto"/>
                <w:spacing w:val="-5"/>
                <w:sz w:val="21"/>
                <w:szCs w:val="21"/>
                <w:lang w:eastAsia="zh-CN"/>
              </w:rPr>
              <w:t>0Cr17Ni9(304)。密封件采用铜合金制造，厚度不小于</w:t>
            </w:r>
            <w:r>
              <w:rPr>
                <w:rFonts w:ascii="宋体" w:hAnsi="宋体" w:eastAsia="宋体" w:cs="宋体"/>
                <w:color w:val="auto"/>
                <w:sz w:val="21"/>
                <w:szCs w:val="21"/>
                <w:lang w:eastAsia="zh-CN"/>
              </w:rPr>
              <w:t>8mme防腐蚀</w:t>
            </w:r>
          </w:p>
          <w:p>
            <w:pPr>
              <w:pStyle w:val="27"/>
              <w:spacing w:line="360" w:lineRule="auto"/>
              <w:ind w:left="24"/>
              <w:rPr>
                <w:rFonts w:ascii="宋体" w:hAnsi="宋体" w:eastAsia="宋体" w:cs="宋体"/>
                <w:color w:val="auto"/>
                <w:sz w:val="21"/>
                <w:szCs w:val="21"/>
                <w:lang w:eastAsia="zh-CN"/>
              </w:rPr>
            </w:pPr>
            <w:r>
              <w:rPr>
                <w:rFonts w:ascii="宋体" w:hAnsi="宋体" w:eastAsia="宋体" w:cs="宋体"/>
                <w:color w:val="auto"/>
                <w:spacing w:val="-4"/>
                <w:sz w:val="21"/>
                <w:szCs w:val="21"/>
                <w:lang w:eastAsia="zh-CN"/>
              </w:rPr>
              <w:t>堰门应能适合在污水环境下抗腐蚀气体中使用，除不锈钢以外均应按一般技术条款进行</w:t>
            </w:r>
            <w:r>
              <w:rPr>
                <w:rFonts w:ascii="宋体" w:hAnsi="宋体" w:eastAsia="宋体" w:cs="宋体"/>
                <w:color w:val="auto"/>
                <w:sz w:val="21"/>
                <w:szCs w:val="21"/>
                <w:lang w:eastAsia="zh-CN"/>
              </w:rPr>
              <w:t>处理。</w:t>
            </w:r>
          </w:p>
          <w:p>
            <w:pPr>
              <w:pStyle w:val="27"/>
              <w:spacing w:line="360" w:lineRule="auto"/>
              <w:ind w:left="24"/>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3、闸阀</w:t>
            </w:r>
          </w:p>
          <w:p>
            <w:pPr>
              <w:pStyle w:val="27"/>
              <w:spacing w:before="44" w:line="360" w:lineRule="auto"/>
              <w:ind w:left="24"/>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3.1设计要求</w:t>
            </w:r>
          </w:p>
          <w:p>
            <w:pPr>
              <w:pStyle w:val="27"/>
              <w:spacing w:before="42" w:line="360" w:lineRule="auto"/>
              <w:ind w:left="24" w:right="67" w:firstLine="419"/>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2"/>
                <w:sz w:val="21"/>
                <w:szCs w:val="21"/>
                <w:lang w:eastAsia="zh-CN"/>
              </w:rPr>
              <w:t>a.软密封闸阀应采用暗杆式、单阀板、楔形、平底、双法兰式结构，阀板包胶，阀体涂塑的</w:t>
            </w:r>
            <w:r>
              <w:rPr>
                <w:rFonts w:ascii="Times New Roman" w:hAnsi="Times New Roman" w:eastAsia="宋体" w:cs="Times New Roman"/>
                <w:color w:val="auto"/>
                <w:sz w:val="21"/>
                <w:szCs w:val="21"/>
                <w:lang w:eastAsia="zh-CN"/>
              </w:rPr>
              <w:t>形式，可安装于二管道之间，与管道的同规格法兰用高强度螺栓连接。</w:t>
            </w:r>
          </w:p>
          <w:p>
            <w:pPr>
              <w:pStyle w:val="27"/>
              <w:spacing w:before="10" w:line="360" w:lineRule="auto"/>
              <w:ind w:left="24" w:right="67" w:firstLine="419"/>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2"/>
                <w:sz w:val="21"/>
                <w:szCs w:val="21"/>
                <w:lang w:eastAsia="zh-CN"/>
              </w:rPr>
              <w:t>b.软密封闸阀及其零部件必须适用于原生污水的特性。闸阀要按照本节所提供的标准及其它</w:t>
            </w:r>
            <w:r>
              <w:rPr>
                <w:rFonts w:ascii="Times New Roman" w:hAnsi="Times New Roman" w:eastAsia="宋体" w:cs="Times New Roman"/>
                <w:color w:val="auto"/>
                <w:sz w:val="21"/>
                <w:szCs w:val="21"/>
                <w:lang w:eastAsia="zh-CN"/>
              </w:rPr>
              <w:t>相当的标准，使用的材料及设计构造应保证阀完全适应污水系统的运行条件</w:t>
            </w:r>
          </w:p>
          <w:p>
            <w:pPr>
              <w:pStyle w:val="27"/>
              <w:spacing w:before="10" w:line="360" w:lineRule="auto"/>
              <w:ind w:left="24" w:right="4902" w:firstLine="419"/>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1"/>
                <w:sz w:val="21"/>
                <w:szCs w:val="21"/>
                <w:lang w:eastAsia="zh-CN"/>
              </w:rPr>
              <w:t>c.电动操作时，启闭速度应≤2m/min。</w:t>
            </w:r>
            <w:r>
              <w:rPr>
                <w:rFonts w:ascii="Times New Roman" w:hAnsi="Times New Roman" w:eastAsia="宋体" w:cs="Times New Roman"/>
                <w:color w:val="auto"/>
                <w:sz w:val="21"/>
                <w:szCs w:val="21"/>
                <w:lang w:eastAsia="zh-CN"/>
              </w:rPr>
              <w:t>3.2、性能和结构</w:t>
            </w:r>
          </w:p>
          <w:p>
            <w:pPr>
              <w:pStyle w:val="27"/>
              <w:spacing w:before="10" w:line="360" w:lineRule="auto"/>
              <w:ind w:left="24"/>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(1)阀体</w:t>
            </w:r>
          </w:p>
          <w:p>
            <w:pPr>
              <w:pStyle w:val="27"/>
              <w:spacing w:before="44" w:line="360" w:lineRule="auto"/>
              <w:ind w:left="24" w:right="15" w:firstLine="419"/>
              <w:jc w:val="both"/>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2"/>
                <w:sz w:val="21"/>
                <w:szCs w:val="21"/>
                <w:lang w:eastAsia="zh-CN"/>
              </w:rPr>
              <w:t>a.阀体应有下阀体和阀盖二个部分组成，在结构上，腔体的轴向通道须呈直线状，阀体底部</w:t>
            </w:r>
            <w:r>
              <w:rPr>
                <w:rFonts w:ascii="Times New Roman" w:hAnsi="Times New Roman" w:eastAsia="宋体" w:cs="Times New Roman"/>
                <w:color w:val="auto"/>
                <w:spacing w:val="-4"/>
                <w:sz w:val="21"/>
                <w:szCs w:val="21"/>
                <w:lang w:eastAsia="zh-CN"/>
              </w:rPr>
              <w:t>无凹穴，并按</w:t>
            </w:r>
            <w:r>
              <w:rPr>
                <w:rFonts w:ascii="Times New Roman" w:hAnsi="Times New Roman" w:eastAsia="宋体" w:cs="Times New Roman"/>
                <w:color w:val="auto"/>
                <w:sz w:val="21"/>
                <w:szCs w:val="21"/>
                <w:lang w:eastAsia="zh-CN"/>
              </w:rPr>
              <w:t>CJ/T216-2005</w:t>
            </w:r>
            <w:r>
              <w:rPr>
                <w:rFonts w:ascii="Times New Roman" w:hAnsi="Times New Roman" w:eastAsia="宋体" w:cs="Times New Roman"/>
                <w:color w:val="auto"/>
                <w:spacing w:val="-3"/>
                <w:sz w:val="21"/>
                <w:szCs w:val="21"/>
                <w:lang w:eastAsia="zh-CN"/>
              </w:rPr>
              <w:t>标准进行阀体内、外表面的高压静电无毒环氧树脂喷涂。涂层厚度应</w:t>
            </w:r>
            <w:r>
              <w:rPr>
                <w:rFonts w:ascii="Times New Roman" w:hAnsi="Times New Roman" w:eastAsia="宋体" w:cs="Times New Roman"/>
                <w:color w:val="auto"/>
                <w:sz w:val="21"/>
                <w:szCs w:val="21"/>
                <w:lang w:eastAsia="zh-CN"/>
              </w:rPr>
              <w:t>在0.15mm</w:t>
            </w:r>
            <w:r>
              <w:rPr>
                <w:rFonts w:ascii="Times New Roman" w:hAnsi="Times New Roman" w:eastAsia="宋体" w:cs="Times New Roman"/>
                <w:color w:val="auto"/>
                <w:spacing w:val="-8"/>
                <w:sz w:val="21"/>
                <w:szCs w:val="21"/>
                <w:lang w:eastAsia="zh-CN"/>
              </w:rPr>
              <w:t>以上，硬度应达到</w:t>
            </w:r>
            <w:r>
              <w:rPr>
                <w:rFonts w:ascii="Times New Roman" w:hAnsi="Times New Roman" w:eastAsia="宋体" w:cs="Times New Roman"/>
                <w:color w:val="auto"/>
                <w:sz w:val="21"/>
                <w:szCs w:val="21"/>
                <w:lang w:eastAsia="zh-CN"/>
              </w:rPr>
              <w:t>GB/T6739规定德铅笔硬度</w:t>
            </w:r>
            <w:r>
              <w:rPr>
                <w:rFonts w:ascii="Times New Roman" w:hAnsi="Times New Roman" w:eastAsia="宋体" w:cs="Times New Roman"/>
                <w:color w:val="auto"/>
                <w:spacing w:val="-6"/>
                <w:sz w:val="21"/>
                <w:szCs w:val="21"/>
                <w:lang w:eastAsia="zh-CN"/>
              </w:rPr>
              <w:t>2H，涂层附着力应达到</w:t>
            </w:r>
            <w:r>
              <w:rPr>
                <w:rFonts w:ascii="Times New Roman" w:hAnsi="Times New Roman" w:eastAsia="宋体" w:cs="Times New Roman"/>
                <w:color w:val="auto"/>
                <w:sz w:val="21"/>
                <w:szCs w:val="21"/>
                <w:lang w:eastAsia="zh-CN"/>
              </w:rPr>
              <w:t>GB/T9286规定德划格法1mm2</w:t>
            </w:r>
            <w:r>
              <w:rPr>
                <w:rFonts w:ascii="Times New Roman" w:hAnsi="Times New Roman" w:eastAsia="宋体" w:cs="Times New Roman"/>
                <w:color w:val="auto"/>
                <w:spacing w:val="-3"/>
                <w:sz w:val="21"/>
                <w:szCs w:val="21"/>
                <w:lang w:eastAsia="zh-CN"/>
              </w:rPr>
              <w:t>不脱落。下阀体的材料为球墨铸铁</w:t>
            </w:r>
            <w:r>
              <w:rPr>
                <w:rFonts w:ascii="Times New Roman" w:hAnsi="Times New Roman" w:eastAsia="宋体" w:cs="Times New Roman"/>
                <w:color w:val="auto"/>
                <w:sz w:val="21"/>
                <w:szCs w:val="21"/>
                <w:lang w:eastAsia="zh-CN"/>
              </w:rPr>
              <w:t>400</w:t>
            </w:r>
            <w:r>
              <w:rPr>
                <w:rFonts w:ascii="Times New Roman" w:hAnsi="Times New Roman" w:eastAsia="宋体" w:cs="Times New Roman"/>
                <w:color w:val="auto"/>
                <w:spacing w:val="-3"/>
                <w:sz w:val="21"/>
                <w:szCs w:val="21"/>
                <w:lang w:eastAsia="zh-CN"/>
              </w:rPr>
              <w:t>或更好，阀盖材料为球墨铸铁</w:t>
            </w:r>
            <w:r>
              <w:rPr>
                <w:rFonts w:ascii="Times New Roman" w:hAnsi="Times New Roman" w:eastAsia="宋体" w:cs="Times New Roman"/>
                <w:color w:val="auto"/>
                <w:sz w:val="21"/>
                <w:szCs w:val="21"/>
                <w:lang w:eastAsia="zh-CN"/>
              </w:rPr>
              <w:t>500</w:t>
            </w:r>
            <w:r>
              <w:rPr>
                <w:rFonts w:ascii="Times New Roman" w:hAnsi="Times New Roman" w:eastAsia="宋体" w:cs="Times New Roman"/>
                <w:color w:val="auto"/>
                <w:spacing w:val="-4"/>
                <w:sz w:val="21"/>
                <w:szCs w:val="21"/>
                <w:lang w:eastAsia="zh-CN"/>
              </w:rPr>
              <w:t>或更好。阀体</w:t>
            </w:r>
            <w:r>
              <w:rPr>
                <w:rFonts w:ascii="Times New Roman" w:hAnsi="Times New Roman" w:eastAsia="宋体" w:cs="Times New Roman"/>
                <w:color w:val="auto"/>
                <w:sz w:val="21"/>
                <w:szCs w:val="21"/>
                <w:lang w:eastAsia="zh-CN"/>
              </w:rPr>
              <w:t>内腔面不切削加工，应靠铸造精度保证密封，在2.4MPa压力下泄漏量为0。</w:t>
            </w:r>
          </w:p>
          <w:p>
            <w:pPr>
              <w:pStyle w:val="27"/>
              <w:spacing w:before="8" w:line="360" w:lineRule="auto"/>
              <w:ind w:left="443"/>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b.在下阀体底部要浇铸支承翼座，使闸阀能直立固定。</w:t>
            </w:r>
          </w:p>
          <w:p>
            <w:pPr>
              <w:pStyle w:val="27"/>
              <w:spacing w:before="44" w:line="360" w:lineRule="auto"/>
              <w:ind w:left="443" w:right="17"/>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c.下阀体二端的法兰应符合GB/T12232-1989铸铁闸阀法兰的规定，额定压力为1MPa。</w:t>
            </w:r>
            <w:r>
              <w:rPr>
                <w:rFonts w:ascii="Times New Roman" w:hAnsi="Times New Roman" w:eastAsia="宋体" w:cs="Times New Roman"/>
                <w:color w:val="auto"/>
                <w:spacing w:val="-3"/>
                <w:sz w:val="21"/>
                <w:szCs w:val="21"/>
                <w:lang w:eastAsia="zh-CN"/>
              </w:rPr>
              <w:t>d.阀板必须包复橡胶，采用</w:t>
            </w:r>
            <w:r>
              <w:rPr>
                <w:rFonts w:ascii="Times New Roman" w:hAnsi="Times New Roman" w:eastAsia="宋体" w:cs="Times New Roman"/>
                <w:color w:val="auto"/>
                <w:sz w:val="21"/>
                <w:szCs w:val="21"/>
                <w:lang w:eastAsia="zh-CN"/>
              </w:rPr>
              <w:t>EPDM</w:t>
            </w:r>
            <w:r>
              <w:rPr>
                <w:rFonts w:ascii="Times New Roman" w:hAnsi="Times New Roman" w:eastAsia="宋体" w:cs="Times New Roman"/>
                <w:color w:val="auto"/>
                <w:spacing w:val="-3"/>
                <w:sz w:val="21"/>
                <w:szCs w:val="21"/>
                <w:lang w:eastAsia="zh-CN"/>
              </w:rPr>
              <w:t>或丁腈橡胶，一次粘复成型，保证在-30℃~80℃的温度范围</w:t>
            </w:r>
          </w:p>
          <w:p>
            <w:pPr>
              <w:pStyle w:val="27"/>
              <w:spacing w:before="11" w:line="360" w:lineRule="auto"/>
              <w:ind w:left="24"/>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内安全使用。</w:t>
            </w:r>
          </w:p>
          <w:p>
            <w:pPr>
              <w:pStyle w:val="27"/>
              <w:spacing w:before="44" w:line="360" w:lineRule="auto"/>
              <w:ind w:left="24" w:right="67" w:firstLine="419"/>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2"/>
                <w:sz w:val="21"/>
                <w:szCs w:val="21"/>
                <w:lang w:eastAsia="zh-CN"/>
              </w:rPr>
              <w:t>e.阀盖须设有固定启闭装置的支座，在上阀体和阀杆的相贯处应设置可靠的密封措施，保证</w:t>
            </w:r>
            <w:r>
              <w:rPr>
                <w:rFonts w:ascii="Times New Roman" w:hAnsi="Times New Roman" w:eastAsia="宋体" w:cs="Times New Roman"/>
                <w:color w:val="auto"/>
                <w:sz w:val="21"/>
                <w:szCs w:val="21"/>
                <w:lang w:eastAsia="zh-CN"/>
              </w:rPr>
              <w:t>在通水时可更换上部密封件和O形圈。</w:t>
            </w:r>
          </w:p>
          <w:p>
            <w:pPr>
              <w:pStyle w:val="27"/>
              <w:spacing w:before="10" w:line="360" w:lineRule="auto"/>
              <w:ind w:left="443"/>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f.阀盖应配置吊环用来起吊整个装置。</w:t>
            </w:r>
          </w:p>
          <w:p>
            <w:pPr>
              <w:pStyle w:val="27"/>
              <w:spacing w:before="44" w:line="360" w:lineRule="auto"/>
              <w:ind w:left="24" w:right="74" w:firstLine="419"/>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g.包胶的阀板应符合CJ/T216-2005的规定，在1.6MPa的试验压力下，至少启闭500次无泄漏。</w:t>
            </w:r>
          </w:p>
          <w:p>
            <w:pPr>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h.阀杆材料采用不锈钢1Cr17Ni2或更好。</w:t>
            </w:r>
          </w:p>
        </w:tc>
      </w:tr>
    </w:tbl>
    <w:p>
      <w:pPr>
        <w:pStyle w:val="30"/>
        <w:spacing w:before="120" w:after="120"/>
        <w:rPr>
          <w:color w:val="auto"/>
        </w:rPr>
      </w:pPr>
      <w:bookmarkStart w:id="258" w:name="_Toc117181371"/>
      <w:r>
        <w:rPr>
          <w:rFonts w:hint="eastAsia"/>
          <w:color w:val="auto"/>
        </w:rPr>
        <w:t>反硝化深床滤池</w:t>
      </w:r>
      <w:bookmarkEnd w:id="258"/>
    </w:p>
    <w:p>
      <w:pPr>
        <w:pStyle w:val="31"/>
        <w:rPr>
          <w:color w:val="auto"/>
        </w:rPr>
      </w:pPr>
      <w:r>
        <w:rPr>
          <w:rFonts w:hint="eastAsia"/>
          <w:color w:val="auto"/>
        </w:rPr>
        <w:t>设计条件</w:t>
      </w:r>
    </w:p>
    <w:p>
      <w:pPr>
        <w:pStyle w:val="35"/>
        <w:ind w:firstLine="480"/>
        <w:rPr>
          <w:color w:val="auto"/>
        </w:rPr>
      </w:pPr>
      <w:r>
        <w:rPr>
          <w:rFonts w:hint="eastAsia"/>
          <w:color w:val="auto"/>
        </w:rPr>
        <w:t>介质：沉淀池</w:t>
      </w:r>
      <w:r>
        <w:rPr>
          <w:color w:val="auto"/>
        </w:rPr>
        <w:t>出水</w:t>
      </w:r>
    </w:p>
    <w:p>
      <w:pPr>
        <w:pStyle w:val="35"/>
        <w:ind w:firstLine="480"/>
        <w:rPr>
          <w:color w:val="auto"/>
        </w:rPr>
      </w:pPr>
      <w:r>
        <w:rPr>
          <w:rFonts w:hint="eastAsia"/>
          <w:color w:val="auto"/>
        </w:rPr>
        <w:t>介质：p</w:t>
      </w:r>
      <w:r>
        <w:rPr>
          <w:color w:val="auto"/>
        </w:rPr>
        <w:t>H</w:t>
      </w:r>
      <w:r>
        <w:rPr>
          <w:rFonts w:hint="eastAsia"/>
          <w:color w:val="auto"/>
        </w:rPr>
        <w:t>：6</w:t>
      </w:r>
      <w:r>
        <w:rPr>
          <w:color w:val="auto"/>
        </w:rPr>
        <w:t>～</w:t>
      </w:r>
      <w:r>
        <w:rPr>
          <w:rFonts w:hint="eastAsia"/>
          <w:color w:val="auto"/>
        </w:rPr>
        <w:t>9</w:t>
      </w:r>
    </w:p>
    <w:p>
      <w:pPr>
        <w:pStyle w:val="35"/>
        <w:ind w:firstLine="480"/>
        <w:rPr>
          <w:color w:val="auto"/>
        </w:rPr>
      </w:pPr>
      <w:r>
        <w:rPr>
          <w:rFonts w:hint="eastAsia"/>
          <w:color w:val="auto"/>
        </w:rPr>
        <w:t>介质温度：1</w:t>
      </w:r>
      <w:r>
        <w:rPr>
          <w:color w:val="auto"/>
        </w:rPr>
        <w:t>2</w:t>
      </w:r>
      <w:r>
        <w:rPr>
          <w:rFonts w:hint="eastAsia"/>
          <w:color w:val="auto"/>
        </w:rPr>
        <w:t>～25℃</w:t>
      </w:r>
    </w:p>
    <w:p>
      <w:pPr>
        <w:pStyle w:val="35"/>
        <w:ind w:firstLine="480"/>
        <w:rPr>
          <w:color w:val="auto"/>
        </w:rPr>
      </w:pPr>
      <w:r>
        <w:rPr>
          <w:rFonts w:hint="eastAsia"/>
          <w:color w:val="auto"/>
        </w:rPr>
        <w:t>平均设计流量：</w:t>
      </w:r>
      <w:r>
        <w:rPr>
          <w:color w:val="auto"/>
        </w:rPr>
        <w:t>100</w:t>
      </w:r>
      <w:r>
        <w:rPr>
          <w:rFonts w:hint="eastAsia"/>
          <w:color w:val="auto"/>
        </w:rPr>
        <w:t>000m³/d</w:t>
      </w:r>
    </w:p>
    <w:p>
      <w:pPr>
        <w:pStyle w:val="33"/>
        <w:rPr>
          <w:color w:val="auto"/>
        </w:rPr>
      </w:pPr>
      <w:r>
        <w:rPr>
          <w:color w:val="auto"/>
        </w:rPr>
        <w:t>设计进</w:t>
      </w:r>
      <w:r>
        <w:rPr>
          <w:rFonts w:hint="eastAsia"/>
          <w:color w:val="auto"/>
        </w:rPr>
        <w:t>水、</w:t>
      </w:r>
      <w:r>
        <w:rPr>
          <w:color w:val="auto"/>
        </w:rPr>
        <w:t>出水水质</w:t>
      </w:r>
      <w:r>
        <w:rPr>
          <w:rFonts w:hint="eastAsia"/>
          <w:color w:val="auto"/>
        </w:rPr>
        <w:t>：(</w:t>
      </w:r>
      <w:r>
        <w:rPr>
          <w:color w:val="auto"/>
        </w:rPr>
        <w:t>单位：mg/</w:t>
      </w:r>
      <w:r>
        <w:rPr>
          <w:rFonts w:hint="eastAsia"/>
          <w:color w:val="auto"/>
        </w:rPr>
        <w:t>L)</w:t>
      </w:r>
    </w:p>
    <w:tbl>
      <w:tblPr>
        <w:tblStyle w:val="23"/>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2268"/>
        <w:gridCol w:w="1984"/>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jc w:val="center"/>
        </w:trPr>
        <w:tc>
          <w:tcPr>
            <w:tcW w:w="2063" w:type="dxa"/>
          </w:tcPr>
          <w:p>
            <w:pPr>
              <w:tabs>
                <w:tab w:val="left" w:pos="860"/>
              </w:tabs>
              <w:snapToGrid w:val="0"/>
              <w:spacing w:line="48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项目</w:t>
            </w:r>
          </w:p>
        </w:tc>
        <w:tc>
          <w:tcPr>
            <w:tcW w:w="2268" w:type="dxa"/>
          </w:tcPr>
          <w:p>
            <w:pPr>
              <w:tabs>
                <w:tab w:val="left" w:pos="860"/>
              </w:tabs>
              <w:snapToGrid w:val="0"/>
              <w:spacing w:line="48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TP</w:t>
            </w:r>
          </w:p>
        </w:tc>
        <w:tc>
          <w:tcPr>
            <w:tcW w:w="1984" w:type="dxa"/>
          </w:tcPr>
          <w:p>
            <w:pPr>
              <w:tabs>
                <w:tab w:val="left" w:pos="860"/>
              </w:tabs>
              <w:snapToGrid w:val="0"/>
              <w:spacing w:line="48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SS</w:t>
            </w:r>
          </w:p>
        </w:tc>
        <w:tc>
          <w:tcPr>
            <w:tcW w:w="2611" w:type="dxa"/>
          </w:tcPr>
          <w:p>
            <w:pPr>
              <w:tabs>
                <w:tab w:val="left" w:pos="860"/>
              </w:tabs>
              <w:snapToGrid w:val="0"/>
              <w:spacing w:line="48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jc w:val="center"/>
        </w:trPr>
        <w:tc>
          <w:tcPr>
            <w:tcW w:w="2063" w:type="dxa"/>
          </w:tcPr>
          <w:p>
            <w:pPr>
              <w:tabs>
                <w:tab w:val="left" w:pos="860"/>
              </w:tabs>
              <w:snapToGrid w:val="0"/>
              <w:spacing w:line="48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进水水质</w:t>
            </w:r>
          </w:p>
        </w:tc>
        <w:tc>
          <w:tcPr>
            <w:tcW w:w="2268" w:type="dxa"/>
          </w:tcPr>
          <w:p>
            <w:pPr>
              <w:tabs>
                <w:tab w:val="left" w:pos="860"/>
              </w:tabs>
              <w:snapToGrid w:val="0"/>
              <w:spacing w:line="48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≤1.0</w:t>
            </w:r>
          </w:p>
        </w:tc>
        <w:tc>
          <w:tcPr>
            <w:tcW w:w="1984" w:type="dxa"/>
            <w:vAlign w:val="center"/>
          </w:tcPr>
          <w:p>
            <w:pPr>
              <w:tabs>
                <w:tab w:val="left" w:pos="860"/>
              </w:tabs>
              <w:snapToGrid w:val="0"/>
              <w:spacing w:line="48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w:t>
            </w:r>
          </w:p>
        </w:tc>
        <w:tc>
          <w:tcPr>
            <w:tcW w:w="2611" w:type="dxa"/>
            <w:vAlign w:val="center"/>
          </w:tcPr>
          <w:p>
            <w:pPr>
              <w:tabs>
                <w:tab w:val="left" w:pos="860"/>
              </w:tabs>
              <w:snapToGrid w:val="0"/>
              <w:spacing w:line="48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jc w:val="center"/>
        </w:trPr>
        <w:tc>
          <w:tcPr>
            <w:tcW w:w="2063" w:type="dxa"/>
          </w:tcPr>
          <w:p>
            <w:pPr>
              <w:tabs>
                <w:tab w:val="left" w:pos="860"/>
              </w:tabs>
              <w:snapToGrid w:val="0"/>
              <w:spacing w:line="48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出水水质</w:t>
            </w:r>
          </w:p>
        </w:tc>
        <w:tc>
          <w:tcPr>
            <w:tcW w:w="2268" w:type="dxa"/>
          </w:tcPr>
          <w:p>
            <w:pPr>
              <w:tabs>
                <w:tab w:val="left" w:pos="860"/>
              </w:tabs>
              <w:snapToGrid w:val="0"/>
              <w:spacing w:line="48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≤0.3</w:t>
            </w:r>
          </w:p>
        </w:tc>
        <w:tc>
          <w:tcPr>
            <w:tcW w:w="1984" w:type="dxa"/>
            <w:vAlign w:val="center"/>
          </w:tcPr>
          <w:p>
            <w:pPr>
              <w:tabs>
                <w:tab w:val="left" w:pos="860"/>
              </w:tabs>
              <w:snapToGrid w:val="0"/>
              <w:spacing w:line="480" w:lineRule="exact"/>
              <w:jc w:val="center"/>
              <w:rPr>
                <w:rFonts w:hint="eastAsia" w:ascii="Times New Roman" w:hAnsi="Times New Roman" w:cs="Times New Roman" w:eastAsiaTheme="minorEastAsia"/>
                <w:color w:val="auto"/>
                <w:sz w:val="21"/>
                <w:szCs w:val="21"/>
                <w:lang w:eastAsia="zh-CN"/>
              </w:rPr>
            </w:pPr>
            <w:r>
              <w:rPr>
                <w:rFonts w:ascii="Times New Roman" w:hAnsi="Times New Roman" w:cs="Times New Roman"/>
                <w:color w:val="auto"/>
                <w:sz w:val="21"/>
                <w:szCs w:val="21"/>
              </w:rPr>
              <w:t>≤</w:t>
            </w:r>
            <w:r>
              <w:rPr>
                <w:rFonts w:hint="eastAsia" w:ascii="Times New Roman" w:hAnsi="Times New Roman" w:cs="Times New Roman"/>
                <w:color w:val="auto"/>
                <w:sz w:val="21"/>
                <w:szCs w:val="21"/>
                <w:lang w:val="en-US" w:eastAsia="zh-CN"/>
              </w:rPr>
              <w:t>6</w:t>
            </w:r>
          </w:p>
        </w:tc>
        <w:tc>
          <w:tcPr>
            <w:tcW w:w="2611" w:type="dxa"/>
            <w:vAlign w:val="center"/>
          </w:tcPr>
          <w:p>
            <w:pPr>
              <w:tabs>
                <w:tab w:val="left" w:pos="860"/>
              </w:tabs>
              <w:snapToGrid w:val="0"/>
              <w:spacing w:line="48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≤10</w:t>
            </w:r>
          </w:p>
        </w:tc>
      </w:tr>
    </w:tbl>
    <w:p>
      <w:pPr>
        <w:pStyle w:val="29"/>
        <w:ind w:firstLine="472"/>
        <w:rPr>
          <w:color w:val="auto"/>
        </w:rPr>
      </w:pPr>
    </w:p>
    <w:p>
      <w:pPr>
        <w:pStyle w:val="35"/>
        <w:ind w:firstLine="480"/>
        <w:rPr>
          <w:rFonts w:ascii="Times New Roman" w:hAnsi="Times New Roman"/>
          <w:color w:val="auto"/>
        </w:rPr>
      </w:pPr>
      <w:r>
        <w:rPr>
          <w:rFonts w:ascii="Times New Roman" w:hAnsi="Times New Roman"/>
          <w:color w:val="auto"/>
        </w:rPr>
        <w:t>滤料深度 ：1.83m</w:t>
      </w:r>
    </w:p>
    <w:p>
      <w:pPr>
        <w:pStyle w:val="35"/>
        <w:ind w:firstLine="480"/>
        <w:rPr>
          <w:rFonts w:ascii="Times New Roman" w:hAnsi="Times New Roman"/>
          <w:color w:val="auto"/>
        </w:rPr>
      </w:pPr>
      <w:r>
        <w:rPr>
          <w:rFonts w:ascii="Times New Roman" w:hAnsi="Times New Roman"/>
          <w:color w:val="auto"/>
        </w:rPr>
        <w:t>水冲洗强度：约14.7m³/m</w:t>
      </w:r>
      <w:r>
        <w:rPr>
          <w:rFonts w:ascii="Times New Roman" w:hAnsi="Times New Roman"/>
          <w:color w:val="auto"/>
          <w:vertAlign w:val="superscript"/>
        </w:rPr>
        <w:t>2</w:t>
      </w:r>
      <w:r>
        <w:rPr>
          <w:rFonts w:ascii="Times New Roman" w:hAnsi="Times New Roman"/>
          <w:color w:val="auto"/>
        </w:rPr>
        <w:t>·h</w:t>
      </w:r>
    </w:p>
    <w:p>
      <w:pPr>
        <w:pStyle w:val="35"/>
        <w:ind w:firstLine="480"/>
        <w:rPr>
          <w:rFonts w:ascii="Times New Roman" w:hAnsi="Times New Roman"/>
          <w:color w:val="auto"/>
        </w:rPr>
      </w:pPr>
      <w:r>
        <w:rPr>
          <w:rFonts w:ascii="Times New Roman" w:hAnsi="Times New Roman"/>
          <w:color w:val="auto"/>
        </w:rPr>
        <w:t>空气冲洗强度：91.4m³/m</w:t>
      </w:r>
      <w:r>
        <w:rPr>
          <w:rFonts w:ascii="Times New Roman" w:hAnsi="Times New Roman"/>
          <w:color w:val="auto"/>
          <w:vertAlign w:val="superscript"/>
        </w:rPr>
        <w:t>2</w:t>
      </w:r>
      <w:r>
        <w:rPr>
          <w:rFonts w:ascii="Times New Roman" w:hAnsi="Times New Roman"/>
          <w:color w:val="auto"/>
        </w:rPr>
        <w:t>·h</w:t>
      </w:r>
    </w:p>
    <w:p>
      <w:pPr>
        <w:pStyle w:val="35"/>
        <w:ind w:firstLine="480"/>
        <w:rPr>
          <w:rFonts w:ascii="Times New Roman" w:hAnsi="Times New Roman"/>
          <w:color w:val="auto"/>
        </w:rPr>
      </w:pPr>
      <w:r>
        <w:rPr>
          <w:rFonts w:ascii="Times New Roman" w:hAnsi="Times New Roman"/>
          <w:color w:val="auto"/>
        </w:rPr>
        <w:t>反冲洗水量：≤4%</w:t>
      </w:r>
    </w:p>
    <w:p>
      <w:pPr>
        <w:pStyle w:val="31"/>
        <w:rPr>
          <w:color w:val="auto"/>
        </w:rPr>
      </w:pPr>
      <w:r>
        <w:rPr>
          <w:rFonts w:hint="eastAsia"/>
          <w:color w:val="auto"/>
        </w:rPr>
        <w:t>进水堰板</w:t>
      </w:r>
    </w:p>
    <w:tbl>
      <w:tblPr>
        <w:tblStyle w:val="24"/>
        <w:tblW w:w="88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34"/>
        <w:gridCol w:w="2074"/>
        <w:gridCol w:w="1754"/>
        <w:gridCol w:w="1190"/>
        <w:gridCol w:w="1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Align w:val="center"/>
          </w:tcPr>
          <w:p>
            <w:pPr>
              <w:pStyle w:val="29"/>
              <w:ind w:firstLine="0" w:firstLineChars="0"/>
              <w:jc w:val="center"/>
              <w:rPr>
                <w:color w:val="auto"/>
                <w:sz w:val="21"/>
                <w:szCs w:val="21"/>
              </w:rPr>
            </w:pPr>
            <w:r>
              <w:rPr>
                <w:rFonts w:hint="eastAsia"/>
                <w:color w:val="auto"/>
                <w:sz w:val="21"/>
                <w:szCs w:val="21"/>
              </w:rPr>
              <w:t>序号</w:t>
            </w:r>
          </w:p>
        </w:tc>
        <w:tc>
          <w:tcPr>
            <w:tcW w:w="1134" w:type="dxa"/>
            <w:vAlign w:val="center"/>
          </w:tcPr>
          <w:p>
            <w:pPr>
              <w:pStyle w:val="29"/>
              <w:ind w:firstLine="0" w:firstLineChars="0"/>
              <w:jc w:val="center"/>
              <w:rPr>
                <w:color w:val="auto"/>
                <w:sz w:val="21"/>
                <w:szCs w:val="21"/>
              </w:rPr>
            </w:pPr>
            <w:r>
              <w:rPr>
                <w:rFonts w:hint="eastAsia"/>
                <w:color w:val="auto"/>
                <w:sz w:val="21"/>
                <w:szCs w:val="21"/>
              </w:rPr>
              <w:t>名称</w:t>
            </w:r>
          </w:p>
        </w:tc>
        <w:tc>
          <w:tcPr>
            <w:tcW w:w="2074" w:type="dxa"/>
            <w:vAlign w:val="center"/>
          </w:tcPr>
          <w:p>
            <w:pPr>
              <w:pStyle w:val="29"/>
              <w:ind w:firstLine="0" w:firstLineChars="0"/>
              <w:jc w:val="center"/>
              <w:rPr>
                <w:color w:val="auto"/>
                <w:sz w:val="21"/>
                <w:szCs w:val="21"/>
              </w:rPr>
            </w:pPr>
            <w:r>
              <w:rPr>
                <w:rFonts w:hint="eastAsia"/>
                <w:color w:val="auto"/>
                <w:sz w:val="21"/>
                <w:szCs w:val="21"/>
              </w:rPr>
              <w:t>规格</w:t>
            </w:r>
          </w:p>
        </w:tc>
        <w:tc>
          <w:tcPr>
            <w:tcW w:w="1754" w:type="dxa"/>
            <w:vAlign w:val="center"/>
          </w:tcPr>
          <w:p>
            <w:pPr>
              <w:pStyle w:val="29"/>
              <w:ind w:firstLine="0" w:firstLineChars="0"/>
              <w:jc w:val="center"/>
              <w:rPr>
                <w:color w:val="auto"/>
                <w:sz w:val="21"/>
                <w:szCs w:val="21"/>
              </w:rPr>
            </w:pPr>
            <w:r>
              <w:rPr>
                <w:rFonts w:hint="eastAsia"/>
                <w:color w:val="auto"/>
                <w:sz w:val="21"/>
                <w:szCs w:val="21"/>
              </w:rPr>
              <w:t>单位</w:t>
            </w:r>
          </w:p>
        </w:tc>
        <w:tc>
          <w:tcPr>
            <w:tcW w:w="1190" w:type="dxa"/>
            <w:vAlign w:val="center"/>
          </w:tcPr>
          <w:p>
            <w:pPr>
              <w:pStyle w:val="29"/>
              <w:ind w:firstLine="0" w:firstLineChars="0"/>
              <w:jc w:val="center"/>
              <w:rPr>
                <w:color w:val="auto"/>
                <w:sz w:val="21"/>
                <w:szCs w:val="21"/>
              </w:rPr>
            </w:pPr>
            <w:r>
              <w:rPr>
                <w:rFonts w:hint="eastAsia"/>
                <w:color w:val="auto"/>
                <w:sz w:val="21"/>
                <w:szCs w:val="21"/>
              </w:rPr>
              <w:t>数量</w:t>
            </w:r>
          </w:p>
        </w:tc>
        <w:tc>
          <w:tcPr>
            <w:tcW w:w="1472" w:type="dxa"/>
            <w:vAlign w:val="center"/>
          </w:tcPr>
          <w:p>
            <w:pPr>
              <w:pStyle w:val="29"/>
              <w:ind w:firstLine="0" w:firstLineChars="0"/>
              <w:jc w:val="center"/>
              <w:rPr>
                <w:color w:val="auto"/>
                <w:sz w:val="21"/>
                <w:szCs w:val="21"/>
              </w:rPr>
            </w:pPr>
            <w:r>
              <w:rPr>
                <w:rFonts w:hint="eastAsia"/>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Align w:val="center"/>
          </w:tcPr>
          <w:p>
            <w:pPr>
              <w:pStyle w:val="29"/>
              <w:ind w:firstLine="0" w:firstLineChars="0"/>
              <w:jc w:val="center"/>
              <w:rPr>
                <w:color w:val="auto"/>
                <w:sz w:val="21"/>
                <w:szCs w:val="21"/>
              </w:rPr>
            </w:pPr>
            <w:r>
              <w:rPr>
                <w:color w:val="auto"/>
                <w:sz w:val="21"/>
                <w:szCs w:val="21"/>
              </w:rPr>
              <w:t>1</w:t>
            </w:r>
          </w:p>
        </w:tc>
        <w:tc>
          <w:tcPr>
            <w:tcW w:w="1134" w:type="dxa"/>
            <w:vAlign w:val="center"/>
          </w:tcPr>
          <w:p>
            <w:pPr>
              <w:pStyle w:val="29"/>
              <w:ind w:firstLine="0" w:firstLineChars="0"/>
              <w:jc w:val="center"/>
              <w:rPr>
                <w:color w:val="auto"/>
                <w:sz w:val="21"/>
                <w:szCs w:val="21"/>
              </w:rPr>
            </w:pPr>
            <w:r>
              <w:rPr>
                <w:rFonts w:hint="eastAsia"/>
                <w:color w:val="auto"/>
                <w:sz w:val="21"/>
                <w:szCs w:val="21"/>
              </w:rPr>
              <w:t>进水堰板</w:t>
            </w:r>
          </w:p>
        </w:tc>
        <w:tc>
          <w:tcPr>
            <w:tcW w:w="2074" w:type="dxa"/>
            <w:vAlign w:val="center"/>
          </w:tcPr>
          <w:p>
            <w:pPr>
              <w:pStyle w:val="29"/>
              <w:ind w:firstLine="0" w:firstLineChars="0"/>
              <w:jc w:val="center"/>
              <w:rPr>
                <w:color w:val="auto"/>
                <w:sz w:val="21"/>
                <w:szCs w:val="21"/>
              </w:rPr>
            </w:pPr>
            <w:r>
              <w:rPr>
                <w:rFonts w:hint="eastAsia"/>
                <w:color w:val="auto"/>
                <w:sz w:val="21"/>
                <w:szCs w:val="21"/>
              </w:rPr>
              <w:t>22250×240mm 厚度4mm</w:t>
            </w:r>
          </w:p>
        </w:tc>
        <w:tc>
          <w:tcPr>
            <w:tcW w:w="1754" w:type="dxa"/>
            <w:vAlign w:val="center"/>
          </w:tcPr>
          <w:p>
            <w:pPr>
              <w:pStyle w:val="29"/>
              <w:ind w:firstLine="0" w:firstLineChars="0"/>
              <w:jc w:val="center"/>
              <w:rPr>
                <w:color w:val="auto"/>
                <w:sz w:val="21"/>
                <w:szCs w:val="21"/>
              </w:rPr>
            </w:pPr>
            <w:r>
              <w:rPr>
                <w:rFonts w:hint="eastAsia"/>
                <w:color w:val="auto"/>
                <w:sz w:val="21"/>
                <w:szCs w:val="21"/>
              </w:rPr>
              <w:t>套</w:t>
            </w:r>
          </w:p>
        </w:tc>
        <w:tc>
          <w:tcPr>
            <w:tcW w:w="1190" w:type="dxa"/>
            <w:vAlign w:val="center"/>
          </w:tcPr>
          <w:p>
            <w:pPr>
              <w:pStyle w:val="29"/>
              <w:ind w:firstLine="0" w:firstLineChars="0"/>
              <w:jc w:val="center"/>
              <w:rPr>
                <w:color w:val="auto"/>
                <w:sz w:val="21"/>
                <w:szCs w:val="21"/>
              </w:rPr>
            </w:pPr>
            <w:r>
              <w:rPr>
                <w:rFonts w:hint="eastAsia"/>
                <w:color w:val="auto"/>
                <w:sz w:val="21"/>
                <w:szCs w:val="21"/>
              </w:rPr>
              <w:t>10</w:t>
            </w:r>
          </w:p>
        </w:tc>
        <w:tc>
          <w:tcPr>
            <w:tcW w:w="1472" w:type="dxa"/>
            <w:vAlign w:val="center"/>
          </w:tcPr>
          <w:p>
            <w:pPr>
              <w:pStyle w:val="29"/>
              <w:ind w:firstLine="0" w:firstLineChars="0"/>
              <w:jc w:val="center"/>
              <w:rPr>
                <w:color w:val="auto"/>
                <w:sz w:val="21"/>
                <w:szCs w:val="21"/>
              </w:rPr>
            </w:pPr>
            <w:r>
              <w:rPr>
                <w:rFonts w:hint="eastAsia"/>
                <w:color w:val="auto"/>
                <w:sz w:val="21"/>
                <w:szCs w:val="21"/>
              </w:rPr>
              <w:t>含安装附件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Align w:val="center"/>
          </w:tcPr>
          <w:p>
            <w:pPr>
              <w:pStyle w:val="29"/>
              <w:ind w:firstLine="0" w:firstLineChars="0"/>
              <w:jc w:val="center"/>
              <w:rPr>
                <w:color w:val="auto"/>
                <w:sz w:val="21"/>
                <w:szCs w:val="21"/>
              </w:rPr>
            </w:pPr>
            <w:r>
              <w:rPr>
                <w:rFonts w:hint="eastAsia"/>
                <w:color w:val="auto"/>
                <w:sz w:val="21"/>
                <w:szCs w:val="21"/>
              </w:rPr>
              <w:t>技术参数</w:t>
            </w:r>
          </w:p>
        </w:tc>
        <w:tc>
          <w:tcPr>
            <w:tcW w:w="7624" w:type="dxa"/>
            <w:gridSpan w:val="5"/>
            <w:vAlign w:val="center"/>
          </w:tcPr>
          <w:p>
            <w:pPr>
              <w:pStyle w:val="29"/>
              <w:ind w:firstLine="0" w:firstLineChars="0"/>
              <w:rPr>
                <w:color w:val="auto"/>
                <w:sz w:val="21"/>
                <w:szCs w:val="21"/>
              </w:rPr>
            </w:pPr>
            <w:r>
              <w:rPr>
                <w:rFonts w:hint="eastAsia"/>
                <w:color w:val="auto"/>
                <w:sz w:val="21"/>
                <w:szCs w:val="21"/>
              </w:rPr>
              <w:t>a.进水堰板主要用于滤池的进水渠，以保证配水均匀。</w:t>
            </w:r>
          </w:p>
          <w:p>
            <w:pPr>
              <w:pStyle w:val="29"/>
              <w:ind w:firstLine="0" w:firstLineChars="0"/>
              <w:rPr>
                <w:color w:val="auto"/>
                <w:sz w:val="21"/>
                <w:szCs w:val="21"/>
              </w:rPr>
            </w:pPr>
            <w:r>
              <w:rPr>
                <w:rFonts w:hint="eastAsia"/>
                <w:color w:val="auto"/>
                <w:sz w:val="21"/>
                <w:szCs w:val="21"/>
              </w:rPr>
              <w:t>b.堰板的厚度至少应为4mm，以保证不会出现变形。</w:t>
            </w:r>
          </w:p>
          <w:p>
            <w:pPr>
              <w:pStyle w:val="29"/>
              <w:ind w:firstLine="0" w:firstLineChars="0"/>
              <w:rPr>
                <w:color w:val="auto"/>
                <w:sz w:val="21"/>
                <w:szCs w:val="21"/>
              </w:rPr>
            </w:pPr>
            <w:r>
              <w:rPr>
                <w:rFonts w:hint="eastAsia"/>
                <w:color w:val="auto"/>
                <w:sz w:val="21"/>
                <w:szCs w:val="21"/>
              </w:rPr>
              <w:t>c.为保证滤池进水均匀，堰板的安装高度应是可调节的。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Align w:val="center"/>
          </w:tcPr>
          <w:p>
            <w:pPr>
              <w:pStyle w:val="29"/>
              <w:ind w:firstLine="0" w:firstLineChars="0"/>
              <w:jc w:val="center"/>
              <w:rPr>
                <w:color w:val="auto"/>
                <w:sz w:val="21"/>
                <w:szCs w:val="21"/>
              </w:rPr>
            </w:pPr>
            <w:r>
              <w:rPr>
                <w:rFonts w:hint="eastAsia"/>
                <w:color w:val="auto"/>
                <w:sz w:val="21"/>
                <w:szCs w:val="21"/>
              </w:rPr>
              <w:t>主要材料</w:t>
            </w:r>
          </w:p>
        </w:tc>
        <w:tc>
          <w:tcPr>
            <w:tcW w:w="7624" w:type="dxa"/>
            <w:gridSpan w:val="5"/>
            <w:vAlign w:val="center"/>
          </w:tcPr>
          <w:p>
            <w:pPr>
              <w:pStyle w:val="29"/>
              <w:ind w:firstLine="0" w:firstLineChars="0"/>
              <w:rPr>
                <w:color w:val="auto"/>
                <w:sz w:val="21"/>
                <w:szCs w:val="21"/>
              </w:rPr>
            </w:pPr>
            <w:r>
              <w:rPr>
                <w:rFonts w:hint="eastAsia"/>
                <w:color w:val="auto"/>
                <w:sz w:val="21"/>
                <w:szCs w:val="21"/>
              </w:rPr>
              <w:t>堰板不锈钢</w:t>
            </w:r>
          </w:p>
          <w:p>
            <w:pPr>
              <w:pStyle w:val="29"/>
              <w:ind w:firstLine="0" w:firstLineChars="0"/>
              <w:rPr>
                <w:color w:val="auto"/>
                <w:sz w:val="21"/>
                <w:szCs w:val="21"/>
              </w:rPr>
            </w:pPr>
            <w:r>
              <w:rPr>
                <w:rFonts w:hint="eastAsia"/>
                <w:color w:val="auto"/>
                <w:sz w:val="21"/>
                <w:szCs w:val="21"/>
              </w:rPr>
              <w:t>支撑件不锈钢</w:t>
            </w:r>
          </w:p>
          <w:p>
            <w:pPr>
              <w:pStyle w:val="29"/>
              <w:ind w:firstLine="0" w:firstLineChars="0"/>
              <w:rPr>
                <w:color w:val="auto"/>
                <w:sz w:val="21"/>
                <w:szCs w:val="21"/>
              </w:rPr>
            </w:pPr>
            <w:r>
              <w:rPr>
                <w:rFonts w:hint="eastAsia"/>
                <w:color w:val="auto"/>
                <w:sz w:val="21"/>
                <w:szCs w:val="21"/>
              </w:rPr>
              <w:t>所有连接附件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Align w:val="center"/>
          </w:tcPr>
          <w:p>
            <w:pPr>
              <w:pStyle w:val="29"/>
              <w:ind w:firstLine="0" w:firstLineChars="0"/>
              <w:jc w:val="center"/>
              <w:rPr>
                <w:color w:val="auto"/>
                <w:sz w:val="21"/>
                <w:szCs w:val="21"/>
              </w:rPr>
            </w:pPr>
            <w:r>
              <w:rPr>
                <w:rFonts w:hint="eastAsia"/>
                <w:color w:val="auto"/>
                <w:sz w:val="21"/>
                <w:szCs w:val="21"/>
              </w:rPr>
              <w:t>说明</w:t>
            </w:r>
          </w:p>
        </w:tc>
        <w:tc>
          <w:tcPr>
            <w:tcW w:w="7624" w:type="dxa"/>
            <w:gridSpan w:val="5"/>
            <w:vAlign w:val="center"/>
          </w:tcPr>
          <w:p>
            <w:pPr>
              <w:pStyle w:val="29"/>
              <w:ind w:firstLine="0" w:firstLineChars="0"/>
              <w:rPr>
                <w:color w:val="auto"/>
                <w:sz w:val="21"/>
                <w:szCs w:val="21"/>
              </w:rPr>
            </w:pPr>
            <w:r>
              <w:rPr>
                <w:rFonts w:hint="eastAsia" w:asciiTheme="minorEastAsia" w:hAnsiTheme="minorEastAsia"/>
                <w:color w:val="auto"/>
                <w:sz w:val="21"/>
                <w:szCs w:val="21"/>
              </w:rPr>
              <w:t>由深床滤池制造商成套供货，</w:t>
            </w:r>
            <w:r>
              <w:rPr>
                <w:rFonts w:asciiTheme="minorEastAsia" w:hAnsiTheme="minorEastAsia"/>
                <w:color w:val="auto"/>
                <w:sz w:val="21"/>
                <w:szCs w:val="21"/>
              </w:rPr>
              <w:t>堰板</w:t>
            </w:r>
            <w:r>
              <w:rPr>
                <w:rFonts w:hint="eastAsia" w:asciiTheme="minorEastAsia" w:hAnsiTheme="minorEastAsia"/>
                <w:color w:val="auto"/>
                <w:sz w:val="21"/>
                <w:szCs w:val="21"/>
              </w:rPr>
              <w:t>高度</w:t>
            </w:r>
            <w:r>
              <w:rPr>
                <w:rFonts w:asciiTheme="minorEastAsia" w:hAnsiTheme="minorEastAsia"/>
                <w:color w:val="auto"/>
                <w:sz w:val="21"/>
                <w:szCs w:val="21"/>
              </w:rPr>
              <w:t>及长宽尺寸由制造商确定</w:t>
            </w:r>
            <w:r>
              <w:rPr>
                <w:rFonts w:hint="eastAsia" w:asciiTheme="minorEastAsia" w:hAnsiTheme="minorEastAsia"/>
                <w:color w:val="auto"/>
                <w:sz w:val="21"/>
                <w:szCs w:val="21"/>
              </w:rPr>
              <w:t>。</w:t>
            </w:r>
          </w:p>
        </w:tc>
      </w:tr>
    </w:tbl>
    <w:p>
      <w:pPr>
        <w:pStyle w:val="29"/>
        <w:ind w:firstLine="472"/>
        <w:rPr>
          <w:color w:val="auto"/>
        </w:rPr>
      </w:pPr>
    </w:p>
    <w:p>
      <w:pPr>
        <w:pStyle w:val="31"/>
        <w:rPr>
          <w:color w:val="auto"/>
        </w:rPr>
      </w:pPr>
      <w:r>
        <w:rPr>
          <w:rFonts w:hint="eastAsia"/>
          <w:color w:val="auto"/>
        </w:rPr>
        <w:t>气水分布块滤砖</w:t>
      </w:r>
    </w:p>
    <w:tbl>
      <w:tblPr>
        <w:tblStyle w:val="24"/>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275"/>
        <w:gridCol w:w="1701"/>
        <w:gridCol w:w="709"/>
        <w:gridCol w:w="851"/>
        <w:gridCol w:w="3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1"/>
              </w:rPr>
            </w:pPr>
            <w:r>
              <w:rPr>
                <w:rFonts w:hint="eastAsia"/>
                <w:color w:val="auto"/>
                <w:sz w:val="21"/>
                <w:szCs w:val="21"/>
              </w:rPr>
              <w:t>序号</w:t>
            </w:r>
          </w:p>
        </w:tc>
        <w:tc>
          <w:tcPr>
            <w:tcW w:w="1275" w:type="dxa"/>
            <w:vAlign w:val="center"/>
          </w:tcPr>
          <w:p>
            <w:pPr>
              <w:pStyle w:val="29"/>
              <w:ind w:firstLine="0" w:firstLineChars="0"/>
              <w:rPr>
                <w:color w:val="auto"/>
                <w:sz w:val="21"/>
                <w:szCs w:val="21"/>
              </w:rPr>
            </w:pPr>
            <w:r>
              <w:rPr>
                <w:rFonts w:hint="eastAsia"/>
                <w:color w:val="auto"/>
                <w:sz w:val="21"/>
                <w:szCs w:val="21"/>
              </w:rPr>
              <w:t>名称</w:t>
            </w:r>
          </w:p>
        </w:tc>
        <w:tc>
          <w:tcPr>
            <w:tcW w:w="1701" w:type="dxa"/>
            <w:vAlign w:val="center"/>
          </w:tcPr>
          <w:p>
            <w:pPr>
              <w:pStyle w:val="29"/>
              <w:ind w:firstLine="0" w:firstLineChars="0"/>
              <w:rPr>
                <w:color w:val="auto"/>
                <w:sz w:val="21"/>
                <w:szCs w:val="21"/>
              </w:rPr>
            </w:pPr>
            <w:r>
              <w:rPr>
                <w:rFonts w:hint="eastAsia"/>
                <w:color w:val="auto"/>
                <w:sz w:val="21"/>
                <w:szCs w:val="21"/>
              </w:rPr>
              <w:t>规格</w:t>
            </w:r>
          </w:p>
        </w:tc>
        <w:tc>
          <w:tcPr>
            <w:tcW w:w="709" w:type="dxa"/>
            <w:vAlign w:val="center"/>
          </w:tcPr>
          <w:p>
            <w:pPr>
              <w:pStyle w:val="29"/>
              <w:ind w:firstLine="0" w:firstLineChars="0"/>
              <w:rPr>
                <w:color w:val="auto"/>
                <w:sz w:val="21"/>
                <w:szCs w:val="21"/>
              </w:rPr>
            </w:pPr>
            <w:r>
              <w:rPr>
                <w:rFonts w:hint="eastAsia"/>
                <w:color w:val="auto"/>
                <w:sz w:val="21"/>
                <w:szCs w:val="21"/>
              </w:rPr>
              <w:t>单位</w:t>
            </w:r>
          </w:p>
        </w:tc>
        <w:tc>
          <w:tcPr>
            <w:tcW w:w="851" w:type="dxa"/>
            <w:vAlign w:val="center"/>
          </w:tcPr>
          <w:p>
            <w:pPr>
              <w:pStyle w:val="29"/>
              <w:ind w:firstLine="0" w:firstLineChars="0"/>
              <w:rPr>
                <w:color w:val="auto"/>
                <w:sz w:val="21"/>
                <w:szCs w:val="21"/>
              </w:rPr>
            </w:pPr>
            <w:r>
              <w:rPr>
                <w:rFonts w:hint="eastAsia"/>
                <w:color w:val="auto"/>
                <w:sz w:val="21"/>
                <w:szCs w:val="21"/>
              </w:rPr>
              <w:t>数量</w:t>
            </w:r>
          </w:p>
        </w:tc>
        <w:tc>
          <w:tcPr>
            <w:tcW w:w="3349" w:type="dxa"/>
            <w:vAlign w:val="center"/>
          </w:tcPr>
          <w:p>
            <w:pPr>
              <w:pStyle w:val="29"/>
              <w:ind w:firstLine="0" w:firstLineChars="0"/>
              <w:rPr>
                <w:color w:val="auto"/>
                <w:sz w:val="21"/>
                <w:szCs w:val="21"/>
              </w:rPr>
            </w:pPr>
            <w:r>
              <w:rPr>
                <w:rFonts w:hint="eastAsia"/>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1"/>
              </w:rPr>
            </w:pPr>
            <w:r>
              <w:rPr>
                <w:color w:val="auto"/>
                <w:sz w:val="21"/>
                <w:szCs w:val="21"/>
              </w:rPr>
              <w:t>1</w:t>
            </w:r>
          </w:p>
        </w:tc>
        <w:tc>
          <w:tcPr>
            <w:tcW w:w="1275" w:type="dxa"/>
            <w:vAlign w:val="center"/>
          </w:tcPr>
          <w:p>
            <w:pPr>
              <w:pStyle w:val="29"/>
              <w:ind w:firstLine="0" w:firstLineChars="0"/>
              <w:rPr>
                <w:color w:val="auto"/>
                <w:sz w:val="21"/>
                <w:szCs w:val="21"/>
              </w:rPr>
            </w:pPr>
            <w:r>
              <w:rPr>
                <w:rFonts w:hint="eastAsia"/>
                <w:color w:val="auto"/>
                <w:sz w:val="21"/>
                <w:szCs w:val="21"/>
              </w:rPr>
              <w:t>配水配气滤砖</w:t>
            </w:r>
          </w:p>
        </w:tc>
        <w:tc>
          <w:tcPr>
            <w:tcW w:w="1701" w:type="dxa"/>
            <w:vAlign w:val="center"/>
          </w:tcPr>
          <w:p>
            <w:pPr>
              <w:pStyle w:val="29"/>
              <w:ind w:firstLine="0" w:firstLineChars="0"/>
              <w:rPr>
                <w:color w:val="auto"/>
                <w:sz w:val="21"/>
                <w:szCs w:val="21"/>
              </w:rPr>
            </w:pPr>
            <w:r>
              <w:rPr>
                <w:rFonts w:hint="eastAsia"/>
                <w:color w:val="auto"/>
                <w:sz w:val="21"/>
                <w:szCs w:val="21"/>
              </w:rPr>
              <w:t>单组尺寸：22.25m×3.50m</w:t>
            </w:r>
          </w:p>
        </w:tc>
        <w:tc>
          <w:tcPr>
            <w:tcW w:w="709" w:type="dxa"/>
            <w:vAlign w:val="center"/>
          </w:tcPr>
          <w:p>
            <w:pPr>
              <w:pStyle w:val="29"/>
              <w:ind w:firstLine="0" w:firstLineChars="0"/>
              <w:rPr>
                <w:color w:val="auto"/>
                <w:sz w:val="21"/>
                <w:szCs w:val="21"/>
              </w:rPr>
            </w:pPr>
            <w:r>
              <w:rPr>
                <w:rFonts w:hint="eastAsia"/>
                <w:color w:val="auto"/>
                <w:sz w:val="21"/>
                <w:szCs w:val="21"/>
              </w:rPr>
              <w:t>组</w:t>
            </w:r>
          </w:p>
        </w:tc>
        <w:tc>
          <w:tcPr>
            <w:tcW w:w="851" w:type="dxa"/>
            <w:vAlign w:val="center"/>
          </w:tcPr>
          <w:p>
            <w:pPr>
              <w:pStyle w:val="29"/>
              <w:ind w:firstLine="0" w:firstLineChars="0"/>
              <w:rPr>
                <w:color w:val="auto"/>
                <w:sz w:val="21"/>
                <w:szCs w:val="21"/>
              </w:rPr>
            </w:pPr>
            <w:r>
              <w:rPr>
                <w:rFonts w:hint="eastAsia"/>
                <w:color w:val="auto"/>
                <w:sz w:val="21"/>
                <w:szCs w:val="21"/>
              </w:rPr>
              <w:t>5</w:t>
            </w:r>
          </w:p>
        </w:tc>
        <w:tc>
          <w:tcPr>
            <w:tcW w:w="3349" w:type="dxa"/>
            <w:vAlign w:val="center"/>
          </w:tcPr>
          <w:p>
            <w:pPr>
              <w:pStyle w:val="29"/>
              <w:ind w:firstLine="0" w:firstLineChars="0"/>
              <w:rPr>
                <w:color w:val="auto"/>
                <w:sz w:val="21"/>
                <w:szCs w:val="21"/>
              </w:rPr>
            </w:pPr>
            <w:r>
              <w:rPr>
                <w:rFonts w:hint="eastAsia"/>
                <w:color w:val="auto"/>
                <w:sz w:val="21"/>
                <w:szCs w:val="21"/>
              </w:rPr>
              <w:t>配套O型密封圈，滤砖两头封板以及安装紧固件等，二期增加4组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1"/>
              </w:rPr>
            </w:pPr>
            <w:r>
              <w:rPr>
                <w:rFonts w:hint="eastAsia"/>
                <w:color w:val="auto"/>
                <w:sz w:val="21"/>
                <w:szCs w:val="21"/>
              </w:rPr>
              <w:t>技术参数</w:t>
            </w:r>
          </w:p>
        </w:tc>
        <w:tc>
          <w:tcPr>
            <w:tcW w:w="7885" w:type="dxa"/>
            <w:gridSpan w:val="5"/>
            <w:vAlign w:val="center"/>
          </w:tcPr>
          <w:p>
            <w:pPr>
              <w:pStyle w:val="29"/>
              <w:ind w:firstLine="412"/>
              <w:rPr>
                <w:color w:val="auto"/>
                <w:sz w:val="21"/>
                <w:szCs w:val="21"/>
              </w:rPr>
            </w:pPr>
            <w:r>
              <w:rPr>
                <w:rFonts w:hint="eastAsia"/>
                <w:color w:val="auto"/>
                <w:sz w:val="21"/>
                <w:szCs w:val="21"/>
              </w:rPr>
              <w:t>a.气水分布块为污水专用滤砖，滤砖应符合《水处理用滤砖CJ/T47-2016》规定的滤砖的规格尺寸及特性参数，污水处理（反硝化）专用，气水分布块的外壳应采用HDPE高密度聚乙烯材料，内充混凝土，无易损易耗件；为保证滤池池内的水平高程不变，气水分布块滤砖的高度≤200mm。</w:t>
            </w:r>
          </w:p>
          <w:p>
            <w:pPr>
              <w:pStyle w:val="29"/>
              <w:ind w:firstLine="412"/>
              <w:rPr>
                <w:color w:val="auto"/>
                <w:sz w:val="21"/>
                <w:szCs w:val="21"/>
              </w:rPr>
            </w:pPr>
            <w:r>
              <w:rPr>
                <w:rFonts w:hint="eastAsia"/>
                <w:color w:val="auto"/>
                <w:sz w:val="21"/>
                <w:szCs w:val="21"/>
              </w:rPr>
              <w:t>b.为保证气水分布均匀及强力气水反冲，投标人提供的气水分布块滤砖应能形成空气反射内腔，反冲洗时空气与水混合后，从相邻气水分布块的间隙中强力喷出，将空气与水均匀分布在整个滤池区域。</w:t>
            </w:r>
          </w:p>
          <w:p>
            <w:pPr>
              <w:pStyle w:val="29"/>
              <w:ind w:firstLine="412"/>
              <w:rPr>
                <w:color w:val="auto"/>
                <w:sz w:val="21"/>
                <w:szCs w:val="21"/>
              </w:rPr>
            </w:pPr>
            <w:r>
              <w:rPr>
                <w:rFonts w:hint="eastAsia"/>
                <w:color w:val="auto"/>
                <w:sz w:val="21"/>
                <w:szCs w:val="21"/>
              </w:rPr>
              <w:t>c.气水分布块内腔接收空气分配支管排出的空气。每个气水分布滤砖有纵横水流通道，不会形成旋涡和水头损失。四周有气、水畅流的间隙。</w:t>
            </w:r>
          </w:p>
          <w:p>
            <w:pPr>
              <w:pStyle w:val="29"/>
              <w:ind w:firstLine="412"/>
              <w:rPr>
                <w:color w:val="auto"/>
                <w:sz w:val="21"/>
                <w:szCs w:val="21"/>
              </w:rPr>
            </w:pPr>
            <w:r>
              <w:rPr>
                <w:rFonts w:hint="eastAsia"/>
                <w:color w:val="auto"/>
                <w:sz w:val="21"/>
                <w:szCs w:val="21"/>
              </w:rPr>
              <w:t>d.气水分布块应表面光滑，拱形气水混合腔，四侧拱式气水通道。气水分布块必须支撑滤料介质及卵石层的重量以及整个池体的水压。</w:t>
            </w:r>
          </w:p>
          <w:p>
            <w:pPr>
              <w:pStyle w:val="29"/>
              <w:ind w:firstLine="412"/>
              <w:rPr>
                <w:color w:val="auto"/>
                <w:sz w:val="21"/>
                <w:szCs w:val="21"/>
              </w:rPr>
            </w:pPr>
            <w:r>
              <w:rPr>
                <w:rFonts w:hint="eastAsia"/>
                <w:color w:val="auto"/>
                <w:sz w:val="21"/>
                <w:szCs w:val="21"/>
              </w:rPr>
              <w:t>e.滤砖内填充的混凝土技术要求：</w:t>
            </w:r>
          </w:p>
          <w:p>
            <w:pPr>
              <w:pStyle w:val="29"/>
              <w:ind w:firstLine="412"/>
              <w:rPr>
                <w:color w:val="auto"/>
                <w:sz w:val="21"/>
                <w:szCs w:val="21"/>
              </w:rPr>
            </w:pPr>
            <w:r>
              <w:rPr>
                <w:rFonts w:hint="eastAsia"/>
                <w:color w:val="auto"/>
                <w:sz w:val="21"/>
                <w:szCs w:val="21"/>
              </w:rPr>
              <w:t>·混凝土强度等级应为C35。</w:t>
            </w:r>
          </w:p>
          <w:p>
            <w:pPr>
              <w:pStyle w:val="29"/>
              <w:ind w:firstLine="412"/>
              <w:rPr>
                <w:color w:val="auto"/>
                <w:sz w:val="21"/>
                <w:szCs w:val="21"/>
              </w:rPr>
            </w:pPr>
            <w:r>
              <w:rPr>
                <w:rFonts w:hint="eastAsia"/>
                <w:color w:val="auto"/>
                <w:sz w:val="21"/>
                <w:szCs w:val="21"/>
              </w:rPr>
              <w:t>·水泥采用强度32.5R普通硅酸盐水泥。</w:t>
            </w:r>
          </w:p>
          <w:p>
            <w:pPr>
              <w:pStyle w:val="29"/>
              <w:ind w:firstLine="412"/>
              <w:rPr>
                <w:color w:val="auto"/>
                <w:sz w:val="21"/>
                <w:szCs w:val="21"/>
              </w:rPr>
            </w:pPr>
            <w:r>
              <w:rPr>
                <w:rFonts w:hint="eastAsia"/>
                <w:color w:val="auto"/>
                <w:sz w:val="21"/>
                <w:szCs w:val="21"/>
              </w:rPr>
              <w:t>f.滤砖荷载，滤砖必须能支撑滤料介质及卵石层的重量以及整个池体的水压，并考虑一定的余量，滤砖抗压能力至少应为10MPa，并提交公开印刷样本资料及滤砖第三方检测报告以说明抗压能力数据，不能提供滤砖抗压能力第三方检测报告或抗压能力印刷样本数据的核心工艺制造商将被拒绝。</w:t>
            </w:r>
          </w:p>
          <w:p>
            <w:pPr>
              <w:pStyle w:val="29"/>
              <w:ind w:firstLine="412"/>
              <w:rPr>
                <w:color w:val="auto"/>
                <w:sz w:val="21"/>
                <w:szCs w:val="21"/>
              </w:rPr>
            </w:pPr>
            <w:r>
              <w:rPr>
                <w:rFonts w:hint="eastAsia"/>
                <w:color w:val="auto"/>
                <w:sz w:val="21"/>
                <w:szCs w:val="21"/>
              </w:rPr>
              <w:t>g.为保证整个反冲洗气水分布滤砖底盘的整体性，每块砖应带有定位互锁卡扣，防止错位及保持均匀间隙。</w:t>
            </w:r>
          </w:p>
          <w:p>
            <w:pPr>
              <w:pStyle w:val="29"/>
              <w:ind w:firstLine="412"/>
              <w:rPr>
                <w:color w:val="auto"/>
                <w:sz w:val="21"/>
                <w:szCs w:val="21"/>
              </w:rPr>
            </w:pPr>
            <w:r>
              <w:rPr>
                <w:rFonts w:hint="eastAsia"/>
                <w:color w:val="auto"/>
                <w:sz w:val="21"/>
                <w:szCs w:val="21"/>
              </w:rPr>
              <w:t>h.安装和调试</w:t>
            </w:r>
          </w:p>
          <w:p>
            <w:pPr>
              <w:pStyle w:val="29"/>
              <w:ind w:firstLine="412"/>
              <w:rPr>
                <w:color w:val="auto"/>
                <w:sz w:val="21"/>
                <w:szCs w:val="21"/>
              </w:rPr>
            </w:pPr>
            <w:r>
              <w:rPr>
                <w:rFonts w:hint="eastAsia"/>
                <w:color w:val="auto"/>
                <w:sz w:val="21"/>
                <w:szCs w:val="21"/>
              </w:rPr>
              <w:t>滤池配水系统的安装和调试由投标人负责，它包括：</w:t>
            </w:r>
          </w:p>
          <w:p>
            <w:pPr>
              <w:pStyle w:val="29"/>
              <w:ind w:firstLine="412"/>
              <w:rPr>
                <w:color w:val="auto"/>
                <w:sz w:val="21"/>
                <w:szCs w:val="21"/>
              </w:rPr>
            </w:pPr>
            <w:r>
              <w:rPr>
                <w:rFonts w:hint="eastAsia"/>
                <w:color w:val="auto"/>
                <w:sz w:val="21"/>
                <w:szCs w:val="21"/>
              </w:rPr>
              <w:t>·投标人需检查产品和设计图纸是否有出入；发现问题需及时和买方沟通，及时解决，否则出现问题由投标人负责。</w:t>
            </w:r>
          </w:p>
          <w:p>
            <w:pPr>
              <w:pStyle w:val="29"/>
              <w:ind w:firstLine="412"/>
              <w:rPr>
                <w:color w:val="auto"/>
                <w:sz w:val="21"/>
                <w:szCs w:val="21"/>
              </w:rPr>
            </w:pPr>
            <w:r>
              <w:rPr>
                <w:rFonts w:hint="eastAsia"/>
                <w:color w:val="auto"/>
                <w:sz w:val="21"/>
                <w:szCs w:val="21"/>
              </w:rPr>
              <w:t>·清除垃圾后安装滤砖，并保证单块滤砖平整度为±2mm，单格滤池滤砖平整度为±3mm。</w:t>
            </w:r>
          </w:p>
          <w:p>
            <w:pPr>
              <w:pStyle w:val="29"/>
              <w:ind w:firstLine="412"/>
              <w:rPr>
                <w:color w:val="auto"/>
                <w:sz w:val="21"/>
                <w:szCs w:val="21"/>
              </w:rPr>
            </w:pPr>
            <w:r>
              <w:rPr>
                <w:rFonts w:hint="eastAsia"/>
                <w:color w:val="auto"/>
                <w:sz w:val="21"/>
                <w:szCs w:val="21"/>
              </w:rPr>
              <w:t>·投标人在安装时应采取必要的预防措施，保证配水系统和连通管内绝对清洁。整个滤池中应没有阻塞配水系统、影响水流的碎片、污物或其它杂质。所有滤池和水槽中的碎片和污物都应扫除，并用真空吸尘器清除。操作中要防止泥浆进入任何通道或孔口，并应去除所有的灰浆。在安装过程中，要用建筑用纸或乙烯篷布覆盖配水系统的表面，以保证清洁，直至铺设滤料。</w:t>
            </w:r>
          </w:p>
          <w:p>
            <w:pPr>
              <w:pStyle w:val="29"/>
              <w:ind w:firstLine="412"/>
              <w:rPr>
                <w:color w:val="auto"/>
                <w:sz w:val="21"/>
                <w:szCs w:val="21"/>
              </w:rPr>
            </w:pPr>
            <w:r>
              <w:rPr>
                <w:rFonts w:hint="eastAsia"/>
                <w:color w:val="auto"/>
                <w:sz w:val="21"/>
                <w:szCs w:val="21"/>
              </w:rPr>
              <w:t>冲洗水管要彻底冲洗干净，空气冲洗气管应用气冲。</w:t>
            </w:r>
          </w:p>
          <w:p>
            <w:pPr>
              <w:pStyle w:val="29"/>
              <w:ind w:firstLine="412"/>
              <w:rPr>
                <w:color w:val="auto"/>
                <w:sz w:val="21"/>
                <w:szCs w:val="21"/>
              </w:rPr>
            </w:pPr>
            <w:r>
              <w:rPr>
                <w:rFonts w:hint="eastAsia"/>
                <w:color w:val="auto"/>
                <w:sz w:val="21"/>
                <w:szCs w:val="21"/>
              </w:rPr>
              <w:t>·投标人应负责按有关规程对配水系统进行测试，配水系统均匀性试验达到要求后，要提供详细的相关资料及说明。</w:t>
            </w:r>
          </w:p>
          <w:p>
            <w:pPr>
              <w:pStyle w:val="29"/>
              <w:ind w:firstLine="412"/>
              <w:rPr>
                <w:color w:val="auto"/>
                <w:sz w:val="21"/>
                <w:szCs w:val="21"/>
              </w:rPr>
            </w:pPr>
            <w:r>
              <w:rPr>
                <w:rFonts w:hint="eastAsia"/>
                <w:color w:val="auto"/>
                <w:sz w:val="21"/>
                <w:szCs w:val="21"/>
              </w:rPr>
              <w:t>·投标人在安装和调试过程中要接受买方合理的意见和要求。</w:t>
            </w:r>
          </w:p>
          <w:p>
            <w:pPr>
              <w:pStyle w:val="29"/>
              <w:ind w:firstLine="412"/>
              <w:rPr>
                <w:color w:val="auto"/>
                <w:sz w:val="21"/>
                <w:szCs w:val="21"/>
              </w:rPr>
            </w:pPr>
            <w:r>
              <w:rPr>
                <w:rFonts w:hint="eastAsia"/>
                <w:color w:val="auto"/>
                <w:sz w:val="21"/>
                <w:szCs w:val="21"/>
              </w:rPr>
              <w:t>j.现场检查、测试和验收</w:t>
            </w:r>
          </w:p>
          <w:p>
            <w:pPr>
              <w:pStyle w:val="29"/>
              <w:ind w:firstLine="412"/>
              <w:rPr>
                <w:color w:val="auto"/>
                <w:sz w:val="21"/>
                <w:szCs w:val="21"/>
              </w:rPr>
            </w:pPr>
            <w:r>
              <w:rPr>
                <w:rFonts w:hint="eastAsia"/>
                <w:color w:val="auto"/>
                <w:sz w:val="21"/>
                <w:szCs w:val="21"/>
              </w:rPr>
              <w:t>·滤砖安装完毕，并经测试确认合格符合技术条件后，由买方会同监理等有关部门作阶段验收。</w:t>
            </w:r>
          </w:p>
          <w:p>
            <w:pPr>
              <w:pStyle w:val="29"/>
              <w:ind w:firstLine="412"/>
              <w:rPr>
                <w:color w:val="auto"/>
                <w:sz w:val="21"/>
                <w:szCs w:val="21"/>
              </w:rPr>
            </w:pPr>
            <w:r>
              <w:rPr>
                <w:rFonts w:hint="eastAsia"/>
                <w:color w:val="auto"/>
                <w:sz w:val="21"/>
                <w:szCs w:val="21"/>
              </w:rPr>
              <w:t>·在滤料装入滤池前，买卖双方代表应检查配水、配气系统的安装，以确保工程按照要求及既定的安装程序进行。</w:t>
            </w:r>
          </w:p>
          <w:p>
            <w:pPr>
              <w:pStyle w:val="29"/>
              <w:ind w:firstLine="412"/>
              <w:rPr>
                <w:color w:val="auto"/>
                <w:sz w:val="21"/>
                <w:szCs w:val="21"/>
              </w:rPr>
            </w:pPr>
            <w:r>
              <w:rPr>
                <w:rFonts w:hint="eastAsia"/>
                <w:color w:val="auto"/>
                <w:sz w:val="21"/>
                <w:szCs w:val="21"/>
              </w:rPr>
              <w:t>·检查后，按有关规程进行配水、配气均匀性试验，如有不均，可做滤砖的调整或更换，以确保产品和安装质量合格。</w:t>
            </w:r>
          </w:p>
          <w:p>
            <w:pPr>
              <w:pStyle w:val="29"/>
              <w:ind w:firstLine="412"/>
              <w:rPr>
                <w:color w:val="auto"/>
                <w:sz w:val="21"/>
                <w:szCs w:val="21"/>
              </w:rPr>
            </w:pPr>
            <w:r>
              <w:rPr>
                <w:rFonts w:hint="eastAsia"/>
                <w:color w:val="auto"/>
                <w:sz w:val="21"/>
                <w:szCs w:val="21"/>
              </w:rPr>
              <w:t>·在滤池的过滤反冲洗调试合格后，滤池配水、配气系统完成最终验收。</w:t>
            </w:r>
          </w:p>
          <w:p>
            <w:pPr>
              <w:pStyle w:val="29"/>
              <w:ind w:firstLine="0" w:firstLineChars="0"/>
              <w:rPr>
                <w:color w:val="auto"/>
                <w:sz w:val="21"/>
                <w:szCs w:val="21"/>
              </w:rPr>
            </w:pPr>
            <w:r>
              <w:rPr>
                <w:rFonts w:hint="eastAsia"/>
                <w:color w:val="auto"/>
                <w:sz w:val="21"/>
                <w:szCs w:val="21"/>
              </w:rPr>
              <w:t>上述工作完毕后，投标人向买方提交书面报告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1"/>
              </w:rPr>
            </w:pPr>
            <w:r>
              <w:rPr>
                <w:rFonts w:hint="eastAsia"/>
                <w:color w:val="auto"/>
                <w:sz w:val="21"/>
                <w:szCs w:val="21"/>
              </w:rPr>
              <w:t>说明</w:t>
            </w:r>
          </w:p>
        </w:tc>
        <w:tc>
          <w:tcPr>
            <w:tcW w:w="7885" w:type="dxa"/>
            <w:gridSpan w:val="5"/>
            <w:vAlign w:val="center"/>
          </w:tcPr>
          <w:p>
            <w:pPr>
              <w:pStyle w:val="29"/>
              <w:ind w:firstLine="0" w:firstLineChars="0"/>
              <w:rPr>
                <w:color w:val="auto"/>
                <w:sz w:val="21"/>
                <w:szCs w:val="21"/>
              </w:rPr>
            </w:pPr>
            <w:r>
              <w:rPr>
                <w:rFonts w:hint="eastAsia" w:asciiTheme="minorEastAsia" w:hAnsiTheme="minorEastAsia"/>
                <w:color w:val="auto"/>
                <w:sz w:val="21"/>
                <w:szCs w:val="21"/>
              </w:rPr>
              <w:t>由深床滤池制造商成套供货。</w:t>
            </w:r>
          </w:p>
        </w:tc>
      </w:tr>
    </w:tbl>
    <w:p>
      <w:pPr>
        <w:pStyle w:val="29"/>
        <w:ind w:firstLine="472"/>
        <w:rPr>
          <w:color w:val="auto"/>
        </w:rPr>
      </w:pPr>
    </w:p>
    <w:p>
      <w:pPr>
        <w:pStyle w:val="31"/>
        <w:rPr>
          <w:color w:val="auto"/>
        </w:rPr>
      </w:pPr>
      <w:r>
        <w:rPr>
          <w:rFonts w:hint="eastAsia"/>
          <w:color w:val="auto"/>
        </w:rPr>
        <w:t>石英砂滤料</w:t>
      </w:r>
    </w:p>
    <w:tbl>
      <w:tblPr>
        <w:tblStyle w:val="24"/>
        <w:tblW w:w="88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417"/>
        <w:gridCol w:w="2977"/>
        <w:gridCol w:w="709"/>
        <w:gridCol w:w="708"/>
        <w:gridCol w:w="1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1"/>
              </w:rPr>
            </w:pPr>
            <w:r>
              <w:rPr>
                <w:rFonts w:hint="eastAsia"/>
                <w:color w:val="auto"/>
                <w:sz w:val="21"/>
                <w:szCs w:val="21"/>
              </w:rPr>
              <w:t>序号</w:t>
            </w:r>
          </w:p>
        </w:tc>
        <w:tc>
          <w:tcPr>
            <w:tcW w:w="1417" w:type="dxa"/>
            <w:vAlign w:val="center"/>
          </w:tcPr>
          <w:p>
            <w:pPr>
              <w:pStyle w:val="29"/>
              <w:ind w:firstLine="0" w:firstLineChars="0"/>
              <w:rPr>
                <w:color w:val="auto"/>
                <w:sz w:val="22"/>
              </w:rPr>
            </w:pPr>
            <w:r>
              <w:rPr>
                <w:rFonts w:hint="eastAsia"/>
                <w:color w:val="auto"/>
                <w:sz w:val="21"/>
                <w:szCs w:val="21"/>
              </w:rPr>
              <w:t>名称</w:t>
            </w:r>
          </w:p>
        </w:tc>
        <w:tc>
          <w:tcPr>
            <w:tcW w:w="2977" w:type="dxa"/>
            <w:vAlign w:val="center"/>
          </w:tcPr>
          <w:p>
            <w:pPr>
              <w:pStyle w:val="29"/>
              <w:ind w:firstLine="0" w:firstLineChars="0"/>
              <w:rPr>
                <w:color w:val="auto"/>
                <w:sz w:val="22"/>
              </w:rPr>
            </w:pPr>
            <w:r>
              <w:rPr>
                <w:rFonts w:hint="eastAsia"/>
                <w:color w:val="auto"/>
                <w:sz w:val="21"/>
                <w:szCs w:val="21"/>
              </w:rPr>
              <w:t>规格</w:t>
            </w:r>
          </w:p>
        </w:tc>
        <w:tc>
          <w:tcPr>
            <w:tcW w:w="709" w:type="dxa"/>
            <w:vAlign w:val="center"/>
          </w:tcPr>
          <w:p>
            <w:pPr>
              <w:pStyle w:val="29"/>
              <w:ind w:firstLine="0" w:firstLineChars="0"/>
              <w:rPr>
                <w:color w:val="auto"/>
                <w:sz w:val="22"/>
              </w:rPr>
            </w:pPr>
            <w:r>
              <w:rPr>
                <w:rFonts w:hint="eastAsia"/>
                <w:color w:val="auto"/>
                <w:sz w:val="21"/>
                <w:szCs w:val="21"/>
              </w:rPr>
              <w:t>单位</w:t>
            </w:r>
          </w:p>
        </w:tc>
        <w:tc>
          <w:tcPr>
            <w:tcW w:w="708" w:type="dxa"/>
            <w:vAlign w:val="center"/>
          </w:tcPr>
          <w:p>
            <w:pPr>
              <w:pStyle w:val="29"/>
              <w:ind w:firstLine="0" w:firstLineChars="0"/>
              <w:rPr>
                <w:color w:val="auto"/>
                <w:sz w:val="22"/>
              </w:rPr>
            </w:pPr>
            <w:r>
              <w:rPr>
                <w:rFonts w:hint="eastAsia"/>
                <w:color w:val="auto"/>
                <w:sz w:val="21"/>
                <w:szCs w:val="21"/>
              </w:rPr>
              <w:t>数量</w:t>
            </w:r>
          </w:p>
        </w:tc>
        <w:tc>
          <w:tcPr>
            <w:tcW w:w="1954" w:type="dxa"/>
            <w:vAlign w:val="center"/>
          </w:tcPr>
          <w:p>
            <w:pPr>
              <w:pStyle w:val="29"/>
              <w:ind w:firstLine="0" w:firstLineChars="0"/>
              <w:rPr>
                <w:color w:val="auto"/>
                <w:sz w:val="22"/>
              </w:rPr>
            </w:pPr>
            <w:r>
              <w:rPr>
                <w:rFonts w:hint="eastAsia"/>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pStyle w:val="29"/>
              <w:ind w:firstLine="0" w:firstLineChars="0"/>
              <w:rPr>
                <w:color w:val="auto"/>
                <w:sz w:val="21"/>
                <w:szCs w:val="21"/>
              </w:rPr>
            </w:pPr>
            <w:r>
              <w:rPr>
                <w:rFonts w:hint="eastAsia"/>
                <w:color w:val="auto"/>
                <w:sz w:val="21"/>
                <w:szCs w:val="21"/>
              </w:rPr>
              <w:t>1</w:t>
            </w:r>
          </w:p>
        </w:tc>
        <w:tc>
          <w:tcPr>
            <w:tcW w:w="1417" w:type="dxa"/>
            <w:vAlign w:val="center"/>
          </w:tcPr>
          <w:p>
            <w:pPr>
              <w:pStyle w:val="29"/>
              <w:ind w:firstLine="0" w:firstLineChars="0"/>
              <w:rPr>
                <w:rFonts w:asciiTheme="minorEastAsia" w:hAnsiTheme="minorEastAsia"/>
                <w:color w:val="auto"/>
                <w:sz w:val="21"/>
                <w:szCs w:val="21"/>
              </w:rPr>
            </w:pPr>
            <w:r>
              <w:rPr>
                <w:rFonts w:hint="eastAsia"/>
                <w:color w:val="auto"/>
                <w:sz w:val="22"/>
              </w:rPr>
              <w:t>石英砂滤料</w:t>
            </w:r>
          </w:p>
        </w:tc>
        <w:tc>
          <w:tcPr>
            <w:tcW w:w="2977" w:type="dxa"/>
            <w:vAlign w:val="center"/>
          </w:tcPr>
          <w:p>
            <w:pPr>
              <w:pStyle w:val="29"/>
              <w:ind w:firstLine="0" w:firstLineChars="0"/>
              <w:rPr>
                <w:rFonts w:asciiTheme="minorEastAsia" w:hAnsiTheme="minorEastAsia"/>
                <w:color w:val="auto"/>
                <w:sz w:val="21"/>
                <w:szCs w:val="21"/>
              </w:rPr>
            </w:pPr>
            <w:r>
              <w:rPr>
                <w:rFonts w:hint="eastAsia"/>
                <w:color w:val="auto"/>
                <w:sz w:val="22"/>
              </w:rPr>
              <w:t>有效粒径2-3mm，滤床深度1.83m</w:t>
            </w:r>
          </w:p>
        </w:tc>
        <w:tc>
          <w:tcPr>
            <w:tcW w:w="709" w:type="dxa"/>
            <w:vAlign w:val="center"/>
          </w:tcPr>
          <w:p>
            <w:pPr>
              <w:pStyle w:val="29"/>
              <w:ind w:firstLine="0" w:firstLineChars="0"/>
              <w:rPr>
                <w:rFonts w:asciiTheme="minorEastAsia" w:hAnsiTheme="minorEastAsia"/>
                <w:color w:val="auto"/>
                <w:sz w:val="21"/>
                <w:szCs w:val="21"/>
              </w:rPr>
            </w:pPr>
            <w:r>
              <w:rPr>
                <w:rFonts w:hint="eastAsia"/>
                <w:color w:val="auto"/>
                <w:sz w:val="22"/>
              </w:rPr>
              <w:t>套</w:t>
            </w:r>
          </w:p>
        </w:tc>
        <w:tc>
          <w:tcPr>
            <w:tcW w:w="708" w:type="dxa"/>
            <w:vAlign w:val="center"/>
          </w:tcPr>
          <w:p>
            <w:pPr>
              <w:pStyle w:val="29"/>
              <w:ind w:firstLine="0" w:firstLineChars="0"/>
              <w:rPr>
                <w:rFonts w:asciiTheme="minorEastAsia" w:hAnsiTheme="minorEastAsia"/>
                <w:color w:val="auto"/>
                <w:sz w:val="21"/>
                <w:szCs w:val="21"/>
              </w:rPr>
            </w:pPr>
            <w:r>
              <w:rPr>
                <w:rFonts w:hint="eastAsia"/>
                <w:color w:val="auto"/>
                <w:sz w:val="22"/>
              </w:rPr>
              <w:t>5</w:t>
            </w:r>
          </w:p>
        </w:tc>
        <w:tc>
          <w:tcPr>
            <w:tcW w:w="1954" w:type="dxa"/>
            <w:vAlign w:val="center"/>
          </w:tcPr>
          <w:p>
            <w:pPr>
              <w:pStyle w:val="29"/>
              <w:ind w:firstLine="0" w:firstLineChars="0"/>
              <w:rPr>
                <w:rFonts w:asciiTheme="minorEastAsia" w:hAnsiTheme="minorEastAsia"/>
                <w:color w:val="auto"/>
                <w:sz w:val="21"/>
                <w:szCs w:val="21"/>
              </w:rPr>
            </w:pPr>
            <w:r>
              <w:rPr>
                <w:rFonts w:hint="eastAsia"/>
                <w:color w:val="auto"/>
                <w:sz w:val="22"/>
              </w:rPr>
              <w:t>不含损耗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pStyle w:val="29"/>
              <w:ind w:firstLine="0" w:firstLineChars="0"/>
              <w:rPr>
                <w:color w:val="auto"/>
                <w:sz w:val="21"/>
                <w:szCs w:val="21"/>
              </w:rPr>
            </w:pPr>
            <w:r>
              <w:rPr>
                <w:rFonts w:hint="eastAsia"/>
                <w:color w:val="auto"/>
                <w:sz w:val="21"/>
                <w:szCs w:val="21"/>
              </w:rPr>
              <w:t>滤料深度</w:t>
            </w:r>
          </w:p>
        </w:tc>
        <w:tc>
          <w:tcPr>
            <w:tcW w:w="7765" w:type="dxa"/>
            <w:gridSpan w:val="5"/>
          </w:tcPr>
          <w:p>
            <w:pPr>
              <w:pStyle w:val="29"/>
              <w:ind w:firstLine="412"/>
              <w:rPr>
                <w:color w:val="auto"/>
                <w:sz w:val="21"/>
                <w:szCs w:val="21"/>
              </w:rPr>
            </w:pPr>
            <w:r>
              <w:rPr>
                <w:color w:val="auto"/>
                <w:sz w:val="21"/>
                <w:szCs w:val="20"/>
              </w:rPr>
              <w:t>1.83m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pStyle w:val="29"/>
              <w:ind w:firstLine="0" w:firstLineChars="0"/>
              <w:rPr>
                <w:color w:val="auto"/>
                <w:sz w:val="21"/>
                <w:szCs w:val="21"/>
              </w:rPr>
            </w:pPr>
            <w:r>
              <w:rPr>
                <w:rFonts w:hint="eastAsia"/>
                <w:color w:val="auto"/>
                <w:sz w:val="21"/>
                <w:szCs w:val="21"/>
              </w:rPr>
              <w:t>技术参数</w:t>
            </w:r>
          </w:p>
        </w:tc>
        <w:tc>
          <w:tcPr>
            <w:tcW w:w="7765" w:type="dxa"/>
            <w:gridSpan w:val="5"/>
          </w:tcPr>
          <w:p>
            <w:pPr>
              <w:pStyle w:val="29"/>
              <w:ind w:firstLine="412"/>
              <w:rPr>
                <w:color w:val="auto"/>
                <w:sz w:val="21"/>
                <w:szCs w:val="20"/>
              </w:rPr>
            </w:pPr>
            <w:r>
              <w:rPr>
                <w:rFonts w:hint="eastAsia"/>
                <w:color w:val="auto"/>
                <w:sz w:val="21"/>
                <w:szCs w:val="20"/>
              </w:rPr>
              <w:t>a</w:t>
            </w:r>
            <w:r>
              <w:rPr>
                <w:color w:val="auto"/>
                <w:sz w:val="21"/>
                <w:szCs w:val="20"/>
              </w:rPr>
              <w:t>.</w:t>
            </w:r>
            <w:r>
              <w:rPr>
                <w:rFonts w:hint="eastAsia"/>
                <w:color w:val="auto"/>
                <w:sz w:val="21"/>
                <w:szCs w:val="20"/>
              </w:rPr>
              <w:t>规格</w:t>
            </w:r>
            <w:r>
              <w:rPr>
                <w:color w:val="auto"/>
                <w:sz w:val="21"/>
                <w:szCs w:val="20"/>
              </w:rPr>
              <w:t>为</w:t>
            </w:r>
            <w:r>
              <w:rPr>
                <w:rFonts w:hint="eastAsia"/>
                <w:color w:val="auto"/>
                <w:sz w:val="21"/>
                <w:szCs w:val="20"/>
              </w:rPr>
              <w:t>TETRA5#,</w:t>
            </w:r>
            <w:r>
              <w:rPr>
                <w:color w:val="auto"/>
                <w:sz w:val="21"/>
                <w:szCs w:val="20"/>
              </w:rPr>
              <w:t>粒径</w:t>
            </w:r>
            <w:r>
              <w:rPr>
                <w:rFonts w:hint="eastAsia"/>
                <w:color w:val="auto"/>
                <w:sz w:val="21"/>
                <w:szCs w:val="20"/>
              </w:rPr>
              <w:t>范围</w:t>
            </w:r>
            <w:r>
              <w:rPr>
                <w:color w:val="auto"/>
                <w:sz w:val="21"/>
                <w:szCs w:val="20"/>
              </w:rPr>
              <w:t>为</w:t>
            </w:r>
            <w:r>
              <w:rPr>
                <w:rFonts w:hint="eastAsia"/>
                <w:color w:val="auto"/>
                <w:sz w:val="21"/>
                <w:szCs w:val="20"/>
              </w:rPr>
              <w:t>2～3</w:t>
            </w:r>
            <w:r>
              <w:rPr>
                <w:color w:val="auto"/>
                <w:sz w:val="21"/>
                <w:szCs w:val="20"/>
              </w:rPr>
              <w:t>mm</w:t>
            </w:r>
            <w:r>
              <w:rPr>
                <w:rFonts w:hint="eastAsia"/>
                <w:color w:val="auto"/>
                <w:sz w:val="21"/>
                <w:szCs w:val="20"/>
              </w:rPr>
              <w:t>，</w:t>
            </w:r>
            <w:r>
              <w:rPr>
                <w:color w:val="auto"/>
                <w:sz w:val="21"/>
                <w:szCs w:val="20"/>
              </w:rPr>
              <w:t>球形度不小于0.8</w:t>
            </w:r>
            <w:r>
              <w:rPr>
                <w:rFonts w:hint="eastAsia"/>
                <w:color w:val="auto"/>
                <w:sz w:val="21"/>
                <w:szCs w:val="20"/>
              </w:rPr>
              <w:t>，</w:t>
            </w:r>
            <w:r>
              <w:rPr>
                <w:color w:val="auto"/>
                <w:sz w:val="21"/>
                <w:szCs w:val="20"/>
              </w:rPr>
              <w:t>比重大于或等于2.6</w:t>
            </w:r>
            <w:r>
              <w:rPr>
                <w:rFonts w:hint="eastAsia"/>
                <w:color w:val="auto"/>
                <w:sz w:val="21"/>
                <w:szCs w:val="20"/>
              </w:rPr>
              <w:t>，</w:t>
            </w:r>
            <w:r>
              <w:rPr>
                <w:color w:val="auto"/>
                <w:sz w:val="21"/>
                <w:szCs w:val="20"/>
              </w:rPr>
              <w:t>酸溶度不超过3%</w:t>
            </w:r>
            <w:r>
              <w:rPr>
                <w:rFonts w:hint="eastAsia"/>
                <w:color w:val="auto"/>
                <w:sz w:val="21"/>
                <w:szCs w:val="20"/>
              </w:rPr>
              <w:t>，</w:t>
            </w:r>
            <w:r>
              <w:rPr>
                <w:color w:val="auto"/>
                <w:sz w:val="21"/>
                <w:szCs w:val="20"/>
              </w:rPr>
              <w:t>莫氏硬度</w:t>
            </w:r>
            <w:r>
              <w:rPr>
                <w:rFonts w:hint="eastAsia"/>
                <w:color w:val="auto"/>
                <w:sz w:val="21"/>
                <w:szCs w:val="20"/>
              </w:rPr>
              <w:t>为</w:t>
            </w:r>
            <w:r>
              <w:rPr>
                <w:color w:val="auto"/>
                <w:sz w:val="21"/>
                <w:szCs w:val="20"/>
              </w:rPr>
              <w:t>6</w:t>
            </w:r>
            <w:r>
              <w:rPr>
                <w:rFonts w:hint="eastAsia"/>
                <w:color w:val="auto"/>
                <w:sz w:val="21"/>
                <w:szCs w:val="20"/>
              </w:rPr>
              <w:t>～</w:t>
            </w:r>
            <w:r>
              <w:rPr>
                <w:color w:val="auto"/>
                <w:sz w:val="21"/>
                <w:szCs w:val="20"/>
              </w:rPr>
              <w:t>7</w:t>
            </w:r>
            <w:r>
              <w:rPr>
                <w:rFonts w:hint="eastAsia"/>
                <w:color w:val="auto"/>
                <w:sz w:val="21"/>
                <w:szCs w:val="20"/>
              </w:rPr>
              <w:t>，不均匀系数≤1.4。</w:t>
            </w:r>
          </w:p>
          <w:p>
            <w:pPr>
              <w:pStyle w:val="29"/>
              <w:ind w:firstLine="412"/>
              <w:rPr>
                <w:color w:val="auto"/>
                <w:sz w:val="21"/>
                <w:szCs w:val="20"/>
              </w:rPr>
            </w:pPr>
            <w:r>
              <w:rPr>
                <w:color w:val="auto"/>
                <w:sz w:val="21"/>
                <w:szCs w:val="20"/>
              </w:rPr>
              <w:t>b.均质砂滤料的石英砂必须具有二氧化硅含量高，含泥和含杂质低，具有良好的耐磨性能和抗吸附力以及使用周期长的性能</w:t>
            </w:r>
            <w:r>
              <w:rPr>
                <w:rFonts w:hint="eastAsia"/>
                <w:color w:val="auto"/>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pStyle w:val="29"/>
              <w:ind w:firstLine="0" w:firstLineChars="0"/>
              <w:rPr>
                <w:color w:val="auto"/>
                <w:sz w:val="21"/>
                <w:szCs w:val="21"/>
              </w:rPr>
            </w:pPr>
            <w:r>
              <w:rPr>
                <w:rFonts w:hint="eastAsia"/>
                <w:color w:val="auto"/>
                <w:sz w:val="21"/>
                <w:szCs w:val="21"/>
              </w:rPr>
              <w:t>说明</w:t>
            </w:r>
          </w:p>
        </w:tc>
        <w:tc>
          <w:tcPr>
            <w:tcW w:w="7765" w:type="dxa"/>
            <w:gridSpan w:val="5"/>
          </w:tcPr>
          <w:p>
            <w:pPr>
              <w:pStyle w:val="29"/>
              <w:ind w:firstLine="412"/>
              <w:rPr>
                <w:color w:val="auto"/>
                <w:sz w:val="21"/>
                <w:szCs w:val="20"/>
              </w:rPr>
            </w:pPr>
            <w:r>
              <w:rPr>
                <w:rFonts w:hint="eastAsia"/>
                <w:color w:val="auto"/>
                <w:sz w:val="21"/>
                <w:szCs w:val="20"/>
              </w:rPr>
              <w:t>由深床滤池制造商成套供货</w:t>
            </w:r>
          </w:p>
        </w:tc>
      </w:tr>
    </w:tbl>
    <w:p>
      <w:pPr>
        <w:pStyle w:val="29"/>
        <w:ind w:firstLine="472"/>
        <w:rPr>
          <w:color w:val="auto"/>
        </w:rPr>
      </w:pPr>
    </w:p>
    <w:p>
      <w:pPr>
        <w:pStyle w:val="31"/>
        <w:rPr>
          <w:color w:val="auto"/>
        </w:rPr>
      </w:pPr>
      <w:r>
        <w:rPr>
          <w:rFonts w:hint="eastAsia"/>
          <w:color w:val="auto"/>
        </w:rPr>
        <w:t>承托层砾石</w:t>
      </w:r>
    </w:p>
    <w:tbl>
      <w:tblPr>
        <w:tblStyle w:val="24"/>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913"/>
        <w:gridCol w:w="3331"/>
        <w:gridCol w:w="993"/>
        <w:gridCol w:w="708"/>
        <w:gridCol w:w="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1"/>
              </w:rPr>
            </w:pPr>
            <w:r>
              <w:rPr>
                <w:rFonts w:hint="eastAsia"/>
                <w:color w:val="auto"/>
                <w:sz w:val="21"/>
                <w:szCs w:val="21"/>
              </w:rPr>
              <w:t>序号</w:t>
            </w:r>
          </w:p>
        </w:tc>
        <w:tc>
          <w:tcPr>
            <w:tcW w:w="1913" w:type="dxa"/>
            <w:vAlign w:val="center"/>
          </w:tcPr>
          <w:p>
            <w:pPr>
              <w:pStyle w:val="29"/>
              <w:ind w:firstLine="0" w:firstLineChars="0"/>
              <w:rPr>
                <w:rFonts w:asciiTheme="minorEastAsia" w:hAnsiTheme="minorEastAsia"/>
                <w:color w:val="auto"/>
                <w:sz w:val="21"/>
                <w:szCs w:val="21"/>
              </w:rPr>
            </w:pPr>
            <w:r>
              <w:rPr>
                <w:rFonts w:hint="eastAsia"/>
                <w:color w:val="auto"/>
                <w:sz w:val="21"/>
                <w:szCs w:val="21"/>
              </w:rPr>
              <w:t>名称</w:t>
            </w:r>
          </w:p>
        </w:tc>
        <w:tc>
          <w:tcPr>
            <w:tcW w:w="3331" w:type="dxa"/>
            <w:vAlign w:val="center"/>
          </w:tcPr>
          <w:p>
            <w:pPr>
              <w:pStyle w:val="29"/>
              <w:ind w:firstLine="0" w:firstLineChars="0"/>
              <w:rPr>
                <w:rFonts w:asciiTheme="minorEastAsia" w:hAnsiTheme="minorEastAsia"/>
                <w:color w:val="auto"/>
                <w:sz w:val="21"/>
                <w:szCs w:val="21"/>
              </w:rPr>
            </w:pPr>
            <w:r>
              <w:rPr>
                <w:rFonts w:hint="eastAsia"/>
                <w:color w:val="auto"/>
                <w:sz w:val="21"/>
                <w:szCs w:val="21"/>
              </w:rPr>
              <w:t>规格</w:t>
            </w:r>
          </w:p>
        </w:tc>
        <w:tc>
          <w:tcPr>
            <w:tcW w:w="993" w:type="dxa"/>
            <w:vAlign w:val="center"/>
          </w:tcPr>
          <w:p>
            <w:pPr>
              <w:pStyle w:val="29"/>
              <w:ind w:firstLine="0" w:firstLineChars="0"/>
              <w:rPr>
                <w:rFonts w:asciiTheme="minorEastAsia" w:hAnsiTheme="minorEastAsia"/>
                <w:color w:val="auto"/>
                <w:sz w:val="21"/>
                <w:szCs w:val="21"/>
              </w:rPr>
            </w:pPr>
            <w:r>
              <w:rPr>
                <w:rFonts w:hint="eastAsia"/>
                <w:color w:val="auto"/>
                <w:sz w:val="21"/>
                <w:szCs w:val="21"/>
              </w:rPr>
              <w:t>单位</w:t>
            </w:r>
          </w:p>
        </w:tc>
        <w:tc>
          <w:tcPr>
            <w:tcW w:w="708" w:type="dxa"/>
            <w:vAlign w:val="center"/>
          </w:tcPr>
          <w:p>
            <w:pPr>
              <w:pStyle w:val="29"/>
              <w:ind w:firstLine="0" w:firstLineChars="0"/>
              <w:rPr>
                <w:rFonts w:asciiTheme="minorEastAsia" w:hAnsiTheme="minorEastAsia"/>
                <w:color w:val="auto"/>
                <w:sz w:val="21"/>
                <w:szCs w:val="21"/>
              </w:rPr>
            </w:pPr>
            <w:r>
              <w:rPr>
                <w:rFonts w:hint="eastAsia"/>
                <w:color w:val="auto"/>
                <w:sz w:val="21"/>
                <w:szCs w:val="21"/>
              </w:rPr>
              <w:t>数量</w:t>
            </w:r>
          </w:p>
        </w:tc>
        <w:tc>
          <w:tcPr>
            <w:tcW w:w="940" w:type="dxa"/>
            <w:vAlign w:val="center"/>
          </w:tcPr>
          <w:p>
            <w:pPr>
              <w:pStyle w:val="29"/>
              <w:ind w:firstLine="0" w:firstLineChars="0"/>
              <w:rPr>
                <w:rFonts w:asciiTheme="minorEastAsia" w:hAnsiTheme="minorEastAsia"/>
                <w:color w:val="auto"/>
                <w:sz w:val="21"/>
                <w:szCs w:val="21"/>
              </w:rPr>
            </w:pPr>
            <w:r>
              <w:rPr>
                <w:rFonts w:hint="eastAsia"/>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1"/>
              </w:rPr>
            </w:pPr>
            <w:r>
              <w:rPr>
                <w:color w:val="auto"/>
                <w:sz w:val="22"/>
              </w:rPr>
              <w:t>1</w:t>
            </w:r>
          </w:p>
        </w:tc>
        <w:tc>
          <w:tcPr>
            <w:tcW w:w="1913" w:type="dxa"/>
            <w:vAlign w:val="center"/>
          </w:tcPr>
          <w:p>
            <w:pPr>
              <w:pStyle w:val="29"/>
              <w:ind w:firstLine="0" w:firstLineChars="0"/>
              <w:rPr>
                <w:rFonts w:asciiTheme="minorEastAsia" w:hAnsiTheme="minorEastAsia"/>
                <w:color w:val="auto"/>
                <w:sz w:val="21"/>
                <w:szCs w:val="21"/>
              </w:rPr>
            </w:pPr>
            <w:r>
              <w:rPr>
                <w:rFonts w:hint="eastAsia"/>
                <w:color w:val="auto"/>
                <w:sz w:val="22"/>
              </w:rPr>
              <w:t>承托层砾石</w:t>
            </w:r>
          </w:p>
        </w:tc>
        <w:tc>
          <w:tcPr>
            <w:tcW w:w="3331" w:type="dxa"/>
            <w:vAlign w:val="center"/>
          </w:tcPr>
          <w:p>
            <w:pPr>
              <w:pStyle w:val="29"/>
              <w:ind w:firstLine="0" w:firstLineChars="0"/>
              <w:rPr>
                <w:rFonts w:asciiTheme="minorEastAsia" w:hAnsiTheme="minorEastAsia"/>
                <w:color w:val="auto"/>
                <w:sz w:val="21"/>
                <w:szCs w:val="21"/>
              </w:rPr>
            </w:pPr>
            <w:r>
              <w:rPr>
                <w:rFonts w:hint="eastAsia"/>
                <w:color w:val="auto"/>
                <w:sz w:val="22"/>
              </w:rPr>
              <w:t>天然鹅卵石，粒径3~38mm，滤床深度0.45m，5层级配</w:t>
            </w:r>
          </w:p>
        </w:tc>
        <w:tc>
          <w:tcPr>
            <w:tcW w:w="993" w:type="dxa"/>
            <w:vAlign w:val="center"/>
          </w:tcPr>
          <w:p>
            <w:pPr>
              <w:pStyle w:val="29"/>
              <w:ind w:firstLine="0" w:firstLineChars="0"/>
              <w:rPr>
                <w:rFonts w:asciiTheme="minorEastAsia" w:hAnsiTheme="minorEastAsia"/>
                <w:color w:val="auto"/>
                <w:sz w:val="21"/>
                <w:szCs w:val="21"/>
              </w:rPr>
            </w:pPr>
            <w:r>
              <w:rPr>
                <w:rFonts w:hint="eastAsia"/>
                <w:color w:val="auto"/>
                <w:sz w:val="22"/>
              </w:rPr>
              <w:t>套</w:t>
            </w:r>
          </w:p>
        </w:tc>
        <w:tc>
          <w:tcPr>
            <w:tcW w:w="708" w:type="dxa"/>
            <w:vAlign w:val="center"/>
          </w:tcPr>
          <w:p>
            <w:pPr>
              <w:pStyle w:val="29"/>
              <w:ind w:firstLine="0" w:firstLineChars="0"/>
              <w:rPr>
                <w:rFonts w:asciiTheme="minorEastAsia" w:hAnsiTheme="minorEastAsia"/>
                <w:color w:val="auto"/>
                <w:sz w:val="21"/>
                <w:szCs w:val="21"/>
              </w:rPr>
            </w:pPr>
            <w:r>
              <w:rPr>
                <w:rFonts w:hint="eastAsia"/>
                <w:color w:val="auto"/>
                <w:sz w:val="22"/>
              </w:rPr>
              <w:t>5</w:t>
            </w:r>
          </w:p>
        </w:tc>
        <w:tc>
          <w:tcPr>
            <w:tcW w:w="940" w:type="dxa"/>
            <w:vAlign w:val="center"/>
          </w:tcPr>
          <w:p>
            <w:pPr>
              <w:pStyle w:val="29"/>
              <w:ind w:firstLine="0" w:firstLineChars="0"/>
              <w:rPr>
                <w:rFonts w:asciiTheme="minorEastAsia" w:hAnsiTheme="minorEastAsia"/>
                <w:color w:val="auto"/>
                <w:sz w:val="21"/>
                <w:szCs w:val="21"/>
              </w:rPr>
            </w:pPr>
            <w:r>
              <w:rPr>
                <w:rFonts w:hint="eastAsia"/>
                <w:color w:val="auto"/>
                <w:sz w:val="22"/>
              </w:rPr>
              <w:t>不含损耗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9" w:hRule="atLeast"/>
        </w:trPr>
        <w:tc>
          <w:tcPr>
            <w:tcW w:w="1101" w:type="dxa"/>
            <w:vAlign w:val="center"/>
          </w:tcPr>
          <w:p>
            <w:pPr>
              <w:pStyle w:val="29"/>
              <w:ind w:firstLine="0" w:firstLineChars="0"/>
              <w:rPr>
                <w:color w:val="auto"/>
                <w:sz w:val="21"/>
                <w:szCs w:val="21"/>
              </w:rPr>
            </w:pPr>
            <w:r>
              <w:rPr>
                <w:rFonts w:hint="eastAsia"/>
                <w:color w:val="auto"/>
                <w:sz w:val="21"/>
                <w:szCs w:val="21"/>
              </w:rPr>
              <w:t>技术参数</w:t>
            </w:r>
          </w:p>
        </w:tc>
        <w:tc>
          <w:tcPr>
            <w:tcW w:w="7885" w:type="dxa"/>
            <w:gridSpan w:val="5"/>
            <w:vAlign w:val="center"/>
          </w:tcPr>
          <w:p>
            <w:pPr>
              <w:pStyle w:val="29"/>
              <w:ind w:firstLine="412"/>
              <w:rPr>
                <w:color w:val="auto"/>
                <w:sz w:val="21"/>
                <w:szCs w:val="20"/>
              </w:rPr>
            </w:pPr>
            <w:r>
              <w:rPr>
                <w:rFonts w:hint="eastAsia"/>
                <w:color w:val="auto"/>
                <w:sz w:val="21"/>
                <w:szCs w:val="20"/>
              </w:rPr>
              <w:t>滤池支撑层</w:t>
            </w:r>
            <w:r>
              <w:rPr>
                <w:color w:val="auto"/>
                <w:sz w:val="21"/>
                <w:szCs w:val="20"/>
              </w:rPr>
              <w:t>采用</w:t>
            </w:r>
            <w:r>
              <w:rPr>
                <w:rFonts w:hint="eastAsia"/>
                <w:color w:val="auto"/>
                <w:sz w:val="21"/>
                <w:szCs w:val="20"/>
              </w:rPr>
              <w:t>天然卵石，厚度不小于4</w:t>
            </w:r>
            <w:r>
              <w:rPr>
                <w:color w:val="auto"/>
                <w:sz w:val="21"/>
                <w:szCs w:val="20"/>
              </w:rPr>
              <w:t>50mm</w:t>
            </w:r>
            <w:r>
              <w:rPr>
                <w:rFonts w:hint="eastAsia"/>
                <w:color w:val="auto"/>
                <w:sz w:val="21"/>
                <w:szCs w:val="20"/>
              </w:rPr>
              <w:t>。</w:t>
            </w:r>
          </w:p>
          <w:p>
            <w:pPr>
              <w:pStyle w:val="29"/>
              <w:ind w:firstLine="412"/>
              <w:rPr>
                <w:color w:val="auto"/>
                <w:sz w:val="21"/>
                <w:szCs w:val="20"/>
              </w:rPr>
            </w:pPr>
            <w:r>
              <w:rPr>
                <w:rFonts w:hint="eastAsia"/>
                <w:color w:val="auto"/>
                <w:sz w:val="21"/>
                <w:szCs w:val="20"/>
              </w:rPr>
              <w:t>b.</w:t>
            </w:r>
            <w:r>
              <w:rPr>
                <w:color w:val="auto"/>
                <w:sz w:val="21"/>
                <w:szCs w:val="20"/>
              </w:rPr>
              <w:t>粒径</w:t>
            </w:r>
            <w:r>
              <w:rPr>
                <w:rFonts w:hint="eastAsia"/>
                <w:color w:val="auto"/>
                <w:sz w:val="21"/>
                <w:szCs w:val="20"/>
              </w:rPr>
              <w:t>分布范围</w:t>
            </w:r>
            <w:r>
              <w:rPr>
                <w:color w:val="auto"/>
                <w:sz w:val="21"/>
                <w:szCs w:val="20"/>
              </w:rPr>
              <w:t>为</w:t>
            </w:r>
            <w:r>
              <w:rPr>
                <w:rFonts w:hint="eastAsia"/>
                <w:color w:val="auto"/>
                <w:sz w:val="21"/>
                <w:szCs w:val="20"/>
              </w:rPr>
              <w:t>3～38</w:t>
            </w:r>
            <w:r>
              <w:rPr>
                <w:color w:val="auto"/>
                <w:sz w:val="21"/>
                <w:szCs w:val="20"/>
              </w:rPr>
              <w:t>mm，</w:t>
            </w:r>
            <w:r>
              <w:rPr>
                <w:rFonts w:hint="eastAsia"/>
                <w:color w:val="auto"/>
                <w:sz w:val="21"/>
                <w:szCs w:val="20"/>
              </w:rPr>
              <w:t>最大粒径不小于38MM，</w:t>
            </w:r>
            <w:r>
              <w:rPr>
                <w:color w:val="auto"/>
                <w:sz w:val="21"/>
                <w:szCs w:val="20"/>
              </w:rPr>
              <w:t>5</w:t>
            </w:r>
            <w:r>
              <w:rPr>
                <w:rFonts w:hint="eastAsia"/>
                <w:color w:val="auto"/>
                <w:sz w:val="21"/>
                <w:szCs w:val="20"/>
              </w:rPr>
              <w:t>级，各级厚度及排列如下：</w:t>
            </w:r>
          </w:p>
          <w:tbl>
            <w:tblPr>
              <w:tblStyle w:val="23"/>
              <w:tblW w:w="6692"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2"/>
              <w:gridCol w:w="1738"/>
              <w:gridCol w:w="1862"/>
              <w:gridCol w:w="1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2"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序号</w:t>
                  </w:r>
                </w:p>
              </w:tc>
              <w:tc>
                <w:tcPr>
                  <w:tcW w:w="1738"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支撑层</w:t>
                  </w:r>
                </w:p>
                <w:p>
                  <w:pPr>
                    <w:tabs>
                      <w:tab w:val="left" w:pos="3152"/>
                    </w:tabs>
                    <w:snapToGrid w:val="0"/>
                    <w:spacing w:line="360" w:lineRule="auto"/>
                    <w:jc w:val="center"/>
                    <w:rPr>
                      <w:color w:val="auto"/>
                      <w:spacing w:val="8"/>
                      <w:sz w:val="21"/>
                      <w:szCs w:val="21"/>
                    </w:rPr>
                  </w:pPr>
                  <w:r>
                    <w:rPr>
                      <w:rFonts w:hint="eastAsia"/>
                      <w:color w:val="auto"/>
                      <w:spacing w:val="8"/>
                      <w:sz w:val="21"/>
                      <w:szCs w:val="21"/>
                    </w:rPr>
                    <w:t>(由下至上)</w:t>
                  </w:r>
                </w:p>
              </w:tc>
              <w:tc>
                <w:tcPr>
                  <w:tcW w:w="1862"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高度（m</w:t>
                  </w:r>
                  <w:r>
                    <w:rPr>
                      <w:color w:val="auto"/>
                      <w:spacing w:val="8"/>
                      <w:sz w:val="21"/>
                      <w:szCs w:val="21"/>
                    </w:rPr>
                    <w:t>m</w:t>
                  </w:r>
                  <w:r>
                    <w:rPr>
                      <w:rFonts w:hint="eastAsia"/>
                      <w:color w:val="auto"/>
                      <w:spacing w:val="8"/>
                      <w:sz w:val="21"/>
                      <w:szCs w:val="21"/>
                    </w:rPr>
                    <w:t>）</w:t>
                  </w:r>
                </w:p>
              </w:tc>
              <w:tc>
                <w:tcPr>
                  <w:tcW w:w="1810"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卵石粒径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2"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1</w:t>
                  </w:r>
                </w:p>
              </w:tc>
              <w:tc>
                <w:tcPr>
                  <w:tcW w:w="1738"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第一层</w:t>
                  </w:r>
                </w:p>
              </w:tc>
              <w:tc>
                <w:tcPr>
                  <w:tcW w:w="1862"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1</w:t>
                  </w:r>
                  <w:r>
                    <w:rPr>
                      <w:color w:val="auto"/>
                      <w:spacing w:val="8"/>
                      <w:sz w:val="21"/>
                      <w:szCs w:val="21"/>
                    </w:rPr>
                    <w:t>00</w:t>
                  </w:r>
                </w:p>
              </w:tc>
              <w:tc>
                <w:tcPr>
                  <w:tcW w:w="1810"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2</w:t>
                  </w:r>
                  <w:r>
                    <w:rPr>
                      <w:color w:val="auto"/>
                      <w:spacing w:val="8"/>
                      <w:sz w:val="21"/>
                      <w:szCs w:val="21"/>
                    </w:rPr>
                    <w:t>0-40mm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2"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2</w:t>
                  </w:r>
                </w:p>
              </w:tc>
              <w:tc>
                <w:tcPr>
                  <w:tcW w:w="1738"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第二层</w:t>
                  </w:r>
                </w:p>
              </w:tc>
              <w:tc>
                <w:tcPr>
                  <w:tcW w:w="1862"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5</w:t>
                  </w:r>
                  <w:r>
                    <w:rPr>
                      <w:color w:val="auto"/>
                      <w:spacing w:val="8"/>
                      <w:sz w:val="21"/>
                      <w:szCs w:val="21"/>
                    </w:rPr>
                    <w:t>0</w:t>
                  </w:r>
                </w:p>
              </w:tc>
              <w:tc>
                <w:tcPr>
                  <w:tcW w:w="1810"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1</w:t>
                  </w:r>
                  <w:r>
                    <w:rPr>
                      <w:color w:val="auto"/>
                      <w:spacing w:val="8"/>
                      <w:sz w:val="21"/>
                      <w:szCs w:val="21"/>
                    </w:rPr>
                    <w:t>2-20mm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2"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3</w:t>
                  </w:r>
                </w:p>
              </w:tc>
              <w:tc>
                <w:tcPr>
                  <w:tcW w:w="1738"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第三层</w:t>
                  </w:r>
                </w:p>
              </w:tc>
              <w:tc>
                <w:tcPr>
                  <w:tcW w:w="1862" w:type="dxa"/>
                  <w:vAlign w:val="center"/>
                </w:tcPr>
                <w:p>
                  <w:pPr>
                    <w:tabs>
                      <w:tab w:val="left" w:pos="3152"/>
                    </w:tabs>
                    <w:snapToGrid w:val="0"/>
                    <w:spacing w:line="360" w:lineRule="auto"/>
                    <w:jc w:val="center"/>
                    <w:rPr>
                      <w:color w:val="auto"/>
                      <w:spacing w:val="8"/>
                      <w:sz w:val="21"/>
                      <w:szCs w:val="21"/>
                    </w:rPr>
                  </w:pPr>
                  <w:r>
                    <w:rPr>
                      <w:color w:val="auto"/>
                      <w:spacing w:val="8"/>
                      <w:sz w:val="21"/>
                      <w:szCs w:val="21"/>
                    </w:rPr>
                    <w:t>100</w:t>
                  </w:r>
                </w:p>
              </w:tc>
              <w:tc>
                <w:tcPr>
                  <w:tcW w:w="1810"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6</w:t>
                  </w:r>
                  <w:r>
                    <w:rPr>
                      <w:color w:val="auto"/>
                      <w:spacing w:val="8"/>
                      <w:sz w:val="21"/>
                      <w:szCs w:val="21"/>
                    </w:rPr>
                    <w:t>-12</w:t>
                  </w:r>
                  <w:r>
                    <w:rPr>
                      <w:rFonts w:hint="eastAsia"/>
                      <w:color w:val="auto"/>
                      <w:spacing w:val="8"/>
                      <w:sz w:val="21"/>
                      <w:szCs w:val="2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2"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4</w:t>
                  </w:r>
                </w:p>
              </w:tc>
              <w:tc>
                <w:tcPr>
                  <w:tcW w:w="1738"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第四层</w:t>
                  </w:r>
                </w:p>
              </w:tc>
              <w:tc>
                <w:tcPr>
                  <w:tcW w:w="1862"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1</w:t>
                  </w:r>
                  <w:r>
                    <w:rPr>
                      <w:color w:val="auto"/>
                      <w:spacing w:val="8"/>
                      <w:sz w:val="21"/>
                      <w:szCs w:val="21"/>
                    </w:rPr>
                    <w:t>00</w:t>
                  </w:r>
                </w:p>
              </w:tc>
              <w:tc>
                <w:tcPr>
                  <w:tcW w:w="1810"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3</w:t>
                  </w:r>
                  <w:r>
                    <w:rPr>
                      <w:color w:val="auto"/>
                      <w:spacing w:val="8"/>
                      <w:sz w:val="21"/>
                      <w:szCs w:val="21"/>
                    </w:rPr>
                    <w:t>-6mm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82"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5</w:t>
                  </w:r>
                </w:p>
              </w:tc>
              <w:tc>
                <w:tcPr>
                  <w:tcW w:w="1738"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第五层</w:t>
                  </w:r>
                </w:p>
              </w:tc>
              <w:tc>
                <w:tcPr>
                  <w:tcW w:w="1862" w:type="dxa"/>
                  <w:vAlign w:val="center"/>
                </w:tcPr>
                <w:p>
                  <w:pPr>
                    <w:tabs>
                      <w:tab w:val="left" w:pos="3152"/>
                    </w:tabs>
                    <w:snapToGrid w:val="0"/>
                    <w:spacing w:line="360" w:lineRule="auto"/>
                    <w:jc w:val="center"/>
                    <w:rPr>
                      <w:color w:val="auto"/>
                      <w:spacing w:val="8"/>
                      <w:sz w:val="21"/>
                      <w:szCs w:val="21"/>
                    </w:rPr>
                  </w:pPr>
                  <w:r>
                    <w:rPr>
                      <w:color w:val="auto"/>
                      <w:spacing w:val="8"/>
                      <w:sz w:val="21"/>
                      <w:szCs w:val="21"/>
                    </w:rPr>
                    <w:t>100</w:t>
                  </w:r>
                </w:p>
              </w:tc>
              <w:tc>
                <w:tcPr>
                  <w:tcW w:w="1810" w:type="dxa"/>
                  <w:vAlign w:val="center"/>
                </w:tcPr>
                <w:p>
                  <w:pPr>
                    <w:tabs>
                      <w:tab w:val="left" w:pos="3152"/>
                    </w:tabs>
                    <w:snapToGrid w:val="0"/>
                    <w:spacing w:line="360" w:lineRule="auto"/>
                    <w:jc w:val="center"/>
                    <w:rPr>
                      <w:color w:val="auto"/>
                      <w:spacing w:val="8"/>
                      <w:sz w:val="21"/>
                      <w:szCs w:val="21"/>
                    </w:rPr>
                  </w:pPr>
                  <w:r>
                    <w:rPr>
                      <w:rFonts w:hint="eastAsia"/>
                      <w:color w:val="auto"/>
                      <w:spacing w:val="8"/>
                      <w:sz w:val="21"/>
                      <w:szCs w:val="21"/>
                    </w:rPr>
                    <w:t>6</w:t>
                  </w:r>
                  <w:r>
                    <w:rPr>
                      <w:color w:val="auto"/>
                      <w:spacing w:val="8"/>
                      <w:sz w:val="21"/>
                      <w:szCs w:val="21"/>
                    </w:rPr>
                    <w:t>-12</w:t>
                  </w:r>
                  <w:r>
                    <w:rPr>
                      <w:rFonts w:hint="eastAsia"/>
                      <w:color w:val="auto"/>
                      <w:spacing w:val="8"/>
                      <w:sz w:val="21"/>
                      <w:szCs w:val="21"/>
                    </w:rPr>
                    <w:t>mm</w:t>
                  </w:r>
                </w:p>
              </w:tc>
            </w:tr>
          </w:tbl>
          <w:p>
            <w:pPr>
              <w:pStyle w:val="29"/>
              <w:ind w:firstLine="0" w:firstLineChars="0"/>
              <w:rPr>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1"/>
              </w:rPr>
            </w:pPr>
            <w:r>
              <w:rPr>
                <w:rFonts w:hint="eastAsia"/>
                <w:color w:val="auto"/>
                <w:sz w:val="21"/>
                <w:szCs w:val="21"/>
              </w:rPr>
              <w:t>说明</w:t>
            </w:r>
          </w:p>
        </w:tc>
        <w:tc>
          <w:tcPr>
            <w:tcW w:w="7885" w:type="dxa"/>
            <w:gridSpan w:val="5"/>
            <w:vAlign w:val="center"/>
          </w:tcPr>
          <w:p>
            <w:pPr>
              <w:pStyle w:val="29"/>
              <w:ind w:firstLine="412"/>
              <w:rPr>
                <w:color w:val="auto"/>
                <w:sz w:val="21"/>
                <w:szCs w:val="20"/>
              </w:rPr>
            </w:pPr>
            <w:r>
              <w:rPr>
                <w:rFonts w:hint="eastAsia"/>
                <w:color w:val="auto"/>
                <w:sz w:val="21"/>
                <w:szCs w:val="20"/>
              </w:rPr>
              <w:t>由深床滤池制造商成套供货</w:t>
            </w:r>
          </w:p>
        </w:tc>
      </w:tr>
    </w:tbl>
    <w:p>
      <w:pPr>
        <w:pStyle w:val="29"/>
        <w:ind w:firstLine="472"/>
        <w:rPr>
          <w:color w:val="auto"/>
        </w:rPr>
      </w:pPr>
    </w:p>
    <w:p>
      <w:pPr>
        <w:pStyle w:val="31"/>
        <w:rPr>
          <w:color w:val="auto"/>
        </w:rPr>
      </w:pPr>
      <w:r>
        <w:rPr>
          <w:rFonts w:hint="eastAsia"/>
          <w:color w:val="auto"/>
        </w:rPr>
        <w:t>滤池底部反冲洗主支管配气系统</w:t>
      </w:r>
    </w:p>
    <w:tbl>
      <w:tblPr>
        <w:tblStyle w:val="24"/>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7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1"/>
              </w:rPr>
            </w:pPr>
            <w:r>
              <w:rPr>
                <w:rFonts w:hint="eastAsia"/>
                <w:color w:val="auto"/>
                <w:sz w:val="21"/>
                <w:szCs w:val="21"/>
              </w:rPr>
              <w:t>技术参数</w:t>
            </w:r>
          </w:p>
        </w:tc>
        <w:tc>
          <w:tcPr>
            <w:tcW w:w="7885" w:type="dxa"/>
            <w:vAlign w:val="center"/>
          </w:tcPr>
          <w:p>
            <w:pPr>
              <w:pStyle w:val="29"/>
              <w:ind w:firstLine="412"/>
              <w:rPr>
                <w:color w:val="auto"/>
                <w:sz w:val="21"/>
                <w:szCs w:val="20"/>
              </w:rPr>
            </w:pPr>
            <w:r>
              <w:rPr>
                <w:rFonts w:hint="eastAsia"/>
                <w:color w:val="auto"/>
                <w:sz w:val="21"/>
                <w:szCs w:val="20"/>
              </w:rPr>
              <w:t>a.反冲洗主管横截面应为方形，以便于沿池长方向安装，反冲洗DN40的圆支管位于滤砖下方，支管下方双排圆孔。并按照滤池底配气系统管道的布置方式及空气冲洗强度，与滤砖配套提供，以组成完整的气水分布系统。</w:t>
            </w:r>
          </w:p>
          <w:p>
            <w:pPr>
              <w:pStyle w:val="29"/>
              <w:ind w:firstLine="412"/>
              <w:rPr>
                <w:color w:val="auto"/>
                <w:sz w:val="21"/>
                <w:szCs w:val="20"/>
              </w:rPr>
            </w:pPr>
            <w:r>
              <w:rPr>
                <w:rFonts w:hint="eastAsia"/>
                <w:color w:val="auto"/>
                <w:sz w:val="21"/>
                <w:szCs w:val="20"/>
              </w:rPr>
              <w:t>b.配气系统提供冲洗期间的气水协同冲洗时的强力空气，支架在滤砖下对配气支管起到支承及定位作用，而不会干扰滤砖间的互锁功能。</w:t>
            </w:r>
          </w:p>
          <w:p>
            <w:pPr>
              <w:pStyle w:val="29"/>
              <w:ind w:firstLine="412"/>
              <w:rPr>
                <w:color w:val="auto"/>
                <w:sz w:val="21"/>
                <w:szCs w:val="20"/>
              </w:rPr>
            </w:pPr>
            <w:r>
              <w:rPr>
                <w:rFonts w:hint="eastAsia"/>
                <w:color w:val="auto"/>
                <w:sz w:val="21"/>
                <w:szCs w:val="20"/>
              </w:rPr>
              <w:t>c.从冲洗风机至滤池的空气主管及空气主管至各格滤池底处的空气支管的管道截面为圆形，池底空气分布管管道截面为长方形。</w:t>
            </w:r>
          </w:p>
          <w:p>
            <w:pPr>
              <w:pStyle w:val="29"/>
              <w:ind w:firstLine="412"/>
              <w:rPr>
                <w:color w:val="auto"/>
                <w:sz w:val="21"/>
                <w:szCs w:val="20"/>
              </w:rPr>
            </w:pPr>
            <w:r>
              <w:rPr>
                <w:rFonts w:hint="eastAsia"/>
                <w:color w:val="auto"/>
                <w:sz w:val="21"/>
                <w:szCs w:val="20"/>
              </w:rPr>
              <w:t>d.所有配气系统的管道均为不锈钢。</w:t>
            </w:r>
          </w:p>
          <w:p>
            <w:pPr>
              <w:pStyle w:val="29"/>
              <w:ind w:firstLine="412"/>
              <w:rPr>
                <w:color w:val="auto"/>
                <w:sz w:val="21"/>
                <w:szCs w:val="20"/>
              </w:rPr>
            </w:pPr>
            <w:r>
              <w:rPr>
                <w:rFonts w:hint="eastAsia"/>
                <w:color w:val="auto"/>
                <w:sz w:val="21"/>
                <w:szCs w:val="20"/>
              </w:rPr>
              <w:t>e.空气分布管主管侧面开螺纹圆孔，满足配气支管的连接。</w:t>
            </w:r>
          </w:p>
          <w:p>
            <w:pPr>
              <w:pStyle w:val="29"/>
              <w:ind w:firstLine="412"/>
              <w:rPr>
                <w:color w:val="auto"/>
                <w:sz w:val="21"/>
                <w:szCs w:val="20"/>
              </w:rPr>
            </w:pPr>
            <w:r>
              <w:rPr>
                <w:rFonts w:hint="eastAsia"/>
                <w:color w:val="auto"/>
                <w:sz w:val="21"/>
                <w:szCs w:val="20"/>
              </w:rPr>
              <w:t>f.支架系统</w:t>
            </w:r>
          </w:p>
          <w:p>
            <w:pPr>
              <w:pStyle w:val="29"/>
              <w:ind w:firstLine="412"/>
              <w:rPr>
                <w:color w:val="auto"/>
                <w:sz w:val="21"/>
                <w:szCs w:val="21"/>
              </w:rPr>
            </w:pPr>
            <w:r>
              <w:rPr>
                <w:rFonts w:hint="eastAsia"/>
                <w:color w:val="auto"/>
                <w:sz w:val="21"/>
                <w:szCs w:val="20"/>
              </w:rPr>
              <w:t>·空气分配管及配气支管应采用特定调节支架固定于池底，该支架应能够满足上下调节以弥补土建池底不平带来的误差，同时还能够前后调节以防止热胀冷缩所带来的对管道的损坏。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1"/>
              </w:rPr>
            </w:pPr>
            <w:r>
              <w:rPr>
                <w:rFonts w:hint="eastAsia"/>
                <w:color w:val="auto"/>
                <w:sz w:val="21"/>
                <w:szCs w:val="21"/>
              </w:rPr>
              <w:t>说明</w:t>
            </w:r>
          </w:p>
        </w:tc>
        <w:tc>
          <w:tcPr>
            <w:tcW w:w="7885" w:type="dxa"/>
            <w:vAlign w:val="center"/>
          </w:tcPr>
          <w:p>
            <w:pPr>
              <w:pStyle w:val="29"/>
              <w:ind w:firstLine="412"/>
              <w:rPr>
                <w:rFonts w:cs="Arial" w:asciiTheme="minorEastAsia" w:hAnsiTheme="minorEastAsia"/>
                <w:color w:val="auto"/>
                <w:sz w:val="21"/>
                <w:szCs w:val="21"/>
              </w:rPr>
            </w:pPr>
            <w:r>
              <w:rPr>
                <w:rFonts w:hint="eastAsia"/>
                <w:color w:val="auto"/>
                <w:sz w:val="21"/>
                <w:szCs w:val="20"/>
              </w:rPr>
              <w:t>滤池底部反冲洗主管、支管配气系统应由深床滤池制造商成套供货，并在中标后提供具体安装图。</w:t>
            </w:r>
          </w:p>
        </w:tc>
      </w:tr>
    </w:tbl>
    <w:p>
      <w:pPr>
        <w:pStyle w:val="29"/>
        <w:ind w:firstLine="472"/>
        <w:rPr>
          <w:color w:val="auto"/>
        </w:rPr>
      </w:pPr>
    </w:p>
    <w:p>
      <w:pPr>
        <w:pStyle w:val="31"/>
        <w:rPr>
          <w:color w:val="auto"/>
        </w:rPr>
      </w:pPr>
      <w:r>
        <w:rPr>
          <w:rFonts w:hint="eastAsia"/>
          <w:color w:val="auto"/>
        </w:rPr>
        <w:t>反冲洗水泵及反冲洗废水泵</w:t>
      </w:r>
    </w:p>
    <w:tbl>
      <w:tblPr>
        <w:tblStyle w:val="24"/>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275"/>
        <w:gridCol w:w="2552"/>
        <w:gridCol w:w="1417"/>
        <w:gridCol w:w="851"/>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0"/>
              </w:rPr>
            </w:pPr>
            <w:r>
              <w:rPr>
                <w:rFonts w:hint="eastAsia"/>
                <w:color w:val="auto"/>
                <w:sz w:val="21"/>
                <w:szCs w:val="21"/>
              </w:rPr>
              <w:t>序号</w:t>
            </w:r>
          </w:p>
        </w:tc>
        <w:tc>
          <w:tcPr>
            <w:tcW w:w="1275" w:type="dxa"/>
            <w:vAlign w:val="center"/>
          </w:tcPr>
          <w:p>
            <w:pPr>
              <w:pStyle w:val="29"/>
              <w:ind w:firstLine="0" w:firstLineChars="0"/>
              <w:jc w:val="center"/>
              <w:rPr>
                <w:rFonts w:cs="Arial" w:asciiTheme="minorEastAsia" w:hAnsiTheme="minorEastAsia"/>
                <w:color w:val="auto"/>
                <w:spacing w:val="0"/>
                <w:sz w:val="22"/>
                <w:szCs w:val="21"/>
              </w:rPr>
            </w:pPr>
            <w:r>
              <w:rPr>
                <w:rFonts w:hint="eastAsia"/>
                <w:color w:val="auto"/>
                <w:sz w:val="21"/>
                <w:szCs w:val="21"/>
              </w:rPr>
              <w:t>名称</w:t>
            </w:r>
          </w:p>
        </w:tc>
        <w:tc>
          <w:tcPr>
            <w:tcW w:w="2552" w:type="dxa"/>
            <w:vAlign w:val="center"/>
          </w:tcPr>
          <w:p>
            <w:pPr>
              <w:pStyle w:val="29"/>
              <w:ind w:firstLine="0" w:firstLineChars="0"/>
              <w:jc w:val="center"/>
              <w:rPr>
                <w:rFonts w:cs="Arial" w:asciiTheme="minorEastAsia" w:hAnsiTheme="minorEastAsia"/>
                <w:color w:val="auto"/>
                <w:spacing w:val="0"/>
                <w:sz w:val="22"/>
                <w:szCs w:val="21"/>
              </w:rPr>
            </w:pPr>
            <w:r>
              <w:rPr>
                <w:rFonts w:hint="eastAsia"/>
                <w:color w:val="auto"/>
                <w:sz w:val="21"/>
                <w:szCs w:val="21"/>
              </w:rPr>
              <w:t>规格</w:t>
            </w:r>
          </w:p>
        </w:tc>
        <w:tc>
          <w:tcPr>
            <w:tcW w:w="1417" w:type="dxa"/>
            <w:vAlign w:val="center"/>
          </w:tcPr>
          <w:p>
            <w:pPr>
              <w:pStyle w:val="29"/>
              <w:ind w:firstLine="0" w:firstLineChars="0"/>
              <w:jc w:val="center"/>
              <w:rPr>
                <w:rFonts w:cs="Arial" w:asciiTheme="minorEastAsia" w:hAnsiTheme="minorEastAsia"/>
                <w:color w:val="auto"/>
                <w:spacing w:val="0"/>
                <w:sz w:val="22"/>
                <w:szCs w:val="21"/>
              </w:rPr>
            </w:pPr>
            <w:r>
              <w:rPr>
                <w:rFonts w:hint="eastAsia"/>
                <w:color w:val="auto"/>
                <w:sz w:val="21"/>
                <w:szCs w:val="21"/>
              </w:rPr>
              <w:t>单位</w:t>
            </w:r>
          </w:p>
        </w:tc>
        <w:tc>
          <w:tcPr>
            <w:tcW w:w="851" w:type="dxa"/>
            <w:vAlign w:val="center"/>
          </w:tcPr>
          <w:p>
            <w:pPr>
              <w:pStyle w:val="29"/>
              <w:ind w:firstLine="0" w:firstLineChars="0"/>
              <w:jc w:val="center"/>
              <w:rPr>
                <w:rFonts w:cs="Arial" w:asciiTheme="minorEastAsia" w:hAnsiTheme="minorEastAsia"/>
                <w:color w:val="auto"/>
                <w:spacing w:val="0"/>
                <w:sz w:val="22"/>
                <w:szCs w:val="21"/>
              </w:rPr>
            </w:pPr>
            <w:r>
              <w:rPr>
                <w:rFonts w:hint="eastAsia"/>
                <w:color w:val="auto"/>
                <w:sz w:val="21"/>
                <w:szCs w:val="21"/>
              </w:rPr>
              <w:t>数量</w:t>
            </w:r>
          </w:p>
        </w:tc>
        <w:tc>
          <w:tcPr>
            <w:tcW w:w="1790" w:type="dxa"/>
            <w:vAlign w:val="center"/>
          </w:tcPr>
          <w:p>
            <w:pPr>
              <w:pStyle w:val="29"/>
              <w:ind w:firstLine="0" w:firstLineChars="0"/>
              <w:jc w:val="center"/>
              <w:rPr>
                <w:rFonts w:cs="Arial" w:asciiTheme="minorEastAsia" w:hAnsiTheme="minorEastAsia"/>
                <w:color w:val="auto"/>
                <w:spacing w:val="0"/>
                <w:sz w:val="22"/>
                <w:szCs w:val="21"/>
              </w:rPr>
            </w:pPr>
            <w:r>
              <w:rPr>
                <w:rFonts w:hint="eastAsia"/>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1"/>
              </w:rPr>
            </w:pPr>
            <w:r>
              <w:rPr>
                <w:rFonts w:hint="eastAsia"/>
                <w:color w:val="auto"/>
                <w:sz w:val="21"/>
                <w:szCs w:val="21"/>
              </w:rPr>
              <w:t>1</w:t>
            </w:r>
          </w:p>
        </w:tc>
        <w:tc>
          <w:tcPr>
            <w:tcW w:w="1275" w:type="dxa"/>
            <w:vAlign w:val="center"/>
          </w:tcPr>
          <w:p>
            <w:pPr>
              <w:pStyle w:val="29"/>
              <w:ind w:firstLine="0" w:firstLineChars="0"/>
              <w:jc w:val="center"/>
              <w:rPr>
                <w:rFonts w:cs="Arial" w:asciiTheme="minorEastAsia" w:hAnsiTheme="minorEastAsia"/>
                <w:color w:val="auto"/>
                <w:spacing w:val="0"/>
                <w:sz w:val="21"/>
                <w:szCs w:val="21"/>
              </w:rPr>
            </w:pPr>
            <w:r>
              <w:rPr>
                <w:rFonts w:hint="eastAsia"/>
                <w:color w:val="auto"/>
                <w:sz w:val="21"/>
                <w:szCs w:val="21"/>
              </w:rPr>
              <w:t>反洗水泵</w:t>
            </w:r>
          </w:p>
        </w:tc>
        <w:tc>
          <w:tcPr>
            <w:tcW w:w="2552" w:type="dxa"/>
            <w:vAlign w:val="center"/>
          </w:tcPr>
          <w:p>
            <w:pPr>
              <w:pStyle w:val="29"/>
              <w:ind w:firstLine="0" w:firstLineChars="0"/>
              <w:jc w:val="center"/>
              <w:rPr>
                <w:rFonts w:cs="Arial" w:asciiTheme="minorEastAsia" w:hAnsiTheme="minorEastAsia"/>
                <w:color w:val="auto"/>
                <w:spacing w:val="0"/>
                <w:sz w:val="21"/>
                <w:szCs w:val="21"/>
              </w:rPr>
            </w:pPr>
            <w:r>
              <w:rPr>
                <w:rFonts w:hint="eastAsia"/>
                <w:color w:val="auto"/>
                <w:sz w:val="21"/>
                <w:szCs w:val="21"/>
              </w:rPr>
              <w:t>Q=1120m³/h H=11m N=55kW</w:t>
            </w:r>
          </w:p>
        </w:tc>
        <w:tc>
          <w:tcPr>
            <w:tcW w:w="1417" w:type="dxa"/>
            <w:vAlign w:val="center"/>
          </w:tcPr>
          <w:p>
            <w:pPr>
              <w:pStyle w:val="29"/>
              <w:ind w:firstLine="0" w:firstLineChars="0"/>
              <w:jc w:val="center"/>
              <w:rPr>
                <w:rFonts w:cs="Arial" w:asciiTheme="minorEastAsia" w:hAnsiTheme="minorEastAsia"/>
                <w:color w:val="auto"/>
                <w:spacing w:val="0"/>
                <w:sz w:val="21"/>
                <w:szCs w:val="21"/>
              </w:rPr>
            </w:pPr>
            <w:r>
              <w:rPr>
                <w:rFonts w:hint="eastAsia"/>
                <w:color w:val="auto"/>
                <w:sz w:val="21"/>
                <w:szCs w:val="21"/>
              </w:rPr>
              <w:t>台</w:t>
            </w:r>
          </w:p>
        </w:tc>
        <w:tc>
          <w:tcPr>
            <w:tcW w:w="851" w:type="dxa"/>
            <w:vAlign w:val="center"/>
          </w:tcPr>
          <w:p>
            <w:pPr>
              <w:pStyle w:val="29"/>
              <w:ind w:firstLine="0" w:firstLineChars="0"/>
              <w:jc w:val="center"/>
              <w:rPr>
                <w:rFonts w:cs="Arial" w:asciiTheme="minorEastAsia" w:hAnsiTheme="minorEastAsia"/>
                <w:color w:val="auto"/>
                <w:spacing w:val="0"/>
                <w:sz w:val="21"/>
                <w:szCs w:val="21"/>
              </w:rPr>
            </w:pPr>
            <w:r>
              <w:rPr>
                <w:rFonts w:hint="eastAsia"/>
                <w:color w:val="auto"/>
                <w:sz w:val="21"/>
                <w:szCs w:val="21"/>
              </w:rPr>
              <w:t>2</w:t>
            </w:r>
          </w:p>
        </w:tc>
        <w:tc>
          <w:tcPr>
            <w:tcW w:w="1790" w:type="dxa"/>
            <w:vAlign w:val="center"/>
          </w:tcPr>
          <w:p>
            <w:pPr>
              <w:pStyle w:val="29"/>
              <w:ind w:firstLine="0" w:firstLineChars="0"/>
              <w:jc w:val="center"/>
              <w:rPr>
                <w:rFonts w:cs="Arial" w:asciiTheme="minorEastAsia" w:hAnsiTheme="minorEastAsia"/>
                <w:color w:val="auto"/>
                <w:spacing w:val="0"/>
                <w:sz w:val="21"/>
                <w:szCs w:val="21"/>
              </w:rPr>
            </w:pPr>
            <w:r>
              <w:rPr>
                <w:rFonts w:hint="eastAsia"/>
                <w:color w:val="auto"/>
                <w:sz w:val="21"/>
                <w:szCs w:val="21"/>
              </w:rPr>
              <w:t>1用1备，变频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1"/>
              </w:rPr>
            </w:pPr>
            <w:r>
              <w:rPr>
                <w:rFonts w:hint="eastAsia"/>
                <w:color w:val="auto"/>
                <w:sz w:val="21"/>
                <w:szCs w:val="21"/>
              </w:rPr>
              <w:t>2</w:t>
            </w:r>
          </w:p>
        </w:tc>
        <w:tc>
          <w:tcPr>
            <w:tcW w:w="1275" w:type="dxa"/>
            <w:vAlign w:val="center"/>
          </w:tcPr>
          <w:p>
            <w:pPr>
              <w:pStyle w:val="29"/>
              <w:ind w:firstLine="0" w:firstLineChars="0"/>
              <w:jc w:val="center"/>
              <w:rPr>
                <w:color w:val="auto"/>
                <w:sz w:val="21"/>
                <w:szCs w:val="21"/>
              </w:rPr>
            </w:pPr>
            <w:r>
              <w:rPr>
                <w:rFonts w:hint="eastAsia"/>
                <w:color w:val="auto"/>
                <w:sz w:val="21"/>
                <w:szCs w:val="21"/>
              </w:rPr>
              <w:t>潜污泵</w:t>
            </w:r>
          </w:p>
        </w:tc>
        <w:tc>
          <w:tcPr>
            <w:tcW w:w="2552" w:type="dxa"/>
            <w:vAlign w:val="center"/>
          </w:tcPr>
          <w:p>
            <w:pPr>
              <w:pStyle w:val="29"/>
              <w:ind w:firstLine="0" w:firstLineChars="0"/>
              <w:jc w:val="center"/>
              <w:rPr>
                <w:color w:val="auto"/>
                <w:sz w:val="21"/>
                <w:szCs w:val="21"/>
              </w:rPr>
            </w:pPr>
            <w:r>
              <w:rPr>
                <w:rFonts w:hint="eastAsia"/>
                <w:color w:val="auto"/>
                <w:sz w:val="21"/>
                <w:szCs w:val="21"/>
              </w:rPr>
              <w:t>Q=470m³/h，H=9.0m，P=18.5kW</w:t>
            </w:r>
          </w:p>
        </w:tc>
        <w:tc>
          <w:tcPr>
            <w:tcW w:w="1417" w:type="dxa"/>
            <w:vAlign w:val="center"/>
          </w:tcPr>
          <w:p>
            <w:pPr>
              <w:pStyle w:val="29"/>
              <w:ind w:firstLine="0" w:firstLineChars="0"/>
              <w:jc w:val="center"/>
              <w:rPr>
                <w:color w:val="auto"/>
                <w:sz w:val="21"/>
                <w:szCs w:val="21"/>
              </w:rPr>
            </w:pPr>
            <w:r>
              <w:rPr>
                <w:rFonts w:hint="eastAsia"/>
                <w:color w:val="auto"/>
                <w:sz w:val="21"/>
                <w:szCs w:val="21"/>
              </w:rPr>
              <w:t>台</w:t>
            </w:r>
          </w:p>
        </w:tc>
        <w:tc>
          <w:tcPr>
            <w:tcW w:w="851" w:type="dxa"/>
            <w:vAlign w:val="center"/>
          </w:tcPr>
          <w:p>
            <w:pPr>
              <w:pStyle w:val="29"/>
              <w:ind w:firstLine="0" w:firstLineChars="0"/>
              <w:jc w:val="center"/>
              <w:rPr>
                <w:color w:val="auto"/>
                <w:sz w:val="21"/>
                <w:szCs w:val="21"/>
              </w:rPr>
            </w:pPr>
            <w:r>
              <w:rPr>
                <w:rFonts w:hint="eastAsia"/>
                <w:color w:val="auto"/>
                <w:sz w:val="21"/>
                <w:szCs w:val="21"/>
              </w:rPr>
              <w:t>2</w:t>
            </w:r>
          </w:p>
        </w:tc>
        <w:tc>
          <w:tcPr>
            <w:tcW w:w="1790" w:type="dxa"/>
            <w:vAlign w:val="center"/>
          </w:tcPr>
          <w:p>
            <w:pPr>
              <w:pStyle w:val="29"/>
              <w:ind w:firstLine="0" w:firstLineChars="0"/>
              <w:jc w:val="center"/>
              <w:rPr>
                <w:color w:val="auto"/>
                <w:sz w:val="21"/>
                <w:szCs w:val="21"/>
              </w:rPr>
            </w:pPr>
            <w:r>
              <w:rPr>
                <w:rFonts w:hint="eastAsia"/>
                <w:color w:val="auto"/>
                <w:sz w:val="21"/>
                <w:szCs w:val="21"/>
              </w:rPr>
              <w:t>变频，1用1备，用于废水调节池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0"/>
              </w:rPr>
            </w:pPr>
            <w:r>
              <w:rPr>
                <w:rFonts w:hint="eastAsia"/>
                <w:color w:val="auto"/>
                <w:sz w:val="21"/>
                <w:szCs w:val="20"/>
              </w:rPr>
              <w:t>供货范围</w:t>
            </w:r>
          </w:p>
        </w:tc>
        <w:tc>
          <w:tcPr>
            <w:tcW w:w="7885" w:type="dxa"/>
            <w:gridSpan w:val="5"/>
            <w:vAlign w:val="center"/>
          </w:tcPr>
          <w:p>
            <w:pPr>
              <w:pStyle w:val="29"/>
              <w:ind w:firstLine="412"/>
              <w:rPr>
                <w:color w:val="auto"/>
                <w:sz w:val="21"/>
                <w:szCs w:val="20"/>
              </w:rPr>
            </w:pPr>
            <w:r>
              <w:rPr>
                <w:rFonts w:hint="eastAsia"/>
                <w:color w:val="auto"/>
                <w:sz w:val="21"/>
                <w:szCs w:val="20"/>
              </w:rPr>
              <w:t>承包商提供的潜水离心泵应为成套装置，均需配备耦合装置（含出水弯座）、导杆/索、提升链、潜水电缆、紧固件等有效和安全运行所必需的附件及保护继电器。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0"/>
              </w:rPr>
            </w:pPr>
            <w:r>
              <w:rPr>
                <w:rFonts w:hint="eastAsia"/>
                <w:color w:val="auto"/>
                <w:sz w:val="21"/>
                <w:szCs w:val="20"/>
              </w:rPr>
              <w:t>性能要求</w:t>
            </w:r>
          </w:p>
        </w:tc>
        <w:tc>
          <w:tcPr>
            <w:tcW w:w="7885" w:type="dxa"/>
            <w:gridSpan w:val="5"/>
            <w:vAlign w:val="center"/>
          </w:tcPr>
          <w:p>
            <w:pPr>
              <w:pStyle w:val="29"/>
              <w:ind w:firstLine="412"/>
              <w:rPr>
                <w:color w:val="auto"/>
                <w:sz w:val="21"/>
                <w:szCs w:val="20"/>
              </w:rPr>
            </w:pPr>
            <w:r>
              <w:rPr>
                <w:rFonts w:hint="eastAsia"/>
                <w:color w:val="auto"/>
                <w:sz w:val="21"/>
                <w:szCs w:val="20"/>
              </w:rPr>
              <w:t>泵应采用立式潜水泵；潜水电机直接与泵叶轮同轴相连，水力部件由水泵壳体、叶轮和耐磨环组成。水泵壳体的出水口应为径向出水口，出水口中心线应与电机中心线在同一平面内。为了确保流量稳定且没有过多涡旋，水力部件应设计和制造成没有锐利的棱角。泵出水配管法兰应按ISO标准,公称压力1MPa为准。</w:t>
            </w:r>
          </w:p>
          <w:p>
            <w:pPr>
              <w:pStyle w:val="29"/>
              <w:ind w:firstLine="412"/>
              <w:rPr>
                <w:rFonts w:cs="Arial" w:asciiTheme="minorEastAsia" w:hAnsiTheme="minorEastAsia"/>
                <w:color w:val="auto"/>
                <w:szCs w:val="21"/>
              </w:rPr>
            </w:pPr>
            <w:r>
              <w:rPr>
                <w:rFonts w:hint="eastAsia"/>
                <w:color w:val="auto"/>
                <w:sz w:val="21"/>
                <w:szCs w:val="20"/>
              </w:rPr>
              <w:t>除非另有规定，潜水离心泵输送的介质为含有固体颗粒的污水。潜水泵应能通过固体颗粒以及长纤维，并应能通过破布、废纸和塑料等而不发生堵塞现象。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0"/>
              </w:rPr>
            </w:pPr>
            <w:r>
              <w:rPr>
                <w:rFonts w:hint="eastAsia"/>
                <w:color w:val="auto"/>
                <w:sz w:val="21"/>
                <w:szCs w:val="20"/>
              </w:rPr>
              <w:t>技术要求</w:t>
            </w:r>
          </w:p>
        </w:tc>
        <w:tc>
          <w:tcPr>
            <w:tcW w:w="7885" w:type="dxa"/>
            <w:gridSpan w:val="5"/>
            <w:vAlign w:val="center"/>
          </w:tcPr>
          <w:p>
            <w:pPr>
              <w:pStyle w:val="29"/>
              <w:ind w:firstLine="412"/>
              <w:rPr>
                <w:color w:val="auto"/>
                <w:sz w:val="21"/>
                <w:szCs w:val="20"/>
              </w:rPr>
            </w:pPr>
            <w:r>
              <w:rPr>
                <w:rFonts w:hint="eastAsia"/>
                <w:color w:val="auto"/>
                <w:sz w:val="21"/>
                <w:szCs w:val="20"/>
              </w:rPr>
              <w:t>a.泵壳</w:t>
            </w:r>
          </w:p>
          <w:p>
            <w:pPr>
              <w:pStyle w:val="29"/>
              <w:ind w:firstLine="412"/>
              <w:rPr>
                <w:color w:val="auto"/>
                <w:sz w:val="21"/>
                <w:szCs w:val="20"/>
              </w:rPr>
            </w:pPr>
            <w:r>
              <w:rPr>
                <w:rFonts w:hint="eastAsia"/>
                <w:color w:val="auto"/>
                <w:sz w:val="21"/>
                <w:szCs w:val="20"/>
              </w:rPr>
              <w:t>泵壳采用灰铸铁整体浇铸，其材料牌号应至少为GG25（35B等级、DIN1691）铸铁或以上，泵壳内表面经喷砂、打磨后应光滑、无疵瑕，所有水流通过部分应设计成无锐角形式，以使流速和流态变化趋于平稳。流道的断面应足够大，以使相应粒径的杂物能通过。泵壳要有足够的厚度来承受所有的载荷，包括要求的静水试验压力以及连续工作的最大压力。</w:t>
            </w:r>
          </w:p>
          <w:p>
            <w:pPr>
              <w:pStyle w:val="29"/>
              <w:ind w:firstLine="412"/>
              <w:rPr>
                <w:color w:val="auto"/>
                <w:sz w:val="21"/>
                <w:szCs w:val="20"/>
              </w:rPr>
            </w:pPr>
            <w:r>
              <w:rPr>
                <w:rFonts w:hint="eastAsia"/>
                <w:color w:val="auto"/>
                <w:sz w:val="21"/>
                <w:szCs w:val="20"/>
              </w:rPr>
              <w:t>除有其它说明外，所有要求水密封的接触面都必须作机械加工和设置Ｏ型圈，靠金属加工面之间的接触，使Ｏ型圈受压达到密封的装配，而不需要施加特殊的外力。</w:t>
            </w:r>
          </w:p>
          <w:p>
            <w:pPr>
              <w:pStyle w:val="29"/>
              <w:ind w:firstLine="412"/>
              <w:rPr>
                <w:color w:val="auto"/>
                <w:sz w:val="21"/>
                <w:szCs w:val="20"/>
              </w:rPr>
            </w:pPr>
            <w:r>
              <w:rPr>
                <w:rFonts w:hint="eastAsia"/>
                <w:color w:val="auto"/>
                <w:sz w:val="21"/>
                <w:szCs w:val="20"/>
              </w:rPr>
              <w:t>b.叶轮</w:t>
            </w:r>
          </w:p>
          <w:p>
            <w:pPr>
              <w:pStyle w:val="29"/>
              <w:ind w:firstLine="412"/>
              <w:rPr>
                <w:color w:val="auto"/>
                <w:sz w:val="21"/>
                <w:szCs w:val="20"/>
              </w:rPr>
            </w:pPr>
            <w:r>
              <w:rPr>
                <w:rFonts w:hint="eastAsia"/>
                <w:color w:val="auto"/>
                <w:sz w:val="21"/>
                <w:szCs w:val="20"/>
              </w:rPr>
              <w:t>采用无堵塞离心式叶轮。为无阻塞流道设计，其长流道无剧烈拐角，确保叶轮在输送常规的市政污水时不会产生堵塞。</w:t>
            </w:r>
          </w:p>
          <w:p>
            <w:pPr>
              <w:pStyle w:val="29"/>
              <w:ind w:firstLine="412"/>
              <w:rPr>
                <w:color w:val="auto"/>
                <w:sz w:val="21"/>
                <w:szCs w:val="20"/>
              </w:rPr>
            </w:pPr>
            <w:r>
              <w:rPr>
                <w:rFonts w:hint="eastAsia"/>
                <w:color w:val="auto"/>
                <w:sz w:val="21"/>
                <w:szCs w:val="20"/>
              </w:rPr>
              <w:t>叶轮应进行动平衡试验，动平衡精度应不低于ISO1940G6.3级。</w:t>
            </w:r>
          </w:p>
          <w:p>
            <w:pPr>
              <w:pStyle w:val="29"/>
              <w:ind w:firstLine="412"/>
              <w:rPr>
                <w:color w:val="auto"/>
                <w:sz w:val="21"/>
                <w:szCs w:val="20"/>
              </w:rPr>
            </w:pPr>
            <w:r>
              <w:rPr>
                <w:rFonts w:hint="eastAsia"/>
                <w:color w:val="auto"/>
                <w:sz w:val="21"/>
                <w:szCs w:val="20"/>
              </w:rPr>
              <w:t>c.泵轴</w:t>
            </w:r>
          </w:p>
          <w:p>
            <w:pPr>
              <w:pStyle w:val="29"/>
              <w:ind w:firstLine="412"/>
              <w:rPr>
                <w:color w:val="auto"/>
                <w:sz w:val="21"/>
                <w:szCs w:val="20"/>
              </w:rPr>
            </w:pPr>
            <w:r>
              <w:rPr>
                <w:rFonts w:hint="eastAsia"/>
                <w:color w:val="auto"/>
                <w:sz w:val="21"/>
                <w:szCs w:val="20"/>
              </w:rPr>
              <w:t>泵轴和电机轴必须为整体结构，并与泵送的液体完全分开。</w:t>
            </w:r>
          </w:p>
          <w:p>
            <w:pPr>
              <w:pStyle w:val="29"/>
              <w:ind w:firstLine="412"/>
              <w:rPr>
                <w:color w:val="auto"/>
                <w:sz w:val="21"/>
                <w:szCs w:val="20"/>
              </w:rPr>
            </w:pPr>
            <w:r>
              <w:rPr>
                <w:rFonts w:hint="eastAsia"/>
                <w:color w:val="auto"/>
                <w:sz w:val="21"/>
                <w:szCs w:val="20"/>
              </w:rPr>
              <w:t>d.轴承</w:t>
            </w:r>
          </w:p>
          <w:p>
            <w:pPr>
              <w:pStyle w:val="29"/>
              <w:ind w:firstLine="412"/>
              <w:rPr>
                <w:color w:val="auto"/>
                <w:sz w:val="21"/>
                <w:szCs w:val="20"/>
              </w:rPr>
            </w:pPr>
            <w:r>
              <w:rPr>
                <w:rFonts w:hint="eastAsia"/>
                <w:color w:val="auto"/>
                <w:sz w:val="21"/>
                <w:szCs w:val="20"/>
              </w:rPr>
              <w:t>应采用高质量的终身润滑轴承，轴承使用寿命L10应大于100000小时。</w:t>
            </w:r>
          </w:p>
          <w:p>
            <w:pPr>
              <w:pStyle w:val="29"/>
              <w:ind w:firstLine="412"/>
              <w:rPr>
                <w:color w:val="auto"/>
                <w:sz w:val="21"/>
                <w:szCs w:val="20"/>
              </w:rPr>
            </w:pPr>
            <w:r>
              <w:rPr>
                <w:rFonts w:hint="eastAsia"/>
                <w:color w:val="auto"/>
                <w:sz w:val="21"/>
                <w:szCs w:val="20"/>
              </w:rPr>
              <w:t>e.耐磨环</w:t>
            </w:r>
          </w:p>
          <w:p>
            <w:pPr>
              <w:pStyle w:val="29"/>
              <w:ind w:firstLine="412"/>
              <w:rPr>
                <w:color w:val="auto"/>
                <w:sz w:val="21"/>
                <w:szCs w:val="20"/>
              </w:rPr>
            </w:pPr>
            <w:r>
              <w:rPr>
                <w:rFonts w:hint="eastAsia"/>
                <w:color w:val="auto"/>
                <w:sz w:val="21"/>
                <w:szCs w:val="20"/>
              </w:rPr>
              <w:t>如叶轮为无堵塞离心式，为了在蜗壳和叶轮间能有效密封，应安装耐磨环。耐磨环必须可靠地紧固在叶轮和泵壳上，在正常运行条件下或泵逆向运转时都不会发生松动。耐磨环的结构形式应考虑到容易拆除和更换。</w:t>
            </w:r>
          </w:p>
          <w:p>
            <w:pPr>
              <w:pStyle w:val="29"/>
              <w:ind w:firstLine="412"/>
              <w:rPr>
                <w:color w:val="auto"/>
                <w:sz w:val="21"/>
                <w:szCs w:val="20"/>
              </w:rPr>
            </w:pPr>
            <w:r>
              <w:rPr>
                <w:rFonts w:hint="eastAsia"/>
                <w:color w:val="auto"/>
                <w:sz w:val="21"/>
                <w:szCs w:val="20"/>
              </w:rPr>
              <w:t>f.机械密封</w:t>
            </w:r>
          </w:p>
          <w:p>
            <w:pPr>
              <w:pStyle w:val="29"/>
              <w:ind w:firstLine="412"/>
              <w:rPr>
                <w:color w:val="auto"/>
                <w:sz w:val="21"/>
                <w:szCs w:val="20"/>
              </w:rPr>
            </w:pPr>
            <w:r>
              <w:rPr>
                <w:rFonts w:hint="eastAsia"/>
                <w:color w:val="auto"/>
                <w:sz w:val="21"/>
                <w:szCs w:val="20"/>
              </w:rPr>
              <w:t>采用两个上下双重独立的高质量机械密封系统。机械密封的设计可以顺时针或逆时针转动，而不会带来不良后果。机械密封均采用耐腐蚀烧结碳化硅/碳化硅。介质酸碱度范围为PH6～10。</w:t>
            </w:r>
          </w:p>
          <w:p>
            <w:pPr>
              <w:pStyle w:val="29"/>
              <w:ind w:firstLine="412"/>
              <w:rPr>
                <w:color w:val="auto"/>
                <w:sz w:val="21"/>
                <w:szCs w:val="20"/>
              </w:rPr>
            </w:pPr>
            <w:r>
              <w:rPr>
                <w:rFonts w:hint="eastAsia"/>
                <w:color w:val="auto"/>
                <w:sz w:val="21"/>
                <w:szCs w:val="20"/>
              </w:rPr>
              <w:t>两机械密封间应有一油室，油室应防止过满和留有油膨胀的空间。</w:t>
            </w:r>
          </w:p>
          <w:p>
            <w:pPr>
              <w:pStyle w:val="29"/>
              <w:ind w:firstLine="412"/>
              <w:rPr>
                <w:color w:val="auto"/>
                <w:sz w:val="21"/>
                <w:szCs w:val="20"/>
              </w:rPr>
            </w:pPr>
            <w:r>
              <w:rPr>
                <w:rFonts w:hint="eastAsia"/>
                <w:color w:val="auto"/>
                <w:sz w:val="21"/>
                <w:szCs w:val="20"/>
              </w:rPr>
              <w:t>机械密封应该是免维护的，润滑油与被输送液体相隔开，应能抵抗热冲击，并具有良好紧急运行的特点。</w:t>
            </w:r>
          </w:p>
          <w:p>
            <w:pPr>
              <w:pStyle w:val="29"/>
              <w:ind w:firstLine="412"/>
              <w:rPr>
                <w:color w:val="auto"/>
                <w:sz w:val="21"/>
                <w:szCs w:val="20"/>
              </w:rPr>
            </w:pPr>
            <w:r>
              <w:rPr>
                <w:rFonts w:hint="eastAsia"/>
                <w:color w:val="auto"/>
                <w:sz w:val="21"/>
                <w:szCs w:val="20"/>
              </w:rPr>
              <w:t>制造厂应保证机械密封的使用寿命不低于25000小时。</w:t>
            </w:r>
          </w:p>
          <w:p>
            <w:pPr>
              <w:pStyle w:val="29"/>
              <w:ind w:firstLine="412"/>
              <w:rPr>
                <w:color w:val="auto"/>
                <w:sz w:val="21"/>
                <w:szCs w:val="20"/>
              </w:rPr>
            </w:pPr>
            <w:r>
              <w:rPr>
                <w:rFonts w:hint="eastAsia"/>
                <w:color w:val="auto"/>
                <w:sz w:val="21"/>
                <w:szCs w:val="20"/>
              </w:rPr>
              <w:t>g.冷却系统</w:t>
            </w:r>
          </w:p>
          <w:p>
            <w:pPr>
              <w:pStyle w:val="29"/>
              <w:ind w:firstLine="412"/>
              <w:rPr>
                <w:color w:val="auto"/>
                <w:sz w:val="21"/>
                <w:szCs w:val="20"/>
              </w:rPr>
            </w:pPr>
            <w:r>
              <w:rPr>
                <w:rFonts w:hint="eastAsia"/>
                <w:color w:val="auto"/>
                <w:sz w:val="21"/>
                <w:szCs w:val="20"/>
              </w:rPr>
              <w:t>潜水电机的冷却通过定子向壳体周围搅拌介质的热传导来完成，不需要额外的冷却系统。</w:t>
            </w:r>
          </w:p>
          <w:p>
            <w:pPr>
              <w:pStyle w:val="29"/>
              <w:ind w:firstLine="412"/>
              <w:rPr>
                <w:color w:val="auto"/>
                <w:sz w:val="21"/>
                <w:szCs w:val="20"/>
              </w:rPr>
            </w:pPr>
            <w:r>
              <w:rPr>
                <w:rFonts w:hint="eastAsia"/>
                <w:color w:val="auto"/>
                <w:sz w:val="21"/>
                <w:szCs w:val="20"/>
              </w:rPr>
              <w:t>h.电机</w:t>
            </w:r>
          </w:p>
          <w:p>
            <w:pPr>
              <w:pStyle w:val="29"/>
              <w:ind w:firstLine="412"/>
              <w:rPr>
                <w:color w:val="auto"/>
                <w:sz w:val="21"/>
                <w:szCs w:val="20"/>
              </w:rPr>
            </w:pPr>
            <w:r>
              <w:rPr>
                <w:rFonts w:hint="eastAsia"/>
                <w:color w:val="auto"/>
                <w:sz w:val="21"/>
                <w:szCs w:val="20"/>
              </w:rPr>
              <w:t>电机应为鼠笼潜水电机，3相、380V、50HZ，防护等级IP68，绝缘等级F或H。电机功率的选配应保证在工作范围内任一点运行时，都不会出现过载，在设计流量时的安全余量应不少于10％，在变频运行下的电机安全余量应不少于15%。电机能每小时启动10次。能连接泵送温度最高为40℃的介质，并且定子绕组的平均温升不超过105℃。定子应热压嵌入定子室，并与转子保持合适的间隙。</w:t>
            </w:r>
          </w:p>
          <w:p>
            <w:pPr>
              <w:pStyle w:val="29"/>
              <w:ind w:firstLine="412"/>
              <w:rPr>
                <w:color w:val="auto"/>
                <w:sz w:val="21"/>
                <w:szCs w:val="20"/>
              </w:rPr>
            </w:pPr>
            <w:r>
              <w:rPr>
                <w:rFonts w:hint="eastAsia"/>
                <w:color w:val="auto"/>
                <w:sz w:val="21"/>
                <w:szCs w:val="20"/>
              </w:rPr>
              <w:t>i.电缆和电缆密封</w:t>
            </w:r>
          </w:p>
          <w:p>
            <w:pPr>
              <w:pStyle w:val="29"/>
              <w:ind w:firstLine="412"/>
              <w:rPr>
                <w:color w:val="auto"/>
                <w:sz w:val="21"/>
                <w:szCs w:val="20"/>
              </w:rPr>
            </w:pPr>
            <w:r>
              <w:rPr>
                <w:rFonts w:hint="eastAsia"/>
                <w:color w:val="auto"/>
                <w:sz w:val="21"/>
                <w:szCs w:val="20"/>
              </w:rPr>
              <w:t>电机应配有控制和动力水下电缆，每根电缆都有一个单独的进口，并进行可靠的密封，如果动力电缆是多芯电缆，则每根电缆还要进行单独密封。电缆应伸进接线室。为了达到最大限度地保护电机，即使在偶然的不正常运行情况下，电缆损坏且电机仍在水下，电缆进口也不允许有湿汽进入电机和接线盒。电缆进口应采用三道密封：内侧采用单芯电缆剥皮并镀锡后嵌入树脂中；中间整个电缆嵌入树脂中；最外部用长橡胶环密封。</w:t>
            </w:r>
          </w:p>
          <w:p>
            <w:pPr>
              <w:pStyle w:val="29"/>
              <w:ind w:firstLine="412"/>
              <w:rPr>
                <w:color w:val="auto"/>
                <w:sz w:val="21"/>
                <w:szCs w:val="20"/>
              </w:rPr>
            </w:pPr>
            <w:r>
              <w:rPr>
                <w:rFonts w:hint="eastAsia"/>
                <w:color w:val="auto"/>
                <w:sz w:val="21"/>
                <w:szCs w:val="20"/>
              </w:rPr>
              <w:t>j.水泵保护系统</w:t>
            </w:r>
          </w:p>
          <w:p>
            <w:pPr>
              <w:pStyle w:val="29"/>
              <w:ind w:firstLine="412"/>
              <w:rPr>
                <w:rFonts w:asciiTheme="minorEastAsia" w:hAnsiTheme="minorEastAsia"/>
                <w:color w:val="auto"/>
                <w:szCs w:val="21"/>
              </w:rPr>
            </w:pPr>
            <w:r>
              <w:rPr>
                <w:rFonts w:hint="eastAsia"/>
                <w:color w:val="auto"/>
                <w:sz w:val="21"/>
                <w:szCs w:val="20"/>
              </w:rPr>
              <w:t>泵应设有一套保护系统，用于阻塞、过载、漏水等发出指示，应该在电机或主轴出现严重损坏前发出相关信号。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0"/>
              </w:rPr>
            </w:pPr>
            <w:r>
              <w:rPr>
                <w:rFonts w:hint="eastAsia"/>
                <w:color w:val="auto"/>
                <w:sz w:val="21"/>
                <w:szCs w:val="20"/>
              </w:rPr>
              <w:t>主要材质</w:t>
            </w:r>
          </w:p>
        </w:tc>
        <w:tc>
          <w:tcPr>
            <w:tcW w:w="7885" w:type="dxa"/>
            <w:gridSpan w:val="5"/>
            <w:vAlign w:val="center"/>
          </w:tcPr>
          <w:p>
            <w:pPr>
              <w:pStyle w:val="29"/>
              <w:ind w:firstLine="412"/>
              <w:rPr>
                <w:color w:val="auto"/>
                <w:sz w:val="21"/>
                <w:szCs w:val="20"/>
              </w:rPr>
            </w:pPr>
            <w:r>
              <w:rPr>
                <w:color w:val="auto"/>
                <w:sz w:val="21"/>
                <w:szCs w:val="20"/>
              </w:rPr>
              <w:t>叶轮：CD4MCu及以上不锈钢</w:t>
            </w:r>
          </w:p>
          <w:p>
            <w:pPr>
              <w:pStyle w:val="29"/>
              <w:ind w:firstLine="412"/>
              <w:rPr>
                <w:color w:val="auto"/>
                <w:sz w:val="21"/>
                <w:szCs w:val="20"/>
              </w:rPr>
            </w:pPr>
            <w:r>
              <w:rPr>
                <w:color w:val="auto"/>
                <w:sz w:val="21"/>
                <w:szCs w:val="20"/>
              </w:rPr>
              <w:t>泵、电机壳体： GG25或以上优质铸铁</w:t>
            </w:r>
          </w:p>
          <w:p>
            <w:pPr>
              <w:pStyle w:val="29"/>
              <w:ind w:firstLine="412"/>
              <w:rPr>
                <w:color w:val="auto"/>
                <w:sz w:val="21"/>
                <w:szCs w:val="20"/>
              </w:rPr>
            </w:pPr>
            <w:r>
              <w:rPr>
                <w:color w:val="auto"/>
                <w:sz w:val="21"/>
                <w:szCs w:val="20"/>
              </w:rPr>
              <w:t>主轴：不锈钢420及以上</w:t>
            </w:r>
          </w:p>
          <w:p>
            <w:pPr>
              <w:pStyle w:val="29"/>
              <w:ind w:firstLine="412"/>
              <w:rPr>
                <w:color w:val="auto"/>
                <w:sz w:val="21"/>
                <w:szCs w:val="20"/>
              </w:rPr>
            </w:pPr>
            <w:r>
              <w:rPr>
                <w:color w:val="auto"/>
                <w:sz w:val="21"/>
                <w:szCs w:val="20"/>
              </w:rPr>
              <w:t>提升链：不锈钢304及以上</w:t>
            </w:r>
          </w:p>
          <w:p>
            <w:pPr>
              <w:pStyle w:val="29"/>
              <w:ind w:firstLine="412"/>
              <w:rPr>
                <w:color w:val="auto"/>
                <w:sz w:val="21"/>
                <w:szCs w:val="20"/>
              </w:rPr>
            </w:pPr>
            <w:r>
              <w:rPr>
                <w:color w:val="auto"/>
                <w:sz w:val="21"/>
                <w:szCs w:val="20"/>
              </w:rPr>
              <w:t>导杆/索：不锈钢304及以上</w:t>
            </w:r>
          </w:p>
          <w:p>
            <w:pPr>
              <w:pStyle w:val="29"/>
              <w:ind w:firstLine="412"/>
              <w:rPr>
                <w:color w:val="auto"/>
                <w:sz w:val="21"/>
                <w:szCs w:val="20"/>
              </w:rPr>
            </w:pPr>
            <w:r>
              <w:rPr>
                <w:color w:val="auto"/>
                <w:sz w:val="21"/>
                <w:szCs w:val="20"/>
              </w:rPr>
              <w:t>机械密封：碳化硅</w:t>
            </w:r>
          </w:p>
          <w:p>
            <w:pPr>
              <w:pStyle w:val="29"/>
              <w:ind w:firstLine="412"/>
              <w:rPr>
                <w:rFonts w:asciiTheme="minorEastAsia" w:hAnsiTheme="minorEastAsia"/>
                <w:color w:val="auto"/>
                <w:szCs w:val="21"/>
              </w:rPr>
            </w:pPr>
            <w:r>
              <w:rPr>
                <w:color w:val="auto"/>
                <w:sz w:val="21"/>
                <w:szCs w:val="20"/>
              </w:rPr>
              <w:t>与介质接触紧固件：不锈钢304</w:t>
            </w:r>
          </w:p>
        </w:tc>
      </w:tr>
    </w:tbl>
    <w:p>
      <w:pPr>
        <w:pStyle w:val="29"/>
        <w:ind w:firstLine="472"/>
        <w:rPr>
          <w:color w:val="auto"/>
        </w:rPr>
      </w:pPr>
    </w:p>
    <w:p>
      <w:pPr>
        <w:pStyle w:val="31"/>
        <w:rPr>
          <w:color w:val="auto"/>
        </w:rPr>
      </w:pPr>
      <w:r>
        <w:rPr>
          <w:rFonts w:hint="eastAsia"/>
          <w:color w:val="auto"/>
        </w:rPr>
        <w:t>反冲洗风机</w:t>
      </w:r>
    </w:p>
    <w:tbl>
      <w:tblPr>
        <w:tblStyle w:val="24"/>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559"/>
        <w:gridCol w:w="1417"/>
        <w:gridCol w:w="709"/>
        <w:gridCol w:w="851"/>
        <w:gridCol w:w="3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0"/>
              </w:rPr>
            </w:pPr>
            <w:r>
              <w:rPr>
                <w:rFonts w:hint="eastAsia"/>
                <w:color w:val="auto"/>
                <w:sz w:val="21"/>
                <w:szCs w:val="21"/>
              </w:rPr>
              <w:t>序号</w:t>
            </w:r>
          </w:p>
        </w:tc>
        <w:tc>
          <w:tcPr>
            <w:tcW w:w="1559" w:type="dxa"/>
            <w:vAlign w:val="center"/>
          </w:tcPr>
          <w:p>
            <w:pPr>
              <w:pStyle w:val="29"/>
              <w:ind w:firstLine="0" w:firstLineChars="0"/>
              <w:rPr>
                <w:rFonts w:cs="Arial" w:asciiTheme="minorEastAsia" w:hAnsiTheme="minorEastAsia"/>
                <w:color w:val="auto"/>
                <w:spacing w:val="0"/>
                <w:sz w:val="22"/>
                <w:szCs w:val="21"/>
              </w:rPr>
            </w:pPr>
            <w:r>
              <w:rPr>
                <w:rFonts w:hint="eastAsia"/>
                <w:color w:val="auto"/>
                <w:sz w:val="21"/>
                <w:szCs w:val="21"/>
              </w:rPr>
              <w:t>名称</w:t>
            </w:r>
          </w:p>
        </w:tc>
        <w:tc>
          <w:tcPr>
            <w:tcW w:w="1417" w:type="dxa"/>
            <w:vAlign w:val="center"/>
          </w:tcPr>
          <w:p>
            <w:pPr>
              <w:pStyle w:val="29"/>
              <w:ind w:firstLine="0" w:firstLineChars="0"/>
              <w:rPr>
                <w:rFonts w:cs="Arial" w:asciiTheme="minorEastAsia" w:hAnsiTheme="minorEastAsia"/>
                <w:color w:val="auto"/>
                <w:spacing w:val="0"/>
                <w:sz w:val="22"/>
                <w:szCs w:val="21"/>
              </w:rPr>
            </w:pPr>
            <w:r>
              <w:rPr>
                <w:rFonts w:hint="eastAsia"/>
                <w:color w:val="auto"/>
                <w:sz w:val="21"/>
                <w:szCs w:val="21"/>
              </w:rPr>
              <w:t>规格</w:t>
            </w:r>
          </w:p>
        </w:tc>
        <w:tc>
          <w:tcPr>
            <w:tcW w:w="709" w:type="dxa"/>
            <w:vAlign w:val="center"/>
          </w:tcPr>
          <w:p>
            <w:pPr>
              <w:pStyle w:val="29"/>
              <w:ind w:firstLine="0" w:firstLineChars="0"/>
              <w:rPr>
                <w:rFonts w:cs="Arial" w:asciiTheme="minorEastAsia" w:hAnsiTheme="minorEastAsia"/>
                <w:color w:val="auto"/>
                <w:spacing w:val="0"/>
                <w:sz w:val="22"/>
                <w:szCs w:val="21"/>
              </w:rPr>
            </w:pPr>
            <w:r>
              <w:rPr>
                <w:rFonts w:hint="eastAsia"/>
                <w:color w:val="auto"/>
                <w:sz w:val="21"/>
                <w:szCs w:val="21"/>
              </w:rPr>
              <w:t>单位</w:t>
            </w:r>
          </w:p>
        </w:tc>
        <w:tc>
          <w:tcPr>
            <w:tcW w:w="851" w:type="dxa"/>
            <w:vAlign w:val="center"/>
          </w:tcPr>
          <w:p>
            <w:pPr>
              <w:pStyle w:val="29"/>
              <w:ind w:firstLine="0" w:firstLineChars="0"/>
              <w:rPr>
                <w:rFonts w:cs="Arial" w:asciiTheme="minorEastAsia" w:hAnsiTheme="minorEastAsia"/>
                <w:color w:val="auto"/>
                <w:spacing w:val="0"/>
                <w:sz w:val="22"/>
                <w:szCs w:val="21"/>
              </w:rPr>
            </w:pPr>
            <w:r>
              <w:rPr>
                <w:rFonts w:hint="eastAsia"/>
                <w:color w:val="auto"/>
                <w:sz w:val="21"/>
                <w:szCs w:val="21"/>
              </w:rPr>
              <w:t>数量</w:t>
            </w:r>
          </w:p>
        </w:tc>
        <w:tc>
          <w:tcPr>
            <w:tcW w:w="3349" w:type="dxa"/>
            <w:vAlign w:val="center"/>
          </w:tcPr>
          <w:p>
            <w:pPr>
              <w:pStyle w:val="29"/>
              <w:ind w:firstLine="0" w:firstLineChars="0"/>
              <w:rPr>
                <w:rFonts w:cs="Arial" w:asciiTheme="minorEastAsia" w:hAnsiTheme="minorEastAsia"/>
                <w:color w:val="auto"/>
                <w:spacing w:val="0"/>
                <w:sz w:val="22"/>
                <w:szCs w:val="21"/>
              </w:rPr>
            </w:pPr>
            <w:r>
              <w:rPr>
                <w:rFonts w:hint="eastAsia"/>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0"/>
              </w:rPr>
            </w:pPr>
            <w:r>
              <w:rPr>
                <w:rFonts w:hint="eastAsia"/>
                <w:color w:val="auto"/>
                <w:sz w:val="21"/>
                <w:szCs w:val="20"/>
              </w:rPr>
              <w:t>1</w:t>
            </w:r>
          </w:p>
        </w:tc>
        <w:tc>
          <w:tcPr>
            <w:tcW w:w="1559" w:type="dxa"/>
            <w:vAlign w:val="center"/>
          </w:tcPr>
          <w:p>
            <w:pPr>
              <w:pStyle w:val="29"/>
              <w:ind w:firstLine="0" w:firstLineChars="0"/>
              <w:rPr>
                <w:rFonts w:cs="Arial" w:asciiTheme="minorEastAsia" w:hAnsiTheme="minorEastAsia"/>
                <w:color w:val="auto"/>
                <w:spacing w:val="0"/>
                <w:sz w:val="22"/>
                <w:szCs w:val="21"/>
              </w:rPr>
            </w:pPr>
            <w:r>
              <w:rPr>
                <w:rFonts w:hint="eastAsia"/>
                <w:color w:val="auto"/>
                <w:sz w:val="22"/>
              </w:rPr>
              <w:t>罗茨风机</w:t>
            </w:r>
          </w:p>
        </w:tc>
        <w:tc>
          <w:tcPr>
            <w:tcW w:w="1417" w:type="dxa"/>
            <w:vAlign w:val="center"/>
          </w:tcPr>
          <w:p>
            <w:pPr>
              <w:pStyle w:val="29"/>
              <w:ind w:firstLine="0" w:firstLineChars="0"/>
              <w:rPr>
                <w:rFonts w:cs="Arial" w:asciiTheme="minorEastAsia" w:hAnsiTheme="minorEastAsia"/>
                <w:color w:val="auto"/>
                <w:spacing w:val="0"/>
                <w:sz w:val="22"/>
                <w:szCs w:val="21"/>
              </w:rPr>
            </w:pPr>
            <w:r>
              <w:rPr>
                <w:rFonts w:hint="eastAsia"/>
                <w:color w:val="auto"/>
                <w:sz w:val="22"/>
              </w:rPr>
              <w:t>Q=63m³/min P=73.5kPa N=110kW</w:t>
            </w:r>
          </w:p>
        </w:tc>
        <w:tc>
          <w:tcPr>
            <w:tcW w:w="709" w:type="dxa"/>
            <w:vAlign w:val="center"/>
          </w:tcPr>
          <w:p>
            <w:pPr>
              <w:pStyle w:val="29"/>
              <w:ind w:firstLine="0" w:firstLineChars="0"/>
              <w:rPr>
                <w:rFonts w:cs="Arial" w:asciiTheme="minorEastAsia" w:hAnsiTheme="minorEastAsia"/>
                <w:color w:val="auto"/>
                <w:spacing w:val="0"/>
                <w:sz w:val="22"/>
                <w:szCs w:val="21"/>
              </w:rPr>
            </w:pPr>
            <w:r>
              <w:rPr>
                <w:rFonts w:hint="eastAsia"/>
                <w:color w:val="auto"/>
                <w:sz w:val="22"/>
              </w:rPr>
              <w:t>台</w:t>
            </w:r>
          </w:p>
        </w:tc>
        <w:tc>
          <w:tcPr>
            <w:tcW w:w="851" w:type="dxa"/>
            <w:vAlign w:val="center"/>
          </w:tcPr>
          <w:p>
            <w:pPr>
              <w:pStyle w:val="29"/>
              <w:ind w:firstLine="0" w:firstLineChars="0"/>
              <w:rPr>
                <w:rFonts w:cs="Arial" w:asciiTheme="minorEastAsia" w:hAnsiTheme="minorEastAsia"/>
                <w:color w:val="auto"/>
                <w:spacing w:val="0"/>
                <w:sz w:val="22"/>
                <w:szCs w:val="21"/>
              </w:rPr>
            </w:pPr>
            <w:r>
              <w:rPr>
                <w:rFonts w:hint="eastAsia"/>
                <w:color w:val="auto"/>
                <w:sz w:val="22"/>
              </w:rPr>
              <w:t>3</w:t>
            </w:r>
          </w:p>
        </w:tc>
        <w:tc>
          <w:tcPr>
            <w:tcW w:w="3349" w:type="dxa"/>
            <w:vAlign w:val="center"/>
          </w:tcPr>
          <w:p>
            <w:pPr>
              <w:pStyle w:val="29"/>
              <w:ind w:firstLine="0" w:firstLineChars="0"/>
              <w:rPr>
                <w:rFonts w:cs="Arial" w:asciiTheme="minorEastAsia" w:hAnsiTheme="minorEastAsia"/>
                <w:color w:val="auto"/>
                <w:spacing w:val="0"/>
                <w:sz w:val="22"/>
                <w:szCs w:val="21"/>
              </w:rPr>
            </w:pPr>
            <w:r>
              <w:rPr>
                <w:rFonts w:hint="eastAsia"/>
                <w:color w:val="auto"/>
                <w:sz w:val="22"/>
              </w:rPr>
              <w:t>2用1备，配套进出口/放空管消声过滤器、安全阀、弹性接头、止回阀、隔音罩、压力表等。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0"/>
              </w:rPr>
            </w:pPr>
            <w:r>
              <w:rPr>
                <w:rFonts w:hint="eastAsia"/>
                <w:color w:val="auto"/>
                <w:sz w:val="21"/>
                <w:szCs w:val="20"/>
              </w:rPr>
              <w:t>供货范围</w:t>
            </w:r>
          </w:p>
        </w:tc>
        <w:tc>
          <w:tcPr>
            <w:tcW w:w="7885" w:type="dxa"/>
            <w:gridSpan w:val="5"/>
            <w:vAlign w:val="center"/>
          </w:tcPr>
          <w:p>
            <w:pPr>
              <w:pStyle w:val="29"/>
              <w:ind w:firstLine="0" w:firstLineChars="0"/>
              <w:rPr>
                <w:color w:val="auto"/>
                <w:sz w:val="21"/>
                <w:szCs w:val="20"/>
              </w:rPr>
            </w:pPr>
            <w:r>
              <w:rPr>
                <w:rFonts w:hint="eastAsia" w:cs="Arial" w:asciiTheme="minorEastAsia" w:hAnsiTheme="minorEastAsia"/>
                <w:color w:val="auto"/>
                <w:spacing w:val="0"/>
                <w:sz w:val="22"/>
                <w:szCs w:val="21"/>
              </w:rPr>
              <w:t>提供的罗茨鼓风机应至少包括但不仅限于：罗茨鼓风机主机、配套电机、进口过滤器、进出口消音器、整体底座、减震器、安全阀、逆止阀、挠性接头、压力表、放空阀、隔声罩、联轴器或皮带驱动系统等部件、仪表和控制系统、紧固件以及使整个系统稳定、有效和安全运行所需的所有设备、设施、管道及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0"/>
              </w:rPr>
            </w:pPr>
            <w:r>
              <w:rPr>
                <w:rFonts w:hint="eastAsia"/>
                <w:color w:val="auto"/>
                <w:sz w:val="21"/>
                <w:szCs w:val="20"/>
              </w:rPr>
              <w:t>设计条件</w:t>
            </w:r>
          </w:p>
        </w:tc>
        <w:tc>
          <w:tcPr>
            <w:tcW w:w="7885" w:type="dxa"/>
            <w:gridSpan w:val="5"/>
            <w:vAlign w:val="center"/>
          </w:tcPr>
          <w:p>
            <w:pPr>
              <w:spacing w:line="360" w:lineRule="auto"/>
              <w:rPr>
                <w:rFonts w:asciiTheme="minorEastAsia" w:hAnsiTheme="minorEastAsia"/>
                <w:color w:val="auto"/>
                <w:szCs w:val="21"/>
                <w:lang w:eastAsia="zh-CN"/>
              </w:rPr>
            </w:pPr>
            <w:r>
              <w:rPr>
                <w:rFonts w:hint="eastAsia" w:asciiTheme="minorEastAsia" w:hAnsiTheme="minorEastAsia"/>
                <w:color w:val="auto"/>
                <w:szCs w:val="21"/>
                <w:lang w:eastAsia="zh-CN"/>
              </w:rPr>
              <w:t>进口空气温度</w:t>
            </w:r>
            <w:r>
              <w:rPr>
                <w:rFonts w:asciiTheme="minorEastAsia" w:hAnsiTheme="minorEastAsia"/>
                <w:color w:val="auto"/>
                <w:szCs w:val="21"/>
                <w:lang w:eastAsia="zh-CN"/>
              </w:rPr>
              <w:t>-10</w:t>
            </w:r>
            <w:r>
              <w:rPr>
                <w:rFonts w:hint="eastAsia" w:asciiTheme="minorEastAsia" w:hAnsiTheme="minorEastAsia"/>
                <w:color w:val="auto"/>
                <w:szCs w:val="21"/>
                <w:lang w:eastAsia="zh-CN"/>
              </w:rPr>
              <w:t>～</w:t>
            </w:r>
            <w:r>
              <w:rPr>
                <w:rFonts w:asciiTheme="minorEastAsia" w:hAnsiTheme="minorEastAsia"/>
                <w:color w:val="auto"/>
                <w:szCs w:val="21"/>
                <w:lang w:eastAsia="zh-CN"/>
              </w:rPr>
              <w:t>40C</w:t>
            </w:r>
          </w:p>
          <w:p>
            <w:pPr>
              <w:spacing w:line="360" w:lineRule="auto"/>
              <w:rPr>
                <w:rFonts w:asciiTheme="minorEastAsia" w:hAnsiTheme="minorEastAsia"/>
                <w:color w:val="auto"/>
                <w:szCs w:val="21"/>
                <w:lang w:eastAsia="zh-CN"/>
              </w:rPr>
            </w:pPr>
            <w:r>
              <w:rPr>
                <w:rFonts w:hint="eastAsia" w:asciiTheme="minorEastAsia" w:hAnsiTheme="minorEastAsia"/>
                <w:color w:val="auto"/>
                <w:szCs w:val="21"/>
                <w:lang w:eastAsia="zh-CN"/>
              </w:rPr>
              <w:t>·进口空气相对湿度～80%</w:t>
            </w:r>
          </w:p>
          <w:p>
            <w:pPr>
              <w:spacing w:line="360" w:lineRule="auto"/>
              <w:rPr>
                <w:rFonts w:asciiTheme="minorEastAsia" w:hAnsiTheme="minorEastAsia"/>
                <w:color w:val="auto"/>
                <w:szCs w:val="21"/>
                <w:lang w:eastAsia="zh-CN"/>
              </w:rPr>
            </w:pPr>
            <w:r>
              <w:rPr>
                <w:rFonts w:hint="eastAsia" w:asciiTheme="minorEastAsia" w:hAnsiTheme="minorEastAsia"/>
                <w:color w:val="auto"/>
                <w:szCs w:val="21"/>
                <w:lang w:eastAsia="zh-CN"/>
              </w:rPr>
              <w:t>·室内环境温度</w:t>
            </w:r>
            <w:r>
              <w:rPr>
                <w:rFonts w:asciiTheme="minorEastAsia" w:hAnsiTheme="minorEastAsia"/>
                <w:color w:val="auto"/>
                <w:szCs w:val="21"/>
                <w:lang w:eastAsia="zh-CN"/>
              </w:rPr>
              <w:t>0</w:t>
            </w:r>
            <w:r>
              <w:rPr>
                <w:rFonts w:hint="eastAsia" w:asciiTheme="minorEastAsia" w:hAnsiTheme="minorEastAsia"/>
                <w:color w:val="auto"/>
                <w:szCs w:val="21"/>
                <w:lang w:eastAsia="zh-CN"/>
              </w:rPr>
              <w:t>～</w:t>
            </w:r>
            <w:r>
              <w:rPr>
                <w:rFonts w:asciiTheme="minorEastAsia" w:hAnsiTheme="minorEastAsia"/>
                <w:color w:val="auto"/>
                <w:szCs w:val="21"/>
                <w:lang w:eastAsia="zh-CN"/>
              </w:rPr>
              <w:t>40C</w:t>
            </w:r>
          </w:p>
          <w:p>
            <w:pPr>
              <w:spacing w:line="360" w:lineRule="auto"/>
              <w:rPr>
                <w:rFonts w:asciiTheme="minorEastAsia" w:hAnsiTheme="minorEastAsia"/>
                <w:color w:val="auto"/>
                <w:szCs w:val="21"/>
                <w:lang w:eastAsia="zh-CN"/>
              </w:rPr>
            </w:pPr>
            <w:r>
              <w:rPr>
                <w:rFonts w:hint="eastAsia" w:asciiTheme="minorEastAsia" w:hAnsiTheme="minorEastAsia"/>
                <w:color w:val="auto"/>
                <w:szCs w:val="21"/>
                <w:lang w:eastAsia="zh-CN"/>
              </w:rPr>
              <w:t>·风机电机额定电压380V</w:t>
            </w:r>
          </w:p>
          <w:p>
            <w:pPr>
              <w:spacing w:line="360" w:lineRule="auto"/>
              <w:rPr>
                <w:rFonts w:cs="Arial" w:asciiTheme="minorEastAsia" w:hAnsiTheme="minorEastAsia"/>
                <w:color w:val="auto"/>
                <w:szCs w:val="21"/>
                <w:lang w:eastAsia="zh-CN"/>
              </w:rPr>
            </w:pPr>
            <w:r>
              <w:rPr>
                <w:rFonts w:hint="eastAsia" w:asciiTheme="minorEastAsia" w:hAnsiTheme="minorEastAsia"/>
                <w:color w:val="auto"/>
                <w:szCs w:val="21"/>
                <w:lang w:eastAsia="zh-CN"/>
              </w:rPr>
              <w:t>·工作时间连续或间断。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0"/>
              </w:rPr>
            </w:pPr>
            <w:r>
              <w:rPr>
                <w:rFonts w:hint="eastAsia"/>
                <w:color w:val="auto"/>
                <w:sz w:val="21"/>
                <w:szCs w:val="20"/>
              </w:rPr>
              <w:t>技术参数</w:t>
            </w:r>
          </w:p>
        </w:tc>
        <w:tc>
          <w:tcPr>
            <w:tcW w:w="7885" w:type="dxa"/>
            <w:gridSpan w:val="5"/>
            <w:vAlign w:val="center"/>
          </w:tcPr>
          <w:p>
            <w:pPr>
              <w:spacing w:line="360" w:lineRule="auto"/>
              <w:ind w:firstLine="480"/>
              <w:rPr>
                <w:color w:val="auto"/>
                <w:lang w:eastAsia="zh-CN"/>
              </w:rPr>
            </w:pPr>
            <w:r>
              <w:rPr>
                <w:rFonts w:hint="eastAsia"/>
                <w:color w:val="auto"/>
                <w:lang w:eastAsia="zh-CN"/>
              </w:rPr>
              <w:t>鼓风机在规定工况下的实际流量应不低于公称流量的</w:t>
            </w:r>
            <w:r>
              <w:rPr>
                <w:color w:val="auto"/>
                <w:lang w:eastAsia="zh-CN"/>
              </w:rPr>
              <w:t>95%</w:t>
            </w:r>
            <w:r>
              <w:rPr>
                <w:rFonts w:hint="eastAsia"/>
                <w:color w:val="auto"/>
                <w:lang w:eastAsia="zh-CN"/>
              </w:rPr>
              <w:t>，鼓风机配套电机的额定输出功率为规定工况所需功率的</w:t>
            </w:r>
            <w:r>
              <w:rPr>
                <w:color w:val="auto"/>
                <w:lang w:eastAsia="zh-CN"/>
              </w:rPr>
              <w:t>110%</w:t>
            </w:r>
            <w:r>
              <w:rPr>
                <w:rFonts w:hint="eastAsia"/>
                <w:color w:val="auto"/>
                <w:lang w:eastAsia="zh-CN"/>
              </w:rPr>
              <w:t>。在额定工况流量点下，压力差允许误差±</w:t>
            </w:r>
            <w:r>
              <w:rPr>
                <w:color w:val="auto"/>
                <w:lang w:eastAsia="zh-CN"/>
              </w:rPr>
              <w:t>5%</w:t>
            </w:r>
            <w:r>
              <w:rPr>
                <w:rFonts w:hint="eastAsia"/>
                <w:color w:val="auto"/>
                <w:lang w:eastAsia="zh-CN"/>
              </w:rPr>
              <w:t>。</w:t>
            </w:r>
          </w:p>
          <w:p>
            <w:pPr>
              <w:spacing w:line="360" w:lineRule="auto"/>
              <w:ind w:firstLine="480"/>
              <w:rPr>
                <w:bCs/>
                <w:color w:val="auto"/>
                <w:lang w:eastAsia="zh-CN"/>
              </w:rPr>
            </w:pPr>
            <w:r>
              <w:rPr>
                <w:rFonts w:hint="eastAsia"/>
                <w:color w:val="auto"/>
                <w:lang w:eastAsia="zh-CN"/>
              </w:rPr>
              <w:t>鼓风机</w:t>
            </w:r>
            <w:r>
              <w:rPr>
                <w:rFonts w:hint="eastAsia"/>
                <w:bCs/>
                <w:color w:val="auto"/>
                <w:lang w:eastAsia="zh-CN"/>
              </w:rPr>
              <w:t>在运行条件范围内，鼓风机机组应运行平稳，无异常噪音，无振动、无过热现象，应保证在距风机机组隔音罩外侧</w:t>
            </w:r>
            <w:r>
              <w:rPr>
                <w:bCs/>
                <w:color w:val="auto"/>
                <w:lang w:eastAsia="zh-CN"/>
              </w:rPr>
              <w:t>1m</w:t>
            </w:r>
            <w:r>
              <w:rPr>
                <w:rFonts w:hint="eastAsia"/>
                <w:bCs/>
                <w:color w:val="auto"/>
                <w:lang w:eastAsia="zh-CN"/>
              </w:rPr>
              <w:t>处噪音不大于</w:t>
            </w:r>
            <w:r>
              <w:rPr>
                <w:bCs/>
                <w:color w:val="auto"/>
                <w:lang w:eastAsia="zh-CN"/>
              </w:rPr>
              <w:t>80dB</w:t>
            </w:r>
            <w:r>
              <w:rPr>
                <w:rFonts w:hint="eastAsia"/>
                <w:bCs/>
                <w:color w:val="auto"/>
                <w:lang w:eastAsia="zh-CN"/>
              </w:rPr>
              <w:t>。</w:t>
            </w:r>
          </w:p>
          <w:p>
            <w:pPr>
              <w:spacing w:line="360" w:lineRule="auto"/>
              <w:ind w:firstLine="480"/>
              <w:rPr>
                <w:color w:val="auto"/>
                <w:lang w:eastAsia="zh-CN"/>
              </w:rPr>
            </w:pPr>
            <w:r>
              <w:rPr>
                <w:rFonts w:hint="eastAsia"/>
                <w:color w:val="auto"/>
                <w:lang w:eastAsia="zh-CN"/>
              </w:rPr>
              <w:t>鼓风机机壳、基座、墙板、油箱、转子采用树脂砂铸造，时效处理。鼓风机壳应具有</w:t>
            </w:r>
            <w:r>
              <w:rPr>
                <w:color w:val="auto"/>
                <w:lang w:eastAsia="zh-CN"/>
              </w:rPr>
              <w:t>160</w:t>
            </w:r>
            <w:r>
              <w:rPr>
                <w:rFonts w:hint="eastAsia"/>
                <w:color w:val="auto"/>
                <w:lang w:eastAsia="zh-CN"/>
              </w:rPr>
              <w:t>℃的设计温度，和表压为</w:t>
            </w:r>
            <w:r>
              <w:rPr>
                <w:color w:val="auto"/>
                <w:lang w:eastAsia="zh-CN"/>
              </w:rPr>
              <w:t>110Kpa</w:t>
            </w:r>
            <w:r>
              <w:rPr>
                <w:rFonts w:hint="eastAsia"/>
                <w:color w:val="auto"/>
                <w:lang w:eastAsia="zh-CN"/>
              </w:rPr>
              <w:t>的设计压力。接口应进行机加工，使其光滑平整，以保证装配气密性。</w:t>
            </w:r>
          </w:p>
          <w:p>
            <w:pPr>
              <w:spacing w:line="360" w:lineRule="auto"/>
              <w:ind w:firstLine="480"/>
              <w:rPr>
                <w:bCs/>
                <w:color w:val="auto"/>
                <w:lang w:eastAsia="zh-CN"/>
              </w:rPr>
            </w:pPr>
            <w:r>
              <w:rPr>
                <w:rFonts w:hint="eastAsia"/>
                <w:color w:val="auto"/>
                <w:lang w:eastAsia="zh-CN"/>
              </w:rPr>
              <w:t>转子组装前的静平衡和动平衡试验的精度应达到</w:t>
            </w:r>
            <w:r>
              <w:rPr>
                <w:color w:val="auto"/>
                <w:lang w:eastAsia="zh-CN"/>
              </w:rPr>
              <w:t>6.3</w:t>
            </w:r>
            <w:r>
              <w:rPr>
                <w:rFonts w:hint="eastAsia"/>
                <w:color w:val="auto"/>
                <w:lang w:eastAsia="zh-CN"/>
              </w:rPr>
              <w:t>级。</w:t>
            </w:r>
            <w:r>
              <w:rPr>
                <w:rFonts w:hint="eastAsia"/>
                <w:bCs/>
                <w:color w:val="auto"/>
                <w:lang w:eastAsia="zh-CN"/>
              </w:rPr>
              <w:t>制造商应提交一份关于鼓风机动平衡测试报告。转子叶面型线为渐开线，经精密加工和研磨以达到应有的尺寸，使用寿命达到</w:t>
            </w:r>
            <w:r>
              <w:rPr>
                <w:bCs/>
                <w:color w:val="auto"/>
                <w:lang w:eastAsia="zh-CN"/>
              </w:rPr>
              <w:t>10</w:t>
            </w:r>
            <w:r>
              <w:rPr>
                <w:rFonts w:hint="eastAsia"/>
                <w:bCs/>
                <w:color w:val="auto"/>
                <w:lang w:eastAsia="zh-CN"/>
              </w:rPr>
              <w:t>万小时。</w:t>
            </w:r>
          </w:p>
          <w:p>
            <w:pPr>
              <w:spacing w:line="360" w:lineRule="auto"/>
              <w:ind w:firstLine="480"/>
              <w:rPr>
                <w:color w:val="auto"/>
                <w:lang w:eastAsia="zh-CN"/>
              </w:rPr>
            </w:pPr>
            <w:r>
              <w:rPr>
                <w:rFonts w:hint="eastAsia"/>
                <w:color w:val="auto"/>
                <w:lang w:eastAsia="zh-CN"/>
              </w:rPr>
              <w:t>鼓风机轴由</w:t>
            </w:r>
            <w:r>
              <w:rPr>
                <w:color w:val="auto"/>
                <w:lang w:eastAsia="zh-CN"/>
              </w:rPr>
              <w:t>45#</w:t>
            </w:r>
            <w:r>
              <w:rPr>
                <w:rFonts w:hint="eastAsia"/>
                <w:color w:val="auto"/>
                <w:lang w:eastAsia="zh-CN"/>
              </w:rPr>
              <w:t>钢制造，经调质处理，精密加工和研磨以达到应有的尺寸。轴的使用寿命能达到</w:t>
            </w:r>
            <w:r>
              <w:rPr>
                <w:color w:val="auto"/>
                <w:lang w:eastAsia="zh-CN"/>
              </w:rPr>
              <w:t>5</w:t>
            </w:r>
            <w:r>
              <w:rPr>
                <w:rFonts w:hint="eastAsia"/>
                <w:color w:val="auto"/>
                <w:lang w:eastAsia="zh-CN"/>
              </w:rPr>
              <w:t>万小时。轴应有足够的尺寸，以承受各种运行条件下连续运行所产生的全部荷载。</w:t>
            </w:r>
          </w:p>
          <w:p>
            <w:pPr>
              <w:spacing w:line="360" w:lineRule="auto"/>
              <w:ind w:firstLine="480"/>
              <w:rPr>
                <w:bCs/>
                <w:color w:val="auto"/>
                <w:lang w:eastAsia="zh-CN"/>
              </w:rPr>
            </w:pPr>
            <w:r>
              <w:rPr>
                <w:rFonts w:hint="eastAsia"/>
                <w:bCs/>
                <w:color w:val="auto"/>
                <w:lang w:eastAsia="zh-CN"/>
              </w:rPr>
              <w:t>轴承必须采用高耐磨性、高强度的材料，保证风机有较长的使用寿命，在额定荷载条件下运行时轴承使用寿命应不小于</w:t>
            </w:r>
            <w:r>
              <w:rPr>
                <w:bCs/>
                <w:color w:val="auto"/>
                <w:lang w:eastAsia="zh-CN"/>
              </w:rPr>
              <w:t>10</w:t>
            </w:r>
            <w:r>
              <w:rPr>
                <w:rFonts w:hint="eastAsia"/>
                <w:bCs/>
                <w:color w:val="auto"/>
                <w:lang w:eastAsia="zh-CN"/>
              </w:rPr>
              <w:t>万小时。采用</w:t>
            </w:r>
            <w:r>
              <w:rPr>
                <w:bCs/>
                <w:color w:val="auto"/>
                <w:lang w:eastAsia="zh-CN"/>
              </w:rPr>
              <w:t>SKF</w:t>
            </w:r>
            <w:r>
              <w:rPr>
                <w:rFonts w:hint="eastAsia"/>
                <w:bCs/>
                <w:color w:val="auto"/>
                <w:lang w:eastAsia="zh-CN"/>
              </w:rPr>
              <w:t>、</w:t>
            </w:r>
            <w:r>
              <w:rPr>
                <w:bCs/>
                <w:color w:val="auto"/>
                <w:lang w:eastAsia="zh-CN"/>
              </w:rPr>
              <w:t>FSM</w:t>
            </w:r>
            <w:r>
              <w:rPr>
                <w:rFonts w:hint="eastAsia"/>
                <w:bCs/>
                <w:color w:val="auto"/>
                <w:lang w:eastAsia="zh-CN"/>
              </w:rPr>
              <w:t>、</w:t>
            </w:r>
            <w:r>
              <w:rPr>
                <w:bCs/>
                <w:color w:val="auto"/>
                <w:lang w:eastAsia="zh-CN"/>
              </w:rPr>
              <w:t>NTN</w:t>
            </w:r>
            <w:r>
              <w:rPr>
                <w:rFonts w:hint="eastAsia"/>
                <w:bCs/>
                <w:color w:val="auto"/>
                <w:lang w:eastAsia="zh-CN"/>
              </w:rPr>
              <w:t>或同档次国际知名品牌轴承。</w:t>
            </w:r>
          </w:p>
          <w:p>
            <w:pPr>
              <w:spacing w:line="360" w:lineRule="auto"/>
              <w:ind w:firstLine="480"/>
              <w:rPr>
                <w:color w:val="auto"/>
                <w:lang w:eastAsia="zh-CN"/>
              </w:rPr>
            </w:pPr>
            <w:r>
              <w:rPr>
                <w:rFonts w:hint="eastAsia"/>
                <w:color w:val="auto"/>
                <w:lang w:eastAsia="zh-CN"/>
              </w:rPr>
              <w:t>传动齿轮经高频淬火处理，采用磨齿加工制造，</w:t>
            </w:r>
            <w:r>
              <w:rPr>
                <w:color w:val="auto"/>
                <w:lang w:eastAsia="zh-CN"/>
              </w:rPr>
              <w:t>5</w:t>
            </w:r>
            <w:r>
              <w:rPr>
                <w:rFonts w:hint="eastAsia"/>
                <w:color w:val="auto"/>
                <w:lang w:eastAsia="zh-CN"/>
              </w:rPr>
              <w:t>级精度，使用寿命达到</w:t>
            </w:r>
            <w:r>
              <w:rPr>
                <w:color w:val="auto"/>
                <w:lang w:eastAsia="zh-CN"/>
              </w:rPr>
              <w:t>5</w:t>
            </w:r>
            <w:r>
              <w:rPr>
                <w:rFonts w:hint="eastAsia"/>
                <w:color w:val="auto"/>
                <w:lang w:eastAsia="zh-CN"/>
              </w:rPr>
              <w:t>万小时。齿轮传动装置和外壳体，由铸铁制造，具有足够刚度，在最大荷载时仍能保持轴的位置不动，齿轮壳体的部件精密加工，以使其与轴承安装。</w:t>
            </w:r>
          </w:p>
          <w:p>
            <w:pPr>
              <w:spacing w:line="360" w:lineRule="auto"/>
              <w:ind w:firstLine="480"/>
              <w:rPr>
                <w:color w:val="auto"/>
                <w:lang w:eastAsia="zh-CN"/>
              </w:rPr>
            </w:pPr>
            <w:r>
              <w:rPr>
                <w:rFonts w:hint="eastAsia"/>
                <w:color w:val="auto"/>
                <w:lang w:eastAsia="zh-CN"/>
              </w:rPr>
              <w:t>每台鼓风机的配套基座底板作为一个单独部件由型钢制成，带有吊耳，具有足够的刚度，使得在起吊底板及其上面所安装的设备时不会产生变形或对基座底板和机器部件造成损坏。提供所需的不锈钢地脚螺栓。</w:t>
            </w:r>
          </w:p>
          <w:p>
            <w:pPr>
              <w:spacing w:line="360" w:lineRule="auto"/>
              <w:ind w:firstLine="480"/>
              <w:rPr>
                <w:color w:val="auto"/>
                <w:lang w:eastAsia="zh-CN"/>
              </w:rPr>
            </w:pPr>
            <w:r>
              <w:rPr>
                <w:rFonts w:hint="eastAsia"/>
                <w:color w:val="auto"/>
                <w:lang w:eastAsia="zh-CN"/>
              </w:rPr>
              <w:t>每台鼓风机应配置温度和振动感应电极、指示器、报警开关和停车开关。鼓风机的气路、油路等系统应联结可靠、密封性好，不应有相互渗漏和外泄现象。</w:t>
            </w:r>
          </w:p>
          <w:p>
            <w:pPr>
              <w:spacing w:line="360" w:lineRule="auto"/>
              <w:rPr>
                <w:rFonts w:asciiTheme="minorEastAsia" w:hAnsiTheme="minorEastAsia"/>
                <w:color w:val="auto"/>
                <w:szCs w:val="21"/>
                <w:lang w:eastAsia="zh-CN"/>
              </w:rPr>
            </w:pPr>
            <w:r>
              <w:rPr>
                <w:rFonts w:hint="eastAsia"/>
                <w:color w:val="auto"/>
                <w:lang w:eastAsia="zh-CN"/>
              </w:rPr>
              <w:t>电机应与鼓风机配套，应具有泄漏、断相、过热、过电流保护等功能；防护等级为</w:t>
            </w:r>
            <w:r>
              <w:rPr>
                <w:color w:val="auto"/>
                <w:lang w:eastAsia="zh-CN"/>
              </w:rPr>
              <w:t>IP55</w:t>
            </w:r>
            <w:r>
              <w:rPr>
                <w:rFonts w:hint="eastAsia"/>
                <w:color w:val="auto"/>
                <w:lang w:eastAsia="zh-CN"/>
              </w:rPr>
              <w:t>，绝缘等级为</w:t>
            </w:r>
            <w:r>
              <w:rPr>
                <w:color w:val="auto"/>
                <w:lang w:eastAsia="zh-CN"/>
              </w:rPr>
              <w:t>F</w:t>
            </w:r>
            <w:r>
              <w:rPr>
                <w:rFonts w:hint="eastAsia"/>
                <w:color w:val="auto"/>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0"/>
              </w:rPr>
            </w:pPr>
            <w:r>
              <w:rPr>
                <w:rFonts w:hint="eastAsia"/>
                <w:color w:val="auto"/>
                <w:sz w:val="21"/>
                <w:szCs w:val="20"/>
              </w:rPr>
              <w:t>主要材质</w:t>
            </w:r>
          </w:p>
        </w:tc>
        <w:tc>
          <w:tcPr>
            <w:tcW w:w="7885" w:type="dxa"/>
            <w:gridSpan w:val="5"/>
            <w:vAlign w:val="center"/>
          </w:tcPr>
          <w:p>
            <w:pPr>
              <w:spacing w:line="360" w:lineRule="auto"/>
              <w:ind w:firstLine="480"/>
              <w:rPr>
                <w:color w:val="auto"/>
                <w:lang w:eastAsia="zh-CN"/>
              </w:rPr>
            </w:pPr>
            <w:r>
              <w:rPr>
                <w:rFonts w:hint="eastAsia"/>
                <w:color w:val="auto"/>
                <w:lang w:eastAsia="zh-CN"/>
              </w:rPr>
              <w:t>鼓风机机壳、基座采用优质铸铁GG25；</w:t>
            </w:r>
          </w:p>
          <w:p>
            <w:pPr>
              <w:spacing w:line="360" w:lineRule="auto"/>
              <w:ind w:firstLine="480"/>
              <w:rPr>
                <w:color w:val="auto"/>
                <w:lang w:eastAsia="zh-CN"/>
              </w:rPr>
            </w:pPr>
            <w:r>
              <w:rPr>
                <w:rFonts w:hint="eastAsia"/>
                <w:color w:val="auto"/>
                <w:lang w:eastAsia="zh-CN"/>
              </w:rPr>
              <w:t>叶轮采用球墨铸铁QT500；轴承采用GCr15；</w:t>
            </w:r>
          </w:p>
          <w:p>
            <w:pPr>
              <w:spacing w:line="360" w:lineRule="auto"/>
              <w:ind w:firstLine="480"/>
              <w:rPr>
                <w:color w:val="auto"/>
                <w:lang w:eastAsia="zh-CN"/>
              </w:rPr>
            </w:pPr>
            <w:r>
              <w:rPr>
                <w:rFonts w:hint="eastAsia"/>
                <w:color w:val="auto"/>
                <w:lang w:eastAsia="zh-CN"/>
              </w:rPr>
              <w:t>传动齿轮采用40Cr。进口过滤器采用A3钢制造。</w:t>
            </w:r>
          </w:p>
          <w:p>
            <w:pPr>
              <w:spacing w:line="360" w:lineRule="auto"/>
              <w:ind w:firstLine="480"/>
              <w:rPr>
                <w:color w:val="auto"/>
                <w:lang w:eastAsia="zh-CN"/>
              </w:rPr>
            </w:pPr>
            <w:r>
              <w:rPr>
                <w:rFonts w:hint="eastAsia"/>
                <w:color w:val="auto"/>
                <w:lang w:eastAsia="zh-CN"/>
              </w:rPr>
              <w:t>进出口消音器采用阻尼式消声器，由A3钢制造。</w:t>
            </w:r>
          </w:p>
          <w:p>
            <w:pPr>
              <w:spacing w:line="360" w:lineRule="auto"/>
              <w:ind w:firstLine="480"/>
              <w:rPr>
                <w:color w:val="auto"/>
                <w:lang w:eastAsia="zh-CN"/>
              </w:rPr>
            </w:pPr>
            <w:r>
              <w:rPr>
                <w:rFonts w:hint="eastAsia"/>
                <w:color w:val="auto"/>
                <w:lang w:eastAsia="zh-CN"/>
              </w:rPr>
              <w:t>挠性接头由橡胶钢骨架压合而成。</w:t>
            </w:r>
          </w:p>
          <w:p>
            <w:pPr>
              <w:spacing w:line="360" w:lineRule="auto"/>
              <w:ind w:firstLine="480"/>
              <w:rPr>
                <w:color w:val="auto"/>
                <w:lang w:eastAsia="zh-CN"/>
              </w:rPr>
            </w:pPr>
            <w:r>
              <w:rPr>
                <w:rFonts w:hint="eastAsia"/>
                <w:color w:val="auto"/>
                <w:lang w:eastAsia="zh-CN"/>
              </w:rPr>
              <w:t>隔声罩采用拼装式四门结构，各个侧面及顶面采用活连接方式</w:t>
            </w:r>
          </w:p>
        </w:tc>
      </w:tr>
    </w:tbl>
    <w:p>
      <w:pPr>
        <w:pStyle w:val="29"/>
        <w:ind w:firstLine="472"/>
        <w:rPr>
          <w:color w:val="auto"/>
        </w:rPr>
      </w:pPr>
    </w:p>
    <w:p>
      <w:pPr>
        <w:pStyle w:val="31"/>
        <w:rPr>
          <w:color w:val="auto"/>
        </w:rPr>
      </w:pPr>
      <w:r>
        <w:rPr>
          <w:rFonts w:hint="eastAsia"/>
          <w:color w:val="auto"/>
        </w:rPr>
        <w:t>手动蝶阀、闸阀、球阀</w:t>
      </w:r>
    </w:p>
    <w:tbl>
      <w:tblPr>
        <w:tblStyle w:val="24"/>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275"/>
        <w:gridCol w:w="1276"/>
        <w:gridCol w:w="992"/>
        <w:gridCol w:w="1134"/>
        <w:gridCol w:w="3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1"/>
              </w:rPr>
            </w:pPr>
            <w:r>
              <w:rPr>
                <w:rFonts w:hint="eastAsia"/>
                <w:color w:val="auto"/>
                <w:sz w:val="21"/>
                <w:szCs w:val="21"/>
              </w:rPr>
              <w:t>序号</w:t>
            </w:r>
          </w:p>
        </w:tc>
        <w:tc>
          <w:tcPr>
            <w:tcW w:w="1275" w:type="dxa"/>
            <w:vAlign w:val="center"/>
          </w:tcPr>
          <w:p>
            <w:pPr>
              <w:pStyle w:val="29"/>
              <w:ind w:firstLine="0" w:firstLineChars="0"/>
              <w:jc w:val="center"/>
              <w:rPr>
                <w:rFonts w:asciiTheme="minorEastAsia" w:hAnsiTheme="minorEastAsia"/>
                <w:color w:val="auto"/>
                <w:sz w:val="21"/>
                <w:szCs w:val="21"/>
              </w:rPr>
            </w:pPr>
            <w:r>
              <w:rPr>
                <w:rFonts w:hint="eastAsia"/>
                <w:color w:val="auto"/>
                <w:sz w:val="21"/>
                <w:szCs w:val="21"/>
              </w:rPr>
              <w:t>名称</w:t>
            </w:r>
          </w:p>
        </w:tc>
        <w:tc>
          <w:tcPr>
            <w:tcW w:w="1276" w:type="dxa"/>
            <w:vAlign w:val="center"/>
          </w:tcPr>
          <w:p>
            <w:pPr>
              <w:pStyle w:val="29"/>
              <w:ind w:firstLine="0" w:firstLineChars="0"/>
              <w:jc w:val="center"/>
              <w:rPr>
                <w:rFonts w:asciiTheme="minorEastAsia" w:hAnsiTheme="minorEastAsia"/>
                <w:color w:val="auto"/>
                <w:sz w:val="21"/>
                <w:szCs w:val="21"/>
              </w:rPr>
            </w:pPr>
            <w:r>
              <w:rPr>
                <w:rFonts w:hint="eastAsia"/>
                <w:color w:val="auto"/>
                <w:sz w:val="21"/>
                <w:szCs w:val="21"/>
              </w:rPr>
              <w:t>规格</w:t>
            </w:r>
          </w:p>
        </w:tc>
        <w:tc>
          <w:tcPr>
            <w:tcW w:w="992" w:type="dxa"/>
            <w:vAlign w:val="center"/>
          </w:tcPr>
          <w:p>
            <w:pPr>
              <w:pStyle w:val="29"/>
              <w:ind w:firstLine="0" w:firstLineChars="0"/>
              <w:jc w:val="center"/>
              <w:rPr>
                <w:rFonts w:asciiTheme="minorEastAsia" w:hAnsiTheme="minorEastAsia"/>
                <w:color w:val="auto"/>
                <w:sz w:val="21"/>
                <w:szCs w:val="21"/>
              </w:rPr>
            </w:pPr>
            <w:r>
              <w:rPr>
                <w:rFonts w:hint="eastAsia"/>
                <w:color w:val="auto"/>
                <w:sz w:val="21"/>
                <w:szCs w:val="21"/>
              </w:rPr>
              <w:t>单位</w:t>
            </w:r>
          </w:p>
        </w:tc>
        <w:tc>
          <w:tcPr>
            <w:tcW w:w="1134" w:type="dxa"/>
            <w:vAlign w:val="center"/>
          </w:tcPr>
          <w:p>
            <w:pPr>
              <w:pStyle w:val="29"/>
              <w:ind w:firstLine="0" w:firstLineChars="0"/>
              <w:jc w:val="center"/>
              <w:rPr>
                <w:rFonts w:asciiTheme="minorEastAsia" w:hAnsiTheme="minorEastAsia"/>
                <w:color w:val="auto"/>
                <w:sz w:val="21"/>
                <w:szCs w:val="21"/>
              </w:rPr>
            </w:pPr>
            <w:r>
              <w:rPr>
                <w:rFonts w:hint="eastAsia"/>
                <w:color w:val="auto"/>
                <w:sz w:val="21"/>
                <w:szCs w:val="21"/>
              </w:rPr>
              <w:t>数量</w:t>
            </w:r>
          </w:p>
        </w:tc>
        <w:tc>
          <w:tcPr>
            <w:tcW w:w="3208" w:type="dxa"/>
            <w:vAlign w:val="center"/>
          </w:tcPr>
          <w:p>
            <w:pPr>
              <w:pStyle w:val="29"/>
              <w:ind w:firstLine="0" w:firstLineChars="0"/>
              <w:jc w:val="center"/>
              <w:rPr>
                <w:rFonts w:asciiTheme="minorEastAsia" w:hAnsiTheme="minorEastAsia"/>
                <w:color w:val="auto"/>
                <w:sz w:val="21"/>
                <w:szCs w:val="21"/>
              </w:rPr>
            </w:pPr>
            <w:r>
              <w:rPr>
                <w:rFonts w:hint="eastAsia"/>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1"/>
              </w:rPr>
            </w:pPr>
            <w:r>
              <w:rPr>
                <w:rFonts w:hint="eastAsia"/>
                <w:color w:val="auto"/>
                <w:sz w:val="21"/>
                <w:szCs w:val="21"/>
              </w:rPr>
              <w:t>1</w:t>
            </w:r>
          </w:p>
        </w:tc>
        <w:tc>
          <w:tcPr>
            <w:tcW w:w="1275" w:type="dxa"/>
            <w:vAlign w:val="center"/>
          </w:tcPr>
          <w:p>
            <w:pPr>
              <w:pStyle w:val="29"/>
              <w:ind w:firstLine="0" w:firstLineChars="0"/>
              <w:jc w:val="center"/>
              <w:rPr>
                <w:rFonts w:asciiTheme="minorEastAsia" w:hAnsiTheme="minorEastAsia"/>
                <w:color w:val="auto"/>
                <w:sz w:val="21"/>
                <w:szCs w:val="21"/>
              </w:rPr>
            </w:pPr>
            <w:r>
              <w:rPr>
                <w:rFonts w:hint="eastAsia"/>
                <w:color w:val="auto"/>
                <w:sz w:val="22"/>
              </w:rPr>
              <w:t>手动蝶阀</w:t>
            </w:r>
          </w:p>
        </w:tc>
        <w:tc>
          <w:tcPr>
            <w:tcW w:w="1276" w:type="dxa"/>
            <w:vAlign w:val="center"/>
          </w:tcPr>
          <w:p>
            <w:pPr>
              <w:pStyle w:val="29"/>
              <w:ind w:firstLine="0" w:firstLineChars="0"/>
              <w:jc w:val="center"/>
              <w:rPr>
                <w:rFonts w:asciiTheme="minorEastAsia" w:hAnsiTheme="minorEastAsia"/>
                <w:color w:val="auto"/>
                <w:sz w:val="21"/>
                <w:szCs w:val="21"/>
              </w:rPr>
            </w:pPr>
            <w:r>
              <w:rPr>
                <w:rFonts w:hint="eastAsia"/>
                <w:color w:val="auto"/>
                <w:sz w:val="22"/>
              </w:rPr>
              <w:t>DN700</w:t>
            </w:r>
          </w:p>
        </w:tc>
        <w:tc>
          <w:tcPr>
            <w:tcW w:w="992" w:type="dxa"/>
            <w:vAlign w:val="center"/>
          </w:tcPr>
          <w:p>
            <w:pPr>
              <w:pStyle w:val="29"/>
              <w:ind w:firstLine="0" w:firstLineChars="0"/>
              <w:jc w:val="center"/>
              <w:rPr>
                <w:rFonts w:asciiTheme="minorEastAsia" w:hAnsiTheme="minorEastAsia"/>
                <w:color w:val="auto"/>
                <w:sz w:val="21"/>
                <w:szCs w:val="21"/>
              </w:rPr>
            </w:pPr>
            <w:r>
              <w:rPr>
                <w:rFonts w:hint="eastAsia"/>
                <w:color w:val="auto"/>
                <w:sz w:val="22"/>
              </w:rPr>
              <w:t>台</w:t>
            </w:r>
          </w:p>
        </w:tc>
        <w:tc>
          <w:tcPr>
            <w:tcW w:w="1134" w:type="dxa"/>
            <w:vAlign w:val="center"/>
          </w:tcPr>
          <w:p>
            <w:pPr>
              <w:pStyle w:val="29"/>
              <w:ind w:firstLine="0" w:firstLineChars="0"/>
              <w:jc w:val="center"/>
              <w:rPr>
                <w:rFonts w:asciiTheme="minorEastAsia" w:hAnsiTheme="minorEastAsia"/>
                <w:color w:val="auto"/>
                <w:sz w:val="21"/>
                <w:szCs w:val="21"/>
              </w:rPr>
            </w:pPr>
            <w:r>
              <w:rPr>
                <w:rFonts w:hint="eastAsia"/>
                <w:color w:val="auto"/>
                <w:sz w:val="22"/>
              </w:rPr>
              <w:t>2</w:t>
            </w:r>
          </w:p>
        </w:tc>
        <w:tc>
          <w:tcPr>
            <w:tcW w:w="3208" w:type="dxa"/>
            <w:vAlign w:val="center"/>
          </w:tcPr>
          <w:p>
            <w:pPr>
              <w:pStyle w:val="29"/>
              <w:ind w:firstLine="0" w:firstLineChars="0"/>
              <w:jc w:val="center"/>
              <w:rPr>
                <w:rFonts w:asciiTheme="minorEastAsia" w:hAnsiTheme="minorEastAsia"/>
                <w:color w:val="auto"/>
                <w:sz w:val="21"/>
                <w:szCs w:val="21"/>
              </w:rPr>
            </w:pPr>
            <w:r>
              <w:rPr>
                <w:rFonts w:hint="eastAsia"/>
                <w:color w:val="auto"/>
                <w:sz w:val="22"/>
              </w:rPr>
              <w:t>用于反冲洗泵进水管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1"/>
              </w:rPr>
            </w:pPr>
            <w:r>
              <w:rPr>
                <w:rFonts w:hint="eastAsia"/>
                <w:color w:val="auto"/>
                <w:sz w:val="21"/>
                <w:szCs w:val="21"/>
              </w:rPr>
              <w:t>2</w:t>
            </w:r>
          </w:p>
        </w:tc>
        <w:tc>
          <w:tcPr>
            <w:tcW w:w="1275" w:type="dxa"/>
            <w:vAlign w:val="center"/>
          </w:tcPr>
          <w:p>
            <w:pPr>
              <w:pStyle w:val="29"/>
              <w:ind w:firstLine="0" w:firstLineChars="0"/>
              <w:jc w:val="center"/>
              <w:rPr>
                <w:rFonts w:asciiTheme="minorEastAsia" w:hAnsiTheme="minorEastAsia"/>
                <w:color w:val="auto"/>
                <w:sz w:val="21"/>
                <w:szCs w:val="21"/>
              </w:rPr>
            </w:pPr>
            <w:r>
              <w:rPr>
                <w:rFonts w:hint="eastAsia"/>
                <w:color w:val="auto"/>
                <w:sz w:val="22"/>
              </w:rPr>
              <w:t>手动蝶阀</w:t>
            </w:r>
          </w:p>
        </w:tc>
        <w:tc>
          <w:tcPr>
            <w:tcW w:w="1276" w:type="dxa"/>
            <w:vAlign w:val="center"/>
          </w:tcPr>
          <w:p>
            <w:pPr>
              <w:pStyle w:val="29"/>
              <w:ind w:firstLine="0" w:firstLineChars="0"/>
              <w:jc w:val="center"/>
              <w:rPr>
                <w:rFonts w:asciiTheme="minorEastAsia" w:hAnsiTheme="minorEastAsia"/>
                <w:color w:val="auto"/>
                <w:sz w:val="21"/>
                <w:szCs w:val="21"/>
              </w:rPr>
            </w:pPr>
            <w:r>
              <w:rPr>
                <w:rFonts w:hint="eastAsia"/>
                <w:color w:val="auto"/>
                <w:sz w:val="22"/>
              </w:rPr>
              <w:t>DN600</w:t>
            </w:r>
          </w:p>
        </w:tc>
        <w:tc>
          <w:tcPr>
            <w:tcW w:w="992" w:type="dxa"/>
            <w:vAlign w:val="center"/>
          </w:tcPr>
          <w:p>
            <w:pPr>
              <w:pStyle w:val="29"/>
              <w:ind w:firstLine="0" w:firstLineChars="0"/>
              <w:jc w:val="center"/>
              <w:rPr>
                <w:rFonts w:asciiTheme="minorEastAsia" w:hAnsiTheme="minorEastAsia"/>
                <w:color w:val="auto"/>
                <w:sz w:val="21"/>
                <w:szCs w:val="21"/>
              </w:rPr>
            </w:pPr>
            <w:r>
              <w:rPr>
                <w:rFonts w:hint="eastAsia"/>
                <w:color w:val="auto"/>
                <w:sz w:val="22"/>
              </w:rPr>
              <w:t>台</w:t>
            </w:r>
          </w:p>
        </w:tc>
        <w:tc>
          <w:tcPr>
            <w:tcW w:w="1134" w:type="dxa"/>
            <w:vAlign w:val="center"/>
          </w:tcPr>
          <w:p>
            <w:pPr>
              <w:pStyle w:val="29"/>
              <w:ind w:firstLine="0" w:firstLineChars="0"/>
              <w:jc w:val="center"/>
              <w:rPr>
                <w:rFonts w:asciiTheme="minorEastAsia" w:hAnsiTheme="minorEastAsia"/>
                <w:color w:val="auto"/>
                <w:sz w:val="21"/>
                <w:szCs w:val="21"/>
              </w:rPr>
            </w:pPr>
            <w:r>
              <w:rPr>
                <w:rFonts w:hint="eastAsia"/>
                <w:color w:val="auto"/>
                <w:sz w:val="22"/>
              </w:rPr>
              <w:t>2</w:t>
            </w:r>
          </w:p>
        </w:tc>
        <w:tc>
          <w:tcPr>
            <w:tcW w:w="3208" w:type="dxa"/>
            <w:vAlign w:val="center"/>
          </w:tcPr>
          <w:p>
            <w:pPr>
              <w:pStyle w:val="29"/>
              <w:ind w:firstLine="0" w:firstLineChars="0"/>
              <w:jc w:val="center"/>
              <w:rPr>
                <w:rFonts w:asciiTheme="minorEastAsia" w:hAnsiTheme="minorEastAsia"/>
                <w:color w:val="auto"/>
                <w:sz w:val="21"/>
                <w:szCs w:val="21"/>
              </w:rPr>
            </w:pPr>
            <w:r>
              <w:rPr>
                <w:rFonts w:hint="eastAsia"/>
                <w:color w:val="auto"/>
                <w:sz w:val="22"/>
              </w:rPr>
              <w:t>用于反冲洗泵出水管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1"/>
              </w:rPr>
            </w:pPr>
            <w:r>
              <w:rPr>
                <w:rFonts w:hint="eastAsia"/>
                <w:color w:val="auto"/>
                <w:sz w:val="21"/>
                <w:szCs w:val="21"/>
              </w:rPr>
              <w:t>供货范围</w:t>
            </w:r>
          </w:p>
        </w:tc>
        <w:tc>
          <w:tcPr>
            <w:tcW w:w="7885" w:type="dxa"/>
            <w:gridSpan w:val="5"/>
            <w:vAlign w:val="center"/>
          </w:tcPr>
          <w:p>
            <w:pPr>
              <w:pStyle w:val="29"/>
              <w:ind w:firstLine="0" w:firstLineChars="0"/>
              <w:rPr>
                <w:color w:val="auto"/>
                <w:sz w:val="21"/>
                <w:szCs w:val="21"/>
              </w:rPr>
            </w:pPr>
            <w:r>
              <w:rPr>
                <w:rFonts w:hint="eastAsia" w:asciiTheme="minorEastAsia" w:hAnsiTheme="minorEastAsia"/>
                <w:color w:val="auto"/>
                <w:sz w:val="21"/>
                <w:szCs w:val="21"/>
              </w:rPr>
              <w:t>投标人提供的蝶阀或闸阀应为成套设备，主要包括(但不限于)：装配完整的蝶阀或闸阀</w:t>
            </w:r>
            <w:r>
              <w:rPr>
                <w:rFonts w:asciiTheme="minorEastAsia" w:hAnsiTheme="minorEastAsia"/>
                <w:color w:val="auto"/>
                <w:sz w:val="21"/>
                <w:szCs w:val="21"/>
              </w:rPr>
              <w:t>(</w:t>
            </w:r>
            <w:r>
              <w:rPr>
                <w:rFonts w:hint="eastAsia" w:asciiTheme="minorEastAsia" w:hAnsiTheme="minorEastAsia"/>
                <w:color w:val="auto"/>
                <w:sz w:val="21"/>
                <w:szCs w:val="21"/>
              </w:rPr>
              <w:t>含阀体、阀板、阀轴、轴套、密封圈等</w:t>
            </w:r>
            <w:r>
              <w:rPr>
                <w:rFonts w:asciiTheme="minorEastAsia" w:hAnsiTheme="minorEastAsia"/>
                <w:color w:val="auto"/>
                <w:sz w:val="21"/>
                <w:szCs w:val="21"/>
              </w:rPr>
              <w:t>)</w:t>
            </w:r>
            <w:r>
              <w:rPr>
                <w:rFonts w:hint="eastAsia" w:asciiTheme="minorEastAsia" w:hAnsiTheme="minorEastAsia"/>
                <w:color w:val="auto"/>
                <w:sz w:val="21"/>
                <w:szCs w:val="21"/>
              </w:rPr>
              <w:t>、驱动装置、电动与手动调节装置、就地电控柜及其支架和紧固件等，应保证货物在安装、安全可靠运行时不另外需要配件</w:t>
            </w:r>
            <w:r>
              <w:rPr>
                <w:rFonts w:hint="eastAsia" w:cs="Arial" w:asciiTheme="minorEastAsia" w:hAnsiTheme="minorEastAsia"/>
                <w:color w:val="auto"/>
                <w:spacing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1"/>
              </w:rPr>
            </w:pPr>
            <w:r>
              <w:rPr>
                <w:rFonts w:hint="eastAsia"/>
                <w:color w:val="auto"/>
                <w:sz w:val="21"/>
                <w:szCs w:val="21"/>
              </w:rPr>
              <w:t>技术参数</w:t>
            </w:r>
          </w:p>
        </w:tc>
        <w:tc>
          <w:tcPr>
            <w:tcW w:w="7885" w:type="dxa"/>
            <w:gridSpan w:val="5"/>
            <w:vAlign w:val="center"/>
          </w:tcPr>
          <w:p>
            <w:pPr>
              <w:pStyle w:val="29"/>
              <w:ind w:firstLine="412"/>
              <w:rPr>
                <w:rFonts w:asciiTheme="minorEastAsia" w:hAnsiTheme="minorEastAsia"/>
                <w:color w:val="auto"/>
                <w:sz w:val="21"/>
                <w:szCs w:val="21"/>
              </w:rPr>
            </w:pPr>
            <w:r>
              <w:rPr>
                <w:rFonts w:hint="eastAsia" w:asciiTheme="minorEastAsia" w:hAnsiTheme="minorEastAsia"/>
                <w:color w:val="auto"/>
                <w:sz w:val="21"/>
                <w:szCs w:val="21"/>
              </w:rPr>
              <w:t>蝶阀为法兰式蝶阀，阀门必须符合AWWA工程C504规范150B等级标准或GB标准。双向气动控制，带限位控制开关及电磁阀，最大压差0.176MPa，仪表最小的压力为0.42MPa。反冲洗流量及回流控制阀必须包含定位器，适用于模块化运行，所有电磁阀均有按钮，可用于手动操作。</w:t>
            </w:r>
          </w:p>
          <w:p>
            <w:pPr>
              <w:pStyle w:val="29"/>
              <w:ind w:firstLine="412"/>
              <w:rPr>
                <w:rFonts w:asciiTheme="minorEastAsia" w:hAnsiTheme="minorEastAsia"/>
                <w:color w:val="auto"/>
                <w:sz w:val="21"/>
                <w:szCs w:val="21"/>
              </w:rPr>
            </w:pPr>
            <w:r>
              <w:rPr>
                <w:rFonts w:hint="eastAsia" w:asciiTheme="minorEastAsia" w:hAnsiTheme="minorEastAsia"/>
                <w:color w:val="auto"/>
                <w:sz w:val="21"/>
                <w:szCs w:val="21"/>
              </w:rPr>
              <w:t>开关型执行机构需要带限位控制开关及电磁阀，反冲洗流量及回流控制阀为调节型阀门，必须包含定位器并能接收并反馈4-20mA模拟量信号。所有电磁阀均有按钮，可用于手动操作。</w:t>
            </w:r>
          </w:p>
          <w:p>
            <w:pPr>
              <w:pStyle w:val="29"/>
              <w:ind w:firstLine="412"/>
              <w:rPr>
                <w:rFonts w:asciiTheme="minorEastAsia" w:hAnsiTheme="minorEastAsia"/>
                <w:color w:val="auto"/>
                <w:sz w:val="21"/>
                <w:szCs w:val="21"/>
              </w:rPr>
            </w:pPr>
            <w:r>
              <w:rPr>
                <w:rFonts w:hint="eastAsia" w:asciiTheme="minorEastAsia" w:hAnsiTheme="minorEastAsia"/>
                <w:color w:val="auto"/>
                <w:sz w:val="21"/>
                <w:szCs w:val="21"/>
              </w:rPr>
              <w:t>闸阀应采用暗杆软密封闸阀，阀体密封带和阀板密封带采用楔式结构，通过调节密封压力来实现密封。</w:t>
            </w:r>
          </w:p>
          <w:p>
            <w:pPr>
              <w:pStyle w:val="29"/>
              <w:ind w:firstLine="0" w:firstLineChars="0"/>
              <w:rPr>
                <w:rFonts w:asciiTheme="minorEastAsia" w:hAnsiTheme="minorEastAsia"/>
                <w:color w:val="auto"/>
                <w:sz w:val="21"/>
                <w:szCs w:val="21"/>
              </w:rPr>
            </w:pPr>
            <w:r>
              <w:rPr>
                <w:rFonts w:hint="eastAsia" w:asciiTheme="minorEastAsia" w:hAnsiTheme="minorEastAsia"/>
                <w:color w:val="auto"/>
                <w:sz w:val="21"/>
                <w:szCs w:val="21"/>
              </w:rPr>
              <w:t>阀门阀座应采用软密封，减小阀板升降时的摩擦力。联结阀瓣和阀轴的螺母应整体紧密镶嵌在阀芯上，且应选用耐磨耐蚀材质。阀盖应设计成自密封结构，以防外漏。阀轴应设有止推轴承及2道以上的“O”型密封圈，以保证轴密封严密同时有较小的操作扭矩。</w:t>
            </w:r>
          </w:p>
        </w:tc>
      </w:tr>
    </w:tbl>
    <w:p>
      <w:pPr>
        <w:pStyle w:val="29"/>
        <w:ind w:firstLine="472"/>
        <w:rPr>
          <w:color w:val="auto"/>
        </w:rPr>
      </w:pPr>
    </w:p>
    <w:p>
      <w:pPr>
        <w:pStyle w:val="31"/>
        <w:rPr>
          <w:color w:val="auto"/>
        </w:rPr>
      </w:pPr>
      <w:r>
        <w:rPr>
          <w:rFonts w:hint="eastAsia"/>
          <w:color w:val="auto"/>
        </w:rPr>
        <w:t>微阻缓闭止回阀</w:t>
      </w:r>
    </w:p>
    <w:tbl>
      <w:tblPr>
        <w:tblStyle w:val="24"/>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34"/>
        <w:gridCol w:w="1134"/>
        <w:gridCol w:w="992"/>
        <w:gridCol w:w="1417"/>
        <w:gridCol w:w="3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1"/>
              </w:rPr>
            </w:pPr>
            <w:r>
              <w:rPr>
                <w:rFonts w:hint="eastAsia"/>
                <w:color w:val="auto"/>
                <w:sz w:val="21"/>
                <w:szCs w:val="21"/>
              </w:rPr>
              <w:t>序号</w:t>
            </w:r>
          </w:p>
        </w:tc>
        <w:tc>
          <w:tcPr>
            <w:tcW w:w="1134" w:type="dxa"/>
            <w:vAlign w:val="center"/>
          </w:tcPr>
          <w:p>
            <w:pPr>
              <w:pStyle w:val="29"/>
              <w:ind w:firstLine="0" w:firstLineChars="0"/>
              <w:jc w:val="center"/>
              <w:rPr>
                <w:rFonts w:asciiTheme="minorEastAsia" w:hAnsiTheme="minorEastAsia"/>
                <w:color w:val="auto"/>
                <w:sz w:val="21"/>
                <w:szCs w:val="21"/>
              </w:rPr>
            </w:pPr>
            <w:r>
              <w:rPr>
                <w:rFonts w:hint="eastAsia"/>
                <w:color w:val="auto"/>
                <w:sz w:val="21"/>
                <w:szCs w:val="21"/>
              </w:rPr>
              <w:t>名称</w:t>
            </w:r>
          </w:p>
        </w:tc>
        <w:tc>
          <w:tcPr>
            <w:tcW w:w="1134" w:type="dxa"/>
            <w:vAlign w:val="center"/>
          </w:tcPr>
          <w:p>
            <w:pPr>
              <w:pStyle w:val="29"/>
              <w:ind w:firstLine="0" w:firstLineChars="0"/>
              <w:jc w:val="center"/>
              <w:rPr>
                <w:rFonts w:asciiTheme="minorEastAsia" w:hAnsiTheme="minorEastAsia"/>
                <w:color w:val="auto"/>
                <w:sz w:val="21"/>
                <w:szCs w:val="21"/>
              </w:rPr>
            </w:pPr>
            <w:r>
              <w:rPr>
                <w:rFonts w:hint="eastAsia"/>
                <w:color w:val="auto"/>
                <w:sz w:val="21"/>
                <w:szCs w:val="21"/>
              </w:rPr>
              <w:t>规格</w:t>
            </w:r>
          </w:p>
        </w:tc>
        <w:tc>
          <w:tcPr>
            <w:tcW w:w="992" w:type="dxa"/>
            <w:vAlign w:val="center"/>
          </w:tcPr>
          <w:p>
            <w:pPr>
              <w:pStyle w:val="29"/>
              <w:ind w:firstLine="0" w:firstLineChars="0"/>
              <w:jc w:val="center"/>
              <w:rPr>
                <w:rFonts w:asciiTheme="minorEastAsia" w:hAnsiTheme="minorEastAsia"/>
                <w:color w:val="auto"/>
                <w:sz w:val="21"/>
                <w:szCs w:val="21"/>
              </w:rPr>
            </w:pPr>
            <w:r>
              <w:rPr>
                <w:rFonts w:hint="eastAsia"/>
                <w:color w:val="auto"/>
                <w:sz w:val="21"/>
                <w:szCs w:val="21"/>
              </w:rPr>
              <w:t>单位</w:t>
            </w:r>
          </w:p>
        </w:tc>
        <w:tc>
          <w:tcPr>
            <w:tcW w:w="1417" w:type="dxa"/>
            <w:vAlign w:val="center"/>
          </w:tcPr>
          <w:p>
            <w:pPr>
              <w:pStyle w:val="29"/>
              <w:ind w:firstLine="0" w:firstLineChars="0"/>
              <w:jc w:val="center"/>
              <w:rPr>
                <w:rFonts w:asciiTheme="minorEastAsia" w:hAnsiTheme="minorEastAsia"/>
                <w:color w:val="auto"/>
                <w:sz w:val="21"/>
                <w:szCs w:val="21"/>
              </w:rPr>
            </w:pPr>
            <w:r>
              <w:rPr>
                <w:rFonts w:hint="eastAsia"/>
                <w:color w:val="auto"/>
                <w:sz w:val="21"/>
                <w:szCs w:val="21"/>
              </w:rPr>
              <w:t>数量</w:t>
            </w:r>
          </w:p>
        </w:tc>
        <w:tc>
          <w:tcPr>
            <w:tcW w:w="3208" w:type="dxa"/>
            <w:vAlign w:val="center"/>
          </w:tcPr>
          <w:p>
            <w:pPr>
              <w:pStyle w:val="29"/>
              <w:ind w:firstLine="0" w:firstLineChars="0"/>
              <w:jc w:val="center"/>
              <w:rPr>
                <w:rFonts w:asciiTheme="minorEastAsia" w:hAnsiTheme="minorEastAsia"/>
                <w:color w:val="auto"/>
                <w:sz w:val="21"/>
                <w:szCs w:val="21"/>
              </w:rPr>
            </w:pPr>
            <w:r>
              <w:rPr>
                <w:rFonts w:hint="eastAsia"/>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1"/>
              </w:rPr>
            </w:pPr>
            <w:r>
              <w:rPr>
                <w:rFonts w:hint="eastAsia"/>
                <w:color w:val="auto"/>
                <w:sz w:val="21"/>
                <w:szCs w:val="21"/>
              </w:rPr>
              <w:t>1</w:t>
            </w:r>
          </w:p>
        </w:tc>
        <w:tc>
          <w:tcPr>
            <w:tcW w:w="1134" w:type="dxa"/>
            <w:vAlign w:val="center"/>
          </w:tcPr>
          <w:p>
            <w:pPr>
              <w:pStyle w:val="29"/>
              <w:ind w:firstLine="0" w:firstLineChars="0"/>
              <w:jc w:val="center"/>
              <w:rPr>
                <w:rFonts w:asciiTheme="minorEastAsia" w:hAnsiTheme="minorEastAsia"/>
                <w:color w:val="auto"/>
                <w:sz w:val="21"/>
                <w:szCs w:val="21"/>
              </w:rPr>
            </w:pPr>
            <w:r>
              <w:rPr>
                <w:rFonts w:hint="eastAsia"/>
                <w:color w:val="auto"/>
                <w:sz w:val="22"/>
              </w:rPr>
              <w:t>止回阀</w:t>
            </w:r>
          </w:p>
        </w:tc>
        <w:tc>
          <w:tcPr>
            <w:tcW w:w="1134" w:type="dxa"/>
            <w:vAlign w:val="center"/>
          </w:tcPr>
          <w:p>
            <w:pPr>
              <w:pStyle w:val="29"/>
              <w:ind w:firstLine="0" w:firstLineChars="0"/>
              <w:jc w:val="center"/>
              <w:rPr>
                <w:rFonts w:asciiTheme="minorEastAsia" w:hAnsiTheme="minorEastAsia"/>
                <w:color w:val="auto"/>
                <w:sz w:val="21"/>
                <w:szCs w:val="21"/>
              </w:rPr>
            </w:pPr>
            <w:r>
              <w:rPr>
                <w:rFonts w:hint="eastAsia"/>
                <w:color w:val="auto"/>
                <w:sz w:val="22"/>
              </w:rPr>
              <w:t>DN600</w:t>
            </w:r>
          </w:p>
        </w:tc>
        <w:tc>
          <w:tcPr>
            <w:tcW w:w="992" w:type="dxa"/>
            <w:vAlign w:val="center"/>
          </w:tcPr>
          <w:p>
            <w:pPr>
              <w:pStyle w:val="29"/>
              <w:ind w:firstLine="0" w:firstLineChars="0"/>
              <w:jc w:val="center"/>
              <w:rPr>
                <w:rFonts w:asciiTheme="minorEastAsia" w:hAnsiTheme="minorEastAsia"/>
                <w:color w:val="auto"/>
                <w:sz w:val="21"/>
                <w:szCs w:val="21"/>
              </w:rPr>
            </w:pPr>
            <w:r>
              <w:rPr>
                <w:rFonts w:hint="eastAsia"/>
                <w:color w:val="auto"/>
                <w:sz w:val="22"/>
              </w:rPr>
              <w:t>台</w:t>
            </w:r>
          </w:p>
        </w:tc>
        <w:tc>
          <w:tcPr>
            <w:tcW w:w="1417" w:type="dxa"/>
            <w:vAlign w:val="center"/>
          </w:tcPr>
          <w:p>
            <w:pPr>
              <w:pStyle w:val="29"/>
              <w:ind w:firstLine="0" w:firstLineChars="0"/>
              <w:jc w:val="center"/>
              <w:rPr>
                <w:rFonts w:asciiTheme="minorEastAsia" w:hAnsiTheme="minorEastAsia"/>
                <w:color w:val="auto"/>
                <w:sz w:val="21"/>
                <w:szCs w:val="21"/>
              </w:rPr>
            </w:pPr>
            <w:r>
              <w:rPr>
                <w:rFonts w:hint="eastAsia"/>
                <w:color w:val="auto"/>
                <w:sz w:val="22"/>
              </w:rPr>
              <w:t>2</w:t>
            </w:r>
          </w:p>
        </w:tc>
        <w:tc>
          <w:tcPr>
            <w:tcW w:w="3208" w:type="dxa"/>
            <w:vAlign w:val="center"/>
          </w:tcPr>
          <w:p>
            <w:pPr>
              <w:pStyle w:val="29"/>
              <w:ind w:firstLine="0" w:firstLineChars="0"/>
              <w:jc w:val="center"/>
              <w:rPr>
                <w:rFonts w:asciiTheme="minorEastAsia" w:hAnsiTheme="minorEastAsia"/>
                <w:color w:val="auto"/>
                <w:sz w:val="21"/>
                <w:szCs w:val="21"/>
              </w:rPr>
            </w:pPr>
            <w:r>
              <w:rPr>
                <w:rFonts w:hint="eastAsia"/>
                <w:color w:val="auto"/>
                <w:sz w:val="22"/>
              </w:rPr>
              <w:t>用于反冲洗泵出水管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1"/>
              </w:rPr>
            </w:pPr>
            <w:r>
              <w:rPr>
                <w:rFonts w:hint="eastAsia"/>
                <w:color w:val="auto"/>
                <w:sz w:val="21"/>
                <w:szCs w:val="21"/>
              </w:rPr>
              <w:t>2</w:t>
            </w:r>
          </w:p>
        </w:tc>
        <w:tc>
          <w:tcPr>
            <w:tcW w:w="1134" w:type="dxa"/>
            <w:vAlign w:val="center"/>
          </w:tcPr>
          <w:p>
            <w:pPr>
              <w:pStyle w:val="29"/>
              <w:ind w:firstLine="0" w:firstLineChars="0"/>
              <w:jc w:val="center"/>
              <w:rPr>
                <w:color w:val="auto"/>
                <w:sz w:val="22"/>
              </w:rPr>
            </w:pPr>
            <w:r>
              <w:rPr>
                <w:rFonts w:hint="eastAsia"/>
                <w:color w:val="auto"/>
                <w:sz w:val="22"/>
              </w:rPr>
              <w:t>止回阀</w:t>
            </w:r>
          </w:p>
        </w:tc>
        <w:tc>
          <w:tcPr>
            <w:tcW w:w="1134" w:type="dxa"/>
            <w:vAlign w:val="center"/>
          </w:tcPr>
          <w:p>
            <w:pPr>
              <w:pStyle w:val="29"/>
              <w:ind w:firstLine="0" w:firstLineChars="0"/>
              <w:jc w:val="center"/>
              <w:rPr>
                <w:color w:val="auto"/>
                <w:sz w:val="22"/>
              </w:rPr>
            </w:pPr>
            <w:r>
              <w:rPr>
                <w:rFonts w:hint="eastAsia"/>
                <w:color w:val="auto"/>
                <w:sz w:val="22"/>
              </w:rPr>
              <w:t>DN350</w:t>
            </w:r>
          </w:p>
        </w:tc>
        <w:tc>
          <w:tcPr>
            <w:tcW w:w="992" w:type="dxa"/>
            <w:vAlign w:val="center"/>
          </w:tcPr>
          <w:p>
            <w:pPr>
              <w:pStyle w:val="29"/>
              <w:ind w:firstLine="0" w:firstLineChars="0"/>
              <w:jc w:val="center"/>
              <w:rPr>
                <w:color w:val="auto"/>
                <w:sz w:val="22"/>
              </w:rPr>
            </w:pPr>
            <w:r>
              <w:rPr>
                <w:rFonts w:hint="eastAsia"/>
                <w:color w:val="auto"/>
                <w:sz w:val="22"/>
              </w:rPr>
              <w:t>台</w:t>
            </w:r>
          </w:p>
        </w:tc>
        <w:tc>
          <w:tcPr>
            <w:tcW w:w="1417" w:type="dxa"/>
            <w:vAlign w:val="center"/>
          </w:tcPr>
          <w:p>
            <w:pPr>
              <w:pStyle w:val="29"/>
              <w:ind w:firstLine="0" w:firstLineChars="0"/>
              <w:jc w:val="center"/>
              <w:rPr>
                <w:color w:val="auto"/>
                <w:sz w:val="22"/>
              </w:rPr>
            </w:pPr>
            <w:r>
              <w:rPr>
                <w:rFonts w:hint="eastAsia"/>
                <w:color w:val="auto"/>
                <w:sz w:val="22"/>
              </w:rPr>
              <w:t>3</w:t>
            </w:r>
          </w:p>
        </w:tc>
        <w:tc>
          <w:tcPr>
            <w:tcW w:w="3208" w:type="dxa"/>
            <w:vAlign w:val="center"/>
          </w:tcPr>
          <w:p>
            <w:pPr>
              <w:pStyle w:val="29"/>
              <w:ind w:firstLine="0" w:firstLineChars="0"/>
              <w:jc w:val="center"/>
              <w:rPr>
                <w:color w:val="auto"/>
                <w:sz w:val="22"/>
              </w:rPr>
            </w:pPr>
            <w:r>
              <w:rPr>
                <w:rFonts w:hint="eastAsia"/>
                <w:color w:val="auto"/>
                <w:sz w:val="22"/>
              </w:rPr>
              <w:t>用于反冲洗风机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1"/>
              </w:rPr>
            </w:pPr>
            <w:r>
              <w:rPr>
                <w:rFonts w:hint="eastAsia"/>
                <w:color w:val="auto"/>
                <w:sz w:val="21"/>
                <w:szCs w:val="21"/>
              </w:rPr>
              <w:t>供货范围</w:t>
            </w:r>
          </w:p>
        </w:tc>
        <w:tc>
          <w:tcPr>
            <w:tcW w:w="7885" w:type="dxa"/>
            <w:gridSpan w:val="5"/>
            <w:vAlign w:val="center"/>
          </w:tcPr>
          <w:p>
            <w:pPr>
              <w:pStyle w:val="29"/>
              <w:ind w:firstLine="0" w:firstLineChars="0"/>
              <w:rPr>
                <w:color w:val="auto"/>
                <w:sz w:val="21"/>
                <w:szCs w:val="21"/>
              </w:rPr>
            </w:pPr>
            <w:r>
              <w:rPr>
                <w:rFonts w:hint="eastAsia" w:asciiTheme="minorEastAsia" w:hAnsiTheme="minorEastAsia"/>
                <w:color w:val="auto"/>
                <w:sz w:val="21"/>
                <w:szCs w:val="21"/>
              </w:rPr>
              <w:t>投标人提供的止回阀应为成套设备，主要包括(但不限于)：阀体、阀板、阀轴、轴套、密封圈和紧固件等。应保证货物在安装、安全可靠运行时不另外需要配件</w:t>
            </w:r>
            <w:r>
              <w:rPr>
                <w:rFonts w:hint="eastAsia" w:cs="Arial" w:asciiTheme="minorEastAsia" w:hAnsiTheme="minorEastAsia"/>
                <w:color w:val="auto"/>
                <w:spacing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1"/>
              </w:rPr>
            </w:pPr>
            <w:r>
              <w:rPr>
                <w:rFonts w:hint="eastAsia"/>
                <w:color w:val="auto"/>
                <w:sz w:val="21"/>
                <w:szCs w:val="21"/>
              </w:rPr>
              <w:t>技术参数</w:t>
            </w:r>
          </w:p>
        </w:tc>
        <w:tc>
          <w:tcPr>
            <w:tcW w:w="7885" w:type="dxa"/>
            <w:gridSpan w:val="5"/>
            <w:vAlign w:val="center"/>
          </w:tcPr>
          <w:p>
            <w:pPr>
              <w:pStyle w:val="11"/>
              <w:spacing w:line="360" w:lineRule="auto"/>
              <w:ind w:left="0" w:firstLine="420" w:firstLineChars="200"/>
              <w:jc w:val="both"/>
              <w:rPr>
                <w:rFonts w:asciiTheme="minorEastAsia" w:hAnsiTheme="minorEastAsia" w:eastAsiaTheme="minorEastAsia"/>
                <w:color w:val="auto"/>
                <w:lang w:eastAsia="zh-CN"/>
              </w:rPr>
            </w:pPr>
            <w:r>
              <w:rPr>
                <w:rFonts w:hint="eastAsia" w:asciiTheme="minorEastAsia" w:hAnsiTheme="minorEastAsia" w:eastAsiaTheme="minorEastAsia"/>
                <w:color w:val="auto"/>
                <w:lang w:eastAsia="zh-CN"/>
              </w:rPr>
              <w:t>微阻缓闭止回阀为单板旋启式结构，阀板由油缸活塞控制缓闭。</w:t>
            </w:r>
          </w:p>
          <w:p>
            <w:pPr>
              <w:pStyle w:val="11"/>
              <w:spacing w:line="360" w:lineRule="auto"/>
              <w:ind w:left="0" w:firstLine="420" w:firstLineChars="200"/>
              <w:jc w:val="both"/>
              <w:rPr>
                <w:rFonts w:asciiTheme="minorEastAsia" w:hAnsiTheme="minorEastAsia" w:eastAsiaTheme="minorEastAsia"/>
                <w:color w:val="auto"/>
                <w:lang w:eastAsia="zh-CN"/>
              </w:rPr>
            </w:pPr>
            <w:r>
              <w:rPr>
                <w:rFonts w:hint="eastAsia" w:asciiTheme="minorEastAsia" w:hAnsiTheme="minorEastAsia" w:eastAsiaTheme="minorEastAsia"/>
                <w:color w:val="auto"/>
                <w:lang w:eastAsia="zh-CN"/>
              </w:rPr>
              <w:t>阀体应整体铸造，并按最大工作水头设计，要有足免的强度和刚度，以承受流体的压力。</w:t>
            </w:r>
          </w:p>
          <w:p>
            <w:pPr>
              <w:pStyle w:val="11"/>
              <w:spacing w:line="360" w:lineRule="auto"/>
              <w:ind w:left="0" w:firstLine="480"/>
              <w:jc w:val="both"/>
              <w:rPr>
                <w:rFonts w:asciiTheme="minorEastAsia" w:hAnsiTheme="minorEastAsia" w:eastAsiaTheme="minorEastAsia"/>
                <w:color w:val="auto"/>
                <w:lang w:eastAsia="zh-CN"/>
              </w:rPr>
            </w:pPr>
            <w:r>
              <w:rPr>
                <w:rFonts w:hint="eastAsia" w:asciiTheme="minorEastAsia" w:hAnsiTheme="minorEastAsia" w:eastAsiaTheme="minorEastAsia"/>
                <w:color w:val="auto"/>
                <w:lang w:eastAsia="zh-CN"/>
              </w:rPr>
              <w:t>阀板的断面形状应保证对水流的阻力为最小。</w:t>
            </w:r>
          </w:p>
          <w:p>
            <w:pPr>
              <w:pStyle w:val="11"/>
              <w:spacing w:line="360" w:lineRule="auto"/>
              <w:ind w:left="0" w:firstLine="420" w:firstLineChars="200"/>
              <w:jc w:val="both"/>
              <w:rPr>
                <w:rFonts w:asciiTheme="minorEastAsia" w:hAnsiTheme="minorEastAsia" w:eastAsiaTheme="minorEastAsia"/>
                <w:color w:val="auto"/>
                <w:lang w:eastAsia="zh-CN"/>
              </w:rPr>
            </w:pPr>
            <w:r>
              <w:rPr>
                <w:rFonts w:hint="eastAsia" w:asciiTheme="minorEastAsia" w:hAnsiTheme="minorEastAsia" w:eastAsiaTheme="minorEastAsia"/>
                <w:color w:val="auto"/>
                <w:lang w:eastAsia="zh-CN"/>
              </w:rPr>
              <w:t>微阻缓闭止回阀采用法兰连接，法兰规格应符合GB标准。</w:t>
            </w:r>
          </w:p>
          <w:p>
            <w:pPr>
              <w:pStyle w:val="11"/>
              <w:spacing w:line="360" w:lineRule="auto"/>
              <w:ind w:left="0"/>
              <w:jc w:val="both"/>
              <w:rPr>
                <w:rFonts w:asciiTheme="minorEastAsia" w:hAnsiTheme="minorEastAsia" w:eastAsiaTheme="minorEastAsia"/>
                <w:color w:val="auto"/>
                <w:lang w:eastAsia="zh-CN"/>
              </w:rPr>
            </w:pPr>
            <w:r>
              <w:rPr>
                <w:rFonts w:hint="eastAsia" w:asciiTheme="minorEastAsia" w:hAnsiTheme="minorEastAsia" w:eastAsiaTheme="minorEastAsia"/>
                <w:color w:val="auto"/>
                <w:lang w:eastAsia="zh-CN"/>
              </w:rPr>
              <w:t>止回阀应设有调节缓闭时间的调节装置，缓闭时间应在1～60秒范围内可调。</w:t>
            </w:r>
          </w:p>
          <w:p>
            <w:pPr>
              <w:pStyle w:val="11"/>
              <w:spacing w:line="360" w:lineRule="auto"/>
              <w:ind w:left="0"/>
              <w:jc w:val="both"/>
              <w:rPr>
                <w:rFonts w:asciiTheme="minorEastAsia" w:hAnsiTheme="minorEastAsia" w:eastAsiaTheme="minorEastAsia"/>
                <w:color w:val="auto"/>
                <w:lang w:eastAsia="zh-CN"/>
              </w:rPr>
            </w:pPr>
            <w:r>
              <w:rPr>
                <w:rFonts w:hint="eastAsia" w:asciiTheme="minorEastAsia" w:hAnsiTheme="minorEastAsia" w:eastAsiaTheme="minorEastAsia"/>
                <w:color w:val="auto"/>
                <w:lang w:eastAsia="zh-CN"/>
              </w:rPr>
              <w:t>缓闭油缸及活塞应为外置式。</w:t>
            </w:r>
          </w:p>
          <w:p>
            <w:pPr>
              <w:pStyle w:val="11"/>
              <w:spacing w:line="360" w:lineRule="auto"/>
              <w:ind w:left="0" w:firstLine="420" w:firstLineChars="200"/>
              <w:jc w:val="both"/>
              <w:rPr>
                <w:rFonts w:asciiTheme="minorEastAsia" w:hAnsiTheme="minorEastAsia" w:eastAsiaTheme="minorEastAsia"/>
                <w:color w:val="auto"/>
                <w:lang w:eastAsia="zh-CN"/>
              </w:rPr>
            </w:pPr>
            <w:r>
              <w:rPr>
                <w:rFonts w:hint="eastAsia" w:asciiTheme="minorEastAsia" w:hAnsiTheme="minorEastAsia" w:eastAsiaTheme="minorEastAsia"/>
                <w:color w:val="auto"/>
                <w:lang w:eastAsia="zh-CN"/>
              </w:rPr>
              <w:t>密封面的形式根据使用条件选定。</w:t>
            </w:r>
          </w:p>
          <w:p>
            <w:pPr>
              <w:pStyle w:val="11"/>
              <w:spacing w:line="360" w:lineRule="auto"/>
              <w:ind w:left="0" w:firstLine="420" w:firstLineChars="200"/>
              <w:jc w:val="both"/>
              <w:rPr>
                <w:rFonts w:asciiTheme="minorEastAsia" w:hAnsiTheme="minorEastAsia" w:eastAsiaTheme="minorEastAsia"/>
                <w:color w:val="auto"/>
                <w:lang w:eastAsia="zh-CN"/>
              </w:rPr>
            </w:pPr>
            <w:r>
              <w:rPr>
                <w:rFonts w:hint="eastAsia" w:asciiTheme="minorEastAsia" w:hAnsiTheme="minorEastAsia" w:eastAsiaTheme="minorEastAsia"/>
                <w:color w:val="auto"/>
                <w:lang w:eastAsia="zh-CN"/>
              </w:rPr>
              <w:t>阀体上应有清晰的箭头，以指示介质流经过止回阀的流向。</w:t>
            </w:r>
          </w:p>
          <w:p>
            <w:pPr>
              <w:pStyle w:val="11"/>
              <w:spacing w:line="360" w:lineRule="auto"/>
              <w:ind w:left="0" w:firstLine="420"/>
              <w:jc w:val="both"/>
              <w:rPr>
                <w:rFonts w:asciiTheme="minorEastAsia" w:hAnsiTheme="minorEastAsia" w:eastAsiaTheme="minorEastAsia"/>
                <w:color w:val="auto"/>
                <w:lang w:eastAsia="zh-CN"/>
              </w:rPr>
            </w:pPr>
            <w:r>
              <w:rPr>
                <w:rFonts w:hint="eastAsia" w:asciiTheme="minorEastAsia" w:hAnsiTheme="minorEastAsia" w:eastAsiaTheme="minorEastAsia"/>
                <w:color w:val="auto"/>
                <w:lang w:eastAsia="zh-CN"/>
              </w:rPr>
              <w:t>阀门应进行操作试验</w:t>
            </w:r>
            <w:r>
              <w:rPr>
                <w:rFonts w:asciiTheme="minorEastAsia" w:hAnsiTheme="minorEastAsia" w:eastAsiaTheme="minorEastAsia"/>
                <w:color w:val="auto"/>
                <w:lang w:eastAsia="zh-CN"/>
              </w:rPr>
              <w:t>，</w:t>
            </w:r>
            <w:r>
              <w:rPr>
                <w:rFonts w:hint="eastAsia" w:asciiTheme="minorEastAsia" w:hAnsiTheme="minorEastAsia" w:eastAsiaTheme="minorEastAsia"/>
                <w:color w:val="auto"/>
                <w:lang w:eastAsia="zh-CN"/>
              </w:rPr>
              <w:t>要求阀门启闭灵活。</w:t>
            </w:r>
          </w:p>
          <w:p>
            <w:pPr>
              <w:pStyle w:val="29"/>
              <w:ind w:firstLine="0" w:firstLineChars="0"/>
              <w:rPr>
                <w:rFonts w:asciiTheme="minorEastAsia" w:hAnsiTheme="minorEastAsia"/>
                <w:color w:val="auto"/>
                <w:sz w:val="21"/>
                <w:szCs w:val="21"/>
              </w:rPr>
            </w:pPr>
            <w:r>
              <w:rPr>
                <w:rFonts w:hint="eastAsia" w:asciiTheme="minorEastAsia" w:hAnsiTheme="minorEastAsia"/>
                <w:color w:val="auto"/>
                <w:sz w:val="21"/>
                <w:szCs w:val="21"/>
              </w:rPr>
              <w:t>阀门应进行水压试验和密封试验，对阀体的强度和紧密性及阀门的密封性进行检验，阀体、法兰连接和阀座密封等均不允许有泄漏。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1"/>
              </w:rPr>
            </w:pPr>
            <w:r>
              <w:rPr>
                <w:rFonts w:hint="eastAsia"/>
                <w:color w:val="auto"/>
                <w:sz w:val="21"/>
                <w:szCs w:val="21"/>
              </w:rPr>
              <w:t>主要材料</w:t>
            </w:r>
          </w:p>
        </w:tc>
        <w:tc>
          <w:tcPr>
            <w:tcW w:w="7885" w:type="dxa"/>
            <w:gridSpan w:val="5"/>
            <w:vAlign w:val="center"/>
          </w:tcPr>
          <w:p>
            <w:pPr>
              <w:pStyle w:val="11"/>
              <w:spacing w:line="360" w:lineRule="auto"/>
              <w:ind w:left="0" w:firstLine="420" w:firstLineChars="200"/>
              <w:jc w:val="both"/>
              <w:rPr>
                <w:rFonts w:asciiTheme="minorEastAsia" w:hAnsiTheme="minorEastAsia" w:eastAsiaTheme="minorEastAsia"/>
                <w:color w:val="auto"/>
                <w:lang w:eastAsia="zh-CN"/>
              </w:rPr>
            </w:pPr>
            <w:r>
              <w:rPr>
                <w:rFonts w:hint="eastAsia" w:asciiTheme="minorEastAsia" w:hAnsiTheme="minorEastAsia" w:eastAsiaTheme="minorEastAsia"/>
                <w:color w:val="auto"/>
                <w:lang w:eastAsia="zh-CN"/>
              </w:rPr>
              <w:t>以下列出本设备至少包括的主要零部件名称及材料：</w:t>
            </w:r>
          </w:p>
          <w:p>
            <w:pPr>
              <w:pStyle w:val="11"/>
              <w:spacing w:line="360" w:lineRule="auto"/>
              <w:ind w:left="0" w:firstLine="420" w:firstLineChars="200"/>
              <w:jc w:val="both"/>
              <w:rPr>
                <w:rFonts w:asciiTheme="minorEastAsia" w:hAnsiTheme="minorEastAsia" w:eastAsiaTheme="minorEastAsia"/>
                <w:color w:val="auto"/>
              </w:rPr>
            </w:pPr>
            <w:r>
              <w:rPr>
                <w:rFonts w:hint="eastAsia" w:asciiTheme="minorEastAsia" w:hAnsiTheme="minorEastAsia" w:eastAsiaTheme="minorEastAsia"/>
                <w:color w:val="auto"/>
              </w:rPr>
              <w:t>阀体　　　　　</w:t>
            </w:r>
            <w:r>
              <w:rPr>
                <w:rFonts w:asciiTheme="minorEastAsia" w:hAnsiTheme="minorEastAsia" w:eastAsiaTheme="minorEastAsia"/>
                <w:color w:val="auto"/>
              </w:rPr>
              <w:t>ASTM</w:t>
            </w:r>
            <w:r>
              <w:rPr>
                <w:rFonts w:hint="eastAsia" w:asciiTheme="minorEastAsia" w:hAnsiTheme="minorEastAsia" w:eastAsiaTheme="minorEastAsia"/>
                <w:color w:val="auto"/>
              </w:rPr>
              <w:t>A</w:t>
            </w:r>
            <w:r>
              <w:rPr>
                <w:rFonts w:asciiTheme="minorEastAsia" w:hAnsiTheme="minorEastAsia" w:eastAsiaTheme="minorEastAsia"/>
                <w:color w:val="auto"/>
              </w:rPr>
              <w:t>48</w:t>
            </w:r>
            <w:r>
              <w:rPr>
                <w:rFonts w:hint="eastAsia" w:asciiTheme="minorEastAsia" w:hAnsiTheme="minorEastAsia" w:eastAsiaTheme="minorEastAsia"/>
                <w:color w:val="auto"/>
              </w:rPr>
              <w:t>C</w:t>
            </w:r>
            <w:r>
              <w:rPr>
                <w:rFonts w:asciiTheme="minorEastAsia" w:hAnsiTheme="minorEastAsia" w:eastAsiaTheme="minorEastAsia"/>
                <w:color w:val="auto"/>
              </w:rPr>
              <w:t>lass30B</w:t>
            </w:r>
          </w:p>
          <w:p>
            <w:pPr>
              <w:pStyle w:val="11"/>
              <w:spacing w:line="360" w:lineRule="auto"/>
              <w:ind w:left="0" w:firstLine="420"/>
              <w:jc w:val="both"/>
              <w:rPr>
                <w:rFonts w:asciiTheme="minorEastAsia" w:hAnsiTheme="minorEastAsia" w:eastAsiaTheme="minorEastAsia"/>
                <w:color w:val="auto"/>
              </w:rPr>
            </w:pPr>
            <w:r>
              <w:rPr>
                <w:rFonts w:hint="eastAsia" w:asciiTheme="minorEastAsia" w:hAnsiTheme="minorEastAsia" w:eastAsiaTheme="minorEastAsia"/>
                <w:color w:val="auto"/>
              </w:rPr>
              <w:t>阀板　　　　　</w:t>
            </w:r>
            <w:r>
              <w:rPr>
                <w:rFonts w:asciiTheme="minorEastAsia" w:hAnsiTheme="minorEastAsia" w:eastAsiaTheme="minorEastAsia"/>
                <w:color w:val="auto"/>
              </w:rPr>
              <w:t>ASTMA53680-55-06</w:t>
            </w:r>
          </w:p>
          <w:p>
            <w:pPr>
              <w:pStyle w:val="11"/>
              <w:spacing w:line="360" w:lineRule="auto"/>
              <w:ind w:left="0" w:firstLine="420"/>
              <w:jc w:val="both"/>
              <w:rPr>
                <w:rFonts w:asciiTheme="minorEastAsia" w:hAnsiTheme="minorEastAsia" w:eastAsiaTheme="minorEastAsia"/>
                <w:color w:val="auto"/>
              </w:rPr>
            </w:pPr>
            <w:r>
              <w:rPr>
                <w:rFonts w:hint="eastAsia" w:asciiTheme="minorEastAsia" w:hAnsiTheme="minorEastAsia" w:eastAsiaTheme="minorEastAsia"/>
                <w:color w:val="auto"/>
              </w:rPr>
              <w:t>密封　　　　　丁腈橡胶</w:t>
            </w:r>
          </w:p>
          <w:p>
            <w:pPr>
              <w:pStyle w:val="11"/>
              <w:spacing w:line="360" w:lineRule="auto"/>
              <w:ind w:left="0" w:firstLine="420"/>
              <w:jc w:val="both"/>
              <w:rPr>
                <w:rFonts w:asciiTheme="minorEastAsia" w:hAnsiTheme="minorEastAsia" w:eastAsiaTheme="minorEastAsia"/>
                <w:color w:val="auto"/>
              </w:rPr>
            </w:pPr>
            <w:r>
              <w:rPr>
                <w:rFonts w:hint="eastAsia" w:asciiTheme="minorEastAsia" w:hAnsiTheme="minorEastAsia" w:eastAsiaTheme="minorEastAsia"/>
                <w:color w:val="auto"/>
              </w:rPr>
              <w:t>销轴　　　　DIN1.4021</w:t>
            </w:r>
            <w:r>
              <w:rPr>
                <w:rFonts w:asciiTheme="minorEastAsia" w:hAnsiTheme="minorEastAsia" w:eastAsiaTheme="minorEastAsia"/>
                <w:color w:val="auto"/>
              </w:rPr>
              <w:t>(</w:t>
            </w:r>
            <w:r>
              <w:rPr>
                <w:rFonts w:hint="eastAsia" w:asciiTheme="minorEastAsia" w:hAnsiTheme="minorEastAsia" w:eastAsiaTheme="minorEastAsia"/>
                <w:color w:val="auto"/>
              </w:rPr>
              <w:t>或其它等同材料)　</w:t>
            </w:r>
          </w:p>
          <w:p>
            <w:pPr>
              <w:pStyle w:val="11"/>
              <w:spacing w:line="360" w:lineRule="auto"/>
              <w:ind w:left="0" w:firstLine="420"/>
              <w:jc w:val="both"/>
              <w:rPr>
                <w:rFonts w:asciiTheme="minorEastAsia" w:hAnsiTheme="minorEastAsia" w:eastAsiaTheme="minorEastAsia"/>
                <w:color w:val="auto"/>
              </w:rPr>
            </w:pPr>
            <w:r>
              <w:rPr>
                <w:rFonts w:hint="eastAsia" w:asciiTheme="minorEastAsia" w:hAnsiTheme="minorEastAsia" w:eastAsiaTheme="minorEastAsia"/>
                <w:color w:val="auto"/>
              </w:rPr>
              <w:t>轴套　　　　铜合金</w:t>
            </w:r>
          </w:p>
          <w:p>
            <w:pPr>
              <w:pStyle w:val="11"/>
              <w:spacing w:line="360" w:lineRule="auto"/>
              <w:ind w:left="0" w:firstLine="420"/>
              <w:jc w:val="both"/>
              <w:rPr>
                <w:rFonts w:asciiTheme="minorEastAsia" w:hAnsiTheme="minorEastAsia" w:eastAsiaTheme="minorEastAsia"/>
                <w:color w:val="auto"/>
              </w:rPr>
            </w:pPr>
            <w:r>
              <w:rPr>
                <w:rFonts w:hint="eastAsia" w:asciiTheme="minorEastAsia" w:hAnsiTheme="minorEastAsia" w:eastAsiaTheme="minorEastAsia"/>
                <w:color w:val="auto"/>
              </w:rPr>
              <w:t>所有连接件不锈钢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rPr>
                <w:color w:val="auto"/>
                <w:sz w:val="21"/>
                <w:szCs w:val="21"/>
              </w:rPr>
            </w:pPr>
            <w:r>
              <w:rPr>
                <w:rFonts w:hint="eastAsia"/>
                <w:color w:val="auto"/>
                <w:sz w:val="21"/>
                <w:szCs w:val="21"/>
              </w:rPr>
              <w:t>推荐品牌</w:t>
            </w:r>
          </w:p>
        </w:tc>
        <w:tc>
          <w:tcPr>
            <w:tcW w:w="7885" w:type="dxa"/>
            <w:gridSpan w:val="5"/>
            <w:vAlign w:val="center"/>
          </w:tcPr>
          <w:p>
            <w:pPr>
              <w:pStyle w:val="29"/>
              <w:ind w:firstLine="412"/>
              <w:rPr>
                <w:rFonts w:asciiTheme="minorEastAsia" w:hAnsiTheme="minorEastAsia"/>
                <w:color w:val="auto"/>
                <w:sz w:val="21"/>
                <w:szCs w:val="21"/>
              </w:rPr>
            </w:pPr>
            <w:r>
              <w:rPr>
                <w:rFonts w:hint="eastAsia"/>
                <w:color w:val="auto"/>
                <w:sz w:val="21"/>
                <w:szCs w:val="21"/>
              </w:rPr>
              <w:t>AVK、</w:t>
            </w:r>
            <w:r>
              <w:rPr>
                <w:color w:val="auto"/>
                <w:sz w:val="21"/>
                <w:szCs w:val="21"/>
              </w:rPr>
              <w:t>Keystone</w:t>
            </w:r>
            <w:r>
              <w:rPr>
                <w:rFonts w:hint="eastAsia"/>
                <w:color w:val="auto"/>
                <w:sz w:val="21"/>
                <w:szCs w:val="21"/>
              </w:rPr>
              <w:t>、E</w:t>
            </w:r>
            <w:r>
              <w:rPr>
                <w:color w:val="auto"/>
                <w:sz w:val="21"/>
                <w:szCs w:val="21"/>
              </w:rPr>
              <w:t>HARD</w:t>
            </w:r>
          </w:p>
        </w:tc>
      </w:tr>
    </w:tbl>
    <w:p>
      <w:pPr>
        <w:pStyle w:val="29"/>
        <w:ind w:firstLine="472"/>
        <w:rPr>
          <w:color w:val="auto"/>
        </w:rPr>
      </w:pPr>
    </w:p>
    <w:p>
      <w:pPr>
        <w:pStyle w:val="31"/>
        <w:rPr>
          <w:color w:val="auto"/>
        </w:rPr>
      </w:pPr>
      <w:bookmarkStart w:id="259" w:name="_Toc152949029"/>
      <w:r>
        <w:rPr>
          <w:rFonts w:hint="eastAsia"/>
          <w:color w:val="auto"/>
        </w:rPr>
        <w:t>气动（调节</w:t>
      </w:r>
      <w:r>
        <w:rPr>
          <w:color w:val="auto"/>
        </w:rPr>
        <w:t>）</w:t>
      </w:r>
      <w:r>
        <w:rPr>
          <w:rFonts w:hint="eastAsia"/>
          <w:color w:val="auto"/>
        </w:rPr>
        <w:t>蝶阀</w:t>
      </w:r>
      <w:bookmarkEnd w:id="259"/>
    </w:p>
    <w:tbl>
      <w:tblPr>
        <w:tblStyle w:val="24"/>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914"/>
        <w:gridCol w:w="1493"/>
        <w:gridCol w:w="1492"/>
        <w:gridCol w:w="1493"/>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0"/>
              </w:rPr>
            </w:pPr>
            <w:r>
              <w:rPr>
                <w:rFonts w:hint="eastAsia"/>
                <w:color w:val="auto"/>
                <w:sz w:val="21"/>
                <w:szCs w:val="21"/>
              </w:rPr>
              <w:t>序号</w:t>
            </w:r>
          </w:p>
        </w:tc>
        <w:tc>
          <w:tcPr>
            <w:tcW w:w="1914"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ascii="Times New Roman" w:hAnsi="Times New Roman" w:eastAsiaTheme="minorEastAsia"/>
                <w:color w:val="auto"/>
                <w:spacing w:val="-4"/>
                <w:lang w:eastAsia="zh-CN"/>
              </w:rPr>
              <w:t>名称</w:t>
            </w:r>
          </w:p>
        </w:tc>
        <w:tc>
          <w:tcPr>
            <w:tcW w:w="1493"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ascii="Times New Roman" w:hAnsi="Times New Roman" w:eastAsiaTheme="minorEastAsia"/>
                <w:color w:val="auto"/>
                <w:spacing w:val="-4"/>
                <w:lang w:eastAsia="zh-CN"/>
              </w:rPr>
              <w:t>规格</w:t>
            </w:r>
          </w:p>
        </w:tc>
        <w:tc>
          <w:tcPr>
            <w:tcW w:w="1492"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ascii="Times New Roman" w:hAnsi="Times New Roman" w:eastAsiaTheme="minorEastAsia"/>
                <w:color w:val="auto"/>
                <w:spacing w:val="-4"/>
                <w:lang w:eastAsia="zh-CN"/>
              </w:rPr>
              <w:t>单位</w:t>
            </w:r>
          </w:p>
        </w:tc>
        <w:tc>
          <w:tcPr>
            <w:tcW w:w="1493"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ascii="Times New Roman" w:hAnsi="Times New Roman" w:eastAsiaTheme="minorEastAsia"/>
                <w:color w:val="auto"/>
                <w:spacing w:val="-4"/>
                <w:lang w:eastAsia="zh-CN"/>
              </w:rPr>
              <w:t>数量</w:t>
            </w:r>
          </w:p>
        </w:tc>
        <w:tc>
          <w:tcPr>
            <w:tcW w:w="1493"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ascii="Times New Roman" w:hAnsi="Times New Roman" w:eastAsiaTheme="minorEastAsia"/>
                <w:color w:val="auto"/>
                <w:spacing w:val="-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0"/>
              </w:rPr>
            </w:pPr>
            <w:r>
              <w:rPr>
                <w:rFonts w:hint="eastAsia"/>
                <w:color w:val="auto"/>
                <w:sz w:val="21"/>
                <w:szCs w:val="20"/>
              </w:rPr>
              <w:t>1</w:t>
            </w:r>
          </w:p>
        </w:tc>
        <w:tc>
          <w:tcPr>
            <w:tcW w:w="1914"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气动调节蝶阀</w:t>
            </w:r>
          </w:p>
        </w:tc>
        <w:tc>
          <w:tcPr>
            <w:tcW w:w="1493"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DN600</w:t>
            </w:r>
          </w:p>
        </w:tc>
        <w:tc>
          <w:tcPr>
            <w:tcW w:w="1492"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台</w:t>
            </w:r>
          </w:p>
        </w:tc>
        <w:tc>
          <w:tcPr>
            <w:tcW w:w="1493"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5</w:t>
            </w:r>
          </w:p>
        </w:tc>
        <w:tc>
          <w:tcPr>
            <w:tcW w:w="1493"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滤池出水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0"/>
              </w:rPr>
            </w:pPr>
            <w:r>
              <w:rPr>
                <w:rFonts w:hint="eastAsia"/>
                <w:color w:val="auto"/>
                <w:sz w:val="21"/>
                <w:szCs w:val="20"/>
              </w:rPr>
              <w:t>2</w:t>
            </w:r>
          </w:p>
        </w:tc>
        <w:tc>
          <w:tcPr>
            <w:tcW w:w="1914"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气动进水蝶阀</w:t>
            </w:r>
          </w:p>
        </w:tc>
        <w:tc>
          <w:tcPr>
            <w:tcW w:w="1493"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DN600</w:t>
            </w:r>
          </w:p>
        </w:tc>
        <w:tc>
          <w:tcPr>
            <w:tcW w:w="1492"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台</w:t>
            </w:r>
          </w:p>
        </w:tc>
        <w:tc>
          <w:tcPr>
            <w:tcW w:w="1493"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5</w:t>
            </w:r>
          </w:p>
        </w:tc>
        <w:tc>
          <w:tcPr>
            <w:tcW w:w="1493"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反冲洗进水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0"/>
              </w:rPr>
            </w:pPr>
            <w:r>
              <w:rPr>
                <w:rFonts w:hint="eastAsia"/>
                <w:color w:val="auto"/>
                <w:sz w:val="21"/>
                <w:szCs w:val="20"/>
              </w:rPr>
              <w:t>3</w:t>
            </w:r>
          </w:p>
        </w:tc>
        <w:tc>
          <w:tcPr>
            <w:tcW w:w="1914"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气动出水蝶阀</w:t>
            </w:r>
          </w:p>
        </w:tc>
        <w:tc>
          <w:tcPr>
            <w:tcW w:w="1493"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DN700</w:t>
            </w:r>
          </w:p>
        </w:tc>
        <w:tc>
          <w:tcPr>
            <w:tcW w:w="1492"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台</w:t>
            </w:r>
          </w:p>
        </w:tc>
        <w:tc>
          <w:tcPr>
            <w:tcW w:w="1493"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5</w:t>
            </w:r>
          </w:p>
        </w:tc>
        <w:tc>
          <w:tcPr>
            <w:tcW w:w="1493"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反冲洗排水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0"/>
              </w:rPr>
            </w:pPr>
            <w:r>
              <w:rPr>
                <w:rFonts w:hint="eastAsia"/>
                <w:color w:val="auto"/>
                <w:sz w:val="21"/>
                <w:szCs w:val="20"/>
              </w:rPr>
              <w:t>4</w:t>
            </w:r>
          </w:p>
        </w:tc>
        <w:tc>
          <w:tcPr>
            <w:tcW w:w="1914"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气动蝶阀</w:t>
            </w:r>
          </w:p>
        </w:tc>
        <w:tc>
          <w:tcPr>
            <w:tcW w:w="1493"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DN500</w:t>
            </w:r>
          </w:p>
        </w:tc>
        <w:tc>
          <w:tcPr>
            <w:tcW w:w="1492"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台</w:t>
            </w:r>
          </w:p>
        </w:tc>
        <w:tc>
          <w:tcPr>
            <w:tcW w:w="1493"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5</w:t>
            </w:r>
          </w:p>
        </w:tc>
        <w:tc>
          <w:tcPr>
            <w:tcW w:w="1493" w:type="dxa"/>
            <w:vAlign w:val="center"/>
          </w:tcPr>
          <w:p>
            <w:pPr>
              <w:pStyle w:val="11"/>
              <w:spacing w:line="360" w:lineRule="auto"/>
              <w:ind w:left="0"/>
              <w:jc w:val="center"/>
              <w:rPr>
                <w:rFonts w:asciiTheme="minorEastAsia" w:hAnsiTheme="minorEastAsia" w:eastAsiaTheme="minorEastAsia"/>
                <w:color w:val="auto"/>
                <w:lang w:eastAsia="zh-CN"/>
              </w:rPr>
            </w:pPr>
            <w:r>
              <w:rPr>
                <w:rFonts w:hint="eastAsia"/>
                <w:color w:val="auto"/>
                <w:sz w:val="22"/>
                <w:szCs w:val="22"/>
              </w:rPr>
              <w:t>反冲洗进气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0"/>
              </w:rPr>
            </w:pPr>
            <w:r>
              <w:rPr>
                <w:rFonts w:hint="eastAsia"/>
                <w:color w:val="auto"/>
                <w:sz w:val="21"/>
                <w:szCs w:val="20"/>
              </w:rPr>
              <w:t>本体技术要求</w:t>
            </w:r>
          </w:p>
        </w:tc>
        <w:tc>
          <w:tcPr>
            <w:tcW w:w="7885" w:type="dxa"/>
            <w:gridSpan w:val="5"/>
            <w:vAlign w:val="center"/>
          </w:tcPr>
          <w:p>
            <w:pPr>
              <w:pStyle w:val="29"/>
              <w:ind w:firstLine="412"/>
              <w:rPr>
                <w:color w:val="auto"/>
                <w:sz w:val="21"/>
                <w:szCs w:val="20"/>
              </w:rPr>
            </w:pPr>
            <w:r>
              <w:rPr>
                <w:rFonts w:hint="eastAsia"/>
                <w:color w:val="auto"/>
                <w:sz w:val="21"/>
                <w:szCs w:val="20"/>
              </w:rPr>
              <w:t>a</w:t>
            </w:r>
            <w:r>
              <w:rPr>
                <w:color w:val="auto"/>
                <w:sz w:val="21"/>
                <w:szCs w:val="20"/>
              </w:rPr>
              <w:t>)</w:t>
            </w:r>
            <w:r>
              <w:rPr>
                <w:rFonts w:hint="eastAsia"/>
                <w:color w:val="auto"/>
                <w:sz w:val="21"/>
                <w:szCs w:val="20"/>
              </w:rPr>
              <w:t>蝶阀型式为双偏心结构，双法兰连接。</w:t>
            </w:r>
          </w:p>
          <w:p>
            <w:pPr>
              <w:pStyle w:val="29"/>
              <w:ind w:firstLine="412"/>
              <w:rPr>
                <w:color w:val="auto"/>
                <w:sz w:val="21"/>
                <w:szCs w:val="20"/>
              </w:rPr>
            </w:pPr>
            <w:r>
              <w:rPr>
                <w:rFonts w:hint="eastAsia"/>
                <w:color w:val="auto"/>
                <w:sz w:val="21"/>
                <w:szCs w:val="20"/>
              </w:rPr>
              <w:t>b</w:t>
            </w:r>
            <w:r>
              <w:rPr>
                <w:color w:val="auto"/>
                <w:sz w:val="21"/>
                <w:szCs w:val="20"/>
              </w:rPr>
              <w:t>)</w:t>
            </w:r>
            <w:r>
              <w:rPr>
                <w:rFonts w:hint="eastAsia"/>
                <w:color w:val="auto"/>
                <w:sz w:val="21"/>
                <w:szCs w:val="20"/>
              </w:rPr>
              <w:t>阀体材料EN1563EN-JS1040，相当于QT450-10球墨铸铁，整体树脂砂型铸造工艺铸造而成，内外表面均用喷砂抛丸方式除锈后必须采用高温熔结处理的环氧树脂层，满足GSK标准，涂层厚度不低于250微米，并提供GSK证书。</w:t>
            </w:r>
          </w:p>
          <w:p>
            <w:pPr>
              <w:pStyle w:val="29"/>
              <w:ind w:firstLine="412"/>
              <w:rPr>
                <w:color w:val="auto"/>
                <w:sz w:val="21"/>
                <w:szCs w:val="20"/>
              </w:rPr>
            </w:pPr>
            <w:r>
              <w:rPr>
                <w:rFonts w:hint="eastAsia"/>
                <w:color w:val="auto"/>
                <w:sz w:val="21"/>
                <w:szCs w:val="20"/>
              </w:rPr>
              <w:t>c</w:t>
            </w:r>
            <w:r>
              <w:rPr>
                <w:color w:val="auto"/>
                <w:sz w:val="21"/>
                <w:szCs w:val="20"/>
              </w:rPr>
              <w:t>)</w:t>
            </w:r>
            <w:r>
              <w:rPr>
                <w:rFonts w:hint="eastAsia"/>
                <w:color w:val="auto"/>
                <w:sz w:val="21"/>
                <w:szCs w:val="20"/>
              </w:rPr>
              <w:t>阀门所用涂料必须提供卫生厅指定的检测机构的检测报告，以确定符合卫生规范。</w:t>
            </w:r>
          </w:p>
          <w:p>
            <w:pPr>
              <w:pStyle w:val="29"/>
              <w:ind w:firstLine="412"/>
              <w:rPr>
                <w:color w:val="auto"/>
                <w:sz w:val="21"/>
                <w:szCs w:val="20"/>
              </w:rPr>
            </w:pPr>
            <w:r>
              <w:rPr>
                <w:rFonts w:hint="eastAsia"/>
                <w:color w:val="auto"/>
                <w:sz w:val="21"/>
                <w:szCs w:val="20"/>
              </w:rPr>
              <w:t>d</w:t>
            </w:r>
            <w:r>
              <w:rPr>
                <w:color w:val="auto"/>
                <w:sz w:val="21"/>
                <w:szCs w:val="20"/>
              </w:rPr>
              <w:t>)</w:t>
            </w:r>
            <w:r>
              <w:rPr>
                <w:rFonts w:hint="eastAsia"/>
                <w:color w:val="auto"/>
                <w:sz w:val="21"/>
                <w:szCs w:val="20"/>
              </w:rPr>
              <w:t>阀门所用橡胶应通过相关国际认证（WARS），并提供经由国家权威部门检测的检测报告。</w:t>
            </w:r>
          </w:p>
          <w:p>
            <w:pPr>
              <w:pStyle w:val="29"/>
              <w:ind w:firstLine="412"/>
              <w:rPr>
                <w:color w:val="auto"/>
                <w:sz w:val="21"/>
                <w:szCs w:val="20"/>
              </w:rPr>
            </w:pPr>
            <w:r>
              <w:rPr>
                <w:rFonts w:hint="eastAsia"/>
                <w:color w:val="auto"/>
                <w:sz w:val="21"/>
                <w:szCs w:val="20"/>
              </w:rPr>
              <w:t>e</w:t>
            </w:r>
            <w:r>
              <w:rPr>
                <w:color w:val="auto"/>
                <w:sz w:val="21"/>
                <w:szCs w:val="20"/>
              </w:rPr>
              <w:t>）</w:t>
            </w:r>
            <w:r>
              <w:rPr>
                <w:rFonts w:hint="eastAsia"/>
                <w:color w:val="auto"/>
                <w:sz w:val="21"/>
                <w:szCs w:val="20"/>
              </w:rPr>
              <w:t>DN80-DN300蝶阀阀板材料EN1563EN-JS1040，相当于QT450-10球墨铸铁，需采用阀板包胶的形式，阀板的边缘应带有能起到密封效果的突缘。</w:t>
            </w:r>
          </w:p>
          <w:p>
            <w:pPr>
              <w:pStyle w:val="29"/>
              <w:ind w:firstLine="412"/>
              <w:rPr>
                <w:color w:val="auto"/>
                <w:sz w:val="21"/>
                <w:szCs w:val="20"/>
              </w:rPr>
            </w:pPr>
            <w:r>
              <w:rPr>
                <w:rFonts w:hint="eastAsia"/>
                <w:color w:val="auto"/>
                <w:sz w:val="21"/>
                <w:szCs w:val="20"/>
              </w:rPr>
              <w:t>DN300以上蝶阀阀板需采用桁架平行板结构，具有良好的导流性能，压降小，在水流速较高时，各流道水流能相互制衡，避免阀板出现颤抖现象，确保阀门的稳固性。材料为EN1563EN-JS1040，相当于QT450-10球墨铸铁，整体树脂砂型铸造工艺铸造而成，内外表面均用喷砂抛丸方式除锈后必须采用高温熔结处理的环氧树脂层，满足GSK标准，涂层厚度不低于250微米，并提供GSK证书。</w:t>
            </w:r>
          </w:p>
          <w:p>
            <w:pPr>
              <w:pStyle w:val="29"/>
              <w:ind w:firstLine="412"/>
              <w:rPr>
                <w:color w:val="auto"/>
                <w:sz w:val="21"/>
                <w:szCs w:val="20"/>
              </w:rPr>
            </w:pPr>
            <w:r>
              <w:rPr>
                <w:rFonts w:hint="eastAsia"/>
                <w:color w:val="auto"/>
                <w:sz w:val="21"/>
                <w:szCs w:val="20"/>
              </w:rPr>
              <w:t>f）轴承应具有自润滑功能，在最大压力负荷下，磨擦系数不超过0.25。阀杆轴承应采用双重PTFE加强锌轴承，上下阀杆分别有至少三道背衬PTFE的O形密封圈。阀门下部阀轴应采用滚柱平面轴承，适用于垂直安装，同时具有自调节功能，以传递阀轴和阀体对密封圈的应力磨损，增加阀座的寿命。</w:t>
            </w:r>
          </w:p>
          <w:p>
            <w:pPr>
              <w:pStyle w:val="29"/>
              <w:ind w:firstLine="412"/>
              <w:rPr>
                <w:color w:val="auto"/>
                <w:sz w:val="21"/>
                <w:szCs w:val="20"/>
              </w:rPr>
            </w:pPr>
            <w:r>
              <w:rPr>
                <w:color w:val="auto"/>
                <w:sz w:val="21"/>
                <w:szCs w:val="20"/>
              </w:rPr>
              <w:t>g</w:t>
            </w:r>
            <w:r>
              <w:rPr>
                <w:rFonts w:hint="eastAsia"/>
                <w:color w:val="auto"/>
                <w:sz w:val="21"/>
                <w:szCs w:val="20"/>
              </w:rPr>
              <w:t>）阀杆应采用分段式不锈钢（ANSI420）阀杆，增大流通面积。阀杆与阀板的连接应采用双重高强度钢盲固定销，销钉应确保与阀杆紧密连接，在水压及震动时不会松动或脱落。</w:t>
            </w:r>
          </w:p>
          <w:p>
            <w:pPr>
              <w:pStyle w:val="29"/>
              <w:ind w:firstLine="412"/>
              <w:rPr>
                <w:color w:val="auto"/>
                <w:sz w:val="21"/>
                <w:szCs w:val="20"/>
              </w:rPr>
            </w:pPr>
            <w:r>
              <w:rPr>
                <w:rFonts w:hint="eastAsia"/>
                <w:color w:val="auto"/>
                <w:sz w:val="21"/>
                <w:szCs w:val="20"/>
              </w:rPr>
              <w:t>h</w:t>
            </w:r>
            <w:r>
              <w:rPr>
                <w:color w:val="auto"/>
                <w:sz w:val="21"/>
                <w:szCs w:val="20"/>
              </w:rPr>
              <w:t>）</w:t>
            </w:r>
            <w:r>
              <w:rPr>
                <w:rFonts w:hint="eastAsia"/>
                <w:color w:val="auto"/>
                <w:sz w:val="21"/>
                <w:szCs w:val="20"/>
              </w:rPr>
              <w:t>阀体密封圈应为燕尾式自锁紧结构，无需任何固定装置也不产生任何松动；阀体密封圈材料应采用优质EPDM橡胶背衬环氧树脂，有良好的耐磨性及抗老化性，阀座区域不会出现任何锈蚀。阀体上的密封橡胶圈应具备在表皮破损的情况下，在阀外进行在线维修而不需要将阀门拆卸或停水再进行维修。</w:t>
            </w:r>
          </w:p>
          <w:p>
            <w:pPr>
              <w:pStyle w:val="29"/>
              <w:ind w:firstLine="412"/>
              <w:rPr>
                <w:color w:val="auto"/>
                <w:sz w:val="21"/>
                <w:szCs w:val="20"/>
              </w:rPr>
            </w:pPr>
            <w:r>
              <w:rPr>
                <w:rFonts w:hint="eastAsia"/>
                <w:color w:val="auto"/>
                <w:sz w:val="21"/>
                <w:szCs w:val="20"/>
              </w:rPr>
              <w:t>i</w:t>
            </w:r>
            <w:r>
              <w:rPr>
                <w:color w:val="auto"/>
                <w:sz w:val="21"/>
                <w:szCs w:val="20"/>
              </w:rPr>
              <w:t>）</w:t>
            </w:r>
            <w:r>
              <w:rPr>
                <w:rFonts w:hint="eastAsia"/>
                <w:color w:val="auto"/>
                <w:sz w:val="21"/>
                <w:szCs w:val="20"/>
              </w:rPr>
              <w:t>所有阀门在出厂前应进行强度测试及密封性能测试，测试标准应符合GB/T13927-92PN10要求：</w:t>
            </w:r>
          </w:p>
          <w:p>
            <w:pPr>
              <w:pStyle w:val="29"/>
              <w:ind w:firstLine="412"/>
              <w:rPr>
                <w:color w:val="auto"/>
                <w:sz w:val="21"/>
                <w:szCs w:val="20"/>
              </w:rPr>
            </w:pPr>
            <w:r>
              <w:rPr>
                <w:rFonts w:hint="eastAsia"/>
                <w:color w:val="auto"/>
                <w:sz w:val="21"/>
                <w:szCs w:val="20"/>
              </w:rPr>
              <w:t>阀体：1.5倍额定压力的强度测试</w:t>
            </w:r>
          </w:p>
          <w:p>
            <w:pPr>
              <w:pStyle w:val="29"/>
              <w:ind w:firstLine="412"/>
              <w:rPr>
                <w:color w:val="auto"/>
                <w:sz w:val="21"/>
                <w:szCs w:val="20"/>
              </w:rPr>
            </w:pPr>
            <w:r>
              <w:rPr>
                <w:rFonts w:hint="eastAsia"/>
                <w:color w:val="auto"/>
                <w:sz w:val="21"/>
                <w:szCs w:val="20"/>
              </w:rPr>
              <w:t>密封：1.1倍额定压力的双向密封测试。</w:t>
            </w:r>
          </w:p>
          <w:p>
            <w:pPr>
              <w:pStyle w:val="29"/>
              <w:ind w:firstLine="412"/>
              <w:rPr>
                <w:color w:val="auto"/>
                <w:sz w:val="21"/>
                <w:szCs w:val="20"/>
              </w:rPr>
            </w:pPr>
            <w:r>
              <w:rPr>
                <w:rFonts w:hint="eastAsia"/>
                <w:color w:val="auto"/>
                <w:sz w:val="21"/>
                <w:szCs w:val="20"/>
              </w:rPr>
              <w:t>j）2.1.10主要零部件材质要求</w:t>
            </w:r>
          </w:p>
          <w:p>
            <w:pPr>
              <w:pStyle w:val="29"/>
              <w:ind w:firstLine="412"/>
              <w:rPr>
                <w:color w:val="auto"/>
                <w:sz w:val="21"/>
                <w:szCs w:val="20"/>
              </w:rPr>
            </w:pPr>
            <w:r>
              <w:rPr>
                <w:rFonts w:hint="eastAsia"/>
                <w:color w:val="auto"/>
                <w:sz w:val="21"/>
                <w:szCs w:val="20"/>
              </w:rPr>
              <w:t>阀体：球墨铸铁EN1563EN-JS1040，相当于QT450-10，内外喷涂环氧树脂。</w:t>
            </w:r>
          </w:p>
          <w:p>
            <w:pPr>
              <w:pStyle w:val="29"/>
              <w:ind w:firstLine="412"/>
              <w:rPr>
                <w:color w:val="auto"/>
                <w:sz w:val="21"/>
                <w:szCs w:val="20"/>
              </w:rPr>
            </w:pPr>
            <w:r>
              <w:rPr>
                <w:rFonts w:hint="eastAsia"/>
                <w:color w:val="auto"/>
                <w:sz w:val="21"/>
                <w:szCs w:val="20"/>
              </w:rPr>
              <w:t>阀板：球墨铸铁EN1563EN-JS1040，相当于QT450-10，内外喷涂环氧树脂，DN50为整体包覆EPDM橡胶。</w:t>
            </w:r>
          </w:p>
          <w:p>
            <w:pPr>
              <w:pStyle w:val="29"/>
              <w:ind w:firstLine="412"/>
              <w:rPr>
                <w:color w:val="auto"/>
                <w:sz w:val="21"/>
                <w:szCs w:val="20"/>
              </w:rPr>
            </w:pPr>
            <w:r>
              <w:rPr>
                <w:rFonts w:hint="eastAsia"/>
                <w:color w:val="auto"/>
                <w:sz w:val="21"/>
                <w:szCs w:val="20"/>
              </w:rPr>
              <w:t>阀体密封圈：EPDM橡胶</w:t>
            </w:r>
          </w:p>
          <w:p>
            <w:pPr>
              <w:pStyle w:val="29"/>
              <w:ind w:firstLine="412"/>
              <w:rPr>
                <w:color w:val="auto"/>
                <w:sz w:val="21"/>
                <w:szCs w:val="20"/>
              </w:rPr>
            </w:pPr>
            <w:r>
              <w:rPr>
                <w:rFonts w:hint="eastAsia"/>
                <w:color w:val="auto"/>
                <w:sz w:val="21"/>
                <w:szCs w:val="20"/>
              </w:rPr>
              <w:t>阀轴：420不锈钢，AISI420</w:t>
            </w:r>
          </w:p>
          <w:p>
            <w:pPr>
              <w:pStyle w:val="29"/>
              <w:ind w:firstLine="412"/>
              <w:rPr>
                <w:color w:val="auto"/>
                <w:sz w:val="21"/>
                <w:szCs w:val="20"/>
              </w:rPr>
            </w:pPr>
            <w:r>
              <w:rPr>
                <w:rFonts w:hint="eastAsia"/>
                <w:color w:val="auto"/>
                <w:sz w:val="21"/>
                <w:szCs w:val="20"/>
              </w:rPr>
              <w:t>轴承：双重PTFE加强锌轴承</w:t>
            </w:r>
          </w:p>
          <w:p>
            <w:pPr>
              <w:pStyle w:val="29"/>
              <w:ind w:firstLine="412"/>
              <w:rPr>
                <w:rFonts w:asciiTheme="minorEastAsia" w:hAnsiTheme="minorEastAsia"/>
                <w:color w:val="auto"/>
                <w:szCs w:val="21"/>
              </w:rPr>
            </w:pPr>
            <w:r>
              <w:rPr>
                <w:rFonts w:hint="eastAsia"/>
                <w:color w:val="auto"/>
                <w:sz w:val="21"/>
                <w:szCs w:val="20"/>
              </w:rPr>
              <w:t>非贯穿销钉：420不锈钢，AISI420。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rPr>
            </w:pPr>
            <w:r>
              <w:rPr>
                <w:color w:val="auto"/>
              </w:rPr>
              <w:t>气动执行机构及附件技术要求</w:t>
            </w:r>
          </w:p>
        </w:tc>
        <w:tc>
          <w:tcPr>
            <w:tcW w:w="7885" w:type="dxa"/>
            <w:gridSpan w:val="5"/>
            <w:vAlign w:val="center"/>
          </w:tcPr>
          <w:p>
            <w:pPr>
              <w:pStyle w:val="29"/>
              <w:ind w:firstLine="412"/>
              <w:rPr>
                <w:color w:val="auto"/>
                <w:sz w:val="21"/>
                <w:szCs w:val="20"/>
              </w:rPr>
            </w:pPr>
            <w:r>
              <w:rPr>
                <w:rFonts w:hint="eastAsia"/>
                <w:color w:val="auto"/>
                <w:sz w:val="21"/>
                <w:szCs w:val="20"/>
              </w:rPr>
              <w:t>气动蝶阀的气动执行机构包含双作用角行程气缸、电磁阀和带两个位置开关的开关盒。气动调节蝶阀的气动执行机构包含双作用角行程气缸和阀门定位器。</w:t>
            </w:r>
          </w:p>
          <w:p>
            <w:pPr>
              <w:pStyle w:val="29"/>
              <w:ind w:firstLine="412"/>
              <w:rPr>
                <w:color w:val="auto"/>
                <w:sz w:val="21"/>
                <w:szCs w:val="20"/>
              </w:rPr>
            </w:pPr>
            <w:r>
              <w:rPr>
                <w:rFonts w:hint="eastAsia"/>
                <w:color w:val="auto"/>
                <w:sz w:val="21"/>
                <w:szCs w:val="20"/>
              </w:rPr>
              <w:t>a.气动执行机构应选用BAR、FESTO、KEYSTONE等国际著名品牌。</w:t>
            </w:r>
          </w:p>
          <w:p>
            <w:pPr>
              <w:pStyle w:val="29"/>
              <w:ind w:firstLine="412"/>
              <w:rPr>
                <w:color w:val="auto"/>
                <w:sz w:val="21"/>
                <w:szCs w:val="20"/>
              </w:rPr>
            </w:pPr>
            <w:r>
              <w:rPr>
                <w:rFonts w:hint="eastAsia"/>
                <w:color w:val="auto"/>
                <w:sz w:val="21"/>
                <w:szCs w:val="20"/>
              </w:rPr>
              <w:t>b.气缸壳体材质采用铝合金，其表面为硬化阳极处理；气缸端盖涂装环氧树脂涂层，外观光滑平整，可适应于室外及室内环境，整个气缸为全密封式，无体外移动部件,使用齿轮齿条结构,不得使用拨差式.</w:t>
            </w:r>
          </w:p>
          <w:p>
            <w:pPr>
              <w:pStyle w:val="29"/>
              <w:ind w:firstLine="412"/>
              <w:rPr>
                <w:color w:val="auto"/>
                <w:sz w:val="21"/>
                <w:szCs w:val="20"/>
              </w:rPr>
            </w:pPr>
            <w:r>
              <w:rPr>
                <w:rFonts w:hint="eastAsia"/>
                <w:color w:val="auto"/>
                <w:sz w:val="21"/>
                <w:szCs w:val="20"/>
              </w:rPr>
              <w:t>c.能在额定负载下平滑动作50万次以上，每次开关时间＜20秒。</w:t>
            </w:r>
          </w:p>
          <w:p>
            <w:pPr>
              <w:pStyle w:val="29"/>
              <w:ind w:firstLine="412"/>
              <w:rPr>
                <w:color w:val="auto"/>
                <w:sz w:val="21"/>
                <w:szCs w:val="20"/>
              </w:rPr>
            </w:pPr>
            <w:r>
              <w:rPr>
                <w:rFonts w:hint="eastAsia"/>
                <w:color w:val="auto"/>
                <w:sz w:val="21"/>
                <w:szCs w:val="20"/>
              </w:rPr>
              <w:t>d.气缸内部的密封材料采用特殊的复合式密封结构，带有自润滑功能，另有“O”型密封圈。</w:t>
            </w:r>
          </w:p>
          <w:p>
            <w:pPr>
              <w:pStyle w:val="29"/>
              <w:ind w:firstLine="412"/>
              <w:rPr>
                <w:color w:val="auto"/>
                <w:sz w:val="21"/>
                <w:szCs w:val="20"/>
              </w:rPr>
            </w:pPr>
            <w:r>
              <w:rPr>
                <w:rFonts w:hint="eastAsia"/>
                <w:color w:val="auto"/>
                <w:sz w:val="21"/>
                <w:szCs w:val="20"/>
              </w:rPr>
              <w:t>e.执行机构带有行程调节装置，在一定范围内可满足用户的使用要求。</w:t>
            </w:r>
          </w:p>
          <w:p>
            <w:pPr>
              <w:pStyle w:val="29"/>
              <w:ind w:firstLine="412"/>
              <w:rPr>
                <w:color w:val="auto"/>
                <w:sz w:val="21"/>
                <w:szCs w:val="20"/>
              </w:rPr>
            </w:pPr>
            <w:r>
              <w:rPr>
                <w:rFonts w:hint="eastAsia"/>
                <w:color w:val="auto"/>
                <w:sz w:val="21"/>
                <w:szCs w:val="20"/>
              </w:rPr>
              <w:t>f.气动调节蝶阀</w:t>
            </w:r>
          </w:p>
          <w:p>
            <w:pPr>
              <w:pStyle w:val="29"/>
              <w:ind w:firstLine="412"/>
              <w:rPr>
                <w:color w:val="auto"/>
                <w:sz w:val="21"/>
                <w:szCs w:val="20"/>
              </w:rPr>
            </w:pPr>
            <w:r>
              <w:rPr>
                <w:rFonts w:hint="eastAsia"/>
                <w:color w:val="auto"/>
                <w:sz w:val="21"/>
                <w:szCs w:val="20"/>
              </w:rPr>
              <w:t>阀门的自动调节应通过数字式电气定位器，推荐品牌：BAR，ABB等，带电子的微处理技术，与高精度电磁阀组合，需采用原装进口的产品。设置快速简单，自动初始化可自动设置零位，量程、速度和灵敏度，全在于一个按钮，定位器将自动把它的范围调节到行程范围内。标准反馈在输入信号和输出运作之间是线性关系，但选型设置可建立快开曲线或等百分比的关系，常规曲线选项允许在基本的控制特性曲线之外，有足够多却独立不同的曲线可选择，所有功能都可用控制面板上的键重新设置并有液晶显示。基本功能和用户设置的储存在可删除程序只续存贮器中，即时信号中断时设定值仍能保留。防护等级为IP67，为保证气源质量，电气定位器应配置过滤调压阀。</w:t>
            </w:r>
          </w:p>
          <w:p>
            <w:pPr>
              <w:pStyle w:val="29"/>
              <w:ind w:firstLine="412"/>
              <w:rPr>
                <w:color w:val="auto"/>
                <w:sz w:val="21"/>
                <w:szCs w:val="20"/>
              </w:rPr>
            </w:pPr>
            <w:r>
              <w:rPr>
                <w:rFonts w:hint="eastAsia"/>
                <w:color w:val="auto"/>
                <w:sz w:val="21"/>
                <w:szCs w:val="20"/>
              </w:rPr>
              <w:t>g.电磁阀技术参数要求如下：</w:t>
            </w:r>
          </w:p>
          <w:p>
            <w:pPr>
              <w:pStyle w:val="29"/>
              <w:ind w:firstLine="412"/>
              <w:rPr>
                <w:color w:val="auto"/>
                <w:sz w:val="21"/>
                <w:szCs w:val="20"/>
              </w:rPr>
            </w:pPr>
            <w:r>
              <w:rPr>
                <w:rFonts w:hint="eastAsia"/>
                <w:color w:val="auto"/>
                <w:sz w:val="21"/>
                <w:szCs w:val="20"/>
              </w:rPr>
              <w:t>形式：2位5通（带就地手动开/关按钮）</w:t>
            </w:r>
          </w:p>
          <w:p>
            <w:pPr>
              <w:pStyle w:val="29"/>
              <w:ind w:firstLine="412"/>
              <w:rPr>
                <w:color w:val="auto"/>
                <w:sz w:val="21"/>
                <w:szCs w:val="20"/>
              </w:rPr>
            </w:pPr>
            <w:r>
              <w:rPr>
                <w:rFonts w:hint="eastAsia"/>
                <w:color w:val="auto"/>
                <w:sz w:val="21"/>
                <w:szCs w:val="20"/>
              </w:rPr>
              <w:t>线圈电压：230VAC</w:t>
            </w:r>
          </w:p>
          <w:p>
            <w:pPr>
              <w:pStyle w:val="29"/>
              <w:ind w:firstLine="412"/>
              <w:rPr>
                <w:color w:val="auto"/>
                <w:sz w:val="21"/>
                <w:szCs w:val="20"/>
              </w:rPr>
            </w:pPr>
            <w:r>
              <w:rPr>
                <w:rFonts w:hint="eastAsia"/>
                <w:color w:val="auto"/>
                <w:sz w:val="21"/>
                <w:szCs w:val="20"/>
              </w:rPr>
              <w:t>防护等级：IP65</w:t>
            </w:r>
          </w:p>
          <w:p>
            <w:pPr>
              <w:pStyle w:val="29"/>
              <w:ind w:firstLine="412"/>
              <w:rPr>
                <w:color w:val="auto"/>
                <w:sz w:val="21"/>
                <w:szCs w:val="20"/>
              </w:rPr>
            </w:pPr>
            <w:r>
              <w:rPr>
                <w:rFonts w:hint="eastAsia"/>
                <w:color w:val="auto"/>
                <w:sz w:val="21"/>
                <w:szCs w:val="20"/>
              </w:rPr>
              <w:t>适用气源压力：0.2-1.0Mpa</w:t>
            </w:r>
          </w:p>
          <w:p>
            <w:pPr>
              <w:pStyle w:val="29"/>
              <w:ind w:firstLine="412"/>
              <w:rPr>
                <w:color w:val="auto"/>
                <w:sz w:val="21"/>
                <w:szCs w:val="20"/>
              </w:rPr>
            </w:pPr>
            <w:r>
              <w:rPr>
                <w:rFonts w:hint="eastAsia"/>
                <w:color w:val="auto"/>
                <w:sz w:val="21"/>
                <w:szCs w:val="20"/>
              </w:rPr>
              <w:t>驱动介质：压缩空气</w:t>
            </w:r>
          </w:p>
          <w:p>
            <w:pPr>
              <w:pStyle w:val="29"/>
              <w:ind w:firstLine="412"/>
              <w:rPr>
                <w:color w:val="auto"/>
                <w:sz w:val="21"/>
                <w:szCs w:val="20"/>
              </w:rPr>
            </w:pPr>
            <w:r>
              <w:rPr>
                <w:rFonts w:hint="eastAsia"/>
                <w:color w:val="auto"/>
                <w:sz w:val="21"/>
                <w:szCs w:val="20"/>
              </w:rPr>
              <w:t>使用介质温度：-20℃-70℃</w:t>
            </w:r>
          </w:p>
          <w:p>
            <w:pPr>
              <w:pStyle w:val="29"/>
              <w:ind w:firstLine="412"/>
              <w:rPr>
                <w:color w:val="auto"/>
                <w:sz w:val="21"/>
                <w:szCs w:val="20"/>
              </w:rPr>
            </w:pPr>
            <w:r>
              <w:rPr>
                <w:rFonts w:hint="eastAsia"/>
                <w:color w:val="auto"/>
                <w:sz w:val="21"/>
                <w:szCs w:val="20"/>
              </w:rPr>
              <w:t>附件连接方式：Namur连接，符合VDI/VDE3845</w:t>
            </w:r>
          </w:p>
          <w:p>
            <w:pPr>
              <w:pStyle w:val="29"/>
              <w:ind w:firstLine="412"/>
              <w:rPr>
                <w:color w:val="auto"/>
                <w:sz w:val="21"/>
                <w:szCs w:val="20"/>
              </w:rPr>
            </w:pPr>
            <w:r>
              <w:rPr>
                <w:rFonts w:hint="eastAsia"/>
                <w:color w:val="auto"/>
                <w:sz w:val="21"/>
                <w:szCs w:val="20"/>
              </w:rPr>
              <w:t>h.气动蝶阀的位置开关：国际知名品牌，防震动性能要好，带两个机械式限位开关，内置于IP65防护等级的开关盒内，调整装置可在0-90度内调整位置信号，开关盒上有明显的开关位置指示，有一体化的接线口保证IP65防护等级。位置开关使用电压等级为230VAC。</w:t>
            </w:r>
          </w:p>
          <w:p>
            <w:pPr>
              <w:pStyle w:val="29"/>
              <w:ind w:firstLine="412"/>
              <w:rPr>
                <w:rFonts w:asciiTheme="minorEastAsia" w:hAnsiTheme="minorEastAsia"/>
                <w:color w:val="auto"/>
              </w:rPr>
            </w:pPr>
            <w:r>
              <w:rPr>
                <w:rFonts w:hint="eastAsia"/>
                <w:color w:val="auto"/>
                <w:sz w:val="21"/>
                <w:szCs w:val="20"/>
              </w:rPr>
              <w:t>i.所有气动附件与气缸应组装成一体。所有阀门都应配有过滤调压装置。</w:t>
            </w:r>
          </w:p>
        </w:tc>
      </w:tr>
    </w:tbl>
    <w:p>
      <w:pPr>
        <w:pStyle w:val="29"/>
        <w:ind w:firstLine="472"/>
        <w:rPr>
          <w:color w:val="auto"/>
        </w:rPr>
      </w:pPr>
    </w:p>
    <w:p>
      <w:pPr>
        <w:pStyle w:val="31"/>
        <w:rPr>
          <w:color w:val="auto"/>
        </w:rPr>
      </w:pPr>
      <w:r>
        <w:rPr>
          <w:rFonts w:hint="eastAsia"/>
          <w:color w:val="auto"/>
        </w:rPr>
        <w:t>气动闸门</w:t>
      </w:r>
    </w:p>
    <w:tbl>
      <w:tblPr>
        <w:tblStyle w:val="2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417"/>
        <w:gridCol w:w="1276"/>
        <w:gridCol w:w="1276"/>
        <w:gridCol w:w="1275"/>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11"/>
              <w:spacing w:line="360" w:lineRule="auto"/>
              <w:ind w:left="0"/>
              <w:jc w:val="center"/>
              <w:rPr>
                <w:color w:val="auto"/>
              </w:rPr>
            </w:pPr>
            <w:r>
              <w:rPr>
                <w:rFonts w:hint="eastAsia" w:ascii="Times New Roman" w:hAnsi="Times New Roman" w:eastAsiaTheme="minorEastAsia"/>
                <w:color w:val="auto"/>
                <w:spacing w:val="-4"/>
                <w:lang w:eastAsia="zh-CN"/>
              </w:rPr>
              <w:t>序号</w:t>
            </w:r>
          </w:p>
        </w:tc>
        <w:tc>
          <w:tcPr>
            <w:tcW w:w="1417" w:type="dxa"/>
            <w:vAlign w:val="center"/>
          </w:tcPr>
          <w:p>
            <w:pPr>
              <w:pStyle w:val="11"/>
              <w:spacing w:line="360" w:lineRule="auto"/>
              <w:ind w:left="0"/>
              <w:jc w:val="center"/>
              <w:rPr>
                <w:color w:val="auto"/>
              </w:rPr>
            </w:pPr>
            <w:r>
              <w:rPr>
                <w:rFonts w:hint="eastAsia" w:ascii="Times New Roman" w:hAnsi="Times New Roman" w:eastAsiaTheme="minorEastAsia"/>
                <w:color w:val="auto"/>
                <w:spacing w:val="-4"/>
                <w:lang w:eastAsia="zh-CN"/>
              </w:rPr>
              <w:t>名称</w:t>
            </w:r>
          </w:p>
        </w:tc>
        <w:tc>
          <w:tcPr>
            <w:tcW w:w="1276" w:type="dxa"/>
            <w:vAlign w:val="center"/>
          </w:tcPr>
          <w:p>
            <w:pPr>
              <w:pStyle w:val="11"/>
              <w:spacing w:line="360" w:lineRule="auto"/>
              <w:ind w:left="0"/>
              <w:jc w:val="center"/>
              <w:rPr>
                <w:color w:val="auto"/>
              </w:rPr>
            </w:pPr>
            <w:r>
              <w:rPr>
                <w:rFonts w:hint="eastAsia" w:ascii="Times New Roman" w:hAnsi="Times New Roman" w:eastAsiaTheme="minorEastAsia"/>
                <w:color w:val="auto"/>
                <w:spacing w:val="-4"/>
                <w:lang w:eastAsia="zh-CN"/>
              </w:rPr>
              <w:t>规格</w:t>
            </w:r>
          </w:p>
        </w:tc>
        <w:tc>
          <w:tcPr>
            <w:tcW w:w="1276" w:type="dxa"/>
            <w:vAlign w:val="center"/>
          </w:tcPr>
          <w:p>
            <w:pPr>
              <w:pStyle w:val="11"/>
              <w:spacing w:line="360" w:lineRule="auto"/>
              <w:ind w:left="0"/>
              <w:jc w:val="center"/>
              <w:rPr>
                <w:color w:val="auto"/>
              </w:rPr>
            </w:pPr>
            <w:r>
              <w:rPr>
                <w:rFonts w:hint="eastAsia" w:ascii="Times New Roman" w:hAnsi="Times New Roman" w:eastAsiaTheme="minorEastAsia"/>
                <w:color w:val="auto"/>
                <w:spacing w:val="-4"/>
                <w:lang w:eastAsia="zh-CN"/>
              </w:rPr>
              <w:t>单位</w:t>
            </w:r>
          </w:p>
        </w:tc>
        <w:tc>
          <w:tcPr>
            <w:tcW w:w="1275" w:type="dxa"/>
            <w:vAlign w:val="center"/>
          </w:tcPr>
          <w:p>
            <w:pPr>
              <w:pStyle w:val="11"/>
              <w:spacing w:line="360" w:lineRule="auto"/>
              <w:ind w:left="0"/>
              <w:jc w:val="center"/>
              <w:rPr>
                <w:color w:val="auto"/>
              </w:rPr>
            </w:pPr>
            <w:r>
              <w:rPr>
                <w:rFonts w:hint="eastAsia" w:ascii="Times New Roman" w:hAnsi="Times New Roman" w:eastAsiaTheme="minorEastAsia"/>
                <w:color w:val="auto"/>
                <w:spacing w:val="-4"/>
                <w:lang w:eastAsia="zh-CN"/>
              </w:rPr>
              <w:t>数量</w:t>
            </w:r>
          </w:p>
        </w:tc>
        <w:tc>
          <w:tcPr>
            <w:tcW w:w="2694" w:type="dxa"/>
            <w:vAlign w:val="center"/>
          </w:tcPr>
          <w:p>
            <w:pPr>
              <w:pStyle w:val="11"/>
              <w:spacing w:line="360" w:lineRule="auto"/>
              <w:ind w:left="0"/>
              <w:jc w:val="center"/>
              <w:rPr>
                <w:color w:val="auto"/>
              </w:rPr>
            </w:pPr>
            <w:r>
              <w:rPr>
                <w:rFonts w:hint="eastAsia" w:ascii="Times New Roman" w:hAnsi="Times New Roman" w:eastAsiaTheme="minorEastAsia"/>
                <w:color w:val="auto"/>
                <w:spacing w:val="-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11"/>
              <w:spacing w:line="360" w:lineRule="auto"/>
              <w:ind w:left="0"/>
              <w:jc w:val="center"/>
              <w:rPr>
                <w:color w:val="auto"/>
                <w:lang w:eastAsia="zh-CN"/>
              </w:rPr>
            </w:pPr>
            <w:r>
              <w:rPr>
                <w:rFonts w:hint="eastAsia"/>
                <w:color w:val="auto"/>
                <w:lang w:eastAsia="zh-CN"/>
              </w:rPr>
              <w:t>1</w:t>
            </w:r>
          </w:p>
        </w:tc>
        <w:tc>
          <w:tcPr>
            <w:tcW w:w="1417" w:type="dxa"/>
            <w:vAlign w:val="center"/>
          </w:tcPr>
          <w:p>
            <w:pPr>
              <w:pStyle w:val="11"/>
              <w:spacing w:line="360" w:lineRule="auto"/>
              <w:ind w:left="0"/>
              <w:jc w:val="center"/>
              <w:rPr>
                <w:color w:val="auto"/>
              </w:rPr>
            </w:pPr>
            <w:r>
              <w:rPr>
                <w:rFonts w:hint="eastAsia"/>
                <w:color w:val="auto"/>
              </w:rPr>
              <w:t>气动闸门</w:t>
            </w:r>
          </w:p>
        </w:tc>
        <w:tc>
          <w:tcPr>
            <w:tcW w:w="1276" w:type="dxa"/>
            <w:vAlign w:val="center"/>
          </w:tcPr>
          <w:p>
            <w:pPr>
              <w:pStyle w:val="11"/>
              <w:spacing w:line="360" w:lineRule="auto"/>
              <w:ind w:left="0"/>
              <w:jc w:val="center"/>
              <w:rPr>
                <w:color w:val="auto"/>
              </w:rPr>
            </w:pPr>
            <w:r>
              <w:rPr>
                <w:rFonts w:hint="eastAsia"/>
                <w:color w:val="auto"/>
              </w:rPr>
              <w:t>600×600</w:t>
            </w:r>
          </w:p>
        </w:tc>
        <w:tc>
          <w:tcPr>
            <w:tcW w:w="1276" w:type="dxa"/>
            <w:vAlign w:val="center"/>
          </w:tcPr>
          <w:p>
            <w:pPr>
              <w:pStyle w:val="11"/>
              <w:spacing w:line="360" w:lineRule="auto"/>
              <w:ind w:left="0"/>
              <w:jc w:val="center"/>
              <w:rPr>
                <w:color w:val="auto"/>
              </w:rPr>
            </w:pPr>
            <w:r>
              <w:rPr>
                <w:rFonts w:hint="eastAsia"/>
                <w:color w:val="auto"/>
              </w:rPr>
              <w:t>台</w:t>
            </w:r>
          </w:p>
        </w:tc>
        <w:tc>
          <w:tcPr>
            <w:tcW w:w="1275" w:type="dxa"/>
            <w:vAlign w:val="center"/>
          </w:tcPr>
          <w:p>
            <w:pPr>
              <w:pStyle w:val="11"/>
              <w:spacing w:line="360" w:lineRule="auto"/>
              <w:ind w:left="0"/>
              <w:jc w:val="center"/>
              <w:rPr>
                <w:color w:val="auto"/>
              </w:rPr>
            </w:pPr>
            <w:r>
              <w:rPr>
                <w:rFonts w:hint="eastAsia"/>
                <w:color w:val="auto"/>
              </w:rPr>
              <w:t>5</w:t>
            </w:r>
          </w:p>
        </w:tc>
        <w:tc>
          <w:tcPr>
            <w:tcW w:w="2694" w:type="dxa"/>
            <w:vAlign w:val="center"/>
          </w:tcPr>
          <w:p>
            <w:pPr>
              <w:pStyle w:val="11"/>
              <w:spacing w:line="360" w:lineRule="auto"/>
              <w:ind w:left="0"/>
              <w:jc w:val="center"/>
              <w:rPr>
                <w:color w:val="auto"/>
                <w:lang w:eastAsia="zh-CN"/>
              </w:rPr>
            </w:pPr>
            <w:r>
              <w:rPr>
                <w:rFonts w:hint="eastAsia"/>
                <w:color w:val="auto"/>
                <w:lang w:eastAsia="zh-CN"/>
              </w:rPr>
              <w:t>用于反硝化滤池单格进水，配一体化执行机构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39" w:type="dxa"/>
            <w:gridSpan w:val="6"/>
            <w:vAlign w:val="center"/>
          </w:tcPr>
          <w:p>
            <w:pPr>
              <w:pStyle w:val="11"/>
              <w:spacing w:line="360" w:lineRule="auto"/>
              <w:ind w:left="0"/>
              <w:jc w:val="both"/>
              <w:rPr>
                <w:rFonts w:asciiTheme="minorEastAsia" w:hAnsiTheme="minorEastAsia" w:eastAsiaTheme="minorEastAsia"/>
                <w:b/>
                <w:bCs/>
                <w:color w:val="auto"/>
                <w:lang w:eastAsia="zh-CN"/>
              </w:rPr>
            </w:pPr>
            <w:r>
              <w:rPr>
                <w:rFonts w:hint="eastAsia"/>
                <w:b/>
                <w:bCs/>
                <w:color w:val="auto"/>
              </w:rPr>
              <w:t>闸门本体技术要求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39" w:type="dxa"/>
            <w:gridSpan w:val="6"/>
            <w:vAlign w:val="center"/>
          </w:tcPr>
          <w:p>
            <w:pPr>
              <w:pStyle w:val="11"/>
              <w:spacing w:line="360" w:lineRule="auto"/>
              <w:ind w:left="0" w:firstLine="420" w:firstLineChars="200"/>
              <w:jc w:val="both"/>
              <w:rPr>
                <w:rFonts w:asciiTheme="minorEastAsia" w:hAnsiTheme="minorEastAsia" w:eastAsiaTheme="minorEastAsia"/>
                <w:color w:val="auto"/>
                <w:lang w:eastAsia="zh-CN"/>
              </w:rPr>
            </w:pPr>
            <w:r>
              <w:rPr>
                <w:rFonts w:hint="eastAsia" w:asciiTheme="minorEastAsia" w:hAnsiTheme="minorEastAsia" w:eastAsiaTheme="minorEastAsia"/>
                <w:color w:val="auto"/>
                <w:lang w:eastAsia="zh-CN"/>
              </w:rPr>
              <w:t>a.供货</w:t>
            </w:r>
            <w:r>
              <w:rPr>
                <w:rFonts w:asciiTheme="minorEastAsia" w:hAnsiTheme="minorEastAsia" w:eastAsiaTheme="minorEastAsia"/>
                <w:color w:val="auto"/>
                <w:lang w:eastAsia="zh-CN"/>
              </w:rPr>
              <w:t>范围</w:t>
            </w:r>
          </w:p>
          <w:p>
            <w:pPr>
              <w:pStyle w:val="11"/>
              <w:spacing w:line="360" w:lineRule="auto"/>
              <w:ind w:left="0" w:firstLine="420" w:firstLineChars="200"/>
              <w:jc w:val="both"/>
              <w:rPr>
                <w:color w:val="auto"/>
                <w:lang w:eastAsia="zh-CN"/>
              </w:rPr>
            </w:pPr>
            <w:r>
              <w:rPr>
                <w:rFonts w:hint="eastAsia"/>
                <w:color w:val="auto"/>
                <w:lang w:eastAsia="zh-CN"/>
              </w:rPr>
              <w:t>投标人提供的气动</w:t>
            </w:r>
            <w:r>
              <w:rPr>
                <w:color w:val="auto"/>
                <w:lang w:eastAsia="zh-CN"/>
              </w:rPr>
              <w:t>闸</w:t>
            </w:r>
            <w:r>
              <w:rPr>
                <w:rFonts w:hint="eastAsia"/>
                <w:color w:val="auto"/>
                <w:lang w:eastAsia="zh-CN"/>
              </w:rPr>
              <w:t>门应为成套设备，主要包括(但不限于)：</w:t>
            </w:r>
            <w:r>
              <w:rPr>
                <w:color w:val="auto"/>
                <w:lang w:eastAsia="zh-CN"/>
              </w:rPr>
              <w:t>闸板、闸框、闸杆、密封及锚固螺栓等联接件</w:t>
            </w:r>
            <w:r>
              <w:rPr>
                <w:rFonts w:hint="eastAsia"/>
                <w:color w:val="auto"/>
                <w:lang w:eastAsia="zh-CN"/>
              </w:rPr>
              <w:t>等。应保证货物在安装、安全可靠运行时不另外需要配件。</w:t>
            </w:r>
          </w:p>
          <w:p>
            <w:pPr>
              <w:pStyle w:val="11"/>
              <w:spacing w:line="360" w:lineRule="auto"/>
              <w:ind w:left="0" w:firstLine="420" w:firstLineChars="200"/>
              <w:jc w:val="both"/>
              <w:rPr>
                <w:color w:val="auto"/>
                <w:lang w:eastAsia="zh-CN"/>
              </w:rPr>
            </w:pPr>
            <w:r>
              <w:rPr>
                <w:rFonts w:hint="eastAsia"/>
                <w:color w:val="auto"/>
                <w:lang w:eastAsia="zh-CN"/>
              </w:rPr>
              <w:t>b.结构形式</w:t>
            </w:r>
          </w:p>
          <w:p>
            <w:pPr>
              <w:pStyle w:val="11"/>
              <w:spacing w:line="360" w:lineRule="auto"/>
              <w:ind w:left="0" w:firstLine="420" w:firstLineChars="200"/>
              <w:jc w:val="both"/>
              <w:rPr>
                <w:color w:val="auto"/>
                <w:lang w:eastAsia="zh-CN"/>
              </w:rPr>
            </w:pPr>
            <w:r>
              <w:rPr>
                <w:color w:val="auto"/>
                <w:lang w:eastAsia="zh-CN"/>
              </w:rPr>
              <w:t>闸门的设计及制造应符合或高于BS7555及ANSI/AWWAC513标准的要求。</w:t>
            </w:r>
          </w:p>
          <w:p>
            <w:pPr>
              <w:pStyle w:val="11"/>
              <w:spacing w:line="360" w:lineRule="auto"/>
              <w:ind w:left="0" w:firstLine="420" w:firstLineChars="200"/>
              <w:jc w:val="both"/>
              <w:rPr>
                <w:color w:val="auto"/>
                <w:lang w:eastAsia="zh-CN"/>
              </w:rPr>
            </w:pPr>
            <w:r>
              <w:rPr>
                <w:color w:val="auto"/>
                <w:lang w:eastAsia="zh-CN"/>
              </w:rPr>
              <w:t>气动闸</w:t>
            </w:r>
            <w:r>
              <w:rPr>
                <w:rFonts w:hint="eastAsia"/>
                <w:color w:val="auto"/>
                <w:lang w:eastAsia="zh-CN"/>
              </w:rPr>
              <w:t>门执行机构下端与阀体上部分的连接件长度应满足工况要求，投标人应在其投标文件中给出</w:t>
            </w:r>
            <w:r>
              <w:rPr>
                <w:color w:val="auto"/>
                <w:lang w:eastAsia="zh-CN"/>
              </w:rPr>
              <w:t>闸</w:t>
            </w:r>
            <w:r>
              <w:rPr>
                <w:rFonts w:hint="eastAsia"/>
                <w:color w:val="auto"/>
                <w:lang w:eastAsia="zh-CN"/>
              </w:rPr>
              <w:t>门详细安装方式。</w:t>
            </w:r>
          </w:p>
          <w:p>
            <w:pPr>
              <w:pStyle w:val="11"/>
              <w:spacing w:line="360" w:lineRule="auto"/>
              <w:ind w:left="0" w:firstLine="420" w:firstLineChars="200"/>
              <w:jc w:val="both"/>
              <w:rPr>
                <w:color w:val="auto"/>
                <w:lang w:eastAsia="zh-CN"/>
              </w:rPr>
            </w:pPr>
            <w:r>
              <w:rPr>
                <w:color w:val="auto"/>
                <w:lang w:eastAsia="zh-CN"/>
              </w:rPr>
              <w:t>闸门</w:t>
            </w:r>
            <w:r>
              <w:rPr>
                <w:rFonts w:hint="eastAsia"/>
                <w:color w:val="auto"/>
                <w:lang w:eastAsia="zh-CN"/>
              </w:rPr>
              <w:t>应能承受较高的反向水头，插板与导轨之间采用可调式密封锲紧结构。</w:t>
            </w:r>
            <w:r>
              <w:rPr>
                <w:color w:val="auto"/>
                <w:lang w:eastAsia="zh-CN"/>
              </w:rPr>
              <w:t>闸</w:t>
            </w:r>
            <w:r>
              <w:rPr>
                <w:rFonts w:hint="eastAsia"/>
                <w:color w:val="auto"/>
                <w:lang w:eastAsia="zh-CN"/>
              </w:rPr>
              <w:t>门采用附壁式安装，</w:t>
            </w:r>
            <w:r>
              <w:rPr>
                <w:color w:val="auto"/>
                <w:lang w:eastAsia="zh-CN"/>
              </w:rPr>
              <w:t>闸板的四边采用弹性密封</w:t>
            </w:r>
            <w:r>
              <w:rPr>
                <w:rFonts w:hint="eastAsia"/>
                <w:color w:val="auto"/>
                <w:lang w:eastAsia="zh-CN"/>
              </w:rPr>
              <w:t>，</w:t>
            </w:r>
            <w:r>
              <w:rPr>
                <w:color w:val="auto"/>
                <w:lang w:eastAsia="zh-CN"/>
              </w:rPr>
              <w:t>闸板与闸杆单点联接。闸门应满足4m水头切断水流</w:t>
            </w:r>
            <w:r>
              <w:rPr>
                <w:rFonts w:hint="eastAsia"/>
                <w:color w:val="auto"/>
                <w:lang w:eastAsia="zh-CN"/>
              </w:rPr>
              <w:t>，</w:t>
            </w:r>
            <w:r>
              <w:rPr>
                <w:color w:val="auto"/>
                <w:lang w:eastAsia="zh-CN"/>
              </w:rPr>
              <w:t>双向密封，渗漏量小于0.01L/s</w:t>
            </w:r>
            <w:r>
              <w:rPr>
                <w:rFonts w:hint="eastAsia"/>
                <w:color w:val="auto"/>
                <w:lang w:eastAsia="zh-CN"/>
              </w:rPr>
              <w:t>·m。</w:t>
            </w:r>
          </w:p>
          <w:p>
            <w:pPr>
              <w:pStyle w:val="11"/>
              <w:spacing w:line="360" w:lineRule="auto"/>
              <w:ind w:left="0" w:firstLine="420" w:firstLineChars="200"/>
              <w:jc w:val="both"/>
              <w:rPr>
                <w:color w:val="auto"/>
                <w:lang w:eastAsia="zh-CN"/>
              </w:rPr>
            </w:pPr>
            <w:r>
              <w:rPr>
                <w:rFonts w:hint="eastAsia"/>
                <w:color w:val="auto"/>
                <w:lang w:eastAsia="zh-CN"/>
              </w:rPr>
              <w:t>为了方便更换密封件，密封件采用螺栓固定在插板上。</w:t>
            </w:r>
          </w:p>
          <w:p>
            <w:pPr>
              <w:pStyle w:val="11"/>
              <w:spacing w:line="360" w:lineRule="auto"/>
              <w:ind w:left="0" w:firstLine="420" w:firstLineChars="200"/>
              <w:jc w:val="both"/>
              <w:rPr>
                <w:color w:val="auto"/>
                <w:lang w:eastAsia="zh-CN"/>
              </w:rPr>
            </w:pPr>
            <w:r>
              <w:rPr>
                <w:rFonts w:hint="eastAsia"/>
                <w:color w:val="auto"/>
                <w:lang w:eastAsia="zh-CN"/>
              </w:rPr>
              <w:t>为有效避免垃圾卡阻，插板阀应采用平底式设计。</w:t>
            </w:r>
          </w:p>
          <w:p>
            <w:pPr>
              <w:pStyle w:val="11"/>
              <w:spacing w:line="360" w:lineRule="auto"/>
              <w:ind w:left="0" w:firstLine="420" w:firstLineChars="200"/>
              <w:jc w:val="both"/>
              <w:rPr>
                <w:color w:val="auto"/>
                <w:lang w:eastAsia="zh-CN"/>
              </w:rPr>
            </w:pPr>
            <w:r>
              <w:rPr>
                <w:rFonts w:hint="eastAsia"/>
                <w:color w:val="auto"/>
                <w:lang w:eastAsia="zh-CN"/>
              </w:rPr>
              <w:t>c.</w:t>
            </w:r>
            <w:r>
              <w:rPr>
                <w:color w:val="auto"/>
                <w:lang w:eastAsia="zh-CN"/>
              </w:rPr>
              <w:t>闸框</w:t>
            </w:r>
          </w:p>
          <w:p>
            <w:pPr>
              <w:pStyle w:val="11"/>
              <w:spacing w:line="360" w:lineRule="auto"/>
              <w:ind w:left="0" w:firstLine="420" w:firstLineChars="200"/>
              <w:jc w:val="both"/>
              <w:rPr>
                <w:color w:val="auto"/>
                <w:lang w:eastAsia="zh-CN"/>
              </w:rPr>
            </w:pPr>
            <w:r>
              <w:rPr>
                <w:color w:val="auto"/>
                <w:lang w:eastAsia="zh-CN"/>
              </w:rPr>
              <w:t>闸框有应足够的刚度，能承受工作最大荷载。在最不利条件下，闸框各部件的挠度小于L/360。</w:t>
            </w:r>
          </w:p>
          <w:p>
            <w:pPr>
              <w:pStyle w:val="11"/>
              <w:spacing w:line="360" w:lineRule="auto"/>
              <w:ind w:left="0" w:firstLine="420" w:firstLineChars="200"/>
              <w:jc w:val="both"/>
              <w:rPr>
                <w:color w:val="auto"/>
                <w:lang w:eastAsia="zh-CN"/>
              </w:rPr>
            </w:pPr>
            <w:r>
              <w:rPr>
                <w:color w:val="auto"/>
                <w:lang w:eastAsia="zh-CN"/>
              </w:rPr>
              <w:t>顶框与侧框用螺栓连接固定，安装和维修时闸板能从闸框中取出。闸框与运行导轨采用螺栓紧固，以方便维修，更换。</w:t>
            </w:r>
          </w:p>
          <w:p>
            <w:pPr>
              <w:pStyle w:val="11"/>
              <w:spacing w:line="360" w:lineRule="auto"/>
              <w:ind w:left="0" w:firstLine="420" w:firstLineChars="200"/>
              <w:jc w:val="both"/>
              <w:rPr>
                <w:color w:val="auto"/>
                <w:lang w:eastAsia="zh-CN"/>
              </w:rPr>
            </w:pPr>
            <w:r>
              <w:rPr>
                <w:rFonts w:hint="eastAsia"/>
                <w:color w:val="auto"/>
                <w:lang w:eastAsia="zh-CN"/>
              </w:rPr>
              <w:t>d.</w:t>
            </w:r>
            <w:r>
              <w:rPr>
                <w:color w:val="auto"/>
                <w:lang w:eastAsia="zh-CN"/>
              </w:rPr>
              <w:t>闸板</w:t>
            </w:r>
          </w:p>
          <w:p>
            <w:pPr>
              <w:pStyle w:val="11"/>
              <w:spacing w:line="360" w:lineRule="auto"/>
              <w:ind w:left="0" w:firstLine="420" w:firstLineChars="200"/>
              <w:jc w:val="both"/>
              <w:rPr>
                <w:color w:val="auto"/>
                <w:lang w:eastAsia="zh-CN"/>
              </w:rPr>
            </w:pPr>
            <w:r>
              <w:rPr>
                <w:color w:val="auto"/>
                <w:lang w:eastAsia="zh-CN"/>
              </w:rPr>
              <w:t>闸板应为一体式平板</w:t>
            </w:r>
            <w:r>
              <w:rPr>
                <w:rFonts w:hint="eastAsia"/>
                <w:color w:val="auto"/>
                <w:lang w:eastAsia="zh-CN"/>
              </w:rPr>
              <w:t>，</w:t>
            </w:r>
            <w:r>
              <w:rPr>
                <w:color w:val="auto"/>
                <w:lang w:eastAsia="zh-CN"/>
              </w:rPr>
              <w:t>拼接的方式不</w:t>
            </w:r>
            <w:r>
              <w:rPr>
                <w:rFonts w:hint="eastAsia"/>
                <w:color w:val="auto"/>
                <w:lang w:eastAsia="zh-CN"/>
              </w:rPr>
              <w:t>被</w:t>
            </w:r>
            <w:r>
              <w:rPr>
                <w:color w:val="auto"/>
                <w:lang w:eastAsia="zh-CN"/>
              </w:rPr>
              <w:t>接受。</w:t>
            </w:r>
          </w:p>
          <w:p>
            <w:pPr>
              <w:pStyle w:val="11"/>
              <w:spacing w:line="360" w:lineRule="auto"/>
              <w:ind w:left="0" w:firstLine="420" w:firstLineChars="200"/>
              <w:jc w:val="both"/>
              <w:rPr>
                <w:color w:val="auto"/>
                <w:lang w:eastAsia="zh-CN"/>
              </w:rPr>
            </w:pPr>
            <w:r>
              <w:rPr>
                <w:color w:val="auto"/>
                <w:lang w:eastAsia="zh-CN"/>
              </w:rPr>
              <w:t>闸板</w:t>
            </w:r>
            <w:r>
              <w:rPr>
                <w:rFonts w:hint="eastAsia"/>
                <w:color w:val="auto"/>
                <w:lang w:eastAsia="zh-CN"/>
              </w:rPr>
              <w:t>应</w:t>
            </w:r>
            <w:r>
              <w:rPr>
                <w:color w:val="auto"/>
                <w:lang w:eastAsia="zh-CN"/>
              </w:rPr>
              <w:t>有足够的强度</w:t>
            </w:r>
            <w:r>
              <w:rPr>
                <w:rFonts w:hint="eastAsia"/>
                <w:color w:val="auto"/>
                <w:lang w:eastAsia="zh-CN"/>
              </w:rPr>
              <w:t>以</w:t>
            </w:r>
            <w:r>
              <w:rPr>
                <w:color w:val="auto"/>
                <w:lang w:eastAsia="zh-CN"/>
              </w:rPr>
              <w:t>承受最大水头差，不能出现任何影响闸门正常运行的变形和偏移，即在最大水头时的偏移量不超过闸板宽度的1/1500。</w:t>
            </w:r>
          </w:p>
          <w:p>
            <w:pPr>
              <w:pStyle w:val="11"/>
              <w:spacing w:line="360" w:lineRule="auto"/>
              <w:ind w:left="0" w:firstLine="420" w:firstLineChars="200"/>
              <w:jc w:val="both"/>
              <w:rPr>
                <w:color w:val="auto"/>
                <w:lang w:eastAsia="zh-CN"/>
              </w:rPr>
            </w:pPr>
            <w:r>
              <w:rPr>
                <w:color w:val="auto"/>
                <w:lang w:eastAsia="zh-CN"/>
              </w:rPr>
              <w:t>闸板的底部的形状应为楔形，以增加闸板在关闭时作用在底部密封的压强。</w:t>
            </w:r>
          </w:p>
          <w:p>
            <w:pPr>
              <w:pStyle w:val="11"/>
              <w:spacing w:line="360" w:lineRule="auto"/>
              <w:ind w:left="0" w:firstLine="420" w:firstLineChars="200"/>
              <w:jc w:val="both"/>
              <w:rPr>
                <w:color w:val="auto"/>
                <w:lang w:eastAsia="zh-CN"/>
              </w:rPr>
            </w:pPr>
            <w:r>
              <w:rPr>
                <w:rFonts w:hint="eastAsia"/>
                <w:color w:val="auto"/>
                <w:lang w:eastAsia="zh-CN"/>
              </w:rPr>
              <w:t>e.</w:t>
            </w:r>
            <w:r>
              <w:rPr>
                <w:color w:val="auto"/>
                <w:lang w:eastAsia="zh-CN"/>
              </w:rPr>
              <w:t>密封</w:t>
            </w:r>
          </w:p>
          <w:p>
            <w:pPr>
              <w:pStyle w:val="11"/>
              <w:spacing w:line="360" w:lineRule="auto"/>
              <w:ind w:left="0" w:firstLine="420" w:firstLineChars="200"/>
              <w:jc w:val="both"/>
              <w:rPr>
                <w:color w:val="auto"/>
                <w:lang w:eastAsia="zh-CN"/>
              </w:rPr>
            </w:pPr>
            <w:r>
              <w:rPr>
                <w:color w:val="auto"/>
                <w:lang w:eastAsia="zh-CN"/>
              </w:rPr>
              <w:t>闸板底边密封材料应为聚</w:t>
            </w:r>
            <w:r>
              <w:rPr>
                <w:rFonts w:hint="eastAsia"/>
                <w:color w:val="auto"/>
                <w:lang w:eastAsia="zh-CN"/>
              </w:rPr>
              <w:t>氨</w:t>
            </w:r>
            <w:r>
              <w:rPr>
                <w:color w:val="auto"/>
                <w:lang w:eastAsia="zh-CN"/>
              </w:rPr>
              <w:t>酯，镶嵌在断面为梯形的底框内，不需要其它任何固定方式即可保证底部密封不会从底框内脱出。</w:t>
            </w:r>
          </w:p>
          <w:p>
            <w:pPr>
              <w:pStyle w:val="11"/>
              <w:spacing w:line="360" w:lineRule="auto"/>
              <w:ind w:left="0" w:firstLine="420" w:firstLineChars="200"/>
              <w:jc w:val="both"/>
              <w:rPr>
                <w:color w:val="auto"/>
                <w:lang w:eastAsia="zh-CN"/>
              </w:rPr>
            </w:pPr>
            <w:r>
              <w:rPr>
                <w:color w:val="auto"/>
                <w:lang w:eastAsia="zh-CN"/>
              </w:rPr>
              <w:t>侧边及顶部密封材料应为</w:t>
            </w:r>
            <w:r>
              <w:rPr>
                <w:rFonts w:hint="eastAsia"/>
                <w:color w:val="auto"/>
                <w:lang w:eastAsia="zh-CN"/>
              </w:rPr>
              <w:t>三元</w:t>
            </w:r>
            <w:r>
              <w:rPr>
                <w:color w:val="auto"/>
                <w:lang w:eastAsia="zh-CN"/>
              </w:rPr>
              <w:t>乙丙橡胶，形状为自力式倾角雨刷形。密封条通过固定螺栓的预紧力将密封条压向闸板，使其与闸板紧密接触，实现双向密封。</w:t>
            </w:r>
          </w:p>
          <w:p>
            <w:pPr>
              <w:pStyle w:val="11"/>
              <w:spacing w:line="360" w:lineRule="auto"/>
              <w:ind w:left="0" w:firstLine="420" w:firstLineChars="200"/>
              <w:jc w:val="both"/>
              <w:rPr>
                <w:color w:val="auto"/>
                <w:lang w:eastAsia="zh-CN"/>
              </w:rPr>
            </w:pPr>
            <w:r>
              <w:rPr>
                <w:color w:val="auto"/>
                <w:lang w:eastAsia="zh-CN"/>
              </w:rPr>
              <w:t>顶部密封与侧密封切削成45</w:t>
            </w:r>
            <w:r>
              <w:rPr>
                <w:rFonts w:hint="eastAsia"/>
                <w:color w:val="auto"/>
                <w:lang w:eastAsia="zh-CN"/>
              </w:rPr>
              <w:t>°</w:t>
            </w:r>
            <w:r>
              <w:rPr>
                <w:color w:val="auto"/>
                <w:lang w:eastAsia="zh-CN"/>
              </w:rPr>
              <w:t>，粘接在一起以形成完整密封整体，保证闸板顶部与侧部连接处不会出现任何渗漏。</w:t>
            </w:r>
          </w:p>
          <w:p>
            <w:pPr>
              <w:pStyle w:val="11"/>
              <w:spacing w:line="360" w:lineRule="auto"/>
              <w:ind w:left="0" w:firstLine="420" w:firstLineChars="200"/>
              <w:jc w:val="both"/>
              <w:rPr>
                <w:color w:val="auto"/>
                <w:lang w:eastAsia="zh-CN"/>
              </w:rPr>
            </w:pPr>
            <w:r>
              <w:rPr>
                <w:rFonts w:hint="eastAsia"/>
                <w:color w:val="auto"/>
                <w:lang w:eastAsia="zh-CN"/>
              </w:rPr>
              <w:t>f.</w:t>
            </w:r>
            <w:r>
              <w:rPr>
                <w:color w:val="auto"/>
                <w:lang w:eastAsia="zh-CN"/>
              </w:rPr>
              <w:t>导轨</w:t>
            </w:r>
          </w:p>
          <w:p>
            <w:pPr>
              <w:pStyle w:val="11"/>
              <w:spacing w:line="360" w:lineRule="auto"/>
              <w:ind w:left="0" w:firstLine="420" w:firstLineChars="200"/>
              <w:jc w:val="both"/>
              <w:rPr>
                <w:color w:val="auto"/>
                <w:lang w:eastAsia="zh-CN"/>
              </w:rPr>
            </w:pPr>
            <w:r>
              <w:rPr>
                <w:color w:val="auto"/>
                <w:lang w:eastAsia="zh-CN"/>
              </w:rPr>
              <w:t>闸门的导轨应采用</w:t>
            </w:r>
            <w:r>
              <w:rPr>
                <w:rFonts w:hint="eastAsia"/>
                <w:color w:val="auto"/>
                <w:lang w:eastAsia="zh-CN"/>
              </w:rPr>
              <w:t>不锈钢</w:t>
            </w:r>
            <w:r>
              <w:rPr>
                <w:color w:val="auto"/>
                <w:lang w:eastAsia="zh-CN"/>
              </w:rPr>
              <w:t>，支撑面的磨擦系数降至最低，以减少闸门操作扭矩。</w:t>
            </w:r>
          </w:p>
          <w:p>
            <w:pPr>
              <w:pStyle w:val="11"/>
              <w:spacing w:line="360" w:lineRule="auto"/>
              <w:ind w:left="0" w:firstLine="420" w:firstLineChars="200"/>
              <w:jc w:val="both"/>
              <w:rPr>
                <w:color w:val="auto"/>
                <w:lang w:eastAsia="zh-CN"/>
              </w:rPr>
            </w:pPr>
            <w:r>
              <w:rPr>
                <w:rFonts w:hint="eastAsia"/>
                <w:color w:val="auto"/>
                <w:lang w:eastAsia="zh-CN"/>
              </w:rPr>
              <w:t>g.</w:t>
            </w:r>
            <w:r>
              <w:rPr>
                <w:color w:val="auto"/>
                <w:lang w:eastAsia="zh-CN"/>
              </w:rPr>
              <w:t>闸杆及连接件</w:t>
            </w:r>
          </w:p>
          <w:p>
            <w:pPr>
              <w:pStyle w:val="11"/>
              <w:spacing w:line="360" w:lineRule="auto"/>
              <w:ind w:left="0" w:firstLine="420" w:firstLineChars="200"/>
              <w:jc w:val="both"/>
              <w:rPr>
                <w:color w:val="auto"/>
                <w:lang w:eastAsia="zh-CN"/>
              </w:rPr>
            </w:pPr>
            <w:r>
              <w:rPr>
                <w:color w:val="auto"/>
                <w:lang w:eastAsia="zh-CN"/>
              </w:rPr>
              <w:t>闸板应为明杆式，L/r比为200，应配限位螺母。</w:t>
            </w:r>
          </w:p>
          <w:p>
            <w:pPr>
              <w:pStyle w:val="11"/>
              <w:spacing w:line="360" w:lineRule="auto"/>
              <w:ind w:left="0" w:firstLine="420" w:firstLineChars="200"/>
              <w:jc w:val="both"/>
              <w:rPr>
                <w:color w:val="auto"/>
                <w:lang w:eastAsia="zh-CN"/>
              </w:rPr>
            </w:pPr>
            <w:r>
              <w:rPr>
                <w:color w:val="auto"/>
                <w:lang w:eastAsia="zh-CN"/>
              </w:rPr>
              <w:t>闸杆能承受至少两倍于执行机构额定推力而不会产生永久变形。</w:t>
            </w:r>
          </w:p>
          <w:p>
            <w:pPr>
              <w:pStyle w:val="11"/>
              <w:spacing w:line="360" w:lineRule="auto"/>
              <w:ind w:left="0" w:firstLine="420" w:firstLineChars="200"/>
              <w:jc w:val="both"/>
              <w:rPr>
                <w:color w:val="auto"/>
                <w:lang w:eastAsia="zh-CN"/>
              </w:rPr>
            </w:pPr>
            <w:r>
              <w:rPr>
                <w:color w:val="auto"/>
                <w:lang w:eastAsia="zh-CN"/>
              </w:rPr>
              <w:t>闸杆与闸板通过不锈钢U形卡连接，U形卡焊接在闸板上，U形卡与提升杆用开尾销与平垫片固定，以方便闸门维修。销钉设计安全系数不小于5。</w:t>
            </w:r>
          </w:p>
          <w:p>
            <w:pPr>
              <w:pStyle w:val="11"/>
              <w:spacing w:line="360" w:lineRule="auto"/>
              <w:ind w:left="0" w:firstLine="420" w:firstLineChars="200"/>
              <w:jc w:val="both"/>
              <w:rPr>
                <w:color w:val="auto"/>
                <w:lang w:eastAsia="zh-CN"/>
              </w:rPr>
            </w:pPr>
            <w:r>
              <w:rPr>
                <w:rFonts w:hint="eastAsia"/>
                <w:color w:val="auto"/>
                <w:lang w:eastAsia="zh-CN"/>
              </w:rPr>
              <w:t>h.</w:t>
            </w:r>
            <w:r>
              <w:rPr>
                <w:color w:val="auto"/>
                <w:lang w:eastAsia="zh-CN"/>
              </w:rPr>
              <w:t>安装方式</w:t>
            </w:r>
          </w:p>
          <w:p>
            <w:pPr>
              <w:pStyle w:val="11"/>
              <w:spacing w:line="360" w:lineRule="auto"/>
              <w:ind w:left="0" w:firstLine="420" w:firstLineChars="200"/>
              <w:jc w:val="both"/>
              <w:rPr>
                <w:color w:val="auto"/>
                <w:lang w:eastAsia="zh-CN"/>
              </w:rPr>
            </w:pPr>
            <w:r>
              <w:rPr>
                <w:color w:val="auto"/>
                <w:lang w:eastAsia="zh-CN"/>
              </w:rPr>
              <w:t>闸框与墙壁应采用化学锚固螺栓固定，然后通过二次灌注无收缩水泥沙浆实现闸框与墙壁的密封。</w:t>
            </w:r>
          </w:p>
          <w:p>
            <w:pPr>
              <w:pStyle w:val="11"/>
              <w:spacing w:line="360" w:lineRule="auto"/>
              <w:ind w:left="0" w:firstLine="420" w:firstLineChars="200"/>
              <w:jc w:val="both"/>
              <w:rPr>
                <w:color w:val="auto"/>
                <w:lang w:eastAsia="zh-CN"/>
              </w:rPr>
            </w:pPr>
            <w:r>
              <w:rPr>
                <w:rFonts w:hint="eastAsia"/>
                <w:color w:val="auto"/>
                <w:lang w:eastAsia="zh-CN"/>
              </w:rPr>
              <w:t>i.主要材料</w:t>
            </w:r>
          </w:p>
          <w:p>
            <w:pPr>
              <w:pStyle w:val="11"/>
              <w:spacing w:line="360" w:lineRule="auto"/>
              <w:ind w:left="0" w:firstLine="420" w:firstLineChars="200"/>
              <w:jc w:val="both"/>
              <w:rPr>
                <w:color w:val="auto"/>
                <w:lang w:eastAsia="zh-CN"/>
              </w:rPr>
            </w:pPr>
            <w:r>
              <w:rPr>
                <w:rFonts w:hint="eastAsia"/>
                <w:color w:val="auto"/>
                <w:lang w:eastAsia="zh-CN"/>
              </w:rPr>
              <w:t>以下列出本设备至少包括的主要零部件名称及材料：</w:t>
            </w:r>
          </w:p>
          <w:p>
            <w:pPr>
              <w:pStyle w:val="11"/>
              <w:spacing w:line="360" w:lineRule="auto"/>
              <w:ind w:left="0" w:firstLine="420" w:firstLineChars="200"/>
              <w:jc w:val="both"/>
              <w:rPr>
                <w:color w:val="auto"/>
                <w:lang w:eastAsia="zh-CN"/>
              </w:rPr>
            </w:pPr>
            <w:r>
              <w:rPr>
                <w:color w:val="auto"/>
                <w:lang w:eastAsia="zh-CN"/>
              </w:rPr>
              <w:t>闸框</w:t>
            </w:r>
            <w:r>
              <w:rPr>
                <w:rFonts w:hint="eastAsia"/>
                <w:color w:val="auto"/>
                <w:lang w:eastAsia="zh-CN"/>
              </w:rPr>
              <w:t>　　　　　</w:t>
            </w:r>
            <w:r>
              <w:rPr>
                <w:color w:val="auto"/>
                <w:lang w:eastAsia="zh-CN"/>
              </w:rPr>
              <w:t>不锈钢</w:t>
            </w:r>
          </w:p>
          <w:p>
            <w:pPr>
              <w:pStyle w:val="11"/>
              <w:spacing w:line="360" w:lineRule="auto"/>
              <w:ind w:left="0" w:firstLine="420" w:firstLineChars="200"/>
              <w:jc w:val="both"/>
              <w:rPr>
                <w:color w:val="auto"/>
                <w:lang w:eastAsia="zh-CN"/>
              </w:rPr>
            </w:pPr>
            <w:r>
              <w:rPr>
                <w:rFonts w:hint="eastAsia"/>
                <w:color w:val="auto"/>
                <w:lang w:eastAsia="zh-CN"/>
              </w:rPr>
              <w:t>阀板　　　　　</w:t>
            </w:r>
            <w:r>
              <w:rPr>
                <w:color w:val="auto"/>
                <w:lang w:eastAsia="zh-CN"/>
              </w:rPr>
              <w:t>不锈钢</w:t>
            </w:r>
          </w:p>
          <w:p>
            <w:pPr>
              <w:pStyle w:val="11"/>
              <w:spacing w:line="360" w:lineRule="auto"/>
              <w:ind w:left="0" w:firstLine="420" w:firstLineChars="200"/>
              <w:jc w:val="both"/>
              <w:rPr>
                <w:color w:val="auto"/>
                <w:lang w:eastAsia="zh-CN"/>
              </w:rPr>
            </w:pPr>
            <w:r>
              <w:rPr>
                <w:color w:val="auto"/>
                <w:lang w:eastAsia="zh-CN"/>
              </w:rPr>
              <w:t>闸杆不锈钢</w:t>
            </w:r>
          </w:p>
          <w:p>
            <w:pPr>
              <w:pStyle w:val="11"/>
              <w:spacing w:line="360" w:lineRule="auto"/>
              <w:ind w:left="0" w:firstLine="420" w:firstLineChars="200"/>
              <w:jc w:val="both"/>
              <w:rPr>
                <w:color w:val="auto"/>
                <w:lang w:eastAsia="zh-CN"/>
              </w:rPr>
            </w:pPr>
            <w:r>
              <w:rPr>
                <w:color w:val="auto"/>
                <w:lang w:eastAsia="zh-CN"/>
              </w:rPr>
              <w:t>闸杆导向聚丙烯</w:t>
            </w:r>
          </w:p>
          <w:p>
            <w:pPr>
              <w:pStyle w:val="11"/>
              <w:spacing w:line="360" w:lineRule="auto"/>
              <w:ind w:left="0" w:firstLine="420" w:firstLineChars="200"/>
              <w:jc w:val="both"/>
              <w:rPr>
                <w:color w:val="auto"/>
                <w:lang w:eastAsia="zh-CN"/>
              </w:rPr>
            </w:pPr>
            <w:r>
              <w:rPr>
                <w:color w:val="auto"/>
                <w:lang w:eastAsia="zh-CN"/>
              </w:rPr>
              <w:t>导轨不锈钢</w:t>
            </w:r>
          </w:p>
          <w:p>
            <w:pPr>
              <w:pStyle w:val="11"/>
              <w:spacing w:line="360" w:lineRule="auto"/>
              <w:ind w:left="0" w:firstLine="420" w:firstLineChars="200"/>
              <w:jc w:val="both"/>
              <w:rPr>
                <w:color w:val="auto"/>
                <w:lang w:eastAsia="zh-CN"/>
              </w:rPr>
            </w:pPr>
            <w:r>
              <w:rPr>
                <w:color w:val="auto"/>
                <w:lang w:eastAsia="zh-CN"/>
              </w:rPr>
              <w:t>限位螺母锡锌青铜ASTMC90700　</w:t>
            </w:r>
          </w:p>
          <w:p>
            <w:pPr>
              <w:pStyle w:val="11"/>
              <w:spacing w:line="360" w:lineRule="auto"/>
              <w:ind w:left="0" w:firstLine="420" w:firstLineChars="200"/>
              <w:jc w:val="both"/>
              <w:rPr>
                <w:color w:val="auto"/>
                <w:lang w:eastAsia="zh-CN"/>
              </w:rPr>
            </w:pPr>
            <w:r>
              <w:rPr>
                <w:color w:val="auto"/>
                <w:lang w:eastAsia="zh-CN"/>
              </w:rPr>
              <w:t>闸板密封　EPDM　　</w:t>
            </w:r>
          </w:p>
          <w:p>
            <w:pPr>
              <w:pStyle w:val="11"/>
              <w:spacing w:line="360" w:lineRule="auto"/>
              <w:ind w:left="0" w:firstLine="420" w:firstLineChars="200"/>
              <w:jc w:val="both"/>
              <w:rPr>
                <w:color w:val="auto"/>
                <w:lang w:eastAsia="zh-CN"/>
              </w:rPr>
            </w:pPr>
            <w:r>
              <w:rPr>
                <w:color w:val="auto"/>
                <w:lang w:eastAsia="zh-CN"/>
              </w:rPr>
              <w:t>底部密封</w:t>
            </w:r>
            <w:r>
              <w:rPr>
                <w:rFonts w:hint="eastAsia"/>
                <w:color w:val="auto"/>
                <w:lang w:eastAsia="zh-CN"/>
              </w:rPr>
              <w:t>EPDM</w:t>
            </w:r>
          </w:p>
          <w:p>
            <w:pPr>
              <w:pStyle w:val="11"/>
              <w:spacing w:line="360" w:lineRule="auto"/>
              <w:ind w:left="0" w:firstLine="420" w:firstLineChars="200"/>
              <w:jc w:val="both"/>
              <w:rPr>
                <w:color w:val="auto"/>
                <w:lang w:eastAsia="zh-CN"/>
              </w:rPr>
            </w:pPr>
            <w:r>
              <w:rPr>
                <w:rFonts w:hint="eastAsia"/>
                <w:color w:val="auto"/>
                <w:lang w:eastAsia="zh-CN"/>
              </w:rPr>
              <w:t>所有连接件不锈钢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39" w:type="dxa"/>
            <w:gridSpan w:val="6"/>
            <w:vAlign w:val="center"/>
          </w:tcPr>
          <w:p>
            <w:pPr>
              <w:pStyle w:val="11"/>
              <w:spacing w:line="360" w:lineRule="auto"/>
              <w:ind w:left="0"/>
              <w:jc w:val="both"/>
              <w:rPr>
                <w:rFonts w:asciiTheme="minorEastAsia" w:hAnsiTheme="minorEastAsia" w:eastAsiaTheme="minorEastAsia"/>
                <w:color w:val="auto"/>
                <w:lang w:eastAsia="zh-CN"/>
              </w:rPr>
            </w:pPr>
            <w:r>
              <w:rPr>
                <w:rFonts w:hint="eastAsia"/>
                <w:b/>
                <w:bCs/>
                <w:color w:val="auto"/>
                <w:lang w:eastAsia="zh-CN"/>
              </w:rPr>
              <w:t>气动执行机构及附件技术要求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39" w:type="dxa"/>
            <w:gridSpan w:val="6"/>
            <w:vAlign w:val="center"/>
          </w:tcPr>
          <w:p>
            <w:pPr>
              <w:pStyle w:val="11"/>
              <w:spacing w:line="360" w:lineRule="auto"/>
              <w:ind w:left="0" w:firstLine="420" w:firstLineChars="200"/>
              <w:jc w:val="both"/>
              <w:rPr>
                <w:rFonts w:asciiTheme="minorEastAsia" w:hAnsiTheme="minorEastAsia" w:eastAsiaTheme="minorEastAsia"/>
                <w:color w:val="auto"/>
                <w:lang w:eastAsia="zh-CN"/>
              </w:rPr>
            </w:pPr>
            <w:r>
              <w:rPr>
                <w:rFonts w:asciiTheme="minorEastAsia" w:hAnsiTheme="minorEastAsia" w:eastAsiaTheme="minorEastAsia"/>
                <w:color w:val="auto"/>
                <w:lang w:eastAsia="zh-CN"/>
              </w:rPr>
              <w:t>气动蝶阀的气动执行机构包含双作用角行程气缸、电磁阀和带两个位置开关的开关盒。气动调节蝶阀的气动执行机构包含双作用角行程气缸和阀门定位器。</w:t>
            </w:r>
          </w:p>
          <w:p>
            <w:pPr>
              <w:pStyle w:val="11"/>
              <w:spacing w:line="360" w:lineRule="auto"/>
              <w:ind w:left="0" w:firstLine="420" w:firstLineChars="200"/>
              <w:jc w:val="both"/>
              <w:rPr>
                <w:rFonts w:asciiTheme="minorEastAsia" w:hAnsiTheme="minorEastAsia" w:eastAsiaTheme="minorEastAsia"/>
                <w:color w:val="auto"/>
                <w:lang w:eastAsia="zh-CN"/>
              </w:rPr>
            </w:pPr>
            <w:r>
              <w:rPr>
                <w:rFonts w:asciiTheme="minorEastAsia" w:hAnsiTheme="minorEastAsia" w:eastAsiaTheme="minorEastAsia"/>
                <w:color w:val="auto"/>
                <w:lang w:eastAsia="zh-CN"/>
              </w:rPr>
              <w:t>a.气动执行机构应选用BAR、FESTO</w:t>
            </w:r>
            <w:r>
              <w:rPr>
                <w:rFonts w:hint="eastAsia" w:asciiTheme="minorEastAsia" w:hAnsiTheme="minorEastAsia" w:eastAsiaTheme="minorEastAsia"/>
                <w:color w:val="auto"/>
                <w:lang w:eastAsia="zh-CN"/>
              </w:rPr>
              <w:t>、</w:t>
            </w:r>
            <w:r>
              <w:rPr>
                <w:rFonts w:asciiTheme="minorEastAsia" w:hAnsiTheme="minorEastAsia" w:eastAsiaTheme="minorEastAsia"/>
                <w:color w:val="auto"/>
                <w:lang w:eastAsia="zh-CN"/>
              </w:rPr>
              <w:t>ACTUATECH</w:t>
            </w:r>
            <w:r>
              <w:rPr>
                <w:rFonts w:hint="eastAsia" w:asciiTheme="minorEastAsia" w:hAnsiTheme="minorEastAsia" w:eastAsiaTheme="minorEastAsia"/>
                <w:color w:val="auto"/>
                <w:lang w:eastAsia="zh-CN"/>
              </w:rPr>
              <w:t>等</w:t>
            </w:r>
            <w:r>
              <w:rPr>
                <w:rFonts w:asciiTheme="minorEastAsia" w:hAnsiTheme="minorEastAsia" w:eastAsiaTheme="minorEastAsia"/>
                <w:color w:val="auto"/>
                <w:lang w:eastAsia="zh-CN"/>
              </w:rPr>
              <w:t>国际著名品牌。</w:t>
            </w:r>
          </w:p>
          <w:p>
            <w:pPr>
              <w:pStyle w:val="11"/>
              <w:spacing w:line="360" w:lineRule="auto"/>
              <w:ind w:left="0" w:firstLine="420" w:firstLineChars="200"/>
              <w:jc w:val="both"/>
              <w:rPr>
                <w:rFonts w:asciiTheme="minorEastAsia" w:hAnsiTheme="minorEastAsia" w:eastAsiaTheme="minorEastAsia"/>
                <w:color w:val="auto"/>
                <w:lang w:eastAsia="zh-CN"/>
              </w:rPr>
            </w:pPr>
            <w:r>
              <w:rPr>
                <w:rFonts w:asciiTheme="minorEastAsia" w:hAnsiTheme="minorEastAsia" w:eastAsiaTheme="minorEastAsia"/>
                <w:color w:val="auto"/>
                <w:lang w:eastAsia="zh-CN"/>
              </w:rPr>
              <w:t>b.气缸壳体材质采用铝合金，其表面为硬化阳极处理；气缸端盖涂装环氧树脂涂层，外观光滑平整，可适应于室外及室内环境，整个气缸为全密封式，无体外移动部件</w:t>
            </w:r>
            <w:r>
              <w:rPr>
                <w:rFonts w:hint="eastAsia" w:asciiTheme="minorEastAsia" w:hAnsiTheme="minorEastAsia" w:eastAsiaTheme="minorEastAsia"/>
                <w:color w:val="auto"/>
                <w:lang w:eastAsia="zh-CN"/>
              </w:rPr>
              <w:t>,使用齿轮齿条结构,不得使用拨差式.</w:t>
            </w:r>
          </w:p>
          <w:p>
            <w:pPr>
              <w:pStyle w:val="11"/>
              <w:spacing w:line="360" w:lineRule="auto"/>
              <w:ind w:left="0" w:firstLine="420" w:firstLineChars="200"/>
              <w:jc w:val="both"/>
              <w:rPr>
                <w:rFonts w:asciiTheme="minorEastAsia" w:hAnsiTheme="minorEastAsia" w:eastAsiaTheme="minorEastAsia"/>
                <w:color w:val="auto"/>
                <w:lang w:eastAsia="zh-CN"/>
              </w:rPr>
            </w:pPr>
            <w:r>
              <w:rPr>
                <w:rFonts w:asciiTheme="minorEastAsia" w:hAnsiTheme="minorEastAsia" w:eastAsiaTheme="minorEastAsia"/>
                <w:color w:val="auto"/>
                <w:lang w:eastAsia="zh-CN"/>
              </w:rPr>
              <w:t>c.能在额定负载下平滑动作50万次以上，每次开关时间＜20秒。</w:t>
            </w:r>
          </w:p>
          <w:p>
            <w:pPr>
              <w:pStyle w:val="11"/>
              <w:spacing w:line="360" w:lineRule="auto"/>
              <w:ind w:left="0" w:firstLine="420" w:firstLineChars="200"/>
              <w:jc w:val="both"/>
              <w:rPr>
                <w:rFonts w:asciiTheme="minorEastAsia" w:hAnsiTheme="minorEastAsia" w:eastAsiaTheme="minorEastAsia"/>
                <w:color w:val="auto"/>
                <w:lang w:eastAsia="zh-CN"/>
              </w:rPr>
            </w:pPr>
            <w:r>
              <w:rPr>
                <w:rFonts w:hint="eastAsia" w:asciiTheme="minorEastAsia" w:hAnsiTheme="minorEastAsia" w:eastAsiaTheme="minorEastAsia"/>
                <w:color w:val="auto"/>
                <w:lang w:eastAsia="zh-CN"/>
              </w:rPr>
              <w:t>d.</w:t>
            </w:r>
            <w:r>
              <w:rPr>
                <w:rFonts w:asciiTheme="minorEastAsia" w:hAnsiTheme="minorEastAsia" w:eastAsiaTheme="minorEastAsia"/>
                <w:color w:val="auto"/>
                <w:lang w:eastAsia="zh-CN"/>
              </w:rPr>
              <w:t>气缸内部的密封材料采用特殊的复合式密封结构，带有自润滑功能，另有“O”型密封圈。</w:t>
            </w:r>
          </w:p>
          <w:p>
            <w:pPr>
              <w:pStyle w:val="11"/>
              <w:spacing w:line="360" w:lineRule="auto"/>
              <w:ind w:left="0" w:firstLine="420" w:firstLineChars="200"/>
              <w:jc w:val="both"/>
              <w:rPr>
                <w:rFonts w:asciiTheme="minorEastAsia" w:hAnsiTheme="minorEastAsia" w:eastAsiaTheme="minorEastAsia"/>
                <w:color w:val="auto"/>
                <w:lang w:eastAsia="zh-CN"/>
              </w:rPr>
            </w:pPr>
            <w:r>
              <w:rPr>
                <w:rFonts w:asciiTheme="minorEastAsia" w:hAnsiTheme="minorEastAsia" w:eastAsiaTheme="minorEastAsia"/>
                <w:color w:val="auto"/>
                <w:lang w:eastAsia="zh-CN"/>
              </w:rPr>
              <w:t>e.执行机构带有行程调节装置，在一定范围内可满足用户的使用要求。</w:t>
            </w:r>
          </w:p>
          <w:p>
            <w:pPr>
              <w:pStyle w:val="11"/>
              <w:spacing w:line="360" w:lineRule="auto"/>
              <w:ind w:left="0" w:firstLine="420" w:firstLineChars="200"/>
              <w:jc w:val="both"/>
              <w:rPr>
                <w:rFonts w:asciiTheme="minorEastAsia" w:hAnsiTheme="minorEastAsia" w:eastAsiaTheme="minorEastAsia"/>
                <w:color w:val="auto"/>
                <w:lang w:eastAsia="zh-CN"/>
              </w:rPr>
            </w:pPr>
            <w:r>
              <w:rPr>
                <w:rFonts w:asciiTheme="minorEastAsia" w:hAnsiTheme="minorEastAsia" w:eastAsiaTheme="minorEastAsia"/>
                <w:color w:val="auto"/>
                <w:lang w:eastAsia="zh-CN"/>
              </w:rPr>
              <w:t>f</w:t>
            </w:r>
            <w:r>
              <w:rPr>
                <w:rFonts w:hint="eastAsia" w:asciiTheme="minorEastAsia" w:hAnsiTheme="minorEastAsia" w:eastAsiaTheme="minorEastAsia"/>
                <w:color w:val="auto"/>
                <w:lang w:eastAsia="zh-CN"/>
              </w:rPr>
              <w:t>.</w:t>
            </w:r>
            <w:r>
              <w:rPr>
                <w:rFonts w:asciiTheme="minorEastAsia" w:hAnsiTheme="minorEastAsia" w:eastAsiaTheme="minorEastAsia"/>
                <w:color w:val="auto"/>
                <w:lang w:eastAsia="zh-CN"/>
              </w:rPr>
              <w:t>气动蝶阀的电磁阀技术参数要求如下：</w:t>
            </w:r>
          </w:p>
          <w:p>
            <w:pPr>
              <w:pStyle w:val="11"/>
              <w:spacing w:line="360" w:lineRule="auto"/>
              <w:ind w:left="0" w:firstLine="420" w:firstLineChars="200"/>
              <w:jc w:val="both"/>
              <w:rPr>
                <w:rFonts w:asciiTheme="minorEastAsia" w:hAnsiTheme="minorEastAsia" w:eastAsiaTheme="minorEastAsia"/>
                <w:color w:val="auto"/>
                <w:lang w:eastAsia="zh-CN"/>
              </w:rPr>
            </w:pPr>
            <w:r>
              <w:rPr>
                <w:rFonts w:asciiTheme="minorEastAsia" w:hAnsiTheme="minorEastAsia" w:eastAsiaTheme="minorEastAsia"/>
                <w:color w:val="auto"/>
                <w:lang w:eastAsia="zh-CN"/>
              </w:rPr>
              <w:t>电磁阀：国际知名品牌BAR、FESTO</w:t>
            </w:r>
            <w:r>
              <w:rPr>
                <w:rFonts w:hint="eastAsia" w:asciiTheme="minorEastAsia" w:hAnsiTheme="minorEastAsia" w:eastAsiaTheme="minorEastAsia"/>
                <w:color w:val="auto"/>
                <w:lang w:eastAsia="zh-CN"/>
              </w:rPr>
              <w:t>、</w:t>
            </w:r>
            <w:r>
              <w:rPr>
                <w:rFonts w:asciiTheme="minorEastAsia" w:hAnsiTheme="minorEastAsia" w:eastAsiaTheme="minorEastAsia"/>
                <w:color w:val="auto"/>
                <w:lang w:eastAsia="zh-CN"/>
              </w:rPr>
              <w:t>ACTUATECH</w:t>
            </w:r>
          </w:p>
          <w:p>
            <w:pPr>
              <w:pStyle w:val="11"/>
              <w:spacing w:line="360" w:lineRule="auto"/>
              <w:ind w:left="0" w:firstLine="420" w:firstLineChars="200"/>
              <w:jc w:val="both"/>
              <w:rPr>
                <w:rFonts w:asciiTheme="minorEastAsia" w:hAnsiTheme="minorEastAsia" w:eastAsiaTheme="minorEastAsia"/>
                <w:color w:val="auto"/>
                <w:lang w:eastAsia="zh-CN"/>
              </w:rPr>
            </w:pPr>
            <w:r>
              <w:rPr>
                <w:rFonts w:asciiTheme="minorEastAsia" w:hAnsiTheme="minorEastAsia" w:eastAsiaTheme="minorEastAsia"/>
                <w:color w:val="auto"/>
                <w:lang w:eastAsia="zh-CN"/>
              </w:rPr>
              <w:t>形式：2位5通（带就地手动开/关按钮）</w:t>
            </w:r>
          </w:p>
          <w:p>
            <w:pPr>
              <w:pStyle w:val="11"/>
              <w:spacing w:line="360" w:lineRule="auto"/>
              <w:ind w:left="0" w:firstLine="420" w:firstLineChars="200"/>
              <w:jc w:val="both"/>
              <w:rPr>
                <w:rFonts w:asciiTheme="minorEastAsia" w:hAnsiTheme="minorEastAsia" w:eastAsiaTheme="minorEastAsia"/>
                <w:color w:val="auto"/>
                <w:lang w:eastAsia="zh-CN"/>
              </w:rPr>
            </w:pPr>
            <w:r>
              <w:rPr>
                <w:rFonts w:asciiTheme="minorEastAsia" w:hAnsiTheme="minorEastAsia" w:eastAsiaTheme="minorEastAsia"/>
                <w:color w:val="auto"/>
                <w:lang w:eastAsia="zh-CN"/>
              </w:rPr>
              <w:t>线圈电压：230VAC</w:t>
            </w:r>
          </w:p>
          <w:p>
            <w:pPr>
              <w:pStyle w:val="11"/>
              <w:spacing w:line="360" w:lineRule="auto"/>
              <w:ind w:left="0" w:firstLine="420" w:firstLineChars="200"/>
              <w:jc w:val="both"/>
              <w:rPr>
                <w:rFonts w:asciiTheme="minorEastAsia" w:hAnsiTheme="minorEastAsia" w:eastAsiaTheme="minorEastAsia"/>
                <w:color w:val="auto"/>
                <w:lang w:eastAsia="zh-CN"/>
              </w:rPr>
            </w:pPr>
            <w:r>
              <w:rPr>
                <w:rFonts w:asciiTheme="minorEastAsia" w:hAnsiTheme="minorEastAsia" w:eastAsiaTheme="minorEastAsia"/>
                <w:color w:val="auto"/>
                <w:lang w:eastAsia="zh-CN"/>
              </w:rPr>
              <w:t>防护等级：IP65</w:t>
            </w:r>
          </w:p>
          <w:p>
            <w:pPr>
              <w:pStyle w:val="11"/>
              <w:spacing w:line="360" w:lineRule="auto"/>
              <w:ind w:left="0" w:firstLine="420" w:firstLineChars="200"/>
              <w:jc w:val="both"/>
              <w:rPr>
                <w:rFonts w:asciiTheme="minorEastAsia" w:hAnsiTheme="minorEastAsia" w:eastAsiaTheme="minorEastAsia"/>
                <w:color w:val="auto"/>
                <w:lang w:eastAsia="zh-CN"/>
              </w:rPr>
            </w:pPr>
            <w:r>
              <w:rPr>
                <w:rFonts w:asciiTheme="minorEastAsia" w:hAnsiTheme="minorEastAsia" w:eastAsiaTheme="minorEastAsia"/>
                <w:color w:val="auto"/>
                <w:lang w:eastAsia="zh-CN"/>
              </w:rPr>
              <w:t>适用气源压力：0.2-1.0Mpa</w:t>
            </w:r>
          </w:p>
          <w:p>
            <w:pPr>
              <w:pStyle w:val="11"/>
              <w:spacing w:line="360" w:lineRule="auto"/>
              <w:ind w:left="0" w:firstLine="420" w:firstLineChars="200"/>
              <w:jc w:val="both"/>
              <w:rPr>
                <w:rFonts w:asciiTheme="minorEastAsia" w:hAnsiTheme="minorEastAsia" w:eastAsiaTheme="minorEastAsia"/>
                <w:color w:val="auto"/>
                <w:lang w:eastAsia="zh-CN"/>
              </w:rPr>
            </w:pPr>
            <w:r>
              <w:rPr>
                <w:rFonts w:asciiTheme="minorEastAsia" w:hAnsiTheme="minorEastAsia" w:eastAsiaTheme="minorEastAsia"/>
                <w:color w:val="auto"/>
                <w:lang w:eastAsia="zh-CN"/>
              </w:rPr>
              <w:t>驱动介质：压缩空气</w:t>
            </w:r>
          </w:p>
          <w:p>
            <w:pPr>
              <w:pStyle w:val="11"/>
              <w:spacing w:line="360" w:lineRule="auto"/>
              <w:ind w:left="0" w:firstLine="420" w:firstLineChars="200"/>
              <w:jc w:val="both"/>
              <w:rPr>
                <w:rFonts w:asciiTheme="minorEastAsia" w:hAnsiTheme="minorEastAsia" w:eastAsiaTheme="minorEastAsia"/>
                <w:color w:val="auto"/>
                <w:lang w:eastAsia="zh-CN"/>
              </w:rPr>
            </w:pPr>
            <w:r>
              <w:rPr>
                <w:rFonts w:asciiTheme="minorEastAsia" w:hAnsiTheme="minorEastAsia" w:eastAsiaTheme="minorEastAsia"/>
                <w:color w:val="auto"/>
                <w:lang w:eastAsia="zh-CN"/>
              </w:rPr>
              <w:t>使用介质温度：-20</w:t>
            </w:r>
            <w:r>
              <w:rPr>
                <w:rFonts w:hint="eastAsia" w:asciiTheme="minorEastAsia" w:hAnsiTheme="minorEastAsia" w:eastAsiaTheme="minorEastAsia"/>
                <w:color w:val="auto"/>
                <w:lang w:eastAsia="zh-CN"/>
              </w:rPr>
              <w:t>℃</w:t>
            </w:r>
            <w:r>
              <w:rPr>
                <w:rFonts w:asciiTheme="minorEastAsia" w:hAnsiTheme="minorEastAsia" w:eastAsiaTheme="minorEastAsia"/>
                <w:color w:val="auto"/>
                <w:lang w:eastAsia="zh-CN"/>
              </w:rPr>
              <w:t>-70</w:t>
            </w:r>
            <w:r>
              <w:rPr>
                <w:rFonts w:hint="eastAsia" w:asciiTheme="minorEastAsia" w:hAnsiTheme="minorEastAsia" w:eastAsiaTheme="minorEastAsia"/>
                <w:color w:val="auto"/>
                <w:lang w:eastAsia="zh-CN"/>
              </w:rPr>
              <w:t>℃</w:t>
            </w:r>
          </w:p>
          <w:p>
            <w:pPr>
              <w:pStyle w:val="11"/>
              <w:spacing w:line="360" w:lineRule="auto"/>
              <w:ind w:left="0" w:firstLine="420" w:firstLineChars="200"/>
              <w:jc w:val="both"/>
              <w:rPr>
                <w:rFonts w:asciiTheme="minorEastAsia" w:hAnsiTheme="minorEastAsia" w:eastAsiaTheme="minorEastAsia"/>
                <w:color w:val="auto"/>
                <w:lang w:eastAsia="zh-CN"/>
              </w:rPr>
            </w:pPr>
            <w:r>
              <w:rPr>
                <w:rFonts w:hint="eastAsia" w:asciiTheme="minorEastAsia" w:hAnsiTheme="minorEastAsia" w:eastAsiaTheme="minorEastAsia"/>
                <w:color w:val="auto"/>
                <w:lang w:eastAsia="zh-CN"/>
              </w:rPr>
              <w:t>附件连接方式：Namur连接，符合</w:t>
            </w:r>
            <w:r>
              <w:rPr>
                <w:rFonts w:asciiTheme="minorEastAsia" w:hAnsiTheme="minorEastAsia" w:eastAsiaTheme="minorEastAsia"/>
                <w:color w:val="auto"/>
                <w:lang w:eastAsia="zh-CN"/>
              </w:rPr>
              <w:t>VDI/VDE3845</w:t>
            </w:r>
          </w:p>
          <w:p>
            <w:pPr>
              <w:pStyle w:val="11"/>
              <w:spacing w:line="360" w:lineRule="auto"/>
              <w:ind w:left="0" w:firstLine="420" w:firstLineChars="200"/>
              <w:jc w:val="both"/>
              <w:rPr>
                <w:rFonts w:asciiTheme="minorEastAsia" w:hAnsiTheme="minorEastAsia" w:eastAsiaTheme="minorEastAsia"/>
                <w:color w:val="auto"/>
                <w:lang w:eastAsia="zh-CN"/>
              </w:rPr>
            </w:pPr>
            <w:r>
              <w:rPr>
                <w:rFonts w:asciiTheme="minorEastAsia" w:hAnsiTheme="minorEastAsia" w:eastAsiaTheme="minorEastAsia"/>
                <w:color w:val="auto"/>
                <w:lang w:eastAsia="zh-CN"/>
              </w:rPr>
              <w:t>g.气动蝶阀的位置开关：国际知名品牌，防震动性能要好，带两个机械式限位开关，内置于IP65防护等级的开关盒内，调整装置可在0-90度内调整位置信号，开关盒上有明显的开关位置指示，有一体化的接线口保证IP65防护等级。位置开关使用电压等级为230VAC。</w:t>
            </w:r>
          </w:p>
          <w:p>
            <w:pPr>
              <w:pStyle w:val="11"/>
              <w:spacing w:line="360" w:lineRule="auto"/>
              <w:ind w:left="0" w:firstLine="420" w:firstLineChars="200"/>
              <w:jc w:val="both"/>
              <w:rPr>
                <w:color w:val="auto"/>
                <w:lang w:eastAsia="zh-CN"/>
              </w:rPr>
            </w:pPr>
            <w:r>
              <w:rPr>
                <w:rFonts w:asciiTheme="minorEastAsia" w:hAnsiTheme="minorEastAsia" w:eastAsiaTheme="minorEastAsia"/>
                <w:color w:val="auto"/>
                <w:lang w:eastAsia="zh-CN"/>
              </w:rPr>
              <w:t>i.所有气动附件与气缸应组装成一体。所有阀门都应配有过滤调压装置</w:t>
            </w:r>
          </w:p>
        </w:tc>
      </w:tr>
    </w:tbl>
    <w:p>
      <w:pPr>
        <w:pStyle w:val="29"/>
        <w:ind w:firstLine="472"/>
        <w:rPr>
          <w:color w:val="auto"/>
        </w:rPr>
      </w:pPr>
    </w:p>
    <w:p>
      <w:pPr>
        <w:pStyle w:val="31"/>
        <w:rPr>
          <w:color w:val="auto"/>
        </w:rPr>
      </w:pPr>
      <w:r>
        <w:rPr>
          <w:rFonts w:hint="eastAsia"/>
          <w:color w:val="auto"/>
        </w:rPr>
        <w:t>立式搅拌机</w:t>
      </w:r>
    </w:p>
    <w:tbl>
      <w:tblPr>
        <w:tblStyle w:val="24"/>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914"/>
        <w:gridCol w:w="1913"/>
        <w:gridCol w:w="1417"/>
        <w:gridCol w:w="1148"/>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0"/>
              </w:rPr>
            </w:pPr>
            <w:r>
              <w:rPr>
                <w:rFonts w:hint="eastAsia"/>
                <w:color w:val="auto"/>
                <w:sz w:val="21"/>
                <w:szCs w:val="21"/>
              </w:rPr>
              <w:t>序号</w:t>
            </w:r>
          </w:p>
        </w:tc>
        <w:tc>
          <w:tcPr>
            <w:tcW w:w="1914" w:type="dxa"/>
            <w:vAlign w:val="center"/>
          </w:tcPr>
          <w:p>
            <w:pPr>
              <w:pStyle w:val="29"/>
              <w:ind w:firstLine="0" w:firstLineChars="0"/>
              <w:jc w:val="center"/>
              <w:rPr>
                <w:color w:val="auto"/>
                <w:sz w:val="21"/>
                <w:szCs w:val="20"/>
              </w:rPr>
            </w:pPr>
            <w:r>
              <w:rPr>
                <w:rFonts w:hint="eastAsia"/>
                <w:color w:val="auto"/>
                <w:sz w:val="21"/>
                <w:szCs w:val="21"/>
              </w:rPr>
              <w:t>名称</w:t>
            </w:r>
          </w:p>
        </w:tc>
        <w:tc>
          <w:tcPr>
            <w:tcW w:w="1913" w:type="dxa"/>
            <w:vAlign w:val="center"/>
          </w:tcPr>
          <w:p>
            <w:pPr>
              <w:pStyle w:val="29"/>
              <w:ind w:firstLine="0" w:firstLineChars="0"/>
              <w:jc w:val="center"/>
              <w:rPr>
                <w:color w:val="auto"/>
                <w:sz w:val="21"/>
                <w:szCs w:val="20"/>
              </w:rPr>
            </w:pPr>
            <w:r>
              <w:rPr>
                <w:rFonts w:hint="eastAsia"/>
                <w:color w:val="auto"/>
                <w:sz w:val="21"/>
                <w:szCs w:val="21"/>
              </w:rPr>
              <w:t>规格</w:t>
            </w:r>
          </w:p>
        </w:tc>
        <w:tc>
          <w:tcPr>
            <w:tcW w:w="1417" w:type="dxa"/>
            <w:vAlign w:val="center"/>
          </w:tcPr>
          <w:p>
            <w:pPr>
              <w:pStyle w:val="29"/>
              <w:ind w:firstLine="0" w:firstLineChars="0"/>
              <w:jc w:val="center"/>
              <w:rPr>
                <w:color w:val="auto"/>
                <w:sz w:val="21"/>
                <w:szCs w:val="20"/>
              </w:rPr>
            </w:pPr>
            <w:r>
              <w:rPr>
                <w:rFonts w:hint="eastAsia"/>
                <w:color w:val="auto"/>
                <w:sz w:val="21"/>
                <w:szCs w:val="21"/>
              </w:rPr>
              <w:t>单位</w:t>
            </w:r>
          </w:p>
        </w:tc>
        <w:tc>
          <w:tcPr>
            <w:tcW w:w="1148" w:type="dxa"/>
            <w:vAlign w:val="center"/>
          </w:tcPr>
          <w:p>
            <w:pPr>
              <w:pStyle w:val="29"/>
              <w:ind w:firstLine="0" w:firstLineChars="0"/>
              <w:jc w:val="center"/>
              <w:rPr>
                <w:color w:val="auto"/>
                <w:sz w:val="21"/>
                <w:szCs w:val="20"/>
              </w:rPr>
            </w:pPr>
            <w:r>
              <w:rPr>
                <w:rFonts w:hint="eastAsia"/>
                <w:color w:val="auto"/>
                <w:sz w:val="21"/>
                <w:szCs w:val="21"/>
              </w:rPr>
              <w:t>数量</w:t>
            </w:r>
          </w:p>
        </w:tc>
        <w:tc>
          <w:tcPr>
            <w:tcW w:w="1493" w:type="dxa"/>
            <w:vAlign w:val="center"/>
          </w:tcPr>
          <w:p>
            <w:pPr>
              <w:pStyle w:val="29"/>
              <w:ind w:firstLine="0" w:firstLineChars="0"/>
              <w:jc w:val="center"/>
              <w:rPr>
                <w:color w:val="auto"/>
                <w:sz w:val="21"/>
                <w:szCs w:val="20"/>
              </w:rPr>
            </w:pPr>
            <w:r>
              <w:rPr>
                <w:rFonts w:hint="eastAsia"/>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0"/>
              </w:rPr>
            </w:pPr>
            <w:r>
              <w:rPr>
                <w:rFonts w:hint="eastAsia"/>
                <w:color w:val="auto"/>
                <w:sz w:val="21"/>
                <w:szCs w:val="20"/>
              </w:rPr>
              <w:t>1</w:t>
            </w:r>
          </w:p>
        </w:tc>
        <w:tc>
          <w:tcPr>
            <w:tcW w:w="1914" w:type="dxa"/>
            <w:vAlign w:val="center"/>
          </w:tcPr>
          <w:p>
            <w:pPr>
              <w:pStyle w:val="29"/>
              <w:ind w:firstLine="0" w:firstLineChars="0"/>
              <w:jc w:val="center"/>
              <w:rPr>
                <w:color w:val="auto"/>
                <w:sz w:val="21"/>
                <w:szCs w:val="20"/>
              </w:rPr>
            </w:pPr>
            <w:r>
              <w:rPr>
                <w:rFonts w:hint="eastAsia"/>
                <w:color w:val="auto"/>
                <w:sz w:val="22"/>
              </w:rPr>
              <w:t>混合搅拌器</w:t>
            </w:r>
          </w:p>
        </w:tc>
        <w:tc>
          <w:tcPr>
            <w:tcW w:w="1913" w:type="dxa"/>
            <w:vAlign w:val="center"/>
          </w:tcPr>
          <w:p>
            <w:pPr>
              <w:pStyle w:val="29"/>
              <w:ind w:firstLine="0" w:firstLineChars="0"/>
              <w:jc w:val="center"/>
              <w:rPr>
                <w:color w:val="auto"/>
                <w:sz w:val="21"/>
                <w:szCs w:val="20"/>
              </w:rPr>
            </w:pPr>
            <w:r>
              <w:rPr>
                <w:rFonts w:hint="eastAsia"/>
                <w:color w:val="auto"/>
                <w:sz w:val="22"/>
              </w:rPr>
              <w:t>P=7.5Kw（暂定）</w:t>
            </w:r>
          </w:p>
        </w:tc>
        <w:tc>
          <w:tcPr>
            <w:tcW w:w="1417" w:type="dxa"/>
            <w:vAlign w:val="center"/>
          </w:tcPr>
          <w:p>
            <w:pPr>
              <w:pStyle w:val="29"/>
              <w:ind w:firstLine="0" w:firstLineChars="0"/>
              <w:jc w:val="center"/>
              <w:rPr>
                <w:color w:val="auto"/>
                <w:sz w:val="21"/>
                <w:szCs w:val="20"/>
              </w:rPr>
            </w:pPr>
            <w:r>
              <w:rPr>
                <w:rFonts w:hint="eastAsia"/>
                <w:color w:val="auto"/>
                <w:sz w:val="22"/>
              </w:rPr>
              <w:t>台</w:t>
            </w:r>
          </w:p>
        </w:tc>
        <w:tc>
          <w:tcPr>
            <w:tcW w:w="1148" w:type="dxa"/>
            <w:vAlign w:val="center"/>
          </w:tcPr>
          <w:p>
            <w:pPr>
              <w:pStyle w:val="29"/>
              <w:ind w:firstLine="0" w:firstLineChars="0"/>
              <w:jc w:val="center"/>
              <w:rPr>
                <w:color w:val="auto"/>
                <w:sz w:val="21"/>
                <w:szCs w:val="20"/>
              </w:rPr>
            </w:pPr>
            <w:r>
              <w:rPr>
                <w:rFonts w:hint="eastAsia"/>
                <w:color w:val="auto"/>
                <w:sz w:val="22"/>
              </w:rPr>
              <w:t>2</w:t>
            </w:r>
          </w:p>
        </w:tc>
        <w:tc>
          <w:tcPr>
            <w:tcW w:w="1493" w:type="dxa"/>
            <w:vAlign w:val="center"/>
          </w:tcPr>
          <w:p>
            <w:pPr>
              <w:pStyle w:val="29"/>
              <w:ind w:firstLine="0" w:firstLineChars="0"/>
              <w:jc w:val="center"/>
              <w:rPr>
                <w:color w:val="auto"/>
                <w:sz w:val="21"/>
                <w:szCs w:val="20"/>
              </w:rPr>
            </w:pPr>
            <w:r>
              <w:rPr>
                <w:rFonts w:hint="eastAsia"/>
                <w:color w:val="auto"/>
                <w:sz w:val="22"/>
              </w:rPr>
              <w:t>变频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0"/>
              </w:rPr>
            </w:pPr>
            <w:r>
              <w:rPr>
                <w:rFonts w:hint="eastAsia"/>
                <w:color w:val="auto"/>
                <w:sz w:val="21"/>
                <w:szCs w:val="20"/>
              </w:rPr>
              <w:t>供货范围</w:t>
            </w:r>
          </w:p>
        </w:tc>
        <w:tc>
          <w:tcPr>
            <w:tcW w:w="7885" w:type="dxa"/>
            <w:gridSpan w:val="5"/>
            <w:vAlign w:val="center"/>
          </w:tcPr>
          <w:p>
            <w:pPr>
              <w:pStyle w:val="29"/>
              <w:ind w:firstLine="412"/>
              <w:rPr>
                <w:color w:val="auto"/>
                <w:sz w:val="21"/>
                <w:szCs w:val="20"/>
              </w:rPr>
            </w:pPr>
            <w:r>
              <w:rPr>
                <w:rFonts w:hint="eastAsia"/>
                <w:color w:val="auto"/>
                <w:sz w:val="21"/>
                <w:szCs w:val="20"/>
              </w:rPr>
              <w:t>全套搅拌机设备包括：齿轮减速装置、配套电机、联轴器、搅拌轴、叶轮、第一次调试用减速箱润滑油；搅拌机桨叶与搅拌轴要具有足够的机械强度，选用SS316L不锈钢，驱动电机与齿轮箱采用立式安装在混凝土工作平台或槽钢支架上，方便维修。</w:t>
            </w:r>
          </w:p>
          <w:p>
            <w:pPr>
              <w:pStyle w:val="29"/>
              <w:ind w:firstLine="412"/>
              <w:rPr>
                <w:color w:val="auto"/>
                <w:sz w:val="21"/>
                <w:szCs w:val="20"/>
              </w:rPr>
            </w:pPr>
            <w:r>
              <w:rPr>
                <w:rFonts w:hint="eastAsia"/>
                <w:color w:val="auto"/>
                <w:sz w:val="21"/>
                <w:szCs w:val="20"/>
              </w:rPr>
              <w:t>随机备品备件和易损件、专用工具、安装调试指导、维修使用手册。</w:t>
            </w:r>
          </w:p>
          <w:p>
            <w:pPr>
              <w:pStyle w:val="29"/>
              <w:ind w:firstLine="412"/>
              <w:rPr>
                <w:color w:val="auto"/>
                <w:sz w:val="21"/>
                <w:szCs w:val="20"/>
              </w:rPr>
            </w:pPr>
            <w:r>
              <w:rPr>
                <w:rFonts w:hint="eastAsia"/>
                <w:color w:val="auto"/>
                <w:sz w:val="21"/>
                <w:szCs w:val="20"/>
              </w:rPr>
              <w:t>混合搅拌机应采用进口品牌。电机和减速装置应为一体机，以提高运行的协调性和稳定性，采用德国SEW同档次或以上品牌。同一型号的零部件、易损件应能互换。</w:t>
            </w:r>
          </w:p>
          <w:p>
            <w:pPr>
              <w:pStyle w:val="29"/>
              <w:ind w:firstLine="412"/>
              <w:rPr>
                <w:color w:val="auto"/>
                <w:sz w:val="21"/>
                <w:szCs w:val="20"/>
              </w:rPr>
            </w:pPr>
            <w:r>
              <w:rPr>
                <w:rFonts w:hint="eastAsia"/>
                <w:color w:val="auto"/>
                <w:sz w:val="21"/>
                <w:szCs w:val="20"/>
              </w:rPr>
              <w:t>搅拌器应由专业制造商生产并供货，该供货商不仅具有搅拌器的生产能力，还应具有搅拌器设计和研发的专业经验，须提供以上业绩相关的合同复印件或用户证明，具有ISO9001资质证书，应具有标准化的外观、运行、维修、备品备件，能够提供专业的指导安装和运行维护的服务。</w:t>
            </w:r>
          </w:p>
          <w:p>
            <w:pPr>
              <w:pStyle w:val="29"/>
              <w:ind w:firstLine="412"/>
              <w:rPr>
                <w:color w:val="auto"/>
                <w:sz w:val="21"/>
                <w:szCs w:val="20"/>
              </w:rPr>
            </w:pPr>
            <w:r>
              <w:rPr>
                <w:rFonts w:hint="eastAsia"/>
                <w:color w:val="auto"/>
                <w:sz w:val="21"/>
                <w:szCs w:val="20"/>
              </w:rPr>
              <w:t>搅拌机应是经符合工艺要求周密分析精心设计获得机械上的完整性、强度和可靠性之间的最佳组合。搅拌机的叶轮应采用高效轴流桨叶，叶轮的叶片数量为3片，产生轴向流动的推力，以动量形式传递给流体，使能量消耗在流体产生的涡流上，使药剂与原水得到充分的混合，桨叶的设计应该是专业的，有充分的理论依据和实践经验。材料要具有抗投加药剂的腐蚀性和足够的机械强度，选用SS316L不锈钢。采用立式安装电机，齿轮箱采用结构紧凑的平行轴齿轮传动，轴承设计寿命应不小于5万小时。</w:t>
            </w:r>
          </w:p>
          <w:p>
            <w:pPr>
              <w:pStyle w:val="29"/>
              <w:ind w:firstLine="412"/>
              <w:rPr>
                <w:color w:val="auto"/>
                <w:sz w:val="21"/>
                <w:szCs w:val="20"/>
              </w:rPr>
            </w:pPr>
            <w:r>
              <w:rPr>
                <w:rFonts w:hint="eastAsia"/>
                <w:color w:val="auto"/>
                <w:sz w:val="21"/>
                <w:szCs w:val="20"/>
              </w:rPr>
              <w:t>(1)搅拌机用于混凝剂与原水充分混合，利用桨叶的快速旋转和轴向提升作用使混凝剂或药剂迅速扩散于水中，其混合均匀度要达90％以上。</w:t>
            </w:r>
          </w:p>
          <w:p>
            <w:pPr>
              <w:pStyle w:val="29"/>
              <w:ind w:firstLine="412"/>
              <w:rPr>
                <w:color w:val="auto"/>
                <w:sz w:val="21"/>
                <w:szCs w:val="20"/>
              </w:rPr>
            </w:pPr>
            <w:r>
              <w:rPr>
                <w:rFonts w:hint="eastAsia"/>
                <w:color w:val="auto"/>
                <w:sz w:val="21"/>
                <w:szCs w:val="20"/>
              </w:rPr>
              <w:t>(2)停留时间内，搅拌机循环流量至少应将池内液体循环2次以上。</w:t>
            </w:r>
          </w:p>
          <w:p>
            <w:pPr>
              <w:pStyle w:val="29"/>
              <w:ind w:firstLine="412"/>
              <w:rPr>
                <w:color w:val="auto"/>
                <w:sz w:val="21"/>
                <w:szCs w:val="20"/>
              </w:rPr>
            </w:pPr>
            <w:r>
              <w:rPr>
                <w:rFonts w:hint="eastAsia"/>
                <w:color w:val="auto"/>
                <w:sz w:val="21"/>
                <w:szCs w:val="20"/>
              </w:rPr>
              <w:t>(3)搅拌器的电机及减速装置必须满足连续运行、间歇运行和长期停止状态后恢复运行的工况使用要求。</w:t>
            </w:r>
          </w:p>
          <w:p>
            <w:pPr>
              <w:pStyle w:val="29"/>
              <w:ind w:firstLine="412"/>
              <w:rPr>
                <w:color w:val="auto"/>
                <w:sz w:val="21"/>
                <w:szCs w:val="20"/>
              </w:rPr>
            </w:pPr>
            <w:r>
              <w:rPr>
                <w:rFonts w:hint="eastAsia"/>
                <w:color w:val="auto"/>
                <w:sz w:val="21"/>
                <w:szCs w:val="20"/>
              </w:rPr>
              <w:t>(4)投标人提供的设备材料应适用于水厂的腐蚀环境。</w:t>
            </w:r>
          </w:p>
          <w:p>
            <w:pPr>
              <w:pStyle w:val="29"/>
              <w:ind w:firstLine="412"/>
              <w:rPr>
                <w:color w:val="auto"/>
                <w:sz w:val="21"/>
                <w:szCs w:val="20"/>
              </w:rPr>
            </w:pPr>
            <w:r>
              <w:rPr>
                <w:rFonts w:hint="eastAsia"/>
                <w:color w:val="auto"/>
                <w:sz w:val="21"/>
                <w:szCs w:val="20"/>
              </w:rPr>
              <w:t>(5)投标方应根据混合池的池型及工况条件对搅拌器的叶轮直径、转速、循环流量等进行详细计算与复核，并提供循环流量、搅拌功率计算书，混合均匀度时间计算书、搅拌器水力模型图、搅拌器水里流速矢量模型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0"/>
              </w:rPr>
            </w:pPr>
            <w:r>
              <w:rPr>
                <w:rFonts w:hint="eastAsia"/>
                <w:color w:val="auto"/>
                <w:sz w:val="21"/>
                <w:szCs w:val="20"/>
              </w:rPr>
              <w:t>技术参数</w:t>
            </w:r>
          </w:p>
        </w:tc>
        <w:tc>
          <w:tcPr>
            <w:tcW w:w="7885" w:type="dxa"/>
            <w:gridSpan w:val="5"/>
            <w:vAlign w:val="center"/>
          </w:tcPr>
          <w:p>
            <w:pPr>
              <w:pStyle w:val="29"/>
              <w:ind w:firstLine="412"/>
              <w:rPr>
                <w:color w:val="auto"/>
                <w:sz w:val="21"/>
                <w:szCs w:val="20"/>
              </w:rPr>
            </w:pPr>
            <w:r>
              <w:rPr>
                <w:rFonts w:hint="eastAsia"/>
                <w:color w:val="auto"/>
                <w:sz w:val="21"/>
                <w:szCs w:val="20"/>
              </w:rPr>
              <w:t>a.搅拌机型式</w:t>
            </w:r>
          </w:p>
          <w:p>
            <w:pPr>
              <w:pStyle w:val="29"/>
              <w:ind w:firstLine="412"/>
              <w:rPr>
                <w:color w:val="auto"/>
                <w:sz w:val="21"/>
                <w:szCs w:val="20"/>
              </w:rPr>
            </w:pPr>
            <w:r>
              <w:rPr>
                <w:rFonts w:hint="eastAsia"/>
                <w:color w:val="auto"/>
                <w:sz w:val="21"/>
                <w:szCs w:val="20"/>
              </w:rPr>
              <w:t>混合搅拌机为立式机械搅拌机，电动机应为立式安装，减速装置为齿轮减速，减速机形式为平行轴传动齿轮箱，桨叶为高效轴流型折叠螺旋桨式叶片。</w:t>
            </w:r>
          </w:p>
          <w:p>
            <w:pPr>
              <w:pStyle w:val="29"/>
              <w:ind w:firstLine="412"/>
              <w:rPr>
                <w:color w:val="auto"/>
                <w:sz w:val="21"/>
                <w:szCs w:val="20"/>
              </w:rPr>
            </w:pPr>
            <w:r>
              <w:rPr>
                <w:rFonts w:hint="eastAsia"/>
                <w:color w:val="auto"/>
                <w:sz w:val="21"/>
                <w:szCs w:val="20"/>
              </w:rPr>
              <w:t>b.齿轮箱</w:t>
            </w:r>
          </w:p>
          <w:p>
            <w:pPr>
              <w:pStyle w:val="29"/>
              <w:ind w:firstLine="412"/>
              <w:rPr>
                <w:color w:val="auto"/>
                <w:sz w:val="21"/>
                <w:szCs w:val="20"/>
              </w:rPr>
            </w:pPr>
            <w:r>
              <w:rPr>
                <w:rFonts w:hint="eastAsia"/>
                <w:color w:val="auto"/>
                <w:sz w:val="21"/>
                <w:szCs w:val="20"/>
              </w:rPr>
              <w:t>搅拌机所采用重型齿轮减速装置，应是制造商专门为流体搅拌而设计的专业齿轮箱，齿轮减速装置的效率应在95%以上。齿轮减速装置的设计完全按照相关标准进行。</w:t>
            </w:r>
          </w:p>
          <w:p>
            <w:pPr>
              <w:pStyle w:val="29"/>
              <w:ind w:firstLine="412"/>
              <w:rPr>
                <w:color w:val="auto"/>
                <w:sz w:val="21"/>
                <w:szCs w:val="20"/>
              </w:rPr>
            </w:pPr>
            <w:r>
              <w:rPr>
                <w:rFonts w:hint="eastAsia"/>
                <w:color w:val="auto"/>
                <w:sz w:val="21"/>
                <w:szCs w:val="20"/>
              </w:rPr>
              <w:t>减速装置应是与电机采用同一品牌，应采用德国SEW同档次或以上品牌；减速装置应采用平行轴传动设计，结构应紧凑，适合安装便利，与电机采用标准立式法兰连接。</w:t>
            </w:r>
          </w:p>
          <w:p>
            <w:pPr>
              <w:pStyle w:val="29"/>
              <w:ind w:firstLine="412"/>
              <w:rPr>
                <w:color w:val="auto"/>
                <w:sz w:val="21"/>
                <w:szCs w:val="20"/>
              </w:rPr>
            </w:pPr>
            <w:r>
              <w:rPr>
                <w:rFonts w:hint="eastAsia"/>
                <w:color w:val="auto"/>
                <w:sz w:val="21"/>
                <w:szCs w:val="20"/>
              </w:rPr>
              <w:t>减速装置应采用斜齿轮或螺旋伞齿轮设计，须采用两级或两级以上减速。为了齿轮的啮合适当及延长寿命，所有齿轮经齿面硬化、精密滚铣，然后经剃齿处理，以达到精确的公差配合。</w:t>
            </w:r>
          </w:p>
          <w:p>
            <w:pPr>
              <w:pStyle w:val="29"/>
              <w:ind w:firstLine="412"/>
              <w:rPr>
                <w:color w:val="auto"/>
                <w:sz w:val="21"/>
                <w:szCs w:val="20"/>
              </w:rPr>
            </w:pPr>
            <w:r>
              <w:rPr>
                <w:rFonts w:hint="eastAsia"/>
                <w:color w:val="auto"/>
                <w:sz w:val="21"/>
                <w:szCs w:val="20"/>
              </w:rPr>
              <w:t>齿轮箱箱体采用铸铁件。</w:t>
            </w:r>
          </w:p>
          <w:p>
            <w:pPr>
              <w:pStyle w:val="29"/>
              <w:ind w:firstLine="412"/>
              <w:rPr>
                <w:color w:val="auto"/>
                <w:sz w:val="21"/>
                <w:szCs w:val="20"/>
              </w:rPr>
            </w:pPr>
            <w:r>
              <w:rPr>
                <w:rFonts w:hint="eastAsia"/>
                <w:color w:val="auto"/>
                <w:sz w:val="21"/>
                <w:szCs w:val="20"/>
              </w:rPr>
              <w:t>混合搅拌机运行应平稳，无异常噪音，其噪音声级符合欧盟相关标准，在距设备1m处测量时小于85db(a)。</w:t>
            </w:r>
          </w:p>
          <w:p>
            <w:pPr>
              <w:pStyle w:val="29"/>
              <w:ind w:firstLine="412"/>
              <w:rPr>
                <w:color w:val="auto"/>
                <w:sz w:val="21"/>
                <w:szCs w:val="20"/>
              </w:rPr>
            </w:pPr>
            <w:r>
              <w:rPr>
                <w:rFonts w:hint="eastAsia"/>
                <w:color w:val="auto"/>
                <w:sz w:val="21"/>
                <w:szCs w:val="20"/>
              </w:rPr>
              <w:t>c.电机</w:t>
            </w:r>
          </w:p>
          <w:p>
            <w:pPr>
              <w:pStyle w:val="29"/>
              <w:ind w:firstLine="412"/>
              <w:rPr>
                <w:color w:val="auto"/>
                <w:sz w:val="21"/>
                <w:szCs w:val="20"/>
              </w:rPr>
            </w:pPr>
            <w:r>
              <w:rPr>
                <w:rFonts w:hint="eastAsia"/>
                <w:color w:val="auto"/>
                <w:sz w:val="21"/>
                <w:szCs w:val="20"/>
              </w:rPr>
              <w:t>电机应适合电源380v、50hz、三相、电机防护等级IP55，绝缘等级F级，温升等级B级。</w:t>
            </w:r>
          </w:p>
          <w:p>
            <w:pPr>
              <w:pStyle w:val="29"/>
              <w:ind w:firstLine="412"/>
              <w:rPr>
                <w:color w:val="auto"/>
                <w:sz w:val="21"/>
                <w:szCs w:val="20"/>
              </w:rPr>
            </w:pPr>
            <w:r>
              <w:rPr>
                <w:rFonts w:hint="eastAsia"/>
                <w:color w:val="auto"/>
                <w:sz w:val="21"/>
                <w:szCs w:val="20"/>
              </w:rPr>
              <w:t>d.搅拌轴</w:t>
            </w:r>
          </w:p>
          <w:p>
            <w:pPr>
              <w:pStyle w:val="29"/>
              <w:ind w:firstLine="412"/>
              <w:rPr>
                <w:color w:val="auto"/>
                <w:sz w:val="21"/>
                <w:szCs w:val="20"/>
              </w:rPr>
            </w:pPr>
            <w:r>
              <w:rPr>
                <w:rFonts w:hint="eastAsia"/>
                <w:color w:val="auto"/>
                <w:sz w:val="21"/>
                <w:szCs w:val="20"/>
              </w:rPr>
              <w:t>搅拌轴直径应采用合适的断面尺寸，以满足搅拌时强度与刚度要求，轴的拉伸应力计算值应低于其材料拉伸屈服应力值至少3倍，而剪应力计算值应低于材料剪切屈服应力值至少3.5倍。</w:t>
            </w:r>
          </w:p>
          <w:p>
            <w:pPr>
              <w:pStyle w:val="29"/>
              <w:ind w:firstLine="412"/>
              <w:rPr>
                <w:color w:val="auto"/>
                <w:sz w:val="21"/>
                <w:szCs w:val="20"/>
              </w:rPr>
            </w:pPr>
            <w:r>
              <w:rPr>
                <w:rFonts w:hint="eastAsia"/>
                <w:color w:val="auto"/>
                <w:sz w:val="21"/>
                <w:szCs w:val="20"/>
              </w:rPr>
              <w:t>搅拌轴为空心轴或实心轴设计，应采用SS316L不锈钢，不允许使用玻璃钢或复合材料；轴加工时要进行矫直、磨光和表面处理。</w:t>
            </w:r>
          </w:p>
          <w:p>
            <w:pPr>
              <w:pStyle w:val="29"/>
              <w:ind w:firstLine="412"/>
              <w:rPr>
                <w:color w:val="auto"/>
                <w:sz w:val="21"/>
                <w:szCs w:val="20"/>
              </w:rPr>
            </w:pPr>
            <w:r>
              <w:rPr>
                <w:rFonts w:hint="eastAsia"/>
                <w:color w:val="auto"/>
                <w:sz w:val="21"/>
                <w:szCs w:val="20"/>
              </w:rPr>
              <w:t>e.叶轮</w:t>
            </w:r>
          </w:p>
          <w:p>
            <w:pPr>
              <w:pStyle w:val="29"/>
              <w:ind w:firstLine="412"/>
              <w:rPr>
                <w:color w:val="auto"/>
                <w:sz w:val="21"/>
                <w:szCs w:val="20"/>
              </w:rPr>
            </w:pPr>
            <w:r>
              <w:rPr>
                <w:rFonts w:hint="eastAsia"/>
                <w:color w:val="auto"/>
                <w:sz w:val="21"/>
                <w:szCs w:val="20"/>
              </w:rPr>
              <w:t>叶轮应有浇铸轮毂及叶片组成，材质为SS316L不锈钢，轮壳与叶片的连接应考虑到拆卸方便和防腐效果，并具有下述特性：</w:t>
            </w:r>
          </w:p>
          <w:p>
            <w:pPr>
              <w:pStyle w:val="29"/>
              <w:ind w:firstLine="412"/>
              <w:rPr>
                <w:color w:val="auto"/>
                <w:sz w:val="21"/>
                <w:szCs w:val="20"/>
              </w:rPr>
            </w:pPr>
            <w:r>
              <w:rPr>
                <w:rFonts w:hint="eastAsia"/>
                <w:color w:val="auto"/>
                <w:sz w:val="21"/>
                <w:szCs w:val="20"/>
              </w:rPr>
              <w:t>叶轮应是高效的轴流型折叠螺旋式叶轮。叶轮逆时针或顺时针旋转。</w:t>
            </w:r>
          </w:p>
          <w:p>
            <w:pPr>
              <w:pStyle w:val="29"/>
              <w:ind w:firstLine="412"/>
              <w:rPr>
                <w:color w:val="auto"/>
                <w:sz w:val="21"/>
                <w:szCs w:val="20"/>
              </w:rPr>
            </w:pPr>
            <w:r>
              <w:rPr>
                <w:rFonts w:hint="eastAsia"/>
                <w:color w:val="auto"/>
                <w:sz w:val="21"/>
                <w:szCs w:val="20"/>
              </w:rPr>
              <w:t>叶片用螺栓（双螺母防松脱）连接至中央轮毂，轮毂通过键槽、铆钉与轴连接或叶片焊接在轴瓦上，三片剖分式轴瓦通过螺栓固定在轴上。</w:t>
            </w:r>
          </w:p>
          <w:p>
            <w:pPr>
              <w:pStyle w:val="29"/>
              <w:ind w:firstLine="412"/>
              <w:rPr>
                <w:color w:val="auto"/>
                <w:sz w:val="21"/>
                <w:szCs w:val="20"/>
              </w:rPr>
            </w:pPr>
            <w:r>
              <w:rPr>
                <w:rFonts w:hint="eastAsia"/>
                <w:color w:val="auto"/>
                <w:sz w:val="21"/>
                <w:szCs w:val="20"/>
              </w:rPr>
              <w:t>高效的轴流型折叠螺旋式桨叶叶片具有足够的强度和刚度，转动时不得产生变形。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pStyle w:val="29"/>
              <w:ind w:firstLine="0" w:firstLineChars="0"/>
              <w:jc w:val="center"/>
              <w:rPr>
                <w:color w:val="auto"/>
                <w:sz w:val="21"/>
                <w:szCs w:val="20"/>
              </w:rPr>
            </w:pPr>
            <w:r>
              <w:rPr>
                <w:rFonts w:hint="eastAsia"/>
                <w:color w:val="auto"/>
                <w:sz w:val="21"/>
                <w:szCs w:val="20"/>
              </w:rPr>
              <w:t>主要材料</w:t>
            </w:r>
          </w:p>
        </w:tc>
        <w:tc>
          <w:tcPr>
            <w:tcW w:w="7885" w:type="dxa"/>
            <w:gridSpan w:val="5"/>
            <w:vAlign w:val="center"/>
          </w:tcPr>
          <w:p>
            <w:pPr>
              <w:pStyle w:val="29"/>
              <w:ind w:firstLine="412"/>
              <w:rPr>
                <w:color w:val="auto"/>
                <w:sz w:val="21"/>
                <w:szCs w:val="20"/>
              </w:rPr>
            </w:pPr>
            <w:r>
              <w:rPr>
                <w:rFonts w:hint="eastAsia"/>
                <w:color w:val="auto"/>
                <w:sz w:val="21"/>
                <w:szCs w:val="20"/>
              </w:rPr>
              <w:t>叶轮AISI316L</w:t>
            </w:r>
          </w:p>
          <w:p>
            <w:pPr>
              <w:pStyle w:val="29"/>
              <w:ind w:firstLine="412"/>
              <w:rPr>
                <w:color w:val="auto"/>
                <w:sz w:val="21"/>
                <w:szCs w:val="20"/>
              </w:rPr>
            </w:pPr>
            <w:r>
              <w:rPr>
                <w:rFonts w:hint="eastAsia"/>
                <w:color w:val="auto"/>
                <w:sz w:val="21"/>
                <w:szCs w:val="20"/>
              </w:rPr>
              <w:t>搅拌轴AISI316L</w:t>
            </w:r>
          </w:p>
          <w:p>
            <w:pPr>
              <w:pStyle w:val="29"/>
              <w:ind w:firstLine="412"/>
              <w:rPr>
                <w:color w:val="auto"/>
                <w:sz w:val="21"/>
                <w:szCs w:val="20"/>
              </w:rPr>
            </w:pPr>
            <w:r>
              <w:rPr>
                <w:rFonts w:hint="eastAsia"/>
                <w:color w:val="auto"/>
                <w:sz w:val="21"/>
                <w:szCs w:val="20"/>
              </w:rPr>
              <w:t>减速箱体GG25铸铁</w:t>
            </w:r>
          </w:p>
          <w:p>
            <w:pPr>
              <w:pStyle w:val="29"/>
              <w:ind w:firstLine="412"/>
              <w:rPr>
                <w:color w:val="auto"/>
                <w:sz w:val="21"/>
                <w:szCs w:val="20"/>
              </w:rPr>
            </w:pPr>
            <w:r>
              <w:rPr>
                <w:rFonts w:hint="eastAsia"/>
                <w:color w:val="auto"/>
                <w:sz w:val="21"/>
                <w:szCs w:val="20"/>
              </w:rPr>
              <w:t>螺栓、螺母、垫圈AISI316</w:t>
            </w:r>
          </w:p>
        </w:tc>
      </w:tr>
    </w:tbl>
    <w:p>
      <w:pPr>
        <w:pStyle w:val="29"/>
        <w:ind w:firstLine="472"/>
        <w:rPr>
          <w:color w:val="auto"/>
        </w:rPr>
      </w:pPr>
    </w:p>
    <w:p>
      <w:pPr>
        <w:pStyle w:val="31"/>
        <w:rPr>
          <w:color w:val="auto"/>
        </w:rPr>
      </w:pPr>
      <w:r>
        <w:rPr>
          <w:rFonts w:hint="eastAsia"/>
          <w:color w:val="auto"/>
        </w:rPr>
        <w:t>仪表与PLC控制系统</w:t>
      </w:r>
    </w:p>
    <w:tbl>
      <w:tblPr>
        <w:tblStyle w:val="24"/>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7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3" w:type="dxa"/>
            <w:vAlign w:val="center"/>
          </w:tcPr>
          <w:p>
            <w:pPr>
              <w:pStyle w:val="29"/>
              <w:ind w:firstLine="0" w:firstLineChars="0"/>
              <w:rPr>
                <w:color w:val="auto"/>
                <w:sz w:val="21"/>
                <w:szCs w:val="21"/>
              </w:rPr>
            </w:pPr>
            <w:r>
              <w:rPr>
                <w:rFonts w:hint="eastAsia"/>
                <w:color w:val="auto"/>
                <w:sz w:val="21"/>
                <w:szCs w:val="21"/>
              </w:rPr>
              <w:t>供货范围</w:t>
            </w:r>
          </w:p>
        </w:tc>
        <w:tc>
          <w:tcPr>
            <w:tcW w:w="7463" w:type="dxa"/>
            <w:vAlign w:val="center"/>
          </w:tcPr>
          <w:p>
            <w:pPr>
              <w:pStyle w:val="29"/>
              <w:ind w:firstLine="412"/>
              <w:rPr>
                <w:color w:val="auto"/>
                <w:sz w:val="21"/>
                <w:szCs w:val="20"/>
              </w:rPr>
            </w:pPr>
            <w:r>
              <w:rPr>
                <w:rFonts w:hint="eastAsia"/>
                <w:color w:val="auto"/>
                <w:sz w:val="21"/>
                <w:szCs w:val="20"/>
              </w:rPr>
              <w:t>深床滤池主控柜应由深床滤池制造商成套提供，并由制造商提供针对本工程的成套控制程序。</w:t>
            </w:r>
          </w:p>
          <w:p>
            <w:pPr>
              <w:pStyle w:val="29"/>
              <w:ind w:firstLine="412"/>
              <w:rPr>
                <w:color w:val="auto"/>
                <w:sz w:val="21"/>
                <w:szCs w:val="21"/>
              </w:rPr>
            </w:pPr>
            <w:r>
              <w:rPr>
                <w:rFonts w:hint="eastAsia"/>
                <w:color w:val="auto"/>
                <w:sz w:val="21"/>
                <w:szCs w:val="20"/>
              </w:rPr>
              <w:t>滤池配套</w:t>
            </w:r>
            <w:r>
              <w:rPr>
                <w:color w:val="auto"/>
                <w:sz w:val="21"/>
                <w:szCs w:val="20"/>
              </w:rPr>
              <w:t>仪表数量及参数由深床滤池核心工艺提供商提出</w:t>
            </w:r>
            <w:r>
              <w:rPr>
                <w:rFonts w:hint="eastAsia"/>
                <w:color w:val="auto"/>
                <w:sz w:val="21"/>
                <w:szCs w:val="20"/>
              </w:rPr>
              <w:t>和</w:t>
            </w:r>
            <w:r>
              <w:rPr>
                <w:color w:val="auto"/>
                <w:sz w:val="21"/>
                <w:szCs w:val="20"/>
              </w:rPr>
              <w:t>核实，以满足滤池</w:t>
            </w:r>
            <w:r>
              <w:rPr>
                <w:rFonts w:hint="eastAsia"/>
                <w:color w:val="auto"/>
                <w:sz w:val="21"/>
                <w:szCs w:val="20"/>
              </w:rPr>
              <w:t>自动化</w:t>
            </w:r>
            <w:r>
              <w:rPr>
                <w:color w:val="auto"/>
                <w:sz w:val="21"/>
                <w:szCs w:val="20"/>
              </w:rPr>
              <w:t>控制、碳源</w:t>
            </w:r>
            <w:r>
              <w:rPr>
                <w:rFonts w:hint="eastAsia"/>
                <w:color w:val="auto"/>
                <w:sz w:val="21"/>
                <w:szCs w:val="20"/>
              </w:rPr>
              <w:t>投加</w:t>
            </w:r>
            <w:r>
              <w:rPr>
                <w:color w:val="auto"/>
                <w:sz w:val="21"/>
                <w:szCs w:val="20"/>
              </w:rPr>
              <w:t>精确控制的目的</w:t>
            </w:r>
            <w:r>
              <w:rPr>
                <w:rFonts w:hint="eastAsia"/>
                <w:color w:val="auto"/>
                <w:sz w:val="21"/>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3" w:type="dxa"/>
            <w:vAlign w:val="center"/>
          </w:tcPr>
          <w:p>
            <w:pPr>
              <w:pStyle w:val="29"/>
              <w:ind w:firstLine="0" w:firstLineChars="0"/>
              <w:rPr>
                <w:color w:val="auto"/>
                <w:sz w:val="21"/>
                <w:szCs w:val="21"/>
              </w:rPr>
            </w:pPr>
            <w:r>
              <w:rPr>
                <w:rFonts w:hint="eastAsia"/>
                <w:color w:val="auto"/>
                <w:sz w:val="21"/>
                <w:szCs w:val="21"/>
              </w:rPr>
              <w:t>技术参数</w:t>
            </w:r>
          </w:p>
        </w:tc>
        <w:tc>
          <w:tcPr>
            <w:tcW w:w="7463" w:type="dxa"/>
            <w:vAlign w:val="center"/>
          </w:tcPr>
          <w:p>
            <w:pPr>
              <w:pStyle w:val="29"/>
              <w:ind w:firstLine="412"/>
              <w:rPr>
                <w:color w:val="auto"/>
                <w:sz w:val="21"/>
                <w:szCs w:val="21"/>
              </w:rPr>
            </w:pPr>
            <w:r>
              <w:rPr>
                <w:rFonts w:hint="eastAsia"/>
                <w:color w:val="auto"/>
                <w:sz w:val="21"/>
                <w:szCs w:val="21"/>
              </w:rPr>
              <w:t>a.滤池系统现场仪表选型原则与主装置保持一致，滤池系统成套PLC与主PLC品牌保持一致。</w:t>
            </w:r>
          </w:p>
          <w:p>
            <w:pPr>
              <w:pStyle w:val="29"/>
              <w:ind w:firstLine="412"/>
              <w:rPr>
                <w:color w:val="auto"/>
                <w:sz w:val="21"/>
                <w:szCs w:val="21"/>
              </w:rPr>
            </w:pPr>
            <w:r>
              <w:rPr>
                <w:rFonts w:hint="eastAsia"/>
                <w:color w:val="auto"/>
                <w:sz w:val="21"/>
                <w:szCs w:val="21"/>
              </w:rPr>
              <w:t>b.碳源投加系统应配置专用的现场控制柜，接收来自滤池主控柜的碳源投加量信号，以实现对计量泵的实时控制，达到碳源精确投加的目的，防止碳源投加过量影响出水COD/BOD的稳定达标。</w:t>
            </w:r>
          </w:p>
          <w:p>
            <w:pPr>
              <w:pStyle w:val="29"/>
              <w:ind w:firstLine="412"/>
              <w:rPr>
                <w:color w:val="auto"/>
                <w:sz w:val="21"/>
                <w:szCs w:val="21"/>
              </w:rPr>
            </w:pPr>
            <w:r>
              <w:rPr>
                <w:rFonts w:hint="eastAsia"/>
                <w:color w:val="auto"/>
                <w:sz w:val="21"/>
                <w:szCs w:val="21"/>
              </w:rPr>
              <w:t>c.滤池成套PLC系统须与全场主PLC系统品牌保持一致。</w:t>
            </w:r>
          </w:p>
          <w:p>
            <w:pPr>
              <w:pStyle w:val="29"/>
              <w:ind w:firstLine="412"/>
              <w:rPr>
                <w:color w:val="auto"/>
                <w:sz w:val="21"/>
                <w:szCs w:val="21"/>
              </w:rPr>
            </w:pPr>
            <w:r>
              <w:rPr>
                <w:rFonts w:hint="eastAsia"/>
                <w:color w:val="auto"/>
                <w:sz w:val="21"/>
                <w:szCs w:val="21"/>
              </w:rPr>
              <w:t>d.管道口径小于等于DN300测量污水和污泥流量的检测仪表，选用带HART通讯协议的进口智能电磁流量计(4电极)。</w:t>
            </w:r>
          </w:p>
          <w:p>
            <w:pPr>
              <w:pStyle w:val="29"/>
              <w:ind w:firstLine="412"/>
              <w:rPr>
                <w:color w:val="auto"/>
                <w:sz w:val="21"/>
                <w:szCs w:val="21"/>
              </w:rPr>
            </w:pPr>
            <w:r>
              <w:rPr>
                <w:rFonts w:hint="eastAsia"/>
                <w:color w:val="auto"/>
                <w:sz w:val="21"/>
                <w:szCs w:val="21"/>
              </w:rPr>
              <w:t>管道口径大于DN300测量污水和污泥流量的检测仪表采用带HART通讯协议的进口智能型时差法单通道超声波流量计。</w:t>
            </w:r>
          </w:p>
          <w:p>
            <w:pPr>
              <w:pStyle w:val="29"/>
              <w:ind w:firstLine="412"/>
              <w:rPr>
                <w:color w:val="auto"/>
                <w:sz w:val="21"/>
                <w:szCs w:val="21"/>
              </w:rPr>
            </w:pPr>
            <w:r>
              <w:rPr>
                <w:rFonts w:hint="eastAsia"/>
                <w:color w:val="auto"/>
                <w:sz w:val="21"/>
                <w:szCs w:val="21"/>
              </w:rPr>
              <w:t>e.水池液位连续测量采用带HART通讯协议的分体式进口智能超声波液位计(220VAC/50Hz供电)来实现。</w:t>
            </w:r>
          </w:p>
          <w:p>
            <w:pPr>
              <w:pStyle w:val="29"/>
              <w:ind w:firstLine="0" w:firstLineChars="0"/>
              <w:rPr>
                <w:color w:val="auto"/>
                <w:sz w:val="21"/>
                <w:szCs w:val="21"/>
              </w:rPr>
            </w:pPr>
            <w:r>
              <w:rPr>
                <w:rFonts w:hint="eastAsia"/>
                <w:color w:val="auto"/>
                <w:sz w:val="21"/>
                <w:szCs w:val="21"/>
              </w:rPr>
              <w:t>水池液位开关采用进口电极式液位开关来实现</w:t>
            </w:r>
          </w:p>
        </w:tc>
      </w:tr>
    </w:tbl>
    <w:p>
      <w:pPr>
        <w:pStyle w:val="29"/>
        <w:ind w:firstLine="472"/>
        <w:rPr>
          <w:color w:val="auto"/>
        </w:rPr>
      </w:pPr>
    </w:p>
    <w:p>
      <w:pPr>
        <w:pStyle w:val="31"/>
        <w:rPr>
          <w:color w:val="auto"/>
        </w:rPr>
      </w:pPr>
      <w:r>
        <w:rPr>
          <w:rFonts w:hint="eastAsia"/>
          <w:color w:val="auto"/>
        </w:rPr>
        <w:t>除滤池底部的配气系统外的所有管道系统</w:t>
      </w:r>
    </w:p>
    <w:tbl>
      <w:tblPr>
        <w:tblStyle w:val="24"/>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7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3" w:type="dxa"/>
            <w:vAlign w:val="center"/>
          </w:tcPr>
          <w:p>
            <w:pPr>
              <w:pStyle w:val="29"/>
              <w:ind w:firstLine="0" w:firstLineChars="0"/>
              <w:rPr>
                <w:color w:val="auto"/>
                <w:sz w:val="21"/>
                <w:szCs w:val="21"/>
              </w:rPr>
            </w:pPr>
            <w:r>
              <w:rPr>
                <w:rFonts w:hint="eastAsia"/>
                <w:color w:val="auto"/>
                <w:sz w:val="21"/>
                <w:szCs w:val="21"/>
              </w:rPr>
              <w:t>技术要求</w:t>
            </w:r>
          </w:p>
        </w:tc>
        <w:tc>
          <w:tcPr>
            <w:tcW w:w="7463" w:type="dxa"/>
            <w:vAlign w:val="center"/>
          </w:tcPr>
          <w:p>
            <w:pPr>
              <w:pStyle w:val="29"/>
              <w:ind w:firstLine="412"/>
              <w:rPr>
                <w:color w:val="auto"/>
                <w:sz w:val="21"/>
                <w:szCs w:val="20"/>
              </w:rPr>
            </w:pPr>
            <w:r>
              <w:rPr>
                <w:rFonts w:hint="eastAsia"/>
                <w:color w:val="auto"/>
                <w:sz w:val="21"/>
                <w:szCs w:val="20"/>
              </w:rPr>
              <w:t>a.按照滤池的布置方式及管道液体流速，确定</w:t>
            </w:r>
            <w:r>
              <w:rPr>
                <w:color w:val="auto"/>
                <w:sz w:val="21"/>
                <w:szCs w:val="20"/>
              </w:rPr>
              <w:t>空气管</w:t>
            </w:r>
            <w:r>
              <w:rPr>
                <w:rFonts w:hint="eastAsia"/>
                <w:color w:val="auto"/>
                <w:sz w:val="21"/>
                <w:szCs w:val="20"/>
              </w:rPr>
              <w:t>管径、管件形式和数量，以组成完整的除滤池底部配气系统外的所有管道系统。</w:t>
            </w:r>
          </w:p>
          <w:p>
            <w:pPr>
              <w:pStyle w:val="29"/>
              <w:ind w:firstLine="412"/>
              <w:rPr>
                <w:color w:val="auto"/>
                <w:sz w:val="21"/>
                <w:szCs w:val="20"/>
              </w:rPr>
            </w:pPr>
            <w:r>
              <w:rPr>
                <w:rFonts w:hint="eastAsia"/>
                <w:color w:val="auto"/>
                <w:sz w:val="21"/>
                <w:szCs w:val="20"/>
              </w:rPr>
              <w:t>b.除滤池底部的配气系统外所有的管道的截面均为圆形。</w:t>
            </w:r>
          </w:p>
          <w:p>
            <w:pPr>
              <w:pStyle w:val="29"/>
              <w:ind w:firstLine="412"/>
              <w:rPr>
                <w:color w:val="auto"/>
                <w:sz w:val="21"/>
                <w:szCs w:val="20"/>
              </w:rPr>
            </w:pPr>
            <w:r>
              <w:rPr>
                <w:rFonts w:hint="eastAsia"/>
                <w:color w:val="auto"/>
                <w:sz w:val="21"/>
                <w:szCs w:val="20"/>
              </w:rPr>
              <w:t>c.水泵出水管及总管中液体流速为1.0m/s～1.5m/s，其它管道中液体流速应小于0.8m/s。</w:t>
            </w:r>
          </w:p>
          <w:p>
            <w:pPr>
              <w:pStyle w:val="29"/>
              <w:ind w:firstLine="412"/>
              <w:rPr>
                <w:color w:val="auto"/>
                <w:sz w:val="21"/>
                <w:szCs w:val="20"/>
              </w:rPr>
            </w:pPr>
            <w:r>
              <w:rPr>
                <w:color w:val="auto"/>
                <w:sz w:val="21"/>
                <w:szCs w:val="20"/>
              </w:rPr>
              <w:t>d</w:t>
            </w:r>
            <w:r>
              <w:rPr>
                <w:rFonts w:hint="eastAsia"/>
                <w:color w:val="auto"/>
                <w:sz w:val="21"/>
                <w:szCs w:val="20"/>
              </w:rPr>
              <w:t>.管道最小壁厚：DN200～DN300为6.0mm，DN400～DN500为8.0mm，DN600～DN900为10.0mm，DN1000～DN1600为12.0mm。</w:t>
            </w:r>
          </w:p>
          <w:p>
            <w:pPr>
              <w:pStyle w:val="29"/>
              <w:ind w:firstLine="412"/>
              <w:rPr>
                <w:color w:val="auto"/>
                <w:sz w:val="21"/>
                <w:szCs w:val="20"/>
              </w:rPr>
            </w:pPr>
            <w:r>
              <w:rPr>
                <w:rFonts w:hint="eastAsia"/>
                <w:color w:val="auto"/>
                <w:sz w:val="21"/>
                <w:szCs w:val="20"/>
              </w:rPr>
              <w:t>e</w:t>
            </w:r>
            <w:r>
              <w:rPr>
                <w:color w:val="auto"/>
                <w:sz w:val="21"/>
                <w:szCs w:val="20"/>
              </w:rPr>
              <w:t>.</w:t>
            </w:r>
            <w:r>
              <w:rPr>
                <w:rFonts w:hint="eastAsia"/>
                <w:color w:val="auto"/>
                <w:sz w:val="21"/>
                <w:szCs w:val="20"/>
              </w:rPr>
              <w:t>反冲洗</w:t>
            </w:r>
            <w:r>
              <w:rPr>
                <w:color w:val="auto"/>
                <w:sz w:val="21"/>
                <w:szCs w:val="20"/>
              </w:rPr>
              <w:t>配气管道宜采用不锈钢</w:t>
            </w:r>
            <w:r>
              <w:rPr>
                <w:rFonts w:hint="eastAsia"/>
                <w:color w:val="auto"/>
                <w:sz w:val="21"/>
                <w:szCs w:val="20"/>
              </w:rPr>
              <w:t>SS304</w:t>
            </w:r>
            <w:r>
              <w:rPr>
                <w:color w:val="auto"/>
                <w:sz w:val="21"/>
                <w:szCs w:val="20"/>
              </w:rPr>
              <w:t>材质</w:t>
            </w:r>
          </w:p>
          <w:p>
            <w:pPr>
              <w:pStyle w:val="29"/>
              <w:ind w:firstLine="412"/>
              <w:rPr>
                <w:color w:val="auto"/>
                <w:sz w:val="21"/>
                <w:szCs w:val="20"/>
              </w:rPr>
            </w:pPr>
            <w:r>
              <w:rPr>
                <w:rFonts w:hint="eastAsia"/>
                <w:color w:val="auto"/>
                <w:sz w:val="21"/>
                <w:szCs w:val="20"/>
              </w:rPr>
              <w:t>f.主要材料</w:t>
            </w:r>
          </w:p>
          <w:p>
            <w:pPr>
              <w:pStyle w:val="29"/>
              <w:ind w:firstLine="412"/>
              <w:rPr>
                <w:color w:val="auto"/>
                <w:sz w:val="21"/>
                <w:szCs w:val="20"/>
              </w:rPr>
            </w:pPr>
            <w:r>
              <w:rPr>
                <w:rFonts w:hint="eastAsia"/>
                <w:color w:val="auto"/>
                <w:sz w:val="21"/>
                <w:szCs w:val="20"/>
              </w:rPr>
              <w:t>以下列出本系统至少包括的主要零部件名称及材料：</w:t>
            </w:r>
          </w:p>
          <w:p>
            <w:pPr>
              <w:pStyle w:val="29"/>
              <w:ind w:firstLine="412"/>
              <w:rPr>
                <w:color w:val="auto"/>
                <w:sz w:val="21"/>
                <w:szCs w:val="20"/>
              </w:rPr>
            </w:pPr>
            <w:r>
              <w:rPr>
                <w:rFonts w:hint="eastAsia"/>
                <w:color w:val="auto"/>
                <w:sz w:val="21"/>
                <w:szCs w:val="20"/>
              </w:rPr>
              <w:t>管道　Q-235B</w:t>
            </w:r>
          </w:p>
          <w:p>
            <w:pPr>
              <w:pStyle w:val="29"/>
              <w:ind w:firstLine="412"/>
              <w:rPr>
                <w:rFonts w:asciiTheme="minorEastAsia" w:hAnsiTheme="minorEastAsia"/>
                <w:color w:val="auto"/>
                <w:sz w:val="21"/>
                <w:szCs w:val="21"/>
              </w:rPr>
            </w:pPr>
            <w:r>
              <w:rPr>
                <w:rFonts w:hint="eastAsia"/>
                <w:color w:val="auto"/>
                <w:sz w:val="21"/>
                <w:szCs w:val="20"/>
              </w:rPr>
              <w:t>管配件　Q-235B</w:t>
            </w:r>
          </w:p>
        </w:tc>
      </w:tr>
    </w:tbl>
    <w:p>
      <w:pPr>
        <w:pStyle w:val="29"/>
        <w:ind w:firstLine="472"/>
        <w:rPr>
          <w:color w:val="auto"/>
        </w:rPr>
      </w:pPr>
    </w:p>
    <w:p>
      <w:pPr>
        <w:pStyle w:val="30"/>
        <w:spacing w:before="120" w:after="120"/>
        <w:rPr>
          <w:color w:val="auto"/>
        </w:rPr>
      </w:pPr>
      <w:bookmarkStart w:id="260" w:name="_Toc117181372"/>
      <w:r>
        <w:rPr>
          <w:rFonts w:hint="eastAsia"/>
          <w:color w:val="auto"/>
        </w:rPr>
        <w:t>中间提升泵房（污水）</w:t>
      </w:r>
      <w:bookmarkEnd w:id="260"/>
    </w:p>
    <w:p>
      <w:pPr>
        <w:pStyle w:val="35"/>
        <w:ind w:firstLine="480"/>
        <w:rPr>
          <w:color w:val="auto"/>
        </w:rPr>
      </w:pPr>
      <w:r>
        <w:rPr>
          <w:rFonts w:hint="eastAsia"/>
          <w:color w:val="auto"/>
        </w:rPr>
        <w:t>中间提升泵1</w:t>
      </w:r>
    </w:p>
    <w:tbl>
      <w:tblPr>
        <w:tblStyle w:val="25"/>
        <w:tblpPr w:leftFromText="180" w:rightFromText="180" w:vertAnchor="text" w:tblpY="1"/>
        <w:tblOverlap w:val="never"/>
        <w:tblW w:w="85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18"/>
        <w:gridCol w:w="2475"/>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993" w:type="dxa"/>
            <w:gridSpan w:val="2"/>
            <w:vAlign w:val="center"/>
          </w:tcPr>
          <w:p>
            <w:pPr>
              <w:pStyle w:val="27"/>
              <w:tabs>
                <w:tab w:val="left" w:pos="424"/>
              </w:tabs>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项</w:t>
            </w:r>
            <w:r>
              <w:rPr>
                <w:rFonts w:ascii="宋体" w:hAnsi="宋体" w:eastAsia="宋体" w:cs="宋体"/>
                <w:color w:val="auto"/>
                <w:sz w:val="21"/>
                <w:szCs w:val="21"/>
              </w:rPr>
              <w:tab/>
            </w:r>
            <w:r>
              <w:rPr>
                <w:rFonts w:ascii="宋体" w:hAnsi="宋体" w:eastAsia="宋体" w:cs="宋体"/>
                <w:color w:val="auto"/>
                <w:sz w:val="21"/>
                <w:szCs w:val="21"/>
              </w:rPr>
              <w:t>目</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pStyle w:val="27"/>
              <w:spacing w:before="88" w:line="360" w:lineRule="auto"/>
              <w:ind w:left="144" w:right="141"/>
              <w:jc w:val="center"/>
              <w:rPr>
                <w:rFonts w:ascii="宋体" w:hAnsi="宋体" w:eastAsia="宋体" w:cs="宋体"/>
                <w:color w:val="auto"/>
                <w:sz w:val="21"/>
                <w:szCs w:val="21"/>
                <w:lang w:eastAsia="zh-CN"/>
              </w:rPr>
            </w:pPr>
            <w:r>
              <w:rPr>
                <w:rFonts w:ascii="宋体" w:hAnsi="宋体" w:eastAsia="宋体" w:cs="宋体"/>
                <w:color w:val="auto"/>
                <w:sz w:val="21"/>
                <w:szCs w:val="21"/>
              </w:rPr>
              <w:t>技术规</w:t>
            </w:r>
            <w:r>
              <w:rPr>
                <w:rFonts w:hint="eastAsia" w:ascii="宋体" w:hAnsi="宋体" w:eastAsia="宋体" w:cs="宋体"/>
                <w:color w:val="auto"/>
                <w:sz w:val="21"/>
                <w:szCs w:val="21"/>
                <w:lang w:eastAsia="zh-CN"/>
              </w:rPr>
              <w:t>格</w:t>
            </w: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水泵型式</w:t>
            </w:r>
          </w:p>
        </w:tc>
        <w:tc>
          <w:tcPr>
            <w:tcW w:w="5538"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轴流泵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数量</w:t>
            </w:r>
          </w:p>
        </w:tc>
        <w:tc>
          <w:tcPr>
            <w:tcW w:w="5538" w:type="dxa"/>
            <w:vAlign w:val="center"/>
          </w:tcPr>
          <w:p>
            <w:pPr>
              <w:pStyle w:val="27"/>
              <w:spacing w:before="114"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套</w:t>
            </w:r>
            <w:r>
              <w:rPr>
                <w:rFonts w:hint="eastAsia" w:ascii="宋体" w:hAnsi="宋体" w:eastAsia="宋体" w:cs="宋体"/>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介质</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城市污水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安装方式</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可拆卸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安装位置</w:t>
            </w:r>
          </w:p>
        </w:tc>
        <w:tc>
          <w:tcPr>
            <w:tcW w:w="5538"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中间提升泵房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工况点设计流量(m³/h)</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1250</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扬程（m）</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6.2</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工况点水泵效率(%)</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line="360" w:lineRule="auto"/>
              <w:ind w:left="597" w:right="173" w:hanging="420"/>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对应设计范围内的水泵</w:t>
            </w:r>
            <w:r>
              <w:rPr>
                <w:rFonts w:ascii="宋体" w:hAnsi="宋体" w:eastAsia="宋体" w:cs="宋体"/>
                <w:color w:val="auto"/>
                <w:sz w:val="21"/>
                <w:szCs w:val="21"/>
                <w:lang w:eastAsia="zh-CN"/>
              </w:rPr>
              <w:t>最低水泵效率</w:t>
            </w:r>
          </w:p>
        </w:tc>
        <w:tc>
          <w:tcPr>
            <w:tcW w:w="5538" w:type="dxa"/>
            <w:vAlign w:val="center"/>
          </w:tcPr>
          <w:p>
            <w:pPr>
              <w:pStyle w:val="27"/>
              <w:spacing w:before="150"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电机效率(%)</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启动方式</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软启动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叶轮型式</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无阻塞叶轮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电机功率(KW)</w:t>
            </w:r>
          </w:p>
        </w:tc>
        <w:tc>
          <w:tcPr>
            <w:tcW w:w="5538" w:type="dxa"/>
            <w:vAlign w:val="center"/>
          </w:tcPr>
          <w:p>
            <w:pPr>
              <w:pStyle w:val="27"/>
              <w:spacing w:before="115" w:line="360" w:lineRule="auto"/>
              <w:ind w:left="2"/>
              <w:jc w:val="center"/>
              <w:rPr>
                <w:rFonts w:ascii="宋体" w:hAnsi="宋体" w:eastAsia="宋体" w:cs="宋体"/>
                <w:color w:val="auto"/>
                <w:sz w:val="21"/>
                <w:szCs w:val="21"/>
              </w:rPr>
            </w:pPr>
            <w:r>
              <w:rPr>
                <w:rFonts w:ascii="宋体" w:hAnsi="宋体" w:eastAsia="宋体" w:cs="宋体"/>
                <w:color w:val="auto"/>
                <w:sz w:val="21"/>
                <w:szCs w:val="21"/>
                <w:lang w:eastAsia="zh-CN"/>
              </w:rPr>
              <w:t>63</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电机转速（rpm）</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工作制</w:t>
            </w:r>
          </w:p>
        </w:tc>
        <w:tc>
          <w:tcPr>
            <w:tcW w:w="5538" w:type="dxa"/>
            <w:vAlign w:val="center"/>
          </w:tcPr>
          <w:p>
            <w:pPr>
              <w:pStyle w:val="27"/>
              <w:spacing w:before="114" w:line="360" w:lineRule="auto"/>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24h/d连续运行并可以间歇运行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lang w:eastAsia="zh-CN"/>
              </w:rPr>
            </w:pPr>
          </w:p>
        </w:tc>
        <w:tc>
          <w:tcPr>
            <w:tcW w:w="2475" w:type="dxa"/>
            <w:vAlign w:val="center"/>
          </w:tcPr>
          <w:p>
            <w:pPr>
              <w:pStyle w:val="27"/>
              <w:spacing w:before="150" w:line="360" w:lineRule="auto"/>
              <w:jc w:val="center"/>
              <w:rPr>
                <w:rFonts w:ascii="宋体" w:hAnsi="宋体" w:eastAsia="宋体" w:cs="宋体"/>
                <w:color w:val="auto"/>
                <w:sz w:val="21"/>
                <w:szCs w:val="21"/>
              </w:rPr>
            </w:pPr>
            <w:r>
              <w:rPr>
                <w:rFonts w:ascii="宋体" w:hAnsi="宋体" w:eastAsia="宋体" w:cs="宋体"/>
                <w:color w:val="auto"/>
                <w:sz w:val="21"/>
                <w:szCs w:val="21"/>
              </w:rPr>
              <w:t>冷却方式</w:t>
            </w:r>
          </w:p>
        </w:tc>
        <w:tc>
          <w:tcPr>
            <w:tcW w:w="5538" w:type="dxa"/>
            <w:vAlign w:val="center"/>
          </w:tcPr>
          <w:p>
            <w:pPr>
              <w:pStyle w:val="27"/>
              <w:spacing w:line="360" w:lineRule="auto"/>
              <w:ind w:left="98" w:right="-10"/>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电机冷却需采用直接冷却，如果在停机水位不够的情况下，采用内循环油冷却系统电机，不可以采用水冷夹套的形式。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lang w:eastAsia="zh-CN"/>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供电电源</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color w:val="auto"/>
                <w:sz w:val="21"/>
                <w:szCs w:val="21"/>
              </w:rPr>
              <w:t>3Ph/50Hz/380V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防护等级</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color w:val="auto"/>
                <w:sz w:val="21"/>
                <w:szCs w:val="21"/>
              </w:rPr>
              <w:t>IP68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出口口径（mm）</w:t>
            </w:r>
          </w:p>
        </w:tc>
        <w:tc>
          <w:tcPr>
            <w:tcW w:w="5538" w:type="dxa"/>
            <w:vAlign w:val="center"/>
          </w:tcPr>
          <w:p>
            <w:pPr>
              <w:pStyle w:val="27"/>
              <w:spacing w:before="115" w:line="360" w:lineRule="auto"/>
              <w:ind w:left="2"/>
              <w:jc w:val="center"/>
              <w:rPr>
                <w:rFonts w:ascii="宋体" w:hAnsi="宋体" w:eastAsia="宋体" w:cs="宋体"/>
                <w:color w:val="auto"/>
                <w:sz w:val="21"/>
                <w:szCs w:val="21"/>
              </w:rPr>
            </w:pPr>
            <w:r>
              <w:rPr>
                <w:rFonts w:ascii="宋体"/>
                <w:color w:val="auto"/>
                <w:sz w:val="21"/>
                <w:szCs w:val="21"/>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颗粒通过能力（mm）</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噪声(dB(A))</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≤80DB(A)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电缆长度</w:t>
            </w:r>
          </w:p>
        </w:tc>
        <w:tc>
          <w:tcPr>
            <w:tcW w:w="5538" w:type="dxa"/>
            <w:vAlign w:val="center"/>
          </w:tcPr>
          <w:p>
            <w:pPr>
              <w:pStyle w:val="27"/>
              <w:spacing w:line="360" w:lineRule="auto"/>
              <w:ind w:left="1497" w:right="103" w:hanging="1392"/>
              <w:rPr>
                <w:rFonts w:ascii="宋体" w:hAnsi="宋体" w:eastAsia="宋体" w:cs="宋体"/>
                <w:color w:val="auto"/>
                <w:sz w:val="21"/>
                <w:szCs w:val="21"/>
                <w:lang w:eastAsia="zh-CN"/>
              </w:rPr>
            </w:pPr>
            <w:r>
              <w:rPr>
                <w:rFonts w:ascii="宋体" w:hAnsi="宋体" w:eastAsia="宋体" w:cs="宋体"/>
                <w:color w:val="auto"/>
                <w:sz w:val="21"/>
                <w:szCs w:val="21"/>
                <w:lang w:eastAsia="zh-CN"/>
              </w:rPr>
              <w:t>10</w:t>
            </w:r>
            <w:r>
              <w:rPr>
                <w:rFonts w:ascii="宋体" w:hAnsi="宋体" w:eastAsia="宋体" w:cs="宋体"/>
                <w:color w:val="auto"/>
                <w:spacing w:val="-6"/>
                <w:sz w:val="21"/>
                <w:szCs w:val="21"/>
                <w:lang w:eastAsia="zh-CN"/>
              </w:rPr>
              <w:t>米/根（暂定），与水泵配套，完好无接驳口，达到规范</w:t>
            </w:r>
            <w:r>
              <w:rPr>
                <w:rFonts w:ascii="宋体" w:hAnsi="宋体" w:eastAsia="宋体" w:cs="宋体"/>
                <w:color w:val="auto"/>
                <w:sz w:val="21"/>
                <w:szCs w:val="21"/>
                <w:lang w:eastAsia="zh-CN"/>
              </w:rPr>
              <w:t>要求的防水等级及绝缘等级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lang w:eastAsia="zh-CN"/>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最小绝缘等级</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color w:val="auto"/>
                <w:sz w:val="21"/>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机械密封的使用寿命</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不低于30,000小时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轴承寿命(L10)</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不得少于100,000</w:t>
            </w:r>
            <w:r>
              <w:rPr>
                <w:rFonts w:ascii="宋体" w:hAnsi="宋体" w:eastAsia="宋体" w:cs="宋体"/>
                <w:color w:val="auto"/>
                <w:spacing w:val="-3"/>
                <w:sz w:val="21"/>
                <w:szCs w:val="21"/>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line="360" w:lineRule="auto"/>
              <w:ind w:left="280" w:right="94" w:hanging="183"/>
              <w:rPr>
                <w:rFonts w:ascii="宋体" w:hAnsi="宋体" w:eastAsia="宋体" w:cs="宋体"/>
                <w:color w:val="auto"/>
                <w:sz w:val="21"/>
                <w:szCs w:val="21"/>
                <w:lang w:eastAsia="zh-CN"/>
              </w:rPr>
            </w:pPr>
            <w:r>
              <w:rPr>
                <w:rFonts w:ascii="宋体" w:hAnsi="宋体" w:eastAsia="宋体" w:cs="宋体"/>
                <w:color w:val="auto"/>
                <w:sz w:val="21"/>
                <w:szCs w:val="21"/>
                <w:lang w:eastAsia="zh-CN"/>
              </w:rPr>
              <w:t>能够在20m水深下持续长期运行安全运行时间</w:t>
            </w:r>
          </w:p>
        </w:tc>
        <w:tc>
          <w:tcPr>
            <w:tcW w:w="5538"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至少为20,000小时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line="360" w:lineRule="auto"/>
              <w:ind w:left="1017" w:right="279" w:hanging="737"/>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允许每小时启动次数</w:t>
            </w:r>
            <w:r>
              <w:rPr>
                <w:rFonts w:ascii="宋体" w:hAnsi="宋体" w:eastAsia="宋体" w:cs="宋体"/>
                <w:color w:val="auto"/>
                <w:sz w:val="21"/>
                <w:szCs w:val="21"/>
                <w:lang w:eastAsia="zh-CN"/>
              </w:rPr>
              <w:t>(次)</w:t>
            </w:r>
          </w:p>
        </w:tc>
        <w:tc>
          <w:tcPr>
            <w:tcW w:w="5538"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≥12次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spacing w:line="360" w:lineRule="auto"/>
              <w:jc w:val="center"/>
              <w:rPr>
                <w:color w:val="auto"/>
                <w:sz w:val="21"/>
                <w:szCs w:val="21"/>
                <w:lang w:eastAsia="zh-CN"/>
              </w:rPr>
            </w:pPr>
            <w:r>
              <w:rPr>
                <w:rFonts w:hint="eastAsia"/>
                <w:color w:val="auto"/>
                <w:sz w:val="21"/>
                <w:szCs w:val="21"/>
                <w:lang w:eastAsia="zh-CN"/>
              </w:rPr>
              <w:t>材质</w:t>
            </w: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泵壳、电机壳</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不低于灰铸铁GG25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jc w:val="center"/>
              <w:rPr>
                <w:color w:val="auto"/>
                <w:sz w:val="21"/>
                <w:szCs w:val="21"/>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叶轮</w:t>
            </w:r>
          </w:p>
        </w:tc>
        <w:tc>
          <w:tcPr>
            <w:tcW w:w="5538" w:type="dxa"/>
            <w:vAlign w:val="center"/>
          </w:tcPr>
          <w:p>
            <w:pPr>
              <w:pStyle w:val="27"/>
              <w:spacing w:before="114" w:line="360" w:lineRule="auto"/>
              <w:ind w:left="1"/>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不低于球墨铸铁GGG60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jc w:val="center"/>
              <w:rPr>
                <w:color w:val="auto"/>
                <w:sz w:val="21"/>
                <w:szCs w:val="21"/>
                <w:lang w:eastAsia="zh-CN"/>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主轴</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jc w:val="center"/>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机械密封</w:t>
            </w:r>
          </w:p>
        </w:tc>
        <w:tc>
          <w:tcPr>
            <w:tcW w:w="5538"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耐腐蚀碳化钨/碳化硅，介质酸碱度范围为pH6～10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jc w:val="center"/>
              <w:rPr>
                <w:color w:val="auto"/>
                <w:sz w:val="21"/>
                <w:szCs w:val="21"/>
                <w:lang w:eastAsia="zh-CN"/>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螺栓、螺母</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jc w:val="center"/>
              <w:rPr>
                <w:color w:val="auto"/>
                <w:sz w:val="21"/>
                <w:szCs w:val="21"/>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导轨</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jc w:val="center"/>
              <w:rPr>
                <w:color w:val="auto"/>
                <w:sz w:val="21"/>
                <w:szCs w:val="21"/>
              </w:rPr>
            </w:pPr>
          </w:p>
        </w:tc>
        <w:tc>
          <w:tcPr>
            <w:tcW w:w="2475"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吊链</w:t>
            </w:r>
          </w:p>
        </w:tc>
        <w:tc>
          <w:tcPr>
            <w:tcW w:w="5538" w:type="dxa"/>
            <w:vAlign w:val="center"/>
          </w:tcPr>
          <w:p>
            <w:pPr>
              <w:pStyle w:val="27"/>
              <w:spacing w:before="115"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jc w:val="center"/>
              <w:rPr>
                <w:color w:val="auto"/>
                <w:sz w:val="21"/>
                <w:szCs w:val="21"/>
              </w:rPr>
            </w:pPr>
          </w:p>
        </w:tc>
        <w:tc>
          <w:tcPr>
            <w:tcW w:w="2475"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ascii="宋体" w:hAnsi="宋体" w:eastAsia="宋体" w:cs="宋体"/>
                <w:color w:val="auto"/>
                <w:spacing w:val="-6"/>
                <w:sz w:val="21"/>
                <w:szCs w:val="21"/>
                <w:lang w:eastAsia="zh-CN"/>
              </w:rPr>
              <w:t>所有连接附件、地脚螺栓</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spacing w:line="360" w:lineRule="auto"/>
              <w:jc w:val="center"/>
              <w:rPr>
                <w:color w:val="auto"/>
                <w:sz w:val="21"/>
                <w:szCs w:val="21"/>
                <w:lang w:eastAsia="zh-CN"/>
              </w:rPr>
            </w:pPr>
            <w:r>
              <w:rPr>
                <w:rFonts w:hint="eastAsia"/>
                <w:color w:val="auto"/>
                <w:sz w:val="21"/>
                <w:szCs w:val="21"/>
                <w:lang w:eastAsia="zh-CN"/>
              </w:rPr>
              <w:t>附件</w:t>
            </w:r>
          </w:p>
        </w:tc>
        <w:tc>
          <w:tcPr>
            <w:tcW w:w="2475"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电气专用保护元件</w:t>
            </w:r>
          </w:p>
        </w:tc>
        <w:tc>
          <w:tcPr>
            <w:tcW w:w="5538" w:type="dxa"/>
            <w:vAlign w:val="center"/>
          </w:tcPr>
          <w:p>
            <w:pPr>
              <w:pStyle w:val="27"/>
              <w:spacing w:line="360" w:lineRule="auto"/>
              <w:ind w:left="866" w:right="127" w:hanging="735"/>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定子绕组温度传感器、机械密封泄漏传感器、电机湿度传</w:t>
            </w:r>
            <w:r>
              <w:rPr>
                <w:rFonts w:ascii="宋体" w:hAnsi="宋体" w:eastAsia="宋体" w:cs="宋体"/>
                <w:color w:val="auto"/>
                <w:sz w:val="21"/>
                <w:szCs w:val="21"/>
                <w:lang w:eastAsia="zh-CN"/>
              </w:rPr>
              <w:t>感器、轴承温度传感器和水泵综合保护器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lang w:eastAsia="zh-CN"/>
              </w:rPr>
            </w:pPr>
          </w:p>
        </w:tc>
        <w:tc>
          <w:tcPr>
            <w:tcW w:w="2475" w:type="dxa"/>
            <w:vAlign w:val="center"/>
          </w:tcPr>
          <w:p>
            <w:pPr>
              <w:pStyle w:val="27"/>
              <w:spacing w:line="360" w:lineRule="auto"/>
              <w:rPr>
                <w:rFonts w:ascii="宋体" w:hAnsi="宋体" w:eastAsia="宋体" w:cs="宋体"/>
                <w:color w:val="auto"/>
                <w:sz w:val="21"/>
                <w:szCs w:val="21"/>
                <w:lang w:eastAsia="zh-CN"/>
              </w:rPr>
            </w:pPr>
          </w:p>
          <w:p>
            <w:pPr>
              <w:pStyle w:val="27"/>
              <w:spacing w:line="360" w:lineRule="auto"/>
              <w:rPr>
                <w:rFonts w:ascii="宋体" w:hAnsi="宋体" w:eastAsia="宋体" w:cs="宋体"/>
                <w:color w:val="auto"/>
                <w:sz w:val="21"/>
                <w:szCs w:val="21"/>
                <w:lang w:eastAsia="zh-CN"/>
              </w:rPr>
            </w:pPr>
          </w:p>
          <w:p>
            <w:pPr>
              <w:pStyle w:val="27"/>
              <w:spacing w:before="2" w:line="360" w:lineRule="auto"/>
              <w:rPr>
                <w:rFonts w:ascii="宋体" w:hAnsi="宋体" w:eastAsia="宋体" w:cs="宋体"/>
                <w:color w:val="auto"/>
                <w:sz w:val="21"/>
                <w:szCs w:val="21"/>
                <w:lang w:eastAsia="zh-CN"/>
              </w:rPr>
            </w:pPr>
          </w:p>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综合保护器</w:t>
            </w:r>
          </w:p>
        </w:tc>
        <w:tc>
          <w:tcPr>
            <w:tcW w:w="5538" w:type="dxa"/>
            <w:vAlign w:val="center"/>
          </w:tcPr>
          <w:p>
            <w:pPr>
              <w:pStyle w:val="27"/>
              <w:spacing w:line="360" w:lineRule="auto"/>
              <w:ind w:left="98" w:right="-10"/>
              <w:rPr>
                <w:rFonts w:ascii="宋体" w:hAnsi="宋体" w:eastAsia="宋体" w:cs="宋体"/>
                <w:color w:val="auto"/>
                <w:sz w:val="21"/>
                <w:szCs w:val="21"/>
                <w:lang w:eastAsia="zh-CN"/>
              </w:rPr>
            </w:pPr>
            <w:r>
              <w:rPr>
                <w:rFonts w:ascii="宋体" w:hAnsi="宋体" w:eastAsia="宋体" w:cs="宋体"/>
                <w:color w:val="auto"/>
                <w:sz w:val="21"/>
                <w:szCs w:val="21"/>
                <w:lang w:eastAsia="zh-CN"/>
              </w:rPr>
              <w:t>每台潜水泵均应配备原厂综合保护器，用于水泵的保护报警信号的监控，应能向泵站控制室PLC传输状态显示信号并接受PLC输出信号的控制，监控继电器应安装在相应的低压配电柜。</w:t>
            </w:r>
            <w:r>
              <w:rPr>
                <w:rFonts w:ascii="宋体" w:hAnsi="宋体" w:eastAsia="宋体" w:cs="宋体"/>
                <w:color w:val="auto"/>
                <w:spacing w:val="-11"/>
                <w:sz w:val="21"/>
                <w:szCs w:val="21"/>
                <w:lang w:eastAsia="zh-CN"/>
              </w:rPr>
              <w:t>应向中控室输出“轴承超温”报警、“电机绕组超温”报警、</w:t>
            </w:r>
            <w:r>
              <w:rPr>
                <w:rFonts w:ascii="宋体" w:hAnsi="宋体" w:eastAsia="宋体" w:cs="宋体"/>
                <w:color w:val="auto"/>
                <w:sz w:val="21"/>
                <w:szCs w:val="21"/>
                <w:lang w:eastAsia="zh-CN"/>
              </w:rPr>
              <w:t>“电机湿度”报警、“密封泄漏”报警信号。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lang w:eastAsia="zh-CN"/>
              </w:rPr>
            </w:pPr>
          </w:p>
        </w:tc>
        <w:tc>
          <w:tcPr>
            <w:tcW w:w="2475" w:type="dxa"/>
            <w:vAlign w:val="center"/>
          </w:tcPr>
          <w:p>
            <w:pPr>
              <w:pStyle w:val="27"/>
              <w:spacing w:before="149"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其它</w:t>
            </w:r>
          </w:p>
        </w:tc>
        <w:tc>
          <w:tcPr>
            <w:tcW w:w="5538" w:type="dxa"/>
            <w:vAlign w:val="center"/>
          </w:tcPr>
          <w:p>
            <w:pPr>
              <w:pStyle w:val="27"/>
              <w:spacing w:line="360" w:lineRule="auto"/>
              <w:ind w:left="237" w:right="-10" w:hanging="140"/>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配备综合保护器、耦合用导向杆、90°出水弯座、提升链、</w:t>
            </w:r>
            <w:r>
              <w:rPr>
                <w:rFonts w:ascii="宋体" w:hAnsi="宋体" w:eastAsia="宋体" w:cs="宋体"/>
                <w:color w:val="auto"/>
                <w:sz w:val="21"/>
                <w:szCs w:val="21"/>
                <w:lang w:eastAsia="zh-CN"/>
              </w:rPr>
              <w:t>水下电缆、基础螺栓等有效和安全运行所必需的附件。</w:t>
            </w:r>
          </w:p>
        </w:tc>
      </w:tr>
    </w:tbl>
    <w:p>
      <w:pPr>
        <w:pStyle w:val="35"/>
        <w:ind w:firstLine="480"/>
        <w:rPr>
          <w:color w:val="auto"/>
        </w:rPr>
      </w:pPr>
      <w:r>
        <w:rPr>
          <w:rFonts w:hint="eastAsia"/>
          <w:color w:val="auto"/>
        </w:rPr>
        <w:t>中间提升泵2</w:t>
      </w:r>
    </w:p>
    <w:tbl>
      <w:tblPr>
        <w:tblStyle w:val="25"/>
        <w:tblpPr w:leftFromText="180" w:rightFromText="180" w:vertAnchor="text" w:tblpY="1"/>
        <w:tblOverlap w:val="never"/>
        <w:tblW w:w="87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31"/>
        <w:gridCol w:w="2540"/>
        <w:gridCol w:w="5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8" w:hRule="atLeast"/>
        </w:trPr>
        <w:tc>
          <w:tcPr>
            <w:tcW w:w="3071" w:type="dxa"/>
            <w:gridSpan w:val="2"/>
            <w:vAlign w:val="center"/>
          </w:tcPr>
          <w:p>
            <w:pPr>
              <w:pStyle w:val="27"/>
              <w:tabs>
                <w:tab w:val="left" w:pos="424"/>
              </w:tabs>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项目</w:t>
            </w:r>
          </w:p>
        </w:tc>
        <w:tc>
          <w:tcPr>
            <w:tcW w:w="5683"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restart"/>
            <w:vAlign w:val="center"/>
          </w:tcPr>
          <w:p>
            <w:pPr>
              <w:pStyle w:val="27"/>
              <w:spacing w:before="88" w:line="360" w:lineRule="auto"/>
              <w:ind w:left="144" w:right="141"/>
              <w:jc w:val="both"/>
              <w:rPr>
                <w:rFonts w:ascii="宋体" w:hAnsi="宋体" w:eastAsia="宋体" w:cs="宋体"/>
                <w:color w:val="auto"/>
                <w:sz w:val="21"/>
                <w:szCs w:val="21"/>
                <w:lang w:eastAsia="zh-CN"/>
              </w:rPr>
            </w:pPr>
            <w:r>
              <w:rPr>
                <w:rFonts w:ascii="宋体" w:hAnsi="宋体" w:eastAsia="宋体" w:cs="宋体"/>
                <w:color w:val="auto"/>
                <w:sz w:val="21"/>
                <w:szCs w:val="21"/>
              </w:rPr>
              <w:t>技术规</w:t>
            </w:r>
            <w:r>
              <w:rPr>
                <w:rFonts w:hint="eastAsia" w:ascii="宋体" w:hAnsi="宋体" w:eastAsia="宋体" w:cs="宋体"/>
                <w:color w:val="auto"/>
                <w:sz w:val="21"/>
                <w:szCs w:val="21"/>
                <w:lang w:eastAsia="zh-CN"/>
              </w:rPr>
              <w:t>格</w:t>
            </w:r>
          </w:p>
        </w:tc>
        <w:tc>
          <w:tcPr>
            <w:tcW w:w="2540"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水泵型式</w:t>
            </w:r>
          </w:p>
        </w:tc>
        <w:tc>
          <w:tcPr>
            <w:tcW w:w="5683"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轴流泵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数量</w:t>
            </w:r>
          </w:p>
        </w:tc>
        <w:tc>
          <w:tcPr>
            <w:tcW w:w="5683" w:type="dxa"/>
            <w:vAlign w:val="center"/>
          </w:tcPr>
          <w:p>
            <w:pPr>
              <w:pStyle w:val="27"/>
              <w:spacing w:before="114"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r>
              <w:rPr>
                <w:rFonts w:ascii="宋体" w:hAnsi="宋体" w:eastAsia="宋体" w:cs="宋体"/>
                <w:color w:val="auto"/>
                <w:sz w:val="21"/>
                <w:szCs w:val="21"/>
              </w:rPr>
              <w:t>套</w:t>
            </w:r>
            <w:r>
              <w:rPr>
                <w:rFonts w:hint="eastAsia" w:ascii="宋体" w:hAnsi="宋体" w:eastAsia="宋体" w:cs="宋体"/>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介质</w:t>
            </w:r>
          </w:p>
        </w:tc>
        <w:tc>
          <w:tcPr>
            <w:tcW w:w="5683"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城市污水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安装方式</w:t>
            </w:r>
          </w:p>
        </w:tc>
        <w:tc>
          <w:tcPr>
            <w:tcW w:w="5683"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可拆卸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安装位置</w:t>
            </w:r>
          </w:p>
        </w:tc>
        <w:tc>
          <w:tcPr>
            <w:tcW w:w="5683"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中间提升泵房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工况点设计流量(m³/h)</w:t>
            </w:r>
          </w:p>
        </w:tc>
        <w:tc>
          <w:tcPr>
            <w:tcW w:w="5683" w:type="dxa"/>
            <w:vAlign w:val="center"/>
          </w:tcPr>
          <w:p>
            <w:pPr>
              <w:pStyle w:val="27"/>
              <w:spacing w:before="114"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2080</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扬程（m）</w:t>
            </w:r>
          </w:p>
        </w:tc>
        <w:tc>
          <w:tcPr>
            <w:tcW w:w="5683" w:type="dxa"/>
            <w:vAlign w:val="center"/>
          </w:tcPr>
          <w:p>
            <w:pPr>
              <w:pStyle w:val="27"/>
              <w:spacing w:before="114"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6.2</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工况点水泵效率(%)</w:t>
            </w:r>
          </w:p>
        </w:tc>
        <w:tc>
          <w:tcPr>
            <w:tcW w:w="5683"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line="360" w:lineRule="auto"/>
              <w:ind w:left="597" w:right="173" w:hanging="420"/>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对应设计范围内的水泵</w:t>
            </w:r>
            <w:r>
              <w:rPr>
                <w:rFonts w:ascii="宋体" w:hAnsi="宋体" w:eastAsia="宋体" w:cs="宋体"/>
                <w:color w:val="auto"/>
                <w:sz w:val="21"/>
                <w:szCs w:val="21"/>
                <w:lang w:eastAsia="zh-CN"/>
              </w:rPr>
              <w:t>最低水泵效率</w:t>
            </w:r>
          </w:p>
        </w:tc>
        <w:tc>
          <w:tcPr>
            <w:tcW w:w="5683" w:type="dxa"/>
            <w:vAlign w:val="center"/>
          </w:tcPr>
          <w:p>
            <w:pPr>
              <w:pStyle w:val="27"/>
              <w:spacing w:before="150"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电机效率(%)</w:t>
            </w:r>
          </w:p>
        </w:tc>
        <w:tc>
          <w:tcPr>
            <w:tcW w:w="5683"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启动方式</w:t>
            </w:r>
          </w:p>
        </w:tc>
        <w:tc>
          <w:tcPr>
            <w:tcW w:w="5683"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软启动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叶轮型式</w:t>
            </w:r>
          </w:p>
        </w:tc>
        <w:tc>
          <w:tcPr>
            <w:tcW w:w="5683"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无阻塞叶轮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电机功率(KW)</w:t>
            </w:r>
          </w:p>
        </w:tc>
        <w:tc>
          <w:tcPr>
            <w:tcW w:w="5683" w:type="dxa"/>
            <w:vAlign w:val="center"/>
          </w:tcPr>
          <w:p>
            <w:pPr>
              <w:pStyle w:val="27"/>
              <w:spacing w:before="115"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55W</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电机转速（rpm）</w:t>
            </w:r>
          </w:p>
        </w:tc>
        <w:tc>
          <w:tcPr>
            <w:tcW w:w="5683"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工作制</w:t>
            </w:r>
          </w:p>
        </w:tc>
        <w:tc>
          <w:tcPr>
            <w:tcW w:w="5683" w:type="dxa"/>
            <w:vAlign w:val="center"/>
          </w:tcPr>
          <w:p>
            <w:pPr>
              <w:pStyle w:val="27"/>
              <w:spacing w:before="114" w:line="360" w:lineRule="auto"/>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24h/d连续运行并可以间歇运行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lang w:eastAsia="zh-CN"/>
              </w:rPr>
            </w:pPr>
          </w:p>
        </w:tc>
        <w:tc>
          <w:tcPr>
            <w:tcW w:w="2540" w:type="dxa"/>
            <w:vAlign w:val="center"/>
          </w:tcPr>
          <w:p>
            <w:pPr>
              <w:pStyle w:val="27"/>
              <w:spacing w:before="150" w:line="360" w:lineRule="auto"/>
              <w:jc w:val="center"/>
              <w:rPr>
                <w:rFonts w:ascii="宋体" w:hAnsi="宋体" w:eastAsia="宋体" w:cs="宋体"/>
                <w:color w:val="auto"/>
                <w:sz w:val="21"/>
                <w:szCs w:val="21"/>
              </w:rPr>
            </w:pPr>
            <w:r>
              <w:rPr>
                <w:rFonts w:ascii="宋体" w:hAnsi="宋体" w:eastAsia="宋体" w:cs="宋体"/>
                <w:color w:val="auto"/>
                <w:sz w:val="21"/>
                <w:szCs w:val="21"/>
              </w:rPr>
              <w:t>冷却方式</w:t>
            </w:r>
          </w:p>
        </w:tc>
        <w:tc>
          <w:tcPr>
            <w:tcW w:w="5683" w:type="dxa"/>
            <w:vAlign w:val="center"/>
          </w:tcPr>
          <w:p>
            <w:pPr>
              <w:pStyle w:val="27"/>
              <w:spacing w:line="360" w:lineRule="auto"/>
              <w:ind w:left="98" w:right="-10"/>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电机冷却需采用直接冷却，如果在停机水位不够的情况下，采用内循环油冷却系统电机，不可以采用水冷夹套的形式。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lang w:eastAsia="zh-CN"/>
              </w:rPr>
            </w:pPr>
          </w:p>
        </w:tc>
        <w:tc>
          <w:tcPr>
            <w:tcW w:w="2540"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供电电源</w:t>
            </w:r>
          </w:p>
        </w:tc>
        <w:tc>
          <w:tcPr>
            <w:tcW w:w="5683" w:type="dxa"/>
            <w:vAlign w:val="center"/>
          </w:tcPr>
          <w:p>
            <w:pPr>
              <w:pStyle w:val="27"/>
              <w:spacing w:before="114" w:line="360" w:lineRule="auto"/>
              <w:ind w:left="2"/>
              <w:jc w:val="center"/>
              <w:rPr>
                <w:rFonts w:ascii="宋体" w:hAnsi="宋体" w:eastAsia="宋体" w:cs="宋体"/>
                <w:color w:val="auto"/>
                <w:sz w:val="21"/>
                <w:szCs w:val="21"/>
              </w:rPr>
            </w:pPr>
            <w:r>
              <w:rPr>
                <w:rFonts w:ascii="宋体"/>
                <w:color w:val="auto"/>
                <w:sz w:val="21"/>
                <w:szCs w:val="21"/>
              </w:rPr>
              <w:t>3Ph/50Hz/380V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防护等级</w:t>
            </w:r>
          </w:p>
        </w:tc>
        <w:tc>
          <w:tcPr>
            <w:tcW w:w="5683" w:type="dxa"/>
            <w:vAlign w:val="center"/>
          </w:tcPr>
          <w:p>
            <w:pPr>
              <w:pStyle w:val="27"/>
              <w:spacing w:before="114" w:line="360" w:lineRule="auto"/>
              <w:ind w:left="2"/>
              <w:jc w:val="center"/>
              <w:rPr>
                <w:rFonts w:ascii="宋体" w:hAnsi="宋体" w:eastAsia="宋体" w:cs="宋体"/>
                <w:color w:val="auto"/>
                <w:sz w:val="21"/>
                <w:szCs w:val="21"/>
              </w:rPr>
            </w:pPr>
            <w:r>
              <w:rPr>
                <w:rFonts w:ascii="宋体"/>
                <w:color w:val="auto"/>
                <w:sz w:val="21"/>
                <w:szCs w:val="21"/>
              </w:rPr>
              <w:t>IP68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出口口径（mm）</w:t>
            </w:r>
          </w:p>
        </w:tc>
        <w:tc>
          <w:tcPr>
            <w:tcW w:w="5683" w:type="dxa"/>
            <w:vAlign w:val="center"/>
          </w:tcPr>
          <w:p>
            <w:pPr>
              <w:pStyle w:val="27"/>
              <w:spacing w:before="115" w:line="360" w:lineRule="auto"/>
              <w:ind w:left="2"/>
              <w:jc w:val="center"/>
              <w:rPr>
                <w:rFonts w:ascii="宋体" w:hAnsi="宋体" w:eastAsia="宋体" w:cs="宋体"/>
                <w:color w:val="auto"/>
                <w:sz w:val="21"/>
                <w:szCs w:val="21"/>
              </w:rPr>
            </w:pPr>
            <w:r>
              <w:rPr>
                <w:rFonts w:hint="eastAsia" w:ascii="宋体"/>
                <w:color w:val="auto"/>
                <w:sz w:val="21"/>
                <w:szCs w:val="21"/>
                <w:lang w:eastAsia="zh-CN"/>
              </w:rPr>
              <w:t>7</w:t>
            </w:r>
            <w:r>
              <w:rPr>
                <w:rFonts w:ascii="宋体"/>
                <w:color w:val="auto"/>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颗粒通过能力（mm）</w:t>
            </w:r>
          </w:p>
        </w:tc>
        <w:tc>
          <w:tcPr>
            <w:tcW w:w="5683"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噪声(dB(A))</w:t>
            </w:r>
          </w:p>
        </w:tc>
        <w:tc>
          <w:tcPr>
            <w:tcW w:w="5683"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≤80DB(A)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电缆长度</w:t>
            </w:r>
          </w:p>
        </w:tc>
        <w:tc>
          <w:tcPr>
            <w:tcW w:w="5683" w:type="dxa"/>
            <w:vAlign w:val="center"/>
          </w:tcPr>
          <w:p>
            <w:pPr>
              <w:pStyle w:val="27"/>
              <w:spacing w:line="360" w:lineRule="auto"/>
              <w:ind w:left="1497" w:right="103" w:hanging="1392"/>
              <w:rPr>
                <w:rFonts w:ascii="宋体" w:hAnsi="宋体" w:eastAsia="宋体" w:cs="宋体"/>
                <w:color w:val="auto"/>
                <w:sz w:val="21"/>
                <w:szCs w:val="21"/>
                <w:lang w:eastAsia="zh-CN"/>
              </w:rPr>
            </w:pPr>
            <w:r>
              <w:rPr>
                <w:rFonts w:ascii="宋体" w:hAnsi="宋体" w:eastAsia="宋体" w:cs="宋体"/>
                <w:color w:val="auto"/>
                <w:sz w:val="21"/>
                <w:szCs w:val="21"/>
                <w:lang w:eastAsia="zh-CN"/>
              </w:rPr>
              <w:t>10</w:t>
            </w:r>
            <w:r>
              <w:rPr>
                <w:rFonts w:ascii="宋体" w:hAnsi="宋体" w:eastAsia="宋体" w:cs="宋体"/>
                <w:color w:val="auto"/>
                <w:spacing w:val="-6"/>
                <w:sz w:val="21"/>
                <w:szCs w:val="21"/>
                <w:lang w:eastAsia="zh-CN"/>
              </w:rPr>
              <w:t>米/根（暂定），与水泵配套，完好无接驳口，达到规范</w:t>
            </w:r>
            <w:r>
              <w:rPr>
                <w:rFonts w:ascii="宋体" w:hAnsi="宋体" w:eastAsia="宋体" w:cs="宋体"/>
                <w:color w:val="auto"/>
                <w:sz w:val="21"/>
                <w:szCs w:val="21"/>
                <w:lang w:eastAsia="zh-CN"/>
              </w:rPr>
              <w:t>要求的防水等级及绝缘等级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lang w:eastAsia="zh-CN"/>
              </w:rPr>
            </w:pPr>
          </w:p>
        </w:tc>
        <w:tc>
          <w:tcPr>
            <w:tcW w:w="2540"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最小绝缘等级</w:t>
            </w:r>
          </w:p>
        </w:tc>
        <w:tc>
          <w:tcPr>
            <w:tcW w:w="5683" w:type="dxa"/>
            <w:vAlign w:val="center"/>
          </w:tcPr>
          <w:p>
            <w:pPr>
              <w:pStyle w:val="27"/>
              <w:spacing w:before="114" w:line="360" w:lineRule="auto"/>
              <w:jc w:val="center"/>
              <w:rPr>
                <w:rFonts w:ascii="宋体" w:hAnsi="宋体" w:eastAsia="宋体" w:cs="宋体"/>
                <w:color w:val="auto"/>
                <w:sz w:val="21"/>
                <w:szCs w:val="21"/>
              </w:rPr>
            </w:pPr>
            <w:r>
              <w:rPr>
                <w:rFonts w:ascii="宋体"/>
                <w:color w:val="auto"/>
                <w:sz w:val="21"/>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机械密封的使用寿命</w:t>
            </w:r>
          </w:p>
        </w:tc>
        <w:tc>
          <w:tcPr>
            <w:tcW w:w="5683"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不低于30,000小时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轴承寿命(L10)</w:t>
            </w:r>
          </w:p>
        </w:tc>
        <w:tc>
          <w:tcPr>
            <w:tcW w:w="5683"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不得少于100,000</w:t>
            </w:r>
            <w:r>
              <w:rPr>
                <w:rFonts w:ascii="宋体" w:hAnsi="宋体" w:eastAsia="宋体" w:cs="宋体"/>
                <w:color w:val="auto"/>
                <w:spacing w:val="-3"/>
                <w:sz w:val="21"/>
                <w:szCs w:val="21"/>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line="360" w:lineRule="auto"/>
              <w:ind w:left="280" w:right="94" w:hanging="183"/>
              <w:rPr>
                <w:rFonts w:ascii="宋体" w:hAnsi="宋体" w:eastAsia="宋体" w:cs="宋体"/>
                <w:color w:val="auto"/>
                <w:sz w:val="21"/>
                <w:szCs w:val="21"/>
                <w:lang w:eastAsia="zh-CN"/>
              </w:rPr>
            </w:pPr>
            <w:r>
              <w:rPr>
                <w:rFonts w:ascii="宋体" w:hAnsi="宋体" w:eastAsia="宋体" w:cs="宋体"/>
                <w:color w:val="auto"/>
                <w:sz w:val="21"/>
                <w:szCs w:val="21"/>
                <w:lang w:eastAsia="zh-CN"/>
              </w:rPr>
              <w:t>能够在20m水深下持续长期运行安全运行时间</w:t>
            </w:r>
          </w:p>
        </w:tc>
        <w:tc>
          <w:tcPr>
            <w:tcW w:w="5683"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至少为20,000小时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line="360" w:lineRule="auto"/>
              <w:ind w:left="1017" w:right="279" w:hanging="737"/>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允许每小时启动次数</w:t>
            </w:r>
            <w:r>
              <w:rPr>
                <w:rFonts w:ascii="宋体" w:hAnsi="宋体" w:eastAsia="宋体" w:cs="宋体"/>
                <w:color w:val="auto"/>
                <w:sz w:val="21"/>
                <w:szCs w:val="21"/>
                <w:lang w:eastAsia="zh-CN"/>
              </w:rPr>
              <w:t>(次)</w:t>
            </w:r>
          </w:p>
        </w:tc>
        <w:tc>
          <w:tcPr>
            <w:tcW w:w="5683"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≥12次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8" w:hRule="atLeast"/>
        </w:trPr>
        <w:tc>
          <w:tcPr>
            <w:tcW w:w="531" w:type="dxa"/>
            <w:vMerge w:val="restart"/>
            <w:vAlign w:val="center"/>
          </w:tcPr>
          <w:p>
            <w:pPr>
              <w:spacing w:line="360" w:lineRule="auto"/>
              <w:rPr>
                <w:color w:val="auto"/>
                <w:sz w:val="21"/>
                <w:szCs w:val="21"/>
                <w:lang w:eastAsia="zh-CN"/>
              </w:rPr>
            </w:pPr>
            <w:r>
              <w:rPr>
                <w:rFonts w:hint="eastAsia"/>
                <w:color w:val="auto"/>
                <w:sz w:val="21"/>
                <w:szCs w:val="21"/>
                <w:lang w:eastAsia="zh-CN"/>
              </w:rPr>
              <w:t>材质</w:t>
            </w:r>
          </w:p>
        </w:tc>
        <w:tc>
          <w:tcPr>
            <w:tcW w:w="2540"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泵壳、电机壳</w:t>
            </w:r>
          </w:p>
        </w:tc>
        <w:tc>
          <w:tcPr>
            <w:tcW w:w="5683"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不低于灰铸铁GG25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8"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叶轮</w:t>
            </w:r>
          </w:p>
        </w:tc>
        <w:tc>
          <w:tcPr>
            <w:tcW w:w="5683" w:type="dxa"/>
            <w:vAlign w:val="center"/>
          </w:tcPr>
          <w:p>
            <w:pPr>
              <w:pStyle w:val="27"/>
              <w:spacing w:before="114" w:line="360" w:lineRule="auto"/>
              <w:ind w:left="1"/>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不低于球墨铸铁GGG60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33" w:hRule="atLeast"/>
        </w:trPr>
        <w:tc>
          <w:tcPr>
            <w:tcW w:w="531" w:type="dxa"/>
            <w:vMerge w:val="continue"/>
            <w:vAlign w:val="center"/>
          </w:tcPr>
          <w:p>
            <w:pPr>
              <w:spacing w:line="360" w:lineRule="auto"/>
              <w:rPr>
                <w:color w:val="auto"/>
                <w:sz w:val="21"/>
                <w:szCs w:val="21"/>
                <w:lang w:eastAsia="zh-CN"/>
              </w:rPr>
            </w:pPr>
          </w:p>
        </w:tc>
        <w:tc>
          <w:tcPr>
            <w:tcW w:w="2540"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主轴</w:t>
            </w:r>
          </w:p>
        </w:tc>
        <w:tc>
          <w:tcPr>
            <w:tcW w:w="5683"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8"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机械密封</w:t>
            </w:r>
          </w:p>
        </w:tc>
        <w:tc>
          <w:tcPr>
            <w:tcW w:w="5683"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耐腐蚀碳化钨/碳化硅，介质酸碱度范围为pH6～10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8" w:hRule="atLeast"/>
        </w:trPr>
        <w:tc>
          <w:tcPr>
            <w:tcW w:w="531" w:type="dxa"/>
            <w:vMerge w:val="continue"/>
            <w:vAlign w:val="center"/>
          </w:tcPr>
          <w:p>
            <w:pPr>
              <w:spacing w:line="360" w:lineRule="auto"/>
              <w:rPr>
                <w:color w:val="auto"/>
                <w:sz w:val="21"/>
                <w:szCs w:val="21"/>
                <w:lang w:eastAsia="zh-CN"/>
              </w:rPr>
            </w:pPr>
          </w:p>
        </w:tc>
        <w:tc>
          <w:tcPr>
            <w:tcW w:w="2540"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螺栓、螺母</w:t>
            </w:r>
          </w:p>
        </w:tc>
        <w:tc>
          <w:tcPr>
            <w:tcW w:w="5683"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8"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导轨</w:t>
            </w:r>
          </w:p>
        </w:tc>
        <w:tc>
          <w:tcPr>
            <w:tcW w:w="5683"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8"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吊链</w:t>
            </w:r>
          </w:p>
        </w:tc>
        <w:tc>
          <w:tcPr>
            <w:tcW w:w="5683" w:type="dxa"/>
            <w:vAlign w:val="center"/>
          </w:tcPr>
          <w:p>
            <w:pPr>
              <w:pStyle w:val="27"/>
              <w:spacing w:before="115"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8" w:hRule="atLeast"/>
        </w:trPr>
        <w:tc>
          <w:tcPr>
            <w:tcW w:w="531" w:type="dxa"/>
            <w:vMerge w:val="continue"/>
            <w:vAlign w:val="center"/>
          </w:tcPr>
          <w:p>
            <w:pPr>
              <w:spacing w:line="360" w:lineRule="auto"/>
              <w:rPr>
                <w:color w:val="auto"/>
                <w:sz w:val="21"/>
                <w:szCs w:val="21"/>
              </w:rPr>
            </w:pPr>
          </w:p>
        </w:tc>
        <w:tc>
          <w:tcPr>
            <w:tcW w:w="2540"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ascii="宋体" w:hAnsi="宋体" w:eastAsia="宋体" w:cs="宋体"/>
                <w:color w:val="auto"/>
                <w:spacing w:val="-6"/>
                <w:sz w:val="21"/>
                <w:szCs w:val="21"/>
                <w:lang w:eastAsia="zh-CN"/>
              </w:rPr>
              <w:t>所有连接附件、地脚螺栓</w:t>
            </w:r>
          </w:p>
        </w:tc>
        <w:tc>
          <w:tcPr>
            <w:tcW w:w="5683"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99" w:hRule="atLeast"/>
        </w:trPr>
        <w:tc>
          <w:tcPr>
            <w:tcW w:w="531" w:type="dxa"/>
            <w:vMerge w:val="restart"/>
            <w:vAlign w:val="center"/>
          </w:tcPr>
          <w:p>
            <w:pPr>
              <w:spacing w:line="360" w:lineRule="auto"/>
              <w:rPr>
                <w:color w:val="auto"/>
                <w:sz w:val="21"/>
                <w:szCs w:val="21"/>
                <w:lang w:eastAsia="zh-CN"/>
              </w:rPr>
            </w:pPr>
            <w:r>
              <w:rPr>
                <w:rFonts w:hint="eastAsia"/>
                <w:color w:val="auto"/>
                <w:sz w:val="21"/>
                <w:szCs w:val="21"/>
                <w:lang w:eastAsia="zh-CN"/>
              </w:rPr>
              <w:t>附件</w:t>
            </w:r>
          </w:p>
        </w:tc>
        <w:tc>
          <w:tcPr>
            <w:tcW w:w="2540"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电气专用保护元件</w:t>
            </w:r>
          </w:p>
        </w:tc>
        <w:tc>
          <w:tcPr>
            <w:tcW w:w="5683" w:type="dxa"/>
            <w:vAlign w:val="center"/>
          </w:tcPr>
          <w:p>
            <w:pPr>
              <w:pStyle w:val="27"/>
              <w:spacing w:line="360" w:lineRule="auto"/>
              <w:ind w:left="866" w:right="127" w:hanging="735"/>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定子绕组温度传感器、机械密封泄漏传感器、电机湿度传</w:t>
            </w:r>
            <w:r>
              <w:rPr>
                <w:rFonts w:ascii="宋体" w:hAnsi="宋体" w:eastAsia="宋体" w:cs="宋体"/>
                <w:color w:val="auto"/>
                <w:sz w:val="21"/>
                <w:szCs w:val="21"/>
                <w:lang w:eastAsia="zh-CN"/>
              </w:rPr>
              <w:t>感器、轴承温度传感器和水泵综合保护器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28" w:hRule="atLeast"/>
        </w:trPr>
        <w:tc>
          <w:tcPr>
            <w:tcW w:w="531" w:type="dxa"/>
            <w:vMerge w:val="continue"/>
            <w:vAlign w:val="center"/>
          </w:tcPr>
          <w:p>
            <w:pPr>
              <w:spacing w:line="360" w:lineRule="auto"/>
              <w:rPr>
                <w:color w:val="auto"/>
                <w:sz w:val="21"/>
                <w:szCs w:val="21"/>
                <w:lang w:eastAsia="zh-CN"/>
              </w:rPr>
            </w:pPr>
          </w:p>
        </w:tc>
        <w:tc>
          <w:tcPr>
            <w:tcW w:w="2540" w:type="dxa"/>
            <w:vAlign w:val="center"/>
          </w:tcPr>
          <w:p>
            <w:pPr>
              <w:pStyle w:val="27"/>
              <w:spacing w:line="360" w:lineRule="auto"/>
              <w:rPr>
                <w:rFonts w:ascii="宋体" w:hAnsi="宋体" w:eastAsia="宋体" w:cs="宋体"/>
                <w:color w:val="auto"/>
                <w:sz w:val="21"/>
                <w:szCs w:val="21"/>
                <w:lang w:eastAsia="zh-CN"/>
              </w:rPr>
            </w:pPr>
          </w:p>
          <w:p>
            <w:pPr>
              <w:pStyle w:val="27"/>
              <w:spacing w:line="360" w:lineRule="auto"/>
              <w:rPr>
                <w:rFonts w:ascii="宋体" w:hAnsi="宋体" w:eastAsia="宋体" w:cs="宋体"/>
                <w:color w:val="auto"/>
                <w:sz w:val="21"/>
                <w:szCs w:val="21"/>
                <w:lang w:eastAsia="zh-CN"/>
              </w:rPr>
            </w:pPr>
          </w:p>
          <w:p>
            <w:pPr>
              <w:pStyle w:val="27"/>
              <w:spacing w:before="2" w:line="360" w:lineRule="auto"/>
              <w:rPr>
                <w:rFonts w:ascii="宋体" w:hAnsi="宋体" w:eastAsia="宋体" w:cs="宋体"/>
                <w:color w:val="auto"/>
                <w:sz w:val="21"/>
                <w:szCs w:val="21"/>
                <w:lang w:eastAsia="zh-CN"/>
              </w:rPr>
            </w:pPr>
          </w:p>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综合保护器</w:t>
            </w:r>
          </w:p>
        </w:tc>
        <w:tc>
          <w:tcPr>
            <w:tcW w:w="5683" w:type="dxa"/>
            <w:vAlign w:val="center"/>
          </w:tcPr>
          <w:p>
            <w:pPr>
              <w:pStyle w:val="27"/>
              <w:spacing w:line="360" w:lineRule="auto"/>
              <w:ind w:left="98" w:right="-10"/>
              <w:rPr>
                <w:rFonts w:ascii="宋体" w:hAnsi="宋体" w:eastAsia="宋体" w:cs="宋体"/>
                <w:color w:val="auto"/>
                <w:sz w:val="21"/>
                <w:szCs w:val="21"/>
                <w:lang w:eastAsia="zh-CN"/>
              </w:rPr>
            </w:pPr>
            <w:r>
              <w:rPr>
                <w:rFonts w:ascii="宋体" w:hAnsi="宋体" w:eastAsia="宋体" w:cs="宋体"/>
                <w:color w:val="auto"/>
                <w:sz w:val="21"/>
                <w:szCs w:val="21"/>
                <w:lang w:eastAsia="zh-CN"/>
              </w:rPr>
              <w:t>每台潜水泵均应配备原厂综合保护器，用于水泵的保护报警信号的监控，应能向泵站控制室PLC传输状态显示信号并接受PLC输出信号的控制，监控继电器应安装在相应的低压配电柜。</w:t>
            </w:r>
            <w:r>
              <w:rPr>
                <w:rFonts w:ascii="宋体" w:hAnsi="宋体" w:eastAsia="宋体" w:cs="宋体"/>
                <w:color w:val="auto"/>
                <w:spacing w:val="-11"/>
                <w:sz w:val="21"/>
                <w:szCs w:val="21"/>
                <w:lang w:eastAsia="zh-CN"/>
              </w:rPr>
              <w:t>应向中控室输出“轴承超温”报警、“电机绕组超温”报警、</w:t>
            </w:r>
            <w:r>
              <w:rPr>
                <w:rFonts w:ascii="宋体" w:hAnsi="宋体" w:eastAsia="宋体" w:cs="宋体"/>
                <w:color w:val="auto"/>
                <w:sz w:val="21"/>
                <w:szCs w:val="21"/>
                <w:lang w:eastAsia="zh-CN"/>
              </w:rPr>
              <w:t>“电机湿度”报警、“密封泄漏”报警信号。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14" w:hRule="atLeast"/>
        </w:trPr>
        <w:tc>
          <w:tcPr>
            <w:tcW w:w="531" w:type="dxa"/>
            <w:vMerge w:val="continue"/>
            <w:vAlign w:val="center"/>
          </w:tcPr>
          <w:p>
            <w:pPr>
              <w:spacing w:line="360" w:lineRule="auto"/>
              <w:rPr>
                <w:color w:val="auto"/>
                <w:sz w:val="21"/>
                <w:szCs w:val="21"/>
                <w:lang w:eastAsia="zh-CN"/>
              </w:rPr>
            </w:pPr>
          </w:p>
        </w:tc>
        <w:tc>
          <w:tcPr>
            <w:tcW w:w="2540" w:type="dxa"/>
            <w:vAlign w:val="center"/>
          </w:tcPr>
          <w:p>
            <w:pPr>
              <w:pStyle w:val="27"/>
              <w:spacing w:before="149"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其它</w:t>
            </w:r>
          </w:p>
        </w:tc>
        <w:tc>
          <w:tcPr>
            <w:tcW w:w="5683" w:type="dxa"/>
            <w:vAlign w:val="center"/>
          </w:tcPr>
          <w:p>
            <w:pPr>
              <w:pStyle w:val="27"/>
              <w:spacing w:line="360" w:lineRule="auto"/>
              <w:ind w:left="237" w:right="-10" w:hanging="140"/>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配备综合保护器、耦合用导向杆、90°出水弯座、提升链、</w:t>
            </w:r>
            <w:r>
              <w:rPr>
                <w:rFonts w:ascii="宋体" w:hAnsi="宋体" w:eastAsia="宋体" w:cs="宋体"/>
                <w:color w:val="auto"/>
                <w:sz w:val="21"/>
                <w:szCs w:val="21"/>
                <w:lang w:eastAsia="zh-CN"/>
              </w:rPr>
              <w:t>水下电缆、基础螺栓等有效和安全运行所必需的附件。</w:t>
            </w:r>
          </w:p>
        </w:tc>
      </w:tr>
    </w:tbl>
    <w:p>
      <w:pPr>
        <w:pStyle w:val="29"/>
        <w:ind w:firstLine="472"/>
        <w:rPr>
          <w:color w:val="auto"/>
        </w:rPr>
      </w:pPr>
    </w:p>
    <w:p>
      <w:pPr>
        <w:pStyle w:val="30"/>
        <w:spacing w:before="120" w:after="120"/>
        <w:rPr>
          <w:bCs/>
          <w:color w:val="auto"/>
        </w:rPr>
      </w:pPr>
      <w:bookmarkStart w:id="261" w:name="_Toc117181373"/>
      <w:r>
        <w:rPr>
          <w:rFonts w:hint="eastAsia"/>
          <w:bCs/>
          <w:color w:val="auto"/>
        </w:rPr>
        <w:t>尾水泵房（清水）</w:t>
      </w:r>
      <w:bookmarkEnd w:id="261"/>
    </w:p>
    <w:p>
      <w:pPr>
        <w:pStyle w:val="31"/>
        <w:rPr>
          <w:color w:val="auto"/>
        </w:rPr>
      </w:pPr>
      <w:r>
        <w:rPr>
          <w:rFonts w:hint="eastAsia"/>
          <w:color w:val="auto"/>
        </w:rPr>
        <w:t>尾水泵</w:t>
      </w:r>
    </w:p>
    <w:tbl>
      <w:tblPr>
        <w:tblStyle w:val="25"/>
        <w:tblpPr w:leftFromText="180" w:rightFromText="180" w:vertAnchor="text" w:tblpY="1"/>
        <w:tblOverlap w:val="never"/>
        <w:tblW w:w="85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18"/>
        <w:gridCol w:w="2475"/>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993" w:type="dxa"/>
            <w:gridSpan w:val="2"/>
            <w:vAlign w:val="center"/>
          </w:tcPr>
          <w:p>
            <w:pPr>
              <w:pStyle w:val="27"/>
              <w:tabs>
                <w:tab w:val="left" w:pos="424"/>
              </w:tabs>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项</w:t>
            </w:r>
            <w:r>
              <w:rPr>
                <w:rFonts w:ascii="宋体" w:hAnsi="宋体" w:eastAsia="宋体" w:cs="宋体"/>
                <w:color w:val="auto"/>
                <w:sz w:val="21"/>
                <w:szCs w:val="21"/>
              </w:rPr>
              <w:tab/>
            </w:r>
            <w:r>
              <w:rPr>
                <w:rFonts w:ascii="宋体" w:hAnsi="宋体" w:eastAsia="宋体" w:cs="宋体"/>
                <w:color w:val="auto"/>
                <w:sz w:val="21"/>
                <w:szCs w:val="21"/>
              </w:rPr>
              <w:t>目</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pStyle w:val="27"/>
              <w:spacing w:before="88" w:line="360" w:lineRule="auto"/>
              <w:ind w:left="144" w:right="141"/>
              <w:jc w:val="center"/>
              <w:rPr>
                <w:rFonts w:ascii="宋体" w:hAnsi="宋体" w:eastAsia="宋体" w:cs="宋体"/>
                <w:color w:val="auto"/>
                <w:sz w:val="21"/>
                <w:szCs w:val="21"/>
                <w:lang w:eastAsia="zh-CN"/>
              </w:rPr>
            </w:pPr>
            <w:r>
              <w:rPr>
                <w:rFonts w:ascii="宋体" w:hAnsi="宋体" w:eastAsia="宋体" w:cs="宋体"/>
                <w:color w:val="auto"/>
                <w:sz w:val="21"/>
                <w:szCs w:val="21"/>
              </w:rPr>
              <w:t>技术规</w:t>
            </w:r>
            <w:r>
              <w:rPr>
                <w:rFonts w:hint="eastAsia" w:ascii="宋体" w:hAnsi="宋体" w:eastAsia="宋体" w:cs="宋体"/>
                <w:color w:val="auto"/>
                <w:sz w:val="21"/>
                <w:szCs w:val="21"/>
                <w:lang w:eastAsia="zh-CN"/>
              </w:rPr>
              <w:t>格</w:t>
            </w: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水泵型式</w:t>
            </w:r>
          </w:p>
        </w:tc>
        <w:tc>
          <w:tcPr>
            <w:tcW w:w="5538"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轴流泵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数量</w:t>
            </w:r>
          </w:p>
        </w:tc>
        <w:tc>
          <w:tcPr>
            <w:tcW w:w="5538" w:type="dxa"/>
            <w:vAlign w:val="center"/>
          </w:tcPr>
          <w:p>
            <w:pPr>
              <w:pStyle w:val="27"/>
              <w:spacing w:before="114"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3</w:t>
            </w:r>
            <w:r>
              <w:rPr>
                <w:rFonts w:ascii="宋体" w:hAnsi="宋体" w:eastAsia="宋体" w:cs="宋体"/>
                <w:color w:val="auto"/>
                <w:sz w:val="21"/>
                <w:szCs w:val="21"/>
              </w:rPr>
              <w:t>套</w:t>
            </w:r>
            <w:r>
              <w:rPr>
                <w:rFonts w:hint="eastAsia" w:ascii="宋体" w:hAnsi="宋体" w:eastAsia="宋体" w:cs="宋体"/>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介质</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城市污水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安装方式</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可拆卸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安装位置</w:t>
            </w:r>
          </w:p>
        </w:tc>
        <w:tc>
          <w:tcPr>
            <w:tcW w:w="5538"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中间提升泵房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工况点设计流量(m³/h)</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1250</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扬程（m）</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12</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工况点水泵效率(%)</w:t>
            </w:r>
          </w:p>
        </w:tc>
        <w:tc>
          <w:tcPr>
            <w:tcW w:w="5538" w:type="dxa"/>
            <w:vAlign w:val="center"/>
          </w:tcPr>
          <w:p>
            <w:pPr>
              <w:pStyle w:val="27"/>
              <w:spacing w:before="114" w:line="360" w:lineRule="auto"/>
              <w:ind w:left="2"/>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line="360" w:lineRule="auto"/>
              <w:ind w:left="597" w:right="173" w:hanging="420"/>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对应设计范围内的水泵</w:t>
            </w:r>
            <w:r>
              <w:rPr>
                <w:rFonts w:ascii="宋体" w:hAnsi="宋体" w:eastAsia="宋体" w:cs="宋体"/>
                <w:color w:val="auto"/>
                <w:sz w:val="21"/>
                <w:szCs w:val="21"/>
                <w:lang w:eastAsia="zh-CN"/>
              </w:rPr>
              <w:t>最低水泵效率</w:t>
            </w:r>
          </w:p>
        </w:tc>
        <w:tc>
          <w:tcPr>
            <w:tcW w:w="5538" w:type="dxa"/>
            <w:vAlign w:val="center"/>
          </w:tcPr>
          <w:p>
            <w:pPr>
              <w:pStyle w:val="27"/>
              <w:spacing w:before="150"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电机效率(%)</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启动方式</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软启动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叶轮型式</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无阻塞叶轮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电机功率(KW)</w:t>
            </w:r>
          </w:p>
        </w:tc>
        <w:tc>
          <w:tcPr>
            <w:tcW w:w="5538" w:type="dxa"/>
            <w:vAlign w:val="center"/>
          </w:tcPr>
          <w:p>
            <w:pPr>
              <w:pStyle w:val="27"/>
              <w:spacing w:before="115"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62W</w:t>
            </w:r>
            <w:r>
              <w:rPr>
                <w:rFonts w:ascii="宋体" w:hAnsi="宋体" w:eastAsia="宋体" w:cs="宋体"/>
                <w:color w:val="auto"/>
                <w:sz w:val="21"/>
                <w:szCs w:val="21"/>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电机转速（rpm）</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工作制</w:t>
            </w:r>
          </w:p>
        </w:tc>
        <w:tc>
          <w:tcPr>
            <w:tcW w:w="5538" w:type="dxa"/>
            <w:vAlign w:val="center"/>
          </w:tcPr>
          <w:p>
            <w:pPr>
              <w:pStyle w:val="27"/>
              <w:spacing w:before="114" w:line="360" w:lineRule="auto"/>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24h/d连续运行并可以间歇运行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lang w:eastAsia="zh-CN"/>
              </w:rPr>
            </w:pPr>
          </w:p>
        </w:tc>
        <w:tc>
          <w:tcPr>
            <w:tcW w:w="2475" w:type="dxa"/>
            <w:vAlign w:val="center"/>
          </w:tcPr>
          <w:p>
            <w:pPr>
              <w:pStyle w:val="27"/>
              <w:spacing w:before="150" w:line="360" w:lineRule="auto"/>
              <w:jc w:val="center"/>
              <w:rPr>
                <w:rFonts w:ascii="宋体" w:hAnsi="宋体" w:eastAsia="宋体" w:cs="宋体"/>
                <w:color w:val="auto"/>
                <w:sz w:val="21"/>
                <w:szCs w:val="21"/>
              </w:rPr>
            </w:pPr>
            <w:r>
              <w:rPr>
                <w:rFonts w:ascii="宋体" w:hAnsi="宋体" w:eastAsia="宋体" w:cs="宋体"/>
                <w:color w:val="auto"/>
                <w:sz w:val="21"/>
                <w:szCs w:val="21"/>
              </w:rPr>
              <w:t>冷却方式</w:t>
            </w:r>
          </w:p>
        </w:tc>
        <w:tc>
          <w:tcPr>
            <w:tcW w:w="5538" w:type="dxa"/>
            <w:vAlign w:val="center"/>
          </w:tcPr>
          <w:p>
            <w:pPr>
              <w:pStyle w:val="27"/>
              <w:spacing w:line="360" w:lineRule="auto"/>
              <w:ind w:left="98" w:right="-10"/>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电机冷却需采用直接冷却，如果在停机水位不够的情况下，采用内循环油冷却系统电机，不可以采用水冷夹套的形式。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lang w:eastAsia="zh-CN"/>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供电电源</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color w:val="auto"/>
                <w:sz w:val="21"/>
                <w:szCs w:val="21"/>
              </w:rPr>
              <w:t>3Ph/50Hz/380V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防护等级</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color w:val="auto"/>
                <w:sz w:val="21"/>
                <w:szCs w:val="21"/>
              </w:rPr>
              <w:t>IP68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出口口径（mm）</w:t>
            </w:r>
          </w:p>
        </w:tc>
        <w:tc>
          <w:tcPr>
            <w:tcW w:w="5538" w:type="dxa"/>
            <w:vAlign w:val="center"/>
          </w:tcPr>
          <w:p>
            <w:pPr>
              <w:pStyle w:val="27"/>
              <w:spacing w:before="115" w:line="360" w:lineRule="auto"/>
              <w:ind w:left="2"/>
              <w:jc w:val="center"/>
              <w:rPr>
                <w:rFonts w:ascii="宋体" w:hAnsi="宋体" w:eastAsia="宋体" w:cs="宋体"/>
                <w:color w:val="auto"/>
                <w:sz w:val="21"/>
                <w:szCs w:val="21"/>
                <w:lang w:eastAsia="zh-CN"/>
              </w:rPr>
            </w:pPr>
            <w:r>
              <w:rPr>
                <w:rFonts w:hint="eastAsia" w:ascii="宋体"/>
                <w:color w:val="auto"/>
                <w:sz w:val="21"/>
                <w:szCs w:val="21"/>
                <w:lang w:eastAsia="zh-CN"/>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颗粒通过能力（mm）</w:t>
            </w:r>
          </w:p>
        </w:tc>
        <w:tc>
          <w:tcPr>
            <w:tcW w:w="5538" w:type="dxa"/>
            <w:vAlign w:val="center"/>
          </w:tcPr>
          <w:p>
            <w:pPr>
              <w:pStyle w:val="27"/>
              <w:spacing w:before="114"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噪声(dB(A))</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≤80DB(A)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电缆长度</w:t>
            </w:r>
          </w:p>
        </w:tc>
        <w:tc>
          <w:tcPr>
            <w:tcW w:w="5538" w:type="dxa"/>
            <w:vAlign w:val="center"/>
          </w:tcPr>
          <w:p>
            <w:pPr>
              <w:pStyle w:val="27"/>
              <w:spacing w:line="360" w:lineRule="auto"/>
              <w:ind w:left="1497" w:right="103" w:hanging="1392"/>
              <w:rPr>
                <w:rFonts w:ascii="宋体" w:hAnsi="宋体" w:eastAsia="宋体" w:cs="宋体"/>
                <w:color w:val="auto"/>
                <w:sz w:val="21"/>
                <w:szCs w:val="21"/>
                <w:lang w:eastAsia="zh-CN"/>
              </w:rPr>
            </w:pPr>
            <w:r>
              <w:rPr>
                <w:rFonts w:ascii="宋体" w:hAnsi="宋体" w:eastAsia="宋体" w:cs="宋体"/>
                <w:color w:val="auto"/>
                <w:sz w:val="21"/>
                <w:szCs w:val="21"/>
                <w:lang w:eastAsia="zh-CN"/>
              </w:rPr>
              <w:t>10</w:t>
            </w:r>
            <w:r>
              <w:rPr>
                <w:rFonts w:ascii="宋体" w:hAnsi="宋体" w:eastAsia="宋体" w:cs="宋体"/>
                <w:color w:val="auto"/>
                <w:spacing w:val="-6"/>
                <w:sz w:val="21"/>
                <w:szCs w:val="21"/>
                <w:lang w:eastAsia="zh-CN"/>
              </w:rPr>
              <w:t>米/根（暂定），与水泵配套，完好无接驳口，达到规范</w:t>
            </w:r>
            <w:r>
              <w:rPr>
                <w:rFonts w:ascii="宋体" w:hAnsi="宋体" w:eastAsia="宋体" w:cs="宋体"/>
                <w:color w:val="auto"/>
                <w:sz w:val="21"/>
                <w:szCs w:val="21"/>
                <w:lang w:eastAsia="zh-CN"/>
              </w:rPr>
              <w:t>要求的防水等级及绝缘等级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lang w:eastAsia="zh-CN"/>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最小绝缘等级</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color w:val="auto"/>
                <w:sz w:val="21"/>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机械密封的使用寿命</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不低于30,000小时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轴承寿命(L10)</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不得少于100,000</w:t>
            </w:r>
            <w:r>
              <w:rPr>
                <w:rFonts w:ascii="宋体" w:hAnsi="宋体" w:eastAsia="宋体" w:cs="宋体"/>
                <w:color w:val="auto"/>
                <w:spacing w:val="-3"/>
                <w:sz w:val="21"/>
                <w:szCs w:val="21"/>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line="360" w:lineRule="auto"/>
              <w:ind w:left="280" w:right="94" w:hanging="183"/>
              <w:rPr>
                <w:rFonts w:ascii="宋体" w:hAnsi="宋体" w:eastAsia="宋体" w:cs="宋体"/>
                <w:color w:val="auto"/>
                <w:sz w:val="21"/>
                <w:szCs w:val="21"/>
                <w:lang w:eastAsia="zh-CN"/>
              </w:rPr>
            </w:pPr>
            <w:r>
              <w:rPr>
                <w:rFonts w:ascii="宋体" w:hAnsi="宋体" w:eastAsia="宋体" w:cs="宋体"/>
                <w:color w:val="auto"/>
                <w:sz w:val="21"/>
                <w:szCs w:val="21"/>
                <w:lang w:eastAsia="zh-CN"/>
              </w:rPr>
              <w:t>能够在20m水深下持续长期运行安全运行时间</w:t>
            </w:r>
          </w:p>
        </w:tc>
        <w:tc>
          <w:tcPr>
            <w:tcW w:w="5538"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至少为20,000小时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rPr>
            </w:pPr>
          </w:p>
        </w:tc>
        <w:tc>
          <w:tcPr>
            <w:tcW w:w="2475" w:type="dxa"/>
            <w:vAlign w:val="center"/>
          </w:tcPr>
          <w:p>
            <w:pPr>
              <w:pStyle w:val="27"/>
              <w:spacing w:line="360" w:lineRule="auto"/>
              <w:ind w:left="1017" w:right="279" w:hanging="737"/>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允许每小时启动次数</w:t>
            </w:r>
            <w:r>
              <w:rPr>
                <w:rFonts w:ascii="宋体" w:hAnsi="宋体" w:eastAsia="宋体" w:cs="宋体"/>
                <w:color w:val="auto"/>
                <w:sz w:val="21"/>
                <w:szCs w:val="21"/>
                <w:lang w:eastAsia="zh-CN"/>
              </w:rPr>
              <w:t>(次)</w:t>
            </w:r>
          </w:p>
        </w:tc>
        <w:tc>
          <w:tcPr>
            <w:tcW w:w="5538"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≥12次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spacing w:line="360" w:lineRule="auto"/>
              <w:jc w:val="center"/>
              <w:rPr>
                <w:color w:val="auto"/>
                <w:sz w:val="21"/>
                <w:szCs w:val="21"/>
                <w:lang w:eastAsia="zh-CN"/>
              </w:rPr>
            </w:pPr>
            <w:r>
              <w:rPr>
                <w:rFonts w:hint="eastAsia"/>
                <w:color w:val="auto"/>
                <w:sz w:val="21"/>
                <w:szCs w:val="21"/>
                <w:lang w:eastAsia="zh-CN"/>
              </w:rPr>
              <w:t>材质</w:t>
            </w: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泵壳、电机壳</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不低于灰铸铁GG25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jc w:val="center"/>
              <w:rPr>
                <w:color w:val="auto"/>
                <w:sz w:val="21"/>
                <w:szCs w:val="21"/>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叶轮</w:t>
            </w:r>
          </w:p>
        </w:tc>
        <w:tc>
          <w:tcPr>
            <w:tcW w:w="5538" w:type="dxa"/>
            <w:vAlign w:val="center"/>
          </w:tcPr>
          <w:p>
            <w:pPr>
              <w:pStyle w:val="27"/>
              <w:spacing w:before="114" w:line="360" w:lineRule="auto"/>
              <w:ind w:left="1"/>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不低于球墨铸铁GGG60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jc w:val="center"/>
              <w:rPr>
                <w:color w:val="auto"/>
                <w:sz w:val="21"/>
                <w:szCs w:val="21"/>
                <w:lang w:eastAsia="zh-CN"/>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主轴</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jc w:val="center"/>
              <w:rPr>
                <w:color w:val="auto"/>
                <w:sz w:val="21"/>
                <w:szCs w:val="21"/>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机械密封</w:t>
            </w:r>
          </w:p>
        </w:tc>
        <w:tc>
          <w:tcPr>
            <w:tcW w:w="5538"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耐腐蚀碳化钨/碳化硅，介质酸碱度范围为pH6～10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jc w:val="center"/>
              <w:rPr>
                <w:color w:val="auto"/>
                <w:sz w:val="21"/>
                <w:szCs w:val="21"/>
                <w:lang w:eastAsia="zh-CN"/>
              </w:rPr>
            </w:pPr>
          </w:p>
        </w:tc>
        <w:tc>
          <w:tcPr>
            <w:tcW w:w="2475"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螺栓、螺母</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jc w:val="center"/>
              <w:rPr>
                <w:color w:val="auto"/>
                <w:sz w:val="21"/>
                <w:szCs w:val="21"/>
              </w:rPr>
            </w:pPr>
          </w:p>
        </w:tc>
        <w:tc>
          <w:tcPr>
            <w:tcW w:w="2475" w:type="dxa"/>
            <w:vAlign w:val="center"/>
          </w:tcPr>
          <w:p>
            <w:pPr>
              <w:pStyle w:val="27"/>
              <w:spacing w:before="114"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导轨</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jc w:val="center"/>
              <w:rPr>
                <w:color w:val="auto"/>
                <w:sz w:val="21"/>
                <w:szCs w:val="21"/>
              </w:rPr>
            </w:pPr>
          </w:p>
        </w:tc>
        <w:tc>
          <w:tcPr>
            <w:tcW w:w="2475" w:type="dxa"/>
            <w:vAlign w:val="center"/>
          </w:tcPr>
          <w:p>
            <w:pPr>
              <w:pStyle w:val="27"/>
              <w:spacing w:before="115"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吊链</w:t>
            </w:r>
          </w:p>
        </w:tc>
        <w:tc>
          <w:tcPr>
            <w:tcW w:w="5538" w:type="dxa"/>
            <w:vAlign w:val="center"/>
          </w:tcPr>
          <w:p>
            <w:pPr>
              <w:pStyle w:val="27"/>
              <w:spacing w:before="115"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jc w:val="center"/>
              <w:rPr>
                <w:color w:val="auto"/>
                <w:sz w:val="21"/>
                <w:szCs w:val="21"/>
              </w:rPr>
            </w:pPr>
          </w:p>
        </w:tc>
        <w:tc>
          <w:tcPr>
            <w:tcW w:w="2475" w:type="dxa"/>
            <w:vAlign w:val="center"/>
          </w:tcPr>
          <w:p>
            <w:pPr>
              <w:pStyle w:val="27"/>
              <w:spacing w:before="114" w:line="360" w:lineRule="auto"/>
              <w:ind w:left="2"/>
              <w:jc w:val="center"/>
              <w:rPr>
                <w:rFonts w:ascii="宋体" w:hAnsi="宋体" w:eastAsia="宋体" w:cs="宋体"/>
                <w:color w:val="auto"/>
                <w:sz w:val="21"/>
                <w:szCs w:val="21"/>
                <w:lang w:eastAsia="zh-CN"/>
              </w:rPr>
            </w:pPr>
            <w:r>
              <w:rPr>
                <w:rFonts w:ascii="宋体" w:hAnsi="宋体" w:eastAsia="宋体" w:cs="宋体"/>
                <w:color w:val="auto"/>
                <w:spacing w:val="-6"/>
                <w:sz w:val="21"/>
                <w:szCs w:val="21"/>
                <w:lang w:eastAsia="zh-CN"/>
              </w:rPr>
              <w:t>所有连接附件、地脚螺栓</w:t>
            </w:r>
          </w:p>
        </w:tc>
        <w:tc>
          <w:tcPr>
            <w:tcW w:w="5538" w:type="dxa"/>
            <w:vAlign w:val="center"/>
          </w:tcPr>
          <w:p>
            <w:pPr>
              <w:pStyle w:val="27"/>
              <w:spacing w:before="114" w:line="360" w:lineRule="auto"/>
              <w:jc w:val="center"/>
              <w:rPr>
                <w:rFonts w:ascii="宋体" w:hAnsi="宋体" w:eastAsia="宋体" w:cs="宋体"/>
                <w:color w:val="auto"/>
                <w:sz w:val="21"/>
                <w:szCs w:val="21"/>
              </w:rPr>
            </w:pPr>
            <w:r>
              <w:rPr>
                <w:rFonts w:ascii="宋体" w:hAnsi="宋体" w:eastAsia="宋体" w:cs="宋体"/>
                <w:color w:val="auto"/>
                <w:sz w:val="21"/>
                <w:szCs w:val="21"/>
              </w:rPr>
              <w:t>不低于不锈钢304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restart"/>
            <w:vAlign w:val="center"/>
          </w:tcPr>
          <w:p>
            <w:pPr>
              <w:spacing w:line="360" w:lineRule="auto"/>
              <w:jc w:val="center"/>
              <w:rPr>
                <w:color w:val="auto"/>
                <w:sz w:val="21"/>
                <w:szCs w:val="21"/>
                <w:lang w:eastAsia="zh-CN"/>
              </w:rPr>
            </w:pPr>
            <w:r>
              <w:rPr>
                <w:rFonts w:hint="eastAsia"/>
                <w:color w:val="auto"/>
                <w:sz w:val="21"/>
                <w:szCs w:val="21"/>
                <w:lang w:eastAsia="zh-CN"/>
              </w:rPr>
              <w:t>附件</w:t>
            </w:r>
          </w:p>
        </w:tc>
        <w:tc>
          <w:tcPr>
            <w:tcW w:w="2475" w:type="dxa"/>
            <w:vAlign w:val="center"/>
          </w:tcPr>
          <w:p>
            <w:pPr>
              <w:pStyle w:val="27"/>
              <w:spacing w:before="148" w:line="360" w:lineRule="auto"/>
              <w:jc w:val="center"/>
              <w:rPr>
                <w:rFonts w:ascii="宋体" w:hAnsi="宋体" w:eastAsia="宋体" w:cs="宋体"/>
                <w:color w:val="auto"/>
                <w:sz w:val="21"/>
                <w:szCs w:val="21"/>
              </w:rPr>
            </w:pPr>
            <w:r>
              <w:rPr>
                <w:rFonts w:ascii="宋体" w:hAnsi="宋体" w:eastAsia="宋体" w:cs="宋体"/>
                <w:color w:val="auto"/>
                <w:sz w:val="21"/>
                <w:szCs w:val="21"/>
              </w:rPr>
              <w:t>电气专用保护元件</w:t>
            </w:r>
          </w:p>
        </w:tc>
        <w:tc>
          <w:tcPr>
            <w:tcW w:w="5538" w:type="dxa"/>
            <w:vAlign w:val="center"/>
          </w:tcPr>
          <w:p>
            <w:pPr>
              <w:pStyle w:val="27"/>
              <w:spacing w:line="360" w:lineRule="auto"/>
              <w:ind w:left="866" w:right="127" w:hanging="735"/>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定子绕组温度传感器、机械密封泄漏传感器、电机湿度传</w:t>
            </w:r>
            <w:r>
              <w:rPr>
                <w:rFonts w:ascii="宋体" w:hAnsi="宋体" w:eastAsia="宋体" w:cs="宋体"/>
                <w:color w:val="auto"/>
                <w:sz w:val="21"/>
                <w:szCs w:val="21"/>
                <w:lang w:eastAsia="zh-CN"/>
              </w:rPr>
              <w:t>感器、轴承温度传感器和水泵综合保护器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lang w:eastAsia="zh-CN"/>
              </w:rPr>
            </w:pPr>
          </w:p>
        </w:tc>
        <w:tc>
          <w:tcPr>
            <w:tcW w:w="2475" w:type="dxa"/>
            <w:vAlign w:val="center"/>
          </w:tcPr>
          <w:p>
            <w:pPr>
              <w:pStyle w:val="27"/>
              <w:spacing w:line="360" w:lineRule="auto"/>
              <w:rPr>
                <w:rFonts w:ascii="宋体" w:hAnsi="宋体" w:eastAsia="宋体" w:cs="宋体"/>
                <w:color w:val="auto"/>
                <w:sz w:val="21"/>
                <w:szCs w:val="21"/>
                <w:lang w:eastAsia="zh-CN"/>
              </w:rPr>
            </w:pPr>
          </w:p>
          <w:p>
            <w:pPr>
              <w:pStyle w:val="27"/>
              <w:spacing w:line="360" w:lineRule="auto"/>
              <w:rPr>
                <w:rFonts w:ascii="宋体" w:hAnsi="宋体" w:eastAsia="宋体" w:cs="宋体"/>
                <w:color w:val="auto"/>
                <w:sz w:val="21"/>
                <w:szCs w:val="21"/>
                <w:lang w:eastAsia="zh-CN"/>
              </w:rPr>
            </w:pPr>
          </w:p>
          <w:p>
            <w:pPr>
              <w:pStyle w:val="27"/>
              <w:spacing w:before="2" w:line="360" w:lineRule="auto"/>
              <w:rPr>
                <w:rFonts w:ascii="宋体" w:hAnsi="宋体" w:eastAsia="宋体" w:cs="宋体"/>
                <w:color w:val="auto"/>
                <w:sz w:val="21"/>
                <w:szCs w:val="21"/>
                <w:lang w:eastAsia="zh-CN"/>
              </w:rPr>
            </w:pPr>
          </w:p>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综合保护器</w:t>
            </w:r>
          </w:p>
        </w:tc>
        <w:tc>
          <w:tcPr>
            <w:tcW w:w="5538" w:type="dxa"/>
            <w:vAlign w:val="center"/>
          </w:tcPr>
          <w:p>
            <w:pPr>
              <w:pStyle w:val="27"/>
              <w:spacing w:line="360" w:lineRule="auto"/>
              <w:ind w:left="98" w:right="-10"/>
              <w:rPr>
                <w:rFonts w:ascii="宋体" w:hAnsi="宋体" w:eastAsia="宋体" w:cs="宋体"/>
                <w:color w:val="auto"/>
                <w:sz w:val="21"/>
                <w:szCs w:val="21"/>
                <w:lang w:eastAsia="zh-CN"/>
              </w:rPr>
            </w:pPr>
            <w:r>
              <w:rPr>
                <w:rFonts w:ascii="宋体" w:hAnsi="宋体" w:eastAsia="宋体" w:cs="宋体"/>
                <w:color w:val="auto"/>
                <w:sz w:val="21"/>
                <w:szCs w:val="21"/>
                <w:lang w:eastAsia="zh-CN"/>
              </w:rPr>
              <w:t>每台潜水泵均应配备原厂综合保护器，用于水泵的保护报警信号的监控，应能向泵站控制室PLC传输状态显示信号并接受PLC输出信号的控制，监控继电器应安装在相应的低压配电柜。</w:t>
            </w:r>
            <w:r>
              <w:rPr>
                <w:rFonts w:ascii="宋体" w:hAnsi="宋体" w:eastAsia="宋体" w:cs="宋体"/>
                <w:color w:val="auto"/>
                <w:spacing w:val="-11"/>
                <w:sz w:val="21"/>
                <w:szCs w:val="21"/>
                <w:lang w:eastAsia="zh-CN"/>
              </w:rPr>
              <w:t>应向中控室输出“轴承超温”报警、“电机绕组超温”报警、</w:t>
            </w:r>
            <w:r>
              <w:rPr>
                <w:rFonts w:ascii="宋体" w:hAnsi="宋体" w:eastAsia="宋体" w:cs="宋体"/>
                <w:color w:val="auto"/>
                <w:sz w:val="21"/>
                <w:szCs w:val="21"/>
                <w:lang w:eastAsia="zh-CN"/>
              </w:rPr>
              <w:t>“电机湿度”报警、“密封泄漏”报警信号。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18" w:type="dxa"/>
            <w:vMerge w:val="continue"/>
            <w:vAlign w:val="center"/>
          </w:tcPr>
          <w:p>
            <w:pPr>
              <w:spacing w:line="360" w:lineRule="auto"/>
              <w:rPr>
                <w:color w:val="auto"/>
                <w:sz w:val="21"/>
                <w:szCs w:val="21"/>
                <w:lang w:eastAsia="zh-CN"/>
              </w:rPr>
            </w:pPr>
          </w:p>
        </w:tc>
        <w:tc>
          <w:tcPr>
            <w:tcW w:w="2475" w:type="dxa"/>
            <w:vAlign w:val="center"/>
          </w:tcPr>
          <w:p>
            <w:pPr>
              <w:pStyle w:val="27"/>
              <w:spacing w:before="149"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其它</w:t>
            </w:r>
          </w:p>
        </w:tc>
        <w:tc>
          <w:tcPr>
            <w:tcW w:w="5538" w:type="dxa"/>
            <w:vAlign w:val="center"/>
          </w:tcPr>
          <w:p>
            <w:pPr>
              <w:pStyle w:val="27"/>
              <w:spacing w:line="360" w:lineRule="auto"/>
              <w:ind w:left="237" w:right="-10" w:hanging="140"/>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配备综合保护器、耦合用导向杆、90°出水弯座、提升链、</w:t>
            </w:r>
            <w:r>
              <w:rPr>
                <w:rFonts w:ascii="宋体" w:hAnsi="宋体" w:eastAsia="宋体" w:cs="宋体"/>
                <w:color w:val="auto"/>
                <w:sz w:val="21"/>
                <w:szCs w:val="21"/>
                <w:lang w:eastAsia="zh-CN"/>
              </w:rPr>
              <w:t>水下电缆、基础螺栓等有效和安全运行所必需的附件。</w:t>
            </w:r>
          </w:p>
        </w:tc>
      </w:tr>
    </w:tbl>
    <w:p>
      <w:pPr>
        <w:pStyle w:val="29"/>
        <w:ind w:firstLine="472"/>
        <w:rPr>
          <w:color w:val="auto"/>
        </w:rPr>
      </w:pPr>
    </w:p>
    <w:p>
      <w:pPr>
        <w:pStyle w:val="31"/>
        <w:rPr>
          <w:color w:val="auto"/>
        </w:rPr>
      </w:pPr>
      <w:r>
        <w:rPr>
          <w:rFonts w:hint="eastAsia"/>
          <w:color w:val="auto"/>
        </w:rPr>
        <w:t>闸门</w:t>
      </w:r>
    </w:p>
    <w:tbl>
      <w:tblPr>
        <w:tblStyle w:val="25"/>
        <w:tblW w:w="8932" w:type="dxa"/>
        <w:tblInd w:w="118" w:type="dxa"/>
        <w:tblLayout w:type="fixed"/>
        <w:tblCellMar>
          <w:top w:w="0" w:type="dxa"/>
          <w:left w:w="0" w:type="dxa"/>
          <w:bottom w:w="0" w:type="dxa"/>
          <w:right w:w="0" w:type="dxa"/>
        </w:tblCellMar>
      </w:tblPr>
      <w:tblGrid>
        <w:gridCol w:w="2408"/>
        <w:gridCol w:w="1704"/>
        <w:gridCol w:w="835"/>
        <w:gridCol w:w="3135"/>
        <w:gridCol w:w="850"/>
      </w:tblGrid>
      <w:tr>
        <w:tblPrEx>
          <w:tblLayout w:type="fixed"/>
          <w:tblCellMar>
            <w:top w:w="0" w:type="dxa"/>
            <w:left w:w="0" w:type="dxa"/>
            <w:bottom w:w="0" w:type="dxa"/>
            <w:right w:w="0" w:type="dxa"/>
          </w:tblCellMar>
        </w:tblPrEx>
        <w:tc>
          <w:tcPr>
            <w:tcW w:w="2408" w:type="dxa"/>
            <w:tcBorders>
              <w:top w:val="single" w:color="000000" w:sz="2" w:space="0"/>
              <w:left w:val="single" w:color="000000" w:sz="2" w:space="0"/>
              <w:bottom w:val="single" w:color="000000" w:sz="6" w:space="0"/>
              <w:right w:val="single" w:color="000000" w:sz="6" w:space="0"/>
            </w:tcBorders>
            <w:vAlign w:val="center"/>
          </w:tcPr>
          <w:p>
            <w:pPr>
              <w:pStyle w:val="27"/>
              <w:spacing w:before="11" w:line="360" w:lineRule="auto"/>
              <w:jc w:val="center"/>
              <w:rPr>
                <w:rFonts w:ascii="宋体" w:hAnsi="宋体" w:eastAsia="宋体" w:cs="宋体"/>
                <w:b/>
                <w:color w:val="auto"/>
                <w:sz w:val="21"/>
                <w:szCs w:val="21"/>
              </w:rPr>
            </w:pPr>
            <w:r>
              <w:rPr>
                <w:rFonts w:ascii="宋体" w:hAnsi="宋体" w:eastAsia="宋体" w:cs="宋体"/>
                <w:b/>
                <w:color w:val="auto"/>
                <w:sz w:val="21"/>
                <w:szCs w:val="21"/>
              </w:rPr>
              <w:t>设备名称</w:t>
            </w:r>
          </w:p>
        </w:tc>
        <w:tc>
          <w:tcPr>
            <w:tcW w:w="1704" w:type="dxa"/>
            <w:tcBorders>
              <w:top w:val="single" w:color="000000" w:sz="2" w:space="0"/>
              <w:left w:val="single" w:color="000000" w:sz="6" w:space="0"/>
              <w:bottom w:val="single" w:color="000000" w:sz="6" w:space="0"/>
              <w:right w:val="single" w:color="000000" w:sz="6" w:space="0"/>
            </w:tcBorders>
            <w:vAlign w:val="center"/>
          </w:tcPr>
          <w:p>
            <w:pPr>
              <w:pStyle w:val="27"/>
              <w:spacing w:before="11" w:line="360" w:lineRule="auto"/>
              <w:jc w:val="center"/>
              <w:rPr>
                <w:rFonts w:ascii="宋体" w:hAnsi="宋体" w:eastAsia="宋体" w:cs="宋体"/>
                <w:b/>
                <w:color w:val="auto"/>
                <w:sz w:val="21"/>
                <w:szCs w:val="21"/>
              </w:rPr>
            </w:pPr>
            <w:r>
              <w:rPr>
                <w:rFonts w:ascii="宋体" w:hAnsi="宋体" w:eastAsia="宋体" w:cs="宋体"/>
                <w:b/>
                <w:color w:val="auto"/>
                <w:sz w:val="21"/>
                <w:szCs w:val="21"/>
              </w:rPr>
              <w:t>规格</w:t>
            </w:r>
          </w:p>
        </w:tc>
        <w:tc>
          <w:tcPr>
            <w:tcW w:w="835" w:type="dxa"/>
            <w:tcBorders>
              <w:top w:val="single" w:color="000000" w:sz="2" w:space="0"/>
              <w:left w:val="single" w:color="000000" w:sz="6" w:space="0"/>
              <w:bottom w:val="single" w:color="000000" w:sz="6" w:space="0"/>
              <w:right w:val="single" w:color="000000" w:sz="2" w:space="0"/>
            </w:tcBorders>
            <w:vAlign w:val="center"/>
          </w:tcPr>
          <w:p>
            <w:pPr>
              <w:pStyle w:val="27"/>
              <w:spacing w:before="11" w:line="360" w:lineRule="auto"/>
              <w:ind w:left="-1"/>
              <w:jc w:val="center"/>
              <w:rPr>
                <w:rFonts w:ascii="宋体" w:hAnsi="宋体" w:eastAsia="宋体" w:cs="宋体"/>
                <w:b/>
                <w:color w:val="auto"/>
                <w:sz w:val="21"/>
                <w:szCs w:val="21"/>
              </w:rPr>
            </w:pPr>
            <w:r>
              <w:rPr>
                <w:rFonts w:ascii="宋体" w:hAnsi="宋体" w:eastAsia="宋体" w:cs="宋体"/>
                <w:b/>
                <w:color w:val="auto"/>
                <w:sz w:val="21"/>
                <w:szCs w:val="21"/>
              </w:rPr>
              <w:t>数量</w:t>
            </w:r>
          </w:p>
        </w:tc>
        <w:tc>
          <w:tcPr>
            <w:tcW w:w="3135" w:type="dxa"/>
            <w:tcBorders>
              <w:top w:val="single" w:color="000000" w:sz="2" w:space="0"/>
              <w:left w:val="single" w:color="000000" w:sz="2" w:space="0"/>
              <w:bottom w:val="single" w:color="000000" w:sz="6" w:space="0"/>
              <w:right w:val="single" w:color="000000" w:sz="2" w:space="0"/>
            </w:tcBorders>
            <w:vAlign w:val="center"/>
          </w:tcPr>
          <w:p>
            <w:pPr>
              <w:pStyle w:val="27"/>
              <w:spacing w:before="11" w:line="360" w:lineRule="auto"/>
              <w:ind w:left="-1"/>
              <w:jc w:val="center"/>
              <w:rPr>
                <w:rFonts w:ascii="宋体" w:hAnsi="宋体" w:eastAsia="宋体" w:cs="宋体"/>
                <w:b/>
                <w:color w:val="auto"/>
                <w:sz w:val="21"/>
                <w:szCs w:val="21"/>
              </w:rPr>
            </w:pPr>
            <w:r>
              <w:rPr>
                <w:rFonts w:ascii="宋体" w:hAnsi="宋体" w:eastAsia="宋体" w:cs="宋体"/>
                <w:b/>
                <w:color w:val="auto"/>
                <w:sz w:val="21"/>
                <w:szCs w:val="21"/>
              </w:rPr>
              <w:t>启闭方式</w:t>
            </w:r>
          </w:p>
        </w:tc>
        <w:tc>
          <w:tcPr>
            <w:tcW w:w="850" w:type="dxa"/>
            <w:tcBorders>
              <w:top w:val="single" w:color="000000" w:sz="2" w:space="0"/>
              <w:left w:val="single" w:color="000000" w:sz="2" w:space="0"/>
              <w:bottom w:val="single" w:color="000000" w:sz="6" w:space="0"/>
              <w:right w:val="single" w:color="000000" w:sz="2" w:space="0"/>
            </w:tcBorders>
            <w:vAlign w:val="center"/>
          </w:tcPr>
          <w:p>
            <w:pPr>
              <w:pStyle w:val="27"/>
              <w:spacing w:before="11" w:line="360" w:lineRule="auto"/>
              <w:jc w:val="center"/>
              <w:rPr>
                <w:rFonts w:ascii="宋体" w:hAnsi="宋体" w:eastAsia="宋体" w:cs="宋体"/>
                <w:b/>
                <w:color w:val="auto"/>
                <w:sz w:val="21"/>
                <w:szCs w:val="21"/>
              </w:rPr>
            </w:pPr>
            <w:r>
              <w:rPr>
                <w:rFonts w:ascii="宋体" w:hAnsi="宋体" w:eastAsia="宋体" w:cs="宋体"/>
                <w:b/>
                <w:color w:val="auto"/>
                <w:sz w:val="21"/>
                <w:szCs w:val="21"/>
              </w:rPr>
              <w:t>材质</w:t>
            </w:r>
          </w:p>
        </w:tc>
      </w:tr>
      <w:tr>
        <w:tblPrEx>
          <w:tblLayout w:type="fixed"/>
          <w:tblCellMar>
            <w:top w:w="0" w:type="dxa"/>
            <w:left w:w="0" w:type="dxa"/>
            <w:bottom w:w="0" w:type="dxa"/>
            <w:right w:w="0" w:type="dxa"/>
          </w:tblCellMar>
        </w:tblPrEx>
        <w:tc>
          <w:tcPr>
            <w:tcW w:w="2408" w:type="dxa"/>
            <w:tcBorders>
              <w:top w:val="single" w:color="000000" w:sz="6" w:space="0"/>
              <w:left w:val="single" w:color="000000" w:sz="2" w:space="0"/>
              <w:bottom w:val="single" w:color="000000" w:sz="6" w:space="0"/>
              <w:right w:val="single" w:color="000000" w:sz="6" w:space="0"/>
            </w:tcBorders>
            <w:vAlign w:val="center"/>
          </w:tcPr>
          <w:p>
            <w:pPr>
              <w:spacing w:line="360" w:lineRule="auto"/>
              <w:rPr>
                <w:rFonts w:ascii="Times New Roman" w:hAnsi="Times New Roman" w:cs="Times New Roman"/>
                <w:color w:val="auto"/>
                <w:sz w:val="21"/>
                <w:szCs w:val="21"/>
              </w:rPr>
            </w:pPr>
            <w:r>
              <w:rPr>
                <w:rFonts w:ascii="Times New Roman" w:hAnsi="Times New Roman" w:cs="Times New Roman"/>
                <w:color w:val="auto"/>
                <w:sz w:val="21"/>
                <w:szCs w:val="21"/>
              </w:rPr>
              <w:t>电动蝶阀</w:t>
            </w:r>
          </w:p>
        </w:tc>
        <w:tc>
          <w:tcPr>
            <w:tcW w:w="1704" w:type="dxa"/>
            <w:tcBorders>
              <w:top w:val="single" w:color="000000" w:sz="6" w:space="0"/>
              <w:left w:val="single" w:color="000000" w:sz="6" w:space="0"/>
              <w:bottom w:val="single" w:color="000000" w:sz="6" w:space="0"/>
              <w:right w:val="single" w:color="000000" w:sz="6" w:space="0"/>
            </w:tcBorders>
            <w:vAlign w:val="center"/>
          </w:tcPr>
          <w:p>
            <w:pPr>
              <w:spacing w:line="360" w:lineRule="auto"/>
              <w:rPr>
                <w:rFonts w:ascii="Times New Roman" w:hAnsi="Times New Roman" w:cs="Times New Roman"/>
                <w:color w:val="auto"/>
                <w:sz w:val="21"/>
                <w:szCs w:val="21"/>
              </w:rPr>
            </w:pPr>
            <w:r>
              <w:rPr>
                <w:rFonts w:ascii="Times New Roman" w:hAnsi="Times New Roman" w:cs="Times New Roman"/>
                <w:color w:val="auto"/>
                <w:sz w:val="21"/>
                <w:szCs w:val="21"/>
              </w:rPr>
              <w:t>DN700L=292，P=1.5kW</w:t>
            </w:r>
          </w:p>
        </w:tc>
        <w:tc>
          <w:tcPr>
            <w:tcW w:w="835" w:type="dxa"/>
            <w:tcBorders>
              <w:top w:val="single" w:color="000000" w:sz="6" w:space="0"/>
              <w:left w:val="single" w:color="000000" w:sz="6" w:space="0"/>
              <w:bottom w:val="single" w:color="000000" w:sz="6" w:space="0"/>
              <w:right w:val="single" w:color="000000" w:sz="2" w:space="0"/>
            </w:tcBorders>
            <w:vAlign w:val="center"/>
          </w:tcPr>
          <w:p>
            <w:pPr>
              <w:spacing w:line="360" w:lineRule="auto"/>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3135" w:type="dxa"/>
            <w:tcBorders>
              <w:top w:val="single" w:color="000000" w:sz="6" w:space="0"/>
              <w:left w:val="single" w:color="000000" w:sz="2" w:space="0"/>
              <w:bottom w:val="single" w:color="000000" w:sz="6" w:space="0"/>
              <w:right w:val="single" w:color="000000" w:sz="2" w:space="0"/>
            </w:tcBorders>
            <w:vAlign w:val="center"/>
          </w:tcPr>
          <w:p>
            <w:pPr>
              <w:pStyle w:val="27"/>
              <w:spacing w:before="9" w:line="360" w:lineRule="auto"/>
              <w:ind w:left="-1"/>
              <w:rPr>
                <w:rFonts w:ascii="宋体" w:hAnsi="宋体" w:eastAsia="宋体" w:cs="宋体"/>
                <w:color w:val="auto"/>
                <w:sz w:val="21"/>
                <w:szCs w:val="21"/>
              </w:rPr>
            </w:pPr>
            <w:r>
              <w:rPr>
                <w:rFonts w:ascii="宋体" w:hAnsi="宋体" w:eastAsia="宋体" w:cs="宋体"/>
                <w:color w:val="auto"/>
                <w:sz w:val="21"/>
                <w:szCs w:val="21"/>
              </w:rPr>
              <w:t>采用电动方式</w:t>
            </w:r>
          </w:p>
        </w:tc>
        <w:tc>
          <w:tcPr>
            <w:tcW w:w="850" w:type="dxa"/>
            <w:vMerge w:val="restart"/>
            <w:tcBorders>
              <w:top w:val="single" w:color="000000" w:sz="6" w:space="0"/>
              <w:left w:val="single" w:color="000000" w:sz="2" w:space="0"/>
              <w:right w:val="single" w:color="000000" w:sz="2" w:space="0"/>
            </w:tcBorders>
            <w:vAlign w:val="center"/>
          </w:tcPr>
          <w:p>
            <w:pPr>
              <w:pStyle w:val="27"/>
              <w:spacing w:before="6" w:line="360" w:lineRule="auto"/>
              <w:rPr>
                <w:rFonts w:ascii="宋体" w:hAnsi="宋体" w:eastAsia="宋体" w:cs="宋体"/>
                <w:color w:val="auto"/>
                <w:sz w:val="21"/>
                <w:szCs w:val="21"/>
              </w:rPr>
            </w:pPr>
          </w:p>
          <w:p>
            <w:pPr>
              <w:pStyle w:val="27"/>
              <w:spacing w:line="360" w:lineRule="auto"/>
              <w:rPr>
                <w:rFonts w:ascii="宋体" w:hAnsi="宋体" w:eastAsia="宋体" w:cs="宋体"/>
                <w:color w:val="auto"/>
                <w:sz w:val="21"/>
                <w:szCs w:val="21"/>
              </w:rPr>
            </w:pPr>
            <w:r>
              <w:rPr>
                <w:rFonts w:ascii="宋体" w:hAnsi="宋体" w:eastAsia="宋体" w:cs="宋体"/>
                <w:color w:val="auto"/>
                <w:sz w:val="21"/>
                <w:szCs w:val="21"/>
              </w:rPr>
              <w:t>不锈钢</w:t>
            </w:r>
          </w:p>
        </w:tc>
      </w:tr>
      <w:tr>
        <w:tblPrEx>
          <w:tblLayout w:type="fixed"/>
          <w:tblCellMar>
            <w:top w:w="0" w:type="dxa"/>
            <w:left w:w="0" w:type="dxa"/>
            <w:bottom w:w="0" w:type="dxa"/>
            <w:right w:w="0" w:type="dxa"/>
          </w:tblCellMar>
        </w:tblPrEx>
        <w:tc>
          <w:tcPr>
            <w:tcW w:w="2408" w:type="dxa"/>
            <w:tcBorders>
              <w:top w:val="single" w:color="000000" w:sz="6" w:space="0"/>
              <w:left w:val="single" w:color="000000" w:sz="2" w:space="0"/>
              <w:bottom w:val="single" w:color="000000" w:sz="6" w:space="0"/>
              <w:right w:val="single" w:color="000000" w:sz="6" w:space="0"/>
            </w:tcBorders>
            <w:vAlign w:val="center"/>
          </w:tcPr>
          <w:p>
            <w:pPr>
              <w:spacing w:line="360" w:lineRule="auto"/>
              <w:rPr>
                <w:rFonts w:ascii="Times New Roman" w:hAnsi="Times New Roman" w:cs="Times New Roman"/>
                <w:color w:val="auto"/>
                <w:sz w:val="21"/>
                <w:szCs w:val="21"/>
              </w:rPr>
            </w:pPr>
            <w:r>
              <w:rPr>
                <w:rFonts w:ascii="Times New Roman" w:hAnsi="Times New Roman" w:cs="Times New Roman"/>
                <w:color w:val="auto"/>
                <w:sz w:val="21"/>
                <w:szCs w:val="21"/>
              </w:rPr>
              <w:t>碟式止回阀</w:t>
            </w:r>
          </w:p>
        </w:tc>
        <w:tc>
          <w:tcPr>
            <w:tcW w:w="1704" w:type="dxa"/>
            <w:tcBorders>
              <w:top w:val="single" w:color="000000" w:sz="6" w:space="0"/>
              <w:left w:val="single" w:color="000000" w:sz="6" w:space="0"/>
              <w:bottom w:val="single" w:color="000000" w:sz="6" w:space="0"/>
              <w:right w:val="single" w:color="000000" w:sz="6" w:space="0"/>
            </w:tcBorders>
            <w:vAlign w:val="center"/>
          </w:tcPr>
          <w:p>
            <w:pPr>
              <w:spacing w:line="360" w:lineRule="auto"/>
              <w:rPr>
                <w:rFonts w:ascii="Times New Roman" w:hAnsi="Times New Roman" w:cs="Times New Roman"/>
                <w:color w:val="auto"/>
                <w:sz w:val="21"/>
                <w:szCs w:val="21"/>
              </w:rPr>
            </w:pPr>
            <w:r>
              <w:rPr>
                <w:rFonts w:ascii="Times New Roman" w:hAnsi="Times New Roman" w:cs="Times New Roman"/>
                <w:color w:val="auto"/>
                <w:sz w:val="21"/>
                <w:szCs w:val="21"/>
              </w:rPr>
              <w:t>DN700L=430</w:t>
            </w:r>
          </w:p>
        </w:tc>
        <w:tc>
          <w:tcPr>
            <w:tcW w:w="835" w:type="dxa"/>
            <w:tcBorders>
              <w:top w:val="single" w:color="000000" w:sz="6" w:space="0"/>
              <w:left w:val="single" w:color="000000" w:sz="6" w:space="0"/>
              <w:bottom w:val="single" w:color="000000" w:sz="6" w:space="0"/>
              <w:right w:val="single" w:color="000000" w:sz="2" w:space="0"/>
            </w:tcBorders>
            <w:vAlign w:val="center"/>
          </w:tcPr>
          <w:p>
            <w:pPr>
              <w:spacing w:line="360" w:lineRule="auto"/>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3135" w:type="dxa"/>
            <w:tcBorders>
              <w:top w:val="single" w:color="000000" w:sz="6" w:space="0"/>
              <w:left w:val="single" w:color="000000" w:sz="2" w:space="0"/>
              <w:bottom w:val="single" w:color="000000" w:sz="6" w:space="0"/>
              <w:right w:val="single" w:color="000000" w:sz="2" w:space="0"/>
            </w:tcBorders>
            <w:vAlign w:val="center"/>
          </w:tcPr>
          <w:p>
            <w:pPr>
              <w:pStyle w:val="27"/>
              <w:spacing w:before="6" w:line="360" w:lineRule="auto"/>
              <w:ind w:left="-1"/>
              <w:rPr>
                <w:rFonts w:ascii="宋体" w:hAnsi="宋体" w:eastAsia="宋体" w:cs="宋体"/>
                <w:color w:val="auto"/>
                <w:sz w:val="21"/>
                <w:szCs w:val="21"/>
              </w:rPr>
            </w:pPr>
          </w:p>
        </w:tc>
        <w:tc>
          <w:tcPr>
            <w:tcW w:w="850" w:type="dxa"/>
            <w:vMerge w:val="continue"/>
            <w:tcBorders>
              <w:left w:val="single" w:color="000000" w:sz="2" w:space="0"/>
              <w:right w:val="single" w:color="000000" w:sz="2" w:space="0"/>
            </w:tcBorders>
            <w:vAlign w:val="center"/>
          </w:tcPr>
          <w:p>
            <w:pPr>
              <w:spacing w:line="360" w:lineRule="auto"/>
              <w:rPr>
                <w:color w:val="auto"/>
                <w:sz w:val="21"/>
                <w:szCs w:val="21"/>
              </w:rPr>
            </w:pPr>
          </w:p>
        </w:tc>
      </w:tr>
      <w:tr>
        <w:tblPrEx>
          <w:tblLayout w:type="fixed"/>
          <w:tblCellMar>
            <w:top w:w="0" w:type="dxa"/>
            <w:left w:w="0" w:type="dxa"/>
            <w:bottom w:w="0" w:type="dxa"/>
            <w:right w:w="0" w:type="dxa"/>
          </w:tblCellMar>
        </w:tblPrEx>
        <w:tc>
          <w:tcPr>
            <w:tcW w:w="2408" w:type="dxa"/>
            <w:tcBorders>
              <w:top w:val="single" w:color="000000" w:sz="6" w:space="0"/>
              <w:left w:val="single" w:color="000000" w:sz="2" w:space="0"/>
              <w:bottom w:val="single" w:color="000000" w:sz="6" w:space="0"/>
              <w:right w:val="single" w:color="000000" w:sz="6" w:space="0"/>
            </w:tcBorders>
            <w:vAlign w:val="center"/>
          </w:tcPr>
          <w:p>
            <w:pPr>
              <w:spacing w:line="360" w:lineRule="auto"/>
              <w:rPr>
                <w:rFonts w:ascii="Times New Roman" w:hAnsi="Times New Roman" w:cs="Times New Roman"/>
                <w:color w:val="auto"/>
                <w:sz w:val="21"/>
                <w:szCs w:val="21"/>
              </w:rPr>
            </w:pPr>
            <w:r>
              <w:rPr>
                <w:rFonts w:ascii="Times New Roman" w:hAnsi="Times New Roman" w:cs="Times New Roman"/>
                <w:color w:val="auto"/>
                <w:sz w:val="21"/>
                <w:szCs w:val="21"/>
              </w:rPr>
              <w:t>手动蝶阀</w:t>
            </w:r>
          </w:p>
        </w:tc>
        <w:tc>
          <w:tcPr>
            <w:tcW w:w="1704" w:type="dxa"/>
            <w:tcBorders>
              <w:top w:val="single" w:color="000000" w:sz="6" w:space="0"/>
              <w:left w:val="single" w:color="000000" w:sz="6" w:space="0"/>
              <w:bottom w:val="single" w:color="000000" w:sz="6" w:space="0"/>
              <w:right w:val="single" w:color="000000" w:sz="6" w:space="0"/>
            </w:tcBorders>
            <w:vAlign w:val="center"/>
          </w:tcPr>
          <w:p>
            <w:pPr>
              <w:spacing w:line="360" w:lineRule="auto"/>
              <w:rPr>
                <w:rFonts w:ascii="Times New Roman" w:hAnsi="Times New Roman" w:cs="Times New Roman"/>
                <w:color w:val="auto"/>
                <w:sz w:val="21"/>
                <w:szCs w:val="21"/>
              </w:rPr>
            </w:pPr>
            <w:r>
              <w:rPr>
                <w:rFonts w:ascii="Times New Roman" w:hAnsi="Times New Roman" w:cs="Times New Roman"/>
                <w:color w:val="auto"/>
                <w:sz w:val="21"/>
                <w:szCs w:val="21"/>
              </w:rPr>
              <w:t>DN700</w:t>
            </w:r>
          </w:p>
        </w:tc>
        <w:tc>
          <w:tcPr>
            <w:tcW w:w="835" w:type="dxa"/>
            <w:tcBorders>
              <w:top w:val="single" w:color="000000" w:sz="6" w:space="0"/>
              <w:left w:val="single" w:color="000000" w:sz="6" w:space="0"/>
              <w:bottom w:val="single" w:color="000000" w:sz="6" w:space="0"/>
              <w:right w:val="single" w:color="000000" w:sz="2" w:space="0"/>
            </w:tcBorders>
            <w:vAlign w:val="center"/>
          </w:tcPr>
          <w:p>
            <w:pPr>
              <w:spacing w:line="360" w:lineRule="auto"/>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3135" w:type="dxa"/>
            <w:tcBorders>
              <w:top w:val="single" w:color="000000" w:sz="6" w:space="0"/>
              <w:left w:val="single" w:color="000000" w:sz="2" w:space="0"/>
              <w:bottom w:val="single" w:color="000000" w:sz="6" w:space="0"/>
              <w:right w:val="single" w:color="000000" w:sz="2" w:space="0"/>
            </w:tcBorders>
            <w:vAlign w:val="center"/>
          </w:tcPr>
          <w:p>
            <w:pPr>
              <w:pStyle w:val="27"/>
              <w:spacing w:before="16" w:line="360" w:lineRule="auto"/>
              <w:ind w:left="-1"/>
              <w:rPr>
                <w:rFonts w:ascii="宋体" w:hAnsi="宋体" w:eastAsia="宋体" w:cs="宋体"/>
                <w:color w:val="auto"/>
                <w:sz w:val="21"/>
                <w:szCs w:val="21"/>
              </w:rPr>
            </w:pPr>
            <w:r>
              <w:rPr>
                <w:rFonts w:ascii="宋体" w:hAnsi="宋体" w:eastAsia="宋体" w:cs="宋体"/>
                <w:color w:val="auto"/>
                <w:sz w:val="21"/>
                <w:szCs w:val="21"/>
              </w:rPr>
              <w:t>采用手动方式</w:t>
            </w:r>
          </w:p>
        </w:tc>
        <w:tc>
          <w:tcPr>
            <w:tcW w:w="850" w:type="dxa"/>
            <w:vMerge w:val="continue"/>
            <w:tcBorders>
              <w:left w:val="single" w:color="000000" w:sz="2" w:space="0"/>
              <w:right w:val="single" w:color="000000" w:sz="2" w:space="0"/>
            </w:tcBorders>
            <w:vAlign w:val="center"/>
          </w:tcPr>
          <w:p>
            <w:pPr>
              <w:spacing w:line="360" w:lineRule="auto"/>
              <w:rPr>
                <w:color w:val="auto"/>
                <w:sz w:val="21"/>
                <w:szCs w:val="21"/>
              </w:rPr>
            </w:pPr>
          </w:p>
        </w:tc>
      </w:tr>
      <w:tr>
        <w:tblPrEx>
          <w:tblLayout w:type="fixed"/>
          <w:tblCellMar>
            <w:top w:w="0" w:type="dxa"/>
            <w:left w:w="0" w:type="dxa"/>
            <w:bottom w:w="0" w:type="dxa"/>
            <w:right w:w="0" w:type="dxa"/>
          </w:tblCellMar>
        </w:tblPrEx>
        <w:tc>
          <w:tcPr>
            <w:tcW w:w="8932" w:type="dxa"/>
            <w:gridSpan w:val="5"/>
            <w:tcBorders>
              <w:top w:val="single" w:color="000000" w:sz="6" w:space="0"/>
              <w:left w:val="single" w:color="000000" w:sz="2" w:space="0"/>
              <w:bottom w:val="single" w:color="000000" w:sz="6" w:space="0"/>
              <w:right w:val="single" w:color="000000" w:sz="2" w:space="0"/>
            </w:tcBorders>
            <w:vAlign w:val="center"/>
          </w:tcPr>
          <w:p>
            <w:pPr>
              <w:pStyle w:val="27"/>
              <w:spacing w:line="360" w:lineRule="auto"/>
              <w:ind w:left="24"/>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r>
              <w:rPr>
                <w:rFonts w:ascii="宋体" w:hAnsi="宋体" w:eastAsia="宋体" w:cs="宋体"/>
                <w:color w:val="auto"/>
                <w:sz w:val="21"/>
                <w:szCs w:val="21"/>
                <w:lang w:eastAsia="zh-CN"/>
              </w:rPr>
              <w:t>、蝶阀</w:t>
            </w:r>
          </w:p>
          <w:p>
            <w:pPr>
              <w:pStyle w:val="27"/>
              <w:spacing w:before="44" w:line="360" w:lineRule="auto"/>
              <w:ind w:left="24"/>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r>
              <w:rPr>
                <w:rFonts w:ascii="宋体" w:hAnsi="宋体" w:eastAsia="宋体" w:cs="宋体"/>
                <w:color w:val="auto"/>
                <w:sz w:val="21"/>
                <w:szCs w:val="21"/>
                <w:lang w:eastAsia="zh-CN"/>
              </w:rPr>
              <w:t>.1设计要求</w:t>
            </w:r>
          </w:p>
          <w:p>
            <w:pPr>
              <w:pStyle w:val="27"/>
              <w:spacing w:before="44" w:line="360" w:lineRule="auto"/>
              <w:ind w:left="338"/>
              <w:rPr>
                <w:rFonts w:ascii="宋体" w:hAnsi="宋体" w:eastAsia="宋体" w:cs="宋体"/>
                <w:color w:val="auto"/>
                <w:sz w:val="21"/>
                <w:szCs w:val="21"/>
                <w:lang w:eastAsia="zh-CN"/>
              </w:rPr>
            </w:pPr>
            <w:r>
              <w:rPr>
                <w:rFonts w:ascii="宋体" w:hAnsi="宋体" w:eastAsia="宋体" w:cs="宋体"/>
                <w:color w:val="auto"/>
                <w:sz w:val="21"/>
                <w:szCs w:val="21"/>
                <w:lang w:eastAsia="zh-CN"/>
              </w:rPr>
              <w:t>蝶阀应采用双（三）偏心式金属密封蝶阀，阀门全开或全关所需的时间应小于2分钟。</w:t>
            </w:r>
          </w:p>
          <w:p>
            <w:pPr>
              <w:pStyle w:val="27"/>
              <w:spacing w:before="44" w:line="360" w:lineRule="auto"/>
              <w:ind w:left="24"/>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r>
              <w:rPr>
                <w:rFonts w:ascii="宋体" w:hAnsi="宋体" w:eastAsia="宋体" w:cs="宋体"/>
                <w:color w:val="auto"/>
                <w:sz w:val="21"/>
                <w:szCs w:val="21"/>
                <w:lang w:eastAsia="zh-CN"/>
              </w:rPr>
              <w:t>.2结构和材料</w:t>
            </w:r>
          </w:p>
          <w:p>
            <w:pPr>
              <w:pStyle w:val="27"/>
              <w:spacing w:before="42" w:line="360" w:lineRule="auto"/>
              <w:ind w:left="338" w:right="70"/>
              <w:rPr>
                <w:rFonts w:ascii="宋体" w:hAnsi="宋体" w:eastAsia="宋体" w:cs="宋体"/>
                <w:color w:val="auto"/>
                <w:sz w:val="21"/>
                <w:szCs w:val="21"/>
                <w:lang w:eastAsia="zh-CN"/>
              </w:rPr>
            </w:pPr>
            <w:r>
              <w:rPr>
                <w:rFonts w:ascii="宋体" w:hAnsi="宋体" w:eastAsia="宋体" w:cs="宋体"/>
                <w:color w:val="auto"/>
                <w:sz w:val="21"/>
                <w:szCs w:val="21"/>
                <w:lang w:eastAsia="zh-CN"/>
              </w:rPr>
              <w:t>法兰应符合ISOPN10（Bar）标准，法兰到法兰的尺寸应符合ISO或GB标准。阀门的轴应由1Cr17Ni2不锈钢或更好材料制作，阀轴采用整体轴，也可采用两个分开的“短</w:t>
            </w:r>
          </w:p>
          <w:p>
            <w:pPr>
              <w:pStyle w:val="27"/>
              <w:spacing w:before="10" w:line="360" w:lineRule="auto"/>
              <w:ind w:left="24" w:right="67"/>
              <w:rPr>
                <w:rFonts w:ascii="宋体" w:hAnsi="宋体" w:eastAsia="宋体" w:cs="宋体"/>
                <w:color w:val="auto"/>
                <w:sz w:val="21"/>
                <w:szCs w:val="21"/>
                <w:lang w:eastAsia="zh-CN"/>
              </w:rPr>
            </w:pPr>
            <w:r>
              <w:rPr>
                <w:rFonts w:ascii="宋体" w:hAnsi="宋体" w:eastAsia="宋体" w:cs="宋体"/>
                <w:color w:val="auto"/>
                <w:sz w:val="21"/>
                <w:szCs w:val="21"/>
                <w:lang w:eastAsia="zh-CN"/>
              </w:rPr>
              <w:t>轴”式，嵌入轴孔的长度不小于轴径的1.5倍，阀轴与阀板的连接强度应保证阀轴能传递最大扭矩。</w:t>
            </w:r>
          </w:p>
          <w:p>
            <w:pPr>
              <w:spacing w:line="360" w:lineRule="auto"/>
              <w:rPr>
                <w:rFonts w:ascii="宋体" w:hAnsi="宋体" w:eastAsia="宋体" w:cs="宋体"/>
                <w:color w:val="auto"/>
                <w:sz w:val="21"/>
                <w:szCs w:val="21"/>
                <w:lang w:eastAsia="zh-CN"/>
              </w:rPr>
            </w:pPr>
            <w:r>
              <w:rPr>
                <w:rFonts w:ascii="宋体" w:hAnsi="宋体" w:eastAsia="宋体" w:cs="宋体"/>
                <w:color w:val="auto"/>
                <w:sz w:val="21"/>
                <w:szCs w:val="21"/>
                <w:lang w:eastAsia="zh-CN"/>
              </w:rPr>
              <w:t>阀轴的轴套应使用不需要任何外加润滑的自润滑轴承。</w:t>
            </w:r>
            <w:r>
              <w:rPr>
                <w:rFonts w:ascii="宋体" w:hAnsi="宋体" w:eastAsia="宋体" w:cs="宋体"/>
                <w:color w:val="auto"/>
                <w:spacing w:val="-3"/>
                <w:sz w:val="21"/>
                <w:szCs w:val="21"/>
                <w:lang w:eastAsia="zh-CN"/>
              </w:rPr>
              <w:t>阀板的金属密封座为不锈钢复合体，由不锈钢螺母和螺钉紧固在阀板上，阀体密封座可采用铸</w:t>
            </w:r>
            <w:r>
              <w:rPr>
                <w:rFonts w:ascii="宋体" w:hAnsi="宋体" w:eastAsia="宋体" w:cs="宋体"/>
                <w:color w:val="auto"/>
                <w:sz w:val="21"/>
                <w:szCs w:val="21"/>
                <w:lang w:eastAsia="zh-CN"/>
              </w:rPr>
              <w:t>造不锈钢或堆焊的形式与阀体连成一体，阀板密封座与阀体密封座二者需有硬度差。阀板采用球墨铸铁制造，必须具有足够的强度和刚度。轴伸出穿过阀体外，应提供轴密封装置，密封装置最好设计成标准O型密封，O型环密封应装</w:t>
            </w:r>
          </w:p>
          <w:p>
            <w:pPr>
              <w:spacing w:before="10" w:line="360" w:lineRule="auto"/>
              <w:ind w:left="33" w:right="6248"/>
              <w:rPr>
                <w:rFonts w:ascii="宋体" w:hAnsi="宋体" w:eastAsia="宋体" w:cs="宋体"/>
                <w:color w:val="auto"/>
                <w:spacing w:val="-2"/>
                <w:sz w:val="21"/>
                <w:szCs w:val="21"/>
                <w:lang w:eastAsia="zh-CN"/>
              </w:rPr>
            </w:pPr>
            <w:r>
              <w:rPr>
                <w:rFonts w:ascii="宋体" w:hAnsi="宋体" w:eastAsia="宋体" w:cs="宋体"/>
                <w:color w:val="auto"/>
                <w:spacing w:val="-2"/>
                <w:sz w:val="21"/>
                <w:szCs w:val="21"/>
                <w:lang w:eastAsia="zh-CN"/>
              </w:rPr>
              <w:t>在一个防腐的可移动凹槽。</w:t>
            </w:r>
          </w:p>
          <w:p>
            <w:pPr>
              <w:spacing w:before="10" w:line="360" w:lineRule="auto"/>
              <w:ind w:left="33" w:right="6248"/>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r>
              <w:rPr>
                <w:rFonts w:ascii="宋体" w:hAnsi="宋体" w:eastAsia="宋体" w:cs="宋体"/>
                <w:color w:val="auto"/>
                <w:sz w:val="21"/>
                <w:szCs w:val="21"/>
                <w:lang w:eastAsia="zh-CN"/>
              </w:rPr>
              <w:t>.3蝶阀的电动装置</w:t>
            </w:r>
          </w:p>
          <w:p>
            <w:pPr>
              <w:spacing w:before="10" w:line="360" w:lineRule="auto"/>
              <w:ind w:left="33" w:right="55" w:firstLine="314"/>
              <w:rPr>
                <w:rFonts w:ascii="宋体" w:hAnsi="宋体" w:eastAsia="宋体" w:cs="宋体"/>
                <w:color w:val="auto"/>
                <w:sz w:val="21"/>
                <w:szCs w:val="21"/>
                <w:lang w:eastAsia="zh-CN"/>
              </w:rPr>
            </w:pPr>
            <w:r>
              <w:rPr>
                <w:rFonts w:ascii="宋体" w:hAnsi="宋体" w:eastAsia="宋体" w:cs="宋体"/>
                <w:color w:val="auto"/>
                <w:spacing w:val="-5"/>
                <w:sz w:val="21"/>
                <w:szCs w:val="21"/>
                <w:lang w:eastAsia="zh-CN"/>
              </w:rPr>
              <w:t>电动装置应是户外式防水型的（IP55），电动装置的尺寸应满足当阀二边的压差为</w:t>
            </w:r>
            <w:r>
              <w:rPr>
                <w:rFonts w:ascii="宋体" w:hAnsi="宋体" w:eastAsia="宋体" w:cs="宋体"/>
                <w:color w:val="auto"/>
                <w:spacing w:val="-1"/>
                <w:sz w:val="21"/>
                <w:szCs w:val="21"/>
                <w:lang w:eastAsia="zh-CN"/>
              </w:rPr>
              <w:t>0.6MPa</w:t>
            </w:r>
            <w:r>
              <w:rPr>
                <w:rFonts w:ascii="宋体" w:hAnsi="宋体" w:eastAsia="宋体" w:cs="宋体"/>
                <w:color w:val="auto"/>
                <w:spacing w:val="-3"/>
                <w:sz w:val="21"/>
                <w:szCs w:val="21"/>
                <w:lang w:eastAsia="zh-CN"/>
              </w:rPr>
              <w:t>时，</w:t>
            </w:r>
            <w:r>
              <w:rPr>
                <w:rFonts w:ascii="宋体" w:hAnsi="宋体" w:eastAsia="宋体" w:cs="宋体"/>
                <w:color w:val="auto"/>
                <w:sz w:val="21"/>
                <w:szCs w:val="21"/>
                <w:lang w:eastAsia="zh-CN"/>
              </w:rPr>
              <w:t>足以阀门的启闭操作。阀用电动装置为卧式安装。</w:t>
            </w:r>
          </w:p>
          <w:p>
            <w:pPr>
              <w:spacing w:before="10" w:line="360" w:lineRule="auto"/>
              <w:ind w:left="33" w:firstLine="314"/>
              <w:rPr>
                <w:rFonts w:ascii="宋体" w:hAnsi="宋体" w:eastAsia="宋体" w:cs="宋体"/>
                <w:color w:val="auto"/>
                <w:sz w:val="21"/>
                <w:szCs w:val="21"/>
                <w:lang w:eastAsia="zh-CN"/>
              </w:rPr>
            </w:pPr>
            <w:r>
              <w:rPr>
                <w:rFonts w:ascii="宋体" w:hAnsi="宋体" w:eastAsia="宋体" w:cs="宋体"/>
                <w:color w:val="auto"/>
                <w:sz w:val="21"/>
                <w:szCs w:val="21"/>
                <w:lang w:eastAsia="zh-CN"/>
              </w:rPr>
              <w:t>电动装置的齿轮设计应符合</w:t>
            </w:r>
            <w:r>
              <w:rPr>
                <w:rFonts w:ascii="宋体" w:hAnsi="宋体" w:eastAsia="宋体" w:cs="宋体"/>
                <w:color w:val="auto"/>
                <w:spacing w:val="-11"/>
                <w:sz w:val="21"/>
                <w:szCs w:val="21"/>
                <w:lang w:eastAsia="zh-CN"/>
              </w:rPr>
              <w:t>ISO、DIN</w:t>
            </w:r>
            <w:r>
              <w:rPr>
                <w:rFonts w:ascii="宋体" w:hAnsi="宋体" w:eastAsia="宋体" w:cs="宋体"/>
                <w:color w:val="auto"/>
                <w:spacing w:val="-7"/>
                <w:sz w:val="21"/>
                <w:szCs w:val="21"/>
                <w:lang w:eastAsia="zh-CN"/>
              </w:rPr>
              <w:t>或等同标准，服务系数不小于2.0，齿轮材料为低合金钢，</w:t>
            </w:r>
            <w:r>
              <w:rPr>
                <w:rFonts w:ascii="宋体" w:hAnsi="宋体" w:eastAsia="宋体" w:cs="宋体"/>
                <w:color w:val="auto"/>
                <w:spacing w:val="-3"/>
                <w:sz w:val="21"/>
                <w:szCs w:val="21"/>
                <w:lang w:eastAsia="zh-CN"/>
              </w:rPr>
              <w:t>渗碳谇火处理，齿面硬度不低于</w:t>
            </w:r>
            <w:r>
              <w:rPr>
                <w:rFonts w:ascii="宋体" w:hAnsi="宋体" w:eastAsia="宋体" w:cs="宋体"/>
                <w:color w:val="auto"/>
                <w:spacing w:val="-5"/>
                <w:sz w:val="21"/>
                <w:szCs w:val="21"/>
                <w:lang w:eastAsia="zh-CN"/>
              </w:rPr>
              <w:t>HRC58。轴承寿命（B10）大于</w:t>
            </w:r>
            <w:r>
              <w:rPr>
                <w:rFonts w:ascii="宋体" w:hAnsi="宋体" w:eastAsia="宋体" w:cs="宋体"/>
                <w:color w:val="auto"/>
                <w:sz w:val="21"/>
                <w:szCs w:val="21"/>
                <w:lang w:eastAsia="zh-CN"/>
              </w:rPr>
              <w:t>10</w:t>
            </w:r>
            <w:r>
              <w:rPr>
                <w:rFonts w:ascii="宋体" w:hAnsi="宋体" w:eastAsia="宋体" w:cs="宋体"/>
                <w:color w:val="auto"/>
                <w:spacing w:val="-3"/>
                <w:sz w:val="21"/>
                <w:szCs w:val="21"/>
                <w:lang w:eastAsia="zh-CN"/>
              </w:rPr>
              <w:t>万小时，适宜于现场供电操作和</w:t>
            </w:r>
            <w:r>
              <w:rPr>
                <w:rFonts w:ascii="宋体" w:hAnsi="宋体" w:eastAsia="宋体" w:cs="宋体"/>
                <w:color w:val="auto"/>
                <w:spacing w:val="-2"/>
                <w:sz w:val="21"/>
                <w:szCs w:val="21"/>
                <w:lang w:eastAsia="zh-CN"/>
              </w:rPr>
              <w:t>远程控制，当电压降至正常电压的90%时，仍能保持满意的操作。</w:t>
            </w:r>
          </w:p>
          <w:p>
            <w:pPr>
              <w:spacing w:before="10" w:line="360" w:lineRule="auto"/>
              <w:ind w:left="33" w:right="156" w:firstLine="314"/>
              <w:rPr>
                <w:rFonts w:ascii="宋体" w:hAnsi="宋体" w:eastAsia="宋体" w:cs="宋体"/>
                <w:color w:val="auto"/>
                <w:sz w:val="21"/>
                <w:szCs w:val="21"/>
                <w:lang w:eastAsia="zh-CN"/>
              </w:rPr>
            </w:pPr>
            <w:r>
              <w:rPr>
                <w:rFonts w:ascii="宋体" w:hAnsi="宋体" w:eastAsia="宋体" w:cs="宋体"/>
                <w:color w:val="auto"/>
                <w:sz w:val="21"/>
                <w:szCs w:val="21"/>
                <w:lang w:eastAsia="zh-CN"/>
              </w:rPr>
              <w:t>电动机应符合“电气条款”的要求，电机采用F级绝缘，额定时间为15分钟或成二倍的阀的行程时间，二者取大值。</w:t>
            </w:r>
          </w:p>
          <w:p>
            <w:pPr>
              <w:pStyle w:val="27"/>
              <w:spacing w:line="360" w:lineRule="auto"/>
              <w:ind w:left="24"/>
              <w:rPr>
                <w:rFonts w:ascii="宋体" w:hAnsi="宋体" w:eastAsia="宋体" w:cs="宋体"/>
                <w:color w:val="auto"/>
                <w:sz w:val="21"/>
                <w:szCs w:val="21"/>
                <w:lang w:eastAsia="zh-CN"/>
              </w:rPr>
            </w:pPr>
            <w:r>
              <w:rPr>
                <w:rFonts w:ascii="宋体" w:hAnsi="宋体" w:eastAsia="宋体" w:cs="宋体"/>
                <w:color w:val="auto"/>
                <w:sz w:val="21"/>
                <w:szCs w:val="21"/>
                <w:lang w:eastAsia="zh-CN"/>
              </w:rPr>
              <w:t>阀用驱动装置的齿轮箱应为全封闭油浴润滑型的。</w:t>
            </w:r>
            <w:r>
              <w:rPr>
                <w:rFonts w:ascii="宋体" w:hAnsi="宋体" w:eastAsia="宋体" w:cs="宋体"/>
                <w:color w:val="auto"/>
                <w:spacing w:val="-6"/>
                <w:sz w:val="21"/>
                <w:szCs w:val="21"/>
                <w:lang w:eastAsia="zh-CN"/>
              </w:rPr>
              <w:t>应设置手轮操作机构，手动操作时，手轮启闭力（“推拉”力）应不大于</w:t>
            </w:r>
            <w:r>
              <w:rPr>
                <w:rFonts w:ascii="宋体" w:hAnsi="宋体" w:eastAsia="宋体" w:cs="宋体"/>
                <w:color w:val="auto"/>
                <w:spacing w:val="-3"/>
                <w:sz w:val="21"/>
                <w:szCs w:val="21"/>
                <w:lang w:eastAsia="zh-CN"/>
              </w:rPr>
              <w:t>150N（总共</w:t>
            </w:r>
            <w:r>
              <w:rPr>
                <w:rFonts w:ascii="宋体" w:hAnsi="宋体" w:eastAsia="宋体" w:cs="宋体"/>
                <w:color w:val="auto"/>
                <w:spacing w:val="-4"/>
                <w:sz w:val="21"/>
                <w:szCs w:val="21"/>
                <w:lang w:eastAsia="zh-CN"/>
              </w:rPr>
              <w:t>300N）应</w:t>
            </w:r>
            <w:r>
              <w:rPr>
                <w:rFonts w:ascii="宋体" w:hAnsi="宋体" w:eastAsia="宋体" w:cs="宋体"/>
                <w:color w:val="auto"/>
                <w:sz w:val="21"/>
                <w:szCs w:val="21"/>
                <w:lang w:eastAsia="zh-CN"/>
              </w:rPr>
              <w:t>设置刻度盘来指示阀门的开度，并安装过力矩保护装置及限位开关。</w:t>
            </w:r>
            <w:r>
              <w:rPr>
                <w:rFonts w:ascii="宋体" w:hAnsi="宋体" w:eastAsia="宋体" w:cs="宋体"/>
                <w:color w:val="auto"/>
                <w:spacing w:val="-3"/>
                <w:sz w:val="21"/>
                <w:szCs w:val="21"/>
                <w:lang w:eastAsia="zh-CN"/>
              </w:rPr>
              <w:t>电动执行机构应具有无错定位，与中央控制室数字通讯，可接受计算机进行现场数据处理和自</w:t>
            </w:r>
            <w:r>
              <w:rPr>
                <w:rFonts w:ascii="宋体" w:hAnsi="宋体" w:eastAsia="宋体" w:cs="宋体"/>
                <w:color w:val="auto"/>
                <w:sz w:val="21"/>
                <w:szCs w:val="21"/>
                <w:lang w:eastAsia="zh-CN"/>
              </w:rPr>
              <w:t>动设定功能等智能性。</w:t>
            </w:r>
          </w:p>
          <w:p>
            <w:pPr>
              <w:pStyle w:val="27"/>
              <w:spacing w:line="360" w:lineRule="auto"/>
              <w:ind w:left="24"/>
              <w:rPr>
                <w:rFonts w:ascii="宋体" w:hAnsi="宋体" w:eastAsia="宋体" w:cs="宋体"/>
                <w:color w:val="auto"/>
                <w:sz w:val="21"/>
                <w:szCs w:val="21"/>
                <w:lang w:eastAsia="zh-CN"/>
              </w:rPr>
            </w:pPr>
            <w:r>
              <w:rPr>
                <w:rFonts w:ascii="宋体" w:hAnsi="宋体" w:eastAsia="宋体" w:cs="宋体"/>
                <w:color w:val="auto"/>
                <w:sz w:val="21"/>
                <w:szCs w:val="21"/>
                <w:lang w:eastAsia="zh-CN"/>
              </w:rPr>
              <w:t>2、止回阀</w:t>
            </w:r>
          </w:p>
          <w:p>
            <w:pPr>
              <w:pStyle w:val="27"/>
              <w:spacing w:before="44" w:line="360" w:lineRule="auto"/>
              <w:ind w:left="24"/>
              <w:rPr>
                <w:rFonts w:ascii="宋体" w:hAnsi="宋体" w:eastAsia="宋体" w:cs="宋体"/>
                <w:color w:val="auto"/>
                <w:sz w:val="21"/>
                <w:szCs w:val="21"/>
                <w:lang w:eastAsia="zh-CN"/>
              </w:rPr>
            </w:pPr>
            <w:r>
              <w:rPr>
                <w:rFonts w:ascii="宋体" w:hAnsi="宋体" w:eastAsia="宋体" w:cs="宋体"/>
                <w:color w:val="auto"/>
                <w:sz w:val="21"/>
                <w:szCs w:val="21"/>
                <w:lang w:eastAsia="zh-CN"/>
              </w:rPr>
              <w:t>2.1设计要求</w:t>
            </w:r>
          </w:p>
          <w:p>
            <w:pPr>
              <w:pStyle w:val="27"/>
              <w:spacing w:before="44" w:line="360" w:lineRule="auto"/>
              <w:ind w:left="24" w:right="67" w:firstLine="419"/>
              <w:jc w:val="both"/>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止回阀应安装在泵的出口，靠介质压力推动蝶板开启，靠蝶板自重和重锤以及介质倒流压力推动蝶板，并利用油缸的阻尼作用，实行快和满二阶段关闭，总的关闭时间应小于</w:t>
            </w:r>
            <w:r>
              <w:rPr>
                <w:rFonts w:ascii="宋体" w:hAnsi="宋体" w:eastAsia="宋体" w:cs="宋体"/>
                <w:color w:val="auto"/>
                <w:spacing w:val="-15"/>
                <w:sz w:val="21"/>
                <w:szCs w:val="21"/>
                <w:lang w:eastAsia="zh-CN"/>
              </w:rPr>
              <w:t>120s（可调）</w:t>
            </w:r>
            <w:r>
              <w:rPr>
                <w:rFonts w:ascii="宋体" w:hAnsi="宋体" w:eastAsia="宋体" w:cs="宋体"/>
                <w:color w:val="auto"/>
                <w:sz w:val="21"/>
                <w:szCs w:val="21"/>
                <w:lang w:eastAsia="zh-CN"/>
              </w:rPr>
              <w:t>2.2、性能和结构</w:t>
            </w:r>
          </w:p>
          <w:p>
            <w:pPr>
              <w:pStyle w:val="27"/>
              <w:spacing w:before="10" w:line="360" w:lineRule="auto"/>
              <w:ind w:left="24" w:right="122" w:firstLine="419"/>
              <w:jc w:val="both"/>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止回阀的结构应符合</w:t>
            </w:r>
            <w:r>
              <w:rPr>
                <w:rFonts w:ascii="宋体" w:hAnsi="宋体" w:eastAsia="宋体" w:cs="宋体"/>
                <w:color w:val="auto"/>
                <w:spacing w:val="-9"/>
                <w:sz w:val="21"/>
                <w:szCs w:val="21"/>
                <w:lang w:eastAsia="zh-CN"/>
              </w:rPr>
              <w:t>CJ/T282-200“蝶形缓闭止回阀”标准，端面法兰按</w:t>
            </w:r>
            <w:r>
              <w:rPr>
                <w:rFonts w:ascii="宋体" w:hAnsi="宋体" w:eastAsia="宋体" w:cs="宋体"/>
                <w:color w:val="auto"/>
                <w:spacing w:val="-1"/>
                <w:sz w:val="21"/>
                <w:szCs w:val="21"/>
                <w:lang w:eastAsia="zh-CN"/>
              </w:rPr>
              <w:t>GB/T17241</w:t>
            </w:r>
            <w:r>
              <w:rPr>
                <w:rFonts w:ascii="宋体" w:hAnsi="宋体" w:eastAsia="宋体" w:cs="宋体"/>
                <w:color w:val="auto"/>
                <w:spacing w:val="-14"/>
                <w:sz w:val="21"/>
                <w:szCs w:val="21"/>
                <w:lang w:eastAsia="zh-CN"/>
              </w:rPr>
              <w:t>PN10（Bar</w:t>
            </w:r>
            <w:r>
              <w:rPr>
                <w:rFonts w:ascii="宋体" w:hAnsi="宋体" w:eastAsia="宋体" w:cs="宋体"/>
                <w:color w:val="auto"/>
                <w:sz w:val="21"/>
                <w:szCs w:val="21"/>
                <w:lang w:eastAsia="zh-CN"/>
              </w:rPr>
              <w:t>的规定，结构长度按GB/T12221-2005的规定。</w:t>
            </w:r>
          </w:p>
          <w:p>
            <w:pPr>
              <w:pStyle w:val="27"/>
              <w:spacing w:before="10" w:line="360" w:lineRule="auto"/>
              <w:ind w:left="24" w:right="67" w:firstLine="419"/>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阀轴采用整体轴，也可采用两个分开的“短轴”式，嵌入轴孔的长度不小于轴径的1.5倍，阀轴与阀板的连接强度应保证阀轴能传递最大扭矩。</w:t>
            </w:r>
          </w:p>
          <w:p>
            <w:pPr>
              <w:pStyle w:val="27"/>
              <w:spacing w:before="10" w:line="360" w:lineRule="auto"/>
              <w:ind w:left="443" w:right="67"/>
              <w:rPr>
                <w:rFonts w:ascii="宋体" w:hAnsi="宋体" w:eastAsia="宋体" w:cs="宋体"/>
                <w:color w:val="auto"/>
                <w:sz w:val="21"/>
                <w:szCs w:val="21"/>
                <w:lang w:eastAsia="zh-CN"/>
              </w:rPr>
            </w:pPr>
            <w:r>
              <w:rPr>
                <w:rFonts w:ascii="宋体" w:hAnsi="宋体" w:eastAsia="宋体" w:cs="宋体"/>
                <w:color w:val="auto"/>
                <w:sz w:val="21"/>
                <w:szCs w:val="21"/>
                <w:lang w:eastAsia="zh-CN"/>
              </w:rPr>
              <w:t>阀轴的轴套应使用不需要任何外加润滑的自润滑轴承。</w:t>
            </w:r>
            <w:r>
              <w:rPr>
                <w:rFonts w:ascii="宋体" w:hAnsi="宋体" w:eastAsia="宋体" w:cs="宋体"/>
                <w:color w:val="auto"/>
                <w:spacing w:val="-2"/>
                <w:sz w:val="21"/>
                <w:szCs w:val="21"/>
                <w:lang w:eastAsia="zh-CN"/>
              </w:rPr>
              <w:t>阀板的金属密封座为斜置方式，由不锈钢螺母和螺钉紧固在阀板上，阀体密封座可采用铸造不锈钢或堆焊的形式与阀体连成一体，阀板密封座与阀体密封座二者需有硬度差。</w:t>
            </w:r>
            <w:r>
              <w:rPr>
                <w:rFonts w:ascii="宋体" w:hAnsi="宋体" w:eastAsia="宋体" w:cs="宋体"/>
                <w:color w:val="auto"/>
                <w:sz w:val="21"/>
                <w:szCs w:val="21"/>
                <w:lang w:eastAsia="zh-CN"/>
              </w:rPr>
              <w:t>阀板必须具有足够的强度和刚度。</w:t>
            </w:r>
          </w:p>
          <w:p>
            <w:pPr>
              <w:pStyle w:val="27"/>
              <w:spacing w:before="10" w:line="360" w:lineRule="auto"/>
              <w:ind w:left="24" w:right="17" w:firstLine="419"/>
              <w:jc w:val="both"/>
              <w:rPr>
                <w:rFonts w:ascii="宋体" w:hAnsi="宋体" w:eastAsia="宋体" w:cs="宋体"/>
                <w:color w:val="auto"/>
                <w:sz w:val="21"/>
                <w:szCs w:val="21"/>
                <w:lang w:eastAsia="zh-CN"/>
              </w:rPr>
            </w:pPr>
            <w:r>
              <w:rPr>
                <w:rFonts w:ascii="宋体" w:hAnsi="宋体" w:eastAsia="宋体" w:cs="宋体"/>
                <w:color w:val="auto"/>
                <w:spacing w:val="-5"/>
                <w:sz w:val="21"/>
                <w:szCs w:val="21"/>
                <w:lang w:eastAsia="zh-CN"/>
              </w:rPr>
              <w:t>轴伸出穿过阀体外，应提供轴密封装置，密封装置采用</w:t>
            </w:r>
            <w:r>
              <w:rPr>
                <w:rFonts w:ascii="宋体" w:hAnsi="宋体" w:eastAsia="宋体" w:cs="宋体"/>
                <w:color w:val="auto"/>
                <w:sz w:val="21"/>
                <w:szCs w:val="21"/>
                <w:lang w:eastAsia="zh-CN"/>
              </w:rPr>
              <w:t>O型或V</w:t>
            </w:r>
            <w:r>
              <w:rPr>
                <w:rFonts w:ascii="宋体" w:hAnsi="宋体" w:eastAsia="宋体" w:cs="宋体"/>
                <w:color w:val="auto"/>
                <w:spacing w:val="-5"/>
                <w:sz w:val="21"/>
                <w:szCs w:val="21"/>
                <w:lang w:eastAsia="zh-CN"/>
              </w:rPr>
              <w:t>密封橡胶密封圈，且不少于</w:t>
            </w:r>
            <w:r>
              <w:rPr>
                <w:rFonts w:ascii="宋体" w:hAnsi="宋体" w:eastAsia="宋体" w:cs="宋体"/>
                <w:color w:val="auto"/>
                <w:sz w:val="21"/>
                <w:szCs w:val="21"/>
                <w:lang w:eastAsia="zh-CN"/>
              </w:rPr>
              <w:t>2道。</w:t>
            </w:r>
          </w:p>
          <w:p>
            <w:pPr>
              <w:spacing w:line="360" w:lineRule="auto"/>
              <w:rPr>
                <w:rFonts w:ascii="宋体" w:hAnsi="宋体" w:eastAsia="宋体" w:cs="宋体"/>
                <w:color w:val="auto"/>
                <w:sz w:val="21"/>
                <w:szCs w:val="21"/>
                <w:lang w:eastAsia="zh-CN"/>
              </w:rPr>
            </w:pPr>
            <w:r>
              <w:rPr>
                <w:rFonts w:ascii="宋体" w:hAnsi="宋体" w:eastAsia="宋体" w:cs="宋体"/>
                <w:color w:val="auto"/>
                <w:sz w:val="21"/>
                <w:szCs w:val="21"/>
                <w:lang w:eastAsia="zh-CN"/>
              </w:rPr>
              <w:t>2.3、主要材料：</w:t>
            </w:r>
          </w:p>
          <w:p>
            <w:pPr>
              <w:pStyle w:val="27"/>
              <w:spacing w:line="360" w:lineRule="auto"/>
              <w:ind w:left="443" w:right="7161"/>
              <w:rPr>
                <w:rFonts w:ascii="宋体" w:hAnsi="宋体" w:eastAsia="宋体" w:cs="宋体"/>
                <w:color w:val="auto"/>
                <w:sz w:val="21"/>
                <w:szCs w:val="21"/>
                <w:lang w:eastAsia="zh-CN"/>
              </w:rPr>
            </w:pPr>
            <w:r>
              <w:rPr>
                <w:rFonts w:ascii="宋体" w:hAnsi="宋体" w:eastAsia="宋体" w:cs="宋体"/>
                <w:color w:val="auto"/>
                <w:sz w:val="21"/>
                <w:szCs w:val="21"/>
                <w:lang w:eastAsia="zh-CN"/>
              </w:rPr>
              <w:t>阀体QT450-10蝶板QT450-10</w:t>
            </w:r>
          </w:p>
          <w:p>
            <w:pPr>
              <w:pStyle w:val="27"/>
              <w:spacing w:before="10" w:line="360" w:lineRule="auto"/>
              <w:ind w:left="443"/>
              <w:rPr>
                <w:rFonts w:ascii="宋体" w:hAnsi="宋体" w:eastAsia="宋体" w:cs="宋体"/>
                <w:color w:val="auto"/>
                <w:sz w:val="21"/>
                <w:szCs w:val="21"/>
                <w:lang w:eastAsia="zh-CN"/>
              </w:rPr>
            </w:pPr>
            <w:r>
              <w:rPr>
                <w:rFonts w:ascii="宋体" w:hAnsi="宋体" w:eastAsia="宋体" w:cs="宋体"/>
                <w:color w:val="auto"/>
                <w:sz w:val="21"/>
                <w:szCs w:val="21"/>
                <w:lang w:eastAsia="zh-CN"/>
              </w:rPr>
              <w:t>阀轴2Cr13</w:t>
            </w:r>
          </w:p>
          <w:p>
            <w:pPr>
              <w:pStyle w:val="27"/>
              <w:spacing w:before="44" w:line="360" w:lineRule="auto"/>
              <w:ind w:left="443" w:right="6426"/>
              <w:rPr>
                <w:rFonts w:ascii="宋体" w:hAnsi="宋体" w:eastAsia="宋体" w:cs="宋体"/>
                <w:color w:val="auto"/>
                <w:sz w:val="21"/>
                <w:szCs w:val="21"/>
                <w:lang w:eastAsia="zh-CN"/>
              </w:rPr>
            </w:pPr>
            <w:r>
              <w:rPr>
                <w:rFonts w:ascii="宋体" w:hAnsi="宋体" w:eastAsia="宋体" w:cs="宋体"/>
                <w:color w:val="auto"/>
                <w:sz w:val="21"/>
                <w:szCs w:val="21"/>
                <w:lang w:eastAsia="zh-CN"/>
              </w:rPr>
              <w:t>紧固件06Cr17Ni12Mo2阀座06Cr17Ni12Mo2密封圈NBR</w:t>
            </w:r>
          </w:p>
          <w:p>
            <w:pPr>
              <w:spacing w:line="360" w:lineRule="auto"/>
              <w:rPr>
                <w:rFonts w:ascii="宋体" w:hAnsi="宋体" w:eastAsia="宋体" w:cs="宋体"/>
                <w:color w:val="auto"/>
                <w:sz w:val="21"/>
                <w:szCs w:val="21"/>
                <w:lang w:eastAsia="zh-CN"/>
              </w:rPr>
            </w:pPr>
            <w:r>
              <w:rPr>
                <w:rFonts w:ascii="宋体" w:hAnsi="宋体" w:eastAsia="宋体" w:cs="宋体"/>
                <w:color w:val="auto"/>
                <w:sz w:val="21"/>
                <w:szCs w:val="21"/>
                <w:lang w:eastAsia="zh-CN"/>
              </w:rPr>
              <w:t>轴承ZCuAl10Fe3</w:t>
            </w:r>
          </w:p>
        </w:tc>
      </w:tr>
    </w:tbl>
    <w:p>
      <w:pPr>
        <w:pStyle w:val="29"/>
        <w:ind w:firstLine="472"/>
        <w:rPr>
          <w:color w:val="auto"/>
        </w:rPr>
      </w:pPr>
    </w:p>
    <w:p>
      <w:pPr>
        <w:pStyle w:val="30"/>
        <w:spacing w:before="120" w:after="120"/>
        <w:rPr>
          <w:bCs/>
          <w:color w:val="auto"/>
        </w:rPr>
      </w:pPr>
      <w:bookmarkStart w:id="262" w:name="_Toc117181374"/>
      <w:r>
        <w:rPr>
          <w:rFonts w:hint="eastAsia"/>
          <w:bCs/>
          <w:color w:val="auto"/>
        </w:rPr>
        <w:t>事故池</w:t>
      </w:r>
      <w:bookmarkEnd w:id="262"/>
    </w:p>
    <w:p>
      <w:pPr>
        <w:pStyle w:val="31"/>
        <w:rPr>
          <w:color w:val="auto"/>
        </w:rPr>
      </w:pPr>
      <w:r>
        <w:rPr>
          <w:color w:val="auto"/>
        </w:rPr>
        <w:t>潜水搅拌器</w:t>
      </w:r>
    </w:p>
    <w:tbl>
      <w:tblPr>
        <w:tblStyle w:val="25"/>
        <w:tblW w:w="8959"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3"/>
        <w:gridCol w:w="397"/>
        <w:gridCol w:w="1304"/>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864"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安装地点</w:t>
            </w:r>
          </w:p>
        </w:tc>
        <w:tc>
          <w:tcPr>
            <w:tcW w:w="6095" w:type="dxa"/>
            <w:vAlign w:val="center"/>
          </w:tcPr>
          <w:p>
            <w:pPr>
              <w:pStyle w:val="27"/>
              <w:spacing w:line="360" w:lineRule="auto"/>
              <w:ind w:left="2"/>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事故池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864" w:type="dxa"/>
            <w:gridSpan w:val="3"/>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数量</w:t>
            </w:r>
          </w:p>
        </w:tc>
        <w:tc>
          <w:tcPr>
            <w:tcW w:w="6095" w:type="dxa"/>
            <w:vAlign w:val="center"/>
          </w:tcPr>
          <w:p>
            <w:pPr>
              <w:pStyle w:val="27"/>
              <w:spacing w:line="360" w:lineRule="auto"/>
              <w:jc w:val="center"/>
              <w:rPr>
                <w:rFonts w:ascii="宋体" w:hAnsi="宋体" w:eastAsia="宋体" w:cs="宋体"/>
                <w:color w:val="auto"/>
                <w:sz w:val="21"/>
                <w:szCs w:val="21"/>
                <w:lang w:eastAsia="zh-CN"/>
              </w:rPr>
            </w:pPr>
            <w:r>
              <w:rPr>
                <w:rFonts w:hint="eastAsia" w:ascii="宋体"/>
                <w:color w:val="auto"/>
                <w:sz w:val="21"/>
                <w:szCs w:val="21"/>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864"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设备类型</w:t>
            </w:r>
          </w:p>
        </w:tc>
        <w:tc>
          <w:tcPr>
            <w:tcW w:w="6095" w:type="dxa"/>
            <w:vAlign w:val="center"/>
          </w:tcPr>
          <w:p>
            <w:pPr>
              <w:pStyle w:val="27"/>
              <w:spacing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潜水式搅拌器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864" w:type="dxa"/>
            <w:gridSpan w:val="3"/>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介质</w:t>
            </w:r>
          </w:p>
        </w:tc>
        <w:tc>
          <w:tcPr>
            <w:tcW w:w="6095" w:type="dxa"/>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864" w:type="dxa"/>
            <w:gridSpan w:val="3"/>
            <w:vAlign w:val="center"/>
          </w:tcPr>
          <w:p>
            <w:pPr>
              <w:pStyle w:val="27"/>
              <w:spacing w:line="360" w:lineRule="auto"/>
              <w:ind w:left="703"/>
              <w:rPr>
                <w:rFonts w:ascii="宋体" w:hAnsi="宋体" w:eastAsia="宋体" w:cs="宋体"/>
                <w:color w:val="auto"/>
                <w:sz w:val="21"/>
                <w:szCs w:val="21"/>
              </w:rPr>
            </w:pPr>
            <w:r>
              <w:rPr>
                <w:rFonts w:ascii="宋体" w:hAnsi="宋体" w:eastAsia="宋体" w:cs="宋体"/>
                <w:color w:val="auto"/>
                <w:sz w:val="21"/>
                <w:szCs w:val="21"/>
              </w:rPr>
              <w:t>介质温度/PH值</w:t>
            </w:r>
          </w:p>
        </w:tc>
        <w:tc>
          <w:tcPr>
            <w:tcW w:w="6095" w:type="dxa"/>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-50C～400C/6～11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864" w:type="dxa"/>
            <w:gridSpan w:val="3"/>
            <w:vAlign w:val="center"/>
          </w:tcPr>
          <w:p>
            <w:pPr>
              <w:pStyle w:val="27"/>
              <w:spacing w:line="360" w:lineRule="auto"/>
              <w:ind w:left="782"/>
              <w:rPr>
                <w:rFonts w:ascii="宋体" w:hAnsi="宋体" w:eastAsia="宋体" w:cs="宋体"/>
                <w:color w:val="auto"/>
                <w:sz w:val="21"/>
                <w:szCs w:val="21"/>
              </w:rPr>
            </w:pPr>
            <w:r>
              <w:rPr>
                <w:rFonts w:ascii="宋体" w:hAnsi="宋体" w:eastAsia="宋体" w:cs="宋体"/>
                <w:color w:val="auto"/>
                <w:sz w:val="21"/>
                <w:szCs w:val="21"/>
              </w:rPr>
              <w:t>单格设备数量</w:t>
            </w:r>
          </w:p>
        </w:tc>
        <w:tc>
          <w:tcPr>
            <w:tcW w:w="6095" w:type="dxa"/>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2</w:t>
            </w:r>
            <w:r>
              <w:rPr>
                <w:rFonts w:ascii="宋体" w:hAnsi="宋体" w:eastAsia="宋体" w:cs="宋体"/>
                <w:color w:val="auto"/>
                <w:sz w:val="21"/>
                <w:szCs w:val="21"/>
              </w:rPr>
              <w:t>台</w:t>
            </w:r>
            <w:r>
              <w:rPr>
                <w:rFonts w:hint="eastAsia" w:ascii="宋体" w:hAnsi="宋体" w:eastAsia="宋体" w:cs="宋体"/>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864" w:type="dxa"/>
            <w:gridSpan w:val="3"/>
            <w:vAlign w:val="center"/>
          </w:tcPr>
          <w:p>
            <w:pPr>
              <w:pStyle w:val="27"/>
              <w:spacing w:line="360" w:lineRule="auto"/>
              <w:ind w:left="782"/>
              <w:rPr>
                <w:rFonts w:ascii="宋体" w:hAnsi="宋体" w:eastAsia="宋体" w:cs="宋体"/>
                <w:color w:val="auto"/>
                <w:sz w:val="21"/>
                <w:szCs w:val="21"/>
              </w:rPr>
            </w:pPr>
            <w:r>
              <w:rPr>
                <w:rFonts w:ascii="宋体" w:hAnsi="宋体" w:eastAsia="宋体" w:cs="宋体"/>
                <w:color w:val="auto"/>
                <w:sz w:val="21"/>
                <w:szCs w:val="21"/>
              </w:rPr>
              <w:t>单格平面尺寸</w:t>
            </w:r>
          </w:p>
        </w:tc>
        <w:tc>
          <w:tcPr>
            <w:tcW w:w="6095" w:type="dxa"/>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20m×10</w:t>
            </w:r>
            <w:r>
              <w:rPr>
                <w:rFonts w:ascii="宋体" w:hAnsi="宋体" w:eastAsia="宋体" w:cs="宋体"/>
                <w:color w:val="auto"/>
                <w:sz w:val="21"/>
                <w:szCs w:val="21"/>
              </w:rPr>
              <w:t>m（暂定）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864"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有效水深</w:t>
            </w:r>
          </w:p>
        </w:tc>
        <w:tc>
          <w:tcPr>
            <w:tcW w:w="6095" w:type="dxa"/>
            <w:vAlign w:val="center"/>
          </w:tcPr>
          <w:p>
            <w:pPr>
              <w:pStyle w:val="27"/>
              <w:spacing w:line="360" w:lineRule="auto"/>
              <w:ind w:left="2"/>
              <w:jc w:val="center"/>
              <w:rPr>
                <w:rFonts w:ascii="宋体" w:hAnsi="宋体" w:eastAsia="宋体" w:cs="宋体"/>
                <w:color w:val="auto"/>
                <w:sz w:val="21"/>
                <w:szCs w:val="21"/>
              </w:rPr>
            </w:pPr>
            <w:r>
              <w:rPr>
                <w:rFonts w:hint="eastAsia" w:ascii="宋体"/>
                <w:color w:val="auto"/>
                <w:sz w:val="21"/>
                <w:szCs w:val="21"/>
                <w:lang w:eastAsia="zh-CN"/>
              </w:rPr>
              <w:t>4.5</w:t>
            </w:r>
            <w:r>
              <w:rPr>
                <w:rFonts w:ascii="宋体"/>
                <w:color w:val="auto"/>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864" w:type="dxa"/>
            <w:gridSpan w:val="3"/>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池形</w:t>
            </w:r>
          </w:p>
        </w:tc>
        <w:tc>
          <w:tcPr>
            <w:tcW w:w="6095" w:type="dxa"/>
            <w:vAlign w:val="center"/>
          </w:tcPr>
          <w:p>
            <w:pPr>
              <w:pStyle w:val="27"/>
              <w:spacing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长方形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864" w:type="dxa"/>
            <w:gridSpan w:val="3"/>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工作制</w:t>
            </w:r>
          </w:p>
        </w:tc>
        <w:tc>
          <w:tcPr>
            <w:tcW w:w="6095" w:type="dxa"/>
            <w:vAlign w:val="center"/>
          </w:tcPr>
          <w:p>
            <w:pPr>
              <w:pStyle w:val="27"/>
              <w:spacing w:line="360" w:lineRule="auto"/>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24h/d连续运行或间歇运行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560" w:type="dxa"/>
            <w:gridSpan w:val="2"/>
            <w:vMerge w:val="restart"/>
            <w:vAlign w:val="center"/>
          </w:tcPr>
          <w:p>
            <w:pPr>
              <w:pStyle w:val="27"/>
              <w:spacing w:line="360" w:lineRule="auto"/>
              <w:ind w:left="563" w:right="456" w:hanging="106"/>
              <w:rPr>
                <w:rFonts w:ascii="宋体" w:hAnsi="宋体" w:eastAsia="宋体" w:cs="宋体"/>
                <w:color w:val="auto"/>
                <w:sz w:val="21"/>
                <w:szCs w:val="21"/>
              </w:rPr>
            </w:pPr>
            <w:r>
              <w:rPr>
                <w:rFonts w:ascii="宋体" w:hAnsi="宋体" w:eastAsia="宋体" w:cs="宋体"/>
                <w:color w:val="auto"/>
                <w:sz w:val="21"/>
                <w:szCs w:val="21"/>
              </w:rPr>
              <w:t>搅拌器性能参数</w:t>
            </w:r>
          </w:p>
        </w:tc>
        <w:tc>
          <w:tcPr>
            <w:tcW w:w="1304" w:type="dxa"/>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螺旋桨数量</w:t>
            </w:r>
          </w:p>
        </w:tc>
        <w:tc>
          <w:tcPr>
            <w:tcW w:w="6095" w:type="dxa"/>
            <w:vAlign w:val="center"/>
          </w:tcPr>
          <w:p>
            <w:pPr>
              <w:pStyle w:val="27"/>
              <w:spacing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2~3片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560" w:type="dxa"/>
            <w:gridSpan w:val="2"/>
            <w:vMerge w:val="continue"/>
            <w:vAlign w:val="center"/>
          </w:tcPr>
          <w:p>
            <w:pPr>
              <w:spacing w:line="360" w:lineRule="auto"/>
              <w:rPr>
                <w:color w:val="auto"/>
                <w:sz w:val="21"/>
                <w:szCs w:val="21"/>
              </w:rPr>
            </w:pPr>
          </w:p>
        </w:tc>
        <w:tc>
          <w:tcPr>
            <w:tcW w:w="1304" w:type="dxa"/>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螺旋桨直径</w:t>
            </w:r>
          </w:p>
        </w:tc>
        <w:tc>
          <w:tcPr>
            <w:tcW w:w="609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≥450mm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560" w:type="dxa"/>
            <w:gridSpan w:val="2"/>
            <w:vMerge w:val="continue"/>
            <w:vAlign w:val="center"/>
          </w:tcPr>
          <w:p>
            <w:pPr>
              <w:spacing w:line="360" w:lineRule="auto"/>
              <w:rPr>
                <w:color w:val="auto"/>
                <w:sz w:val="21"/>
                <w:szCs w:val="21"/>
              </w:rPr>
            </w:pPr>
          </w:p>
        </w:tc>
        <w:tc>
          <w:tcPr>
            <w:tcW w:w="1304" w:type="dxa"/>
            <w:vAlign w:val="center"/>
          </w:tcPr>
          <w:p>
            <w:pPr>
              <w:pStyle w:val="27"/>
              <w:spacing w:line="360" w:lineRule="auto"/>
              <w:ind w:left="528" w:right="101" w:hanging="420"/>
              <w:rPr>
                <w:rFonts w:ascii="宋体" w:hAnsi="宋体" w:eastAsia="宋体" w:cs="宋体"/>
                <w:color w:val="auto"/>
                <w:sz w:val="21"/>
                <w:szCs w:val="21"/>
              </w:rPr>
            </w:pPr>
            <w:r>
              <w:rPr>
                <w:rFonts w:ascii="宋体" w:hAnsi="宋体" w:eastAsia="宋体" w:cs="宋体"/>
                <w:color w:val="auto"/>
                <w:spacing w:val="-1"/>
                <w:sz w:val="21"/>
                <w:szCs w:val="21"/>
              </w:rPr>
              <w:t>机械密封寿</w:t>
            </w:r>
            <w:r>
              <w:rPr>
                <w:rFonts w:ascii="宋体" w:hAnsi="宋体" w:eastAsia="宋体" w:cs="宋体"/>
                <w:color w:val="auto"/>
                <w:sz w:val="21"/>
                <w:szCs w:val="21"/>
              </w:rPr>
              <w:t>命</w:t>
            </w:r>
          </w:p>
        </w:tc>
        <w:tc>
          <w:tcPr>
            <w:tcW w:w="6095" w:type="dxa"/>
            <w:vAlign w:val="center"/>
          </w:tcPr>
          <w:p>
            <w:pPr>
              <w:pStyle w:val="27"/>
              <w:spacing w:before="150" w:line="360" w:lineRule="auto"/>
              <w:ind w:right="1"/>
              <w:jc w:val="center"/>
              <w:rPr>
                <w:rFonts w:ascii="宋体" w:hAnsi="宋体" w:eastAsia="宋体" w:cs="宋体"/>
                <w:color w:val="auto"/>
                <w:sz w:val="21"/>
                <w:szCs w:val="21"/>
              </w:rPr>
            </w:pPr>
            <w:r>
              <w:rPr>
                <w:rFonts w:ascii="宋体" w:hAnsi="宋体" w:eastAsia="宋体" w:cs="宋体"/>
                <w:color w:val="auto"/>
                <w:sz w:val="21"/>
                <w:szCs w:val="21"/>
              </w:rPr>
              <w:t>使用寿命不低于25000</w:t>
            </w:r>
            <w:r>
              <w:rPr>
                <w:rFonts w:ascii="宋体" w:hAnsi="宋体" w:eastAsia="宋体" w:cs="宋体"/>
                <w:color w:val="auto"/>
                <w:spacing w:val="-3"/>
                <w:sz w:val="21"/>
                <w:szCs w:val="21"/>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560" w:type="dxa"/>
            <w:gridSpan w:val="2"/>
            <w:vMerge w:val="continue"/>
            <w:vAlign w:val="center"/>
          </w:tcPr>
          <w:p>
            <w:pPr>
              <w:spacing w:line="360" w:lineRule="auto"/>
              <w:rPr>
                <w:color w:val="auto"/>
                <w:sz w:val="21"/>
                <w:szCs w:val="21"/>
              </w:rPr>
            </w:pPr>
          </w:p>
        </w:tc>
        <w:tc>
          <w:tcPr>
            <w:tcW w:w="1304" w:type="dxa"/>
            <w:vAlign w:val="center"/>
          </w:tcPr>
          <w:p>
            <w:pPr>
              <w:pStyle w:val="27"/>
              <w:spacing w:line="360" w:lineRule="auto"/>
              <w:ind w:left="160" w:right="101" w:hanging="53"/>
              <w:rPr>
                <w:rFonts w:ascii="宋体" w:hAnsi="宋体" w:eastAsia="宋体" w:cs="宋体"/>
                <w:color w:val="auto"/>
                <w:sz w:val="21"/>
                <w:szCs w:val="21"/>
              </w:rPr>
            </w:pPr>
            <w:r>
              <w:rPr>
                <w:rFonts w:ascii="宋体" w:hAnsi="宋体" w:eastAsia="宋体" w:cs="宋体"/>
                <w:color w:val="auto"/>
                <w:spacing w:val="-1"/>
                <w:sz w:val="21"/>
                <w:szCs w:val="21"/>
              </w:rPr>
              <w:t>轴承使用寿</w:t>
            </w:r>
            <w:r>
              <w:rPr>
                <w:rFonts w:ascii="宋体" w:hAnsi="宋体" w:eastAsia="宋体" w:cs="宋体"/>
                <w:color w:val="auto"/>
                <w:sz w:val="21"/>
                <w:szCs w:val="21"/>
              </w:rPr>
              <w:t>命（L10）</w:t>
            </w:r>
          </w:p>
        </w:tc>
        <w:tc>
          <w:tcPr>
            <w:tcW w:w="6095" w:type="dxa"/>
            <w:vAlign w:val="center"/>
          </w:tcPr>
          <w:p>
            <w:pPr>
              <w:pStyle w:val="27"/>
              <w:spacing w:before="150" w:line="360" w:lineRule="auto"/>
              <w:jc w:val="center"/>
              <w:rPr>
                <w:rFonts w:ascii="宋体" w:hAnsi="宋体" w:eastAsia="宋体" w:cs="宋体"/>
                <w:color w:val="auto"/>
                <w:sz w:val="21"/>
                <w:szCs w:val="21"/>
              </w:rPr>
            </w:pPr>
            <w:r>
              <w:rPr>
                <w:rFonts w:ascii="宋体" w:hAnsi="宋体" w:eastAsia="宋体" w:cs="宋体"/>
                <w:color w:val="auto"/>
                <w:sz w:val="21"/>
                <w:szCs w:val="21"/>
              </w:rPr>
              <w:t>不小于100,000小时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560" w:type="dxa"/>
            <w:gridSpan w:val="2"/>
            <w:vMerge w:val="restart"/>
            <w:vAlign w:val="center"/>
          </w:tcPr>
          <w:p>
            <w:pPr>
              <w:pStyle w:val="27"/>
              <w:spacing w:line="360" w:lineRule="auto"/>
              <w:ind w:left="669" w:right="667"/>
              <w:jc w:val="both"/>
              <w:rPr>
                <w:rFonts w:ascii="宋体" w:hAnsi="宋体" w:eastAsia="宋体" w:cs="宋体"/>
                <w:color w:val="auto"/>
                <w:sz w:val="21"/>
                <w:szCs w:val="21"/>
              </w:rPr>
            </w:pPr>
            <w:r>
              <w:rPr>
                <w:rFonts w:ascii="宋体" w:hAnsi="宋体" w:eastAsia="宋体" w:cs="宋体"/>
                <w:color w:val="auto"/>
                <w:sz w:val="21"/>
                <w:szCs w:val="21"/>
              </w:rPr>
              <w:t>电机性能参数</w:t>
            </w:r>
          </w:p>
        </w:tc>
        <w:tc>
          <w:tcPr>
            <w:tcW w:w="1304" w:type="dxa"/>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额定功率</w:t>
            </w:r>
          </w:p>
        </w:tc>
        <w:tc>
          <w:tcPr>
            <w:tcW w:w="609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约</w:t>
            </w:r>
            <w:r>
              <w:rPr>
                <w:rFonts w:hint="eastAsia" w:ascii="宋体" w:hAnsi="宋体" w:eastAsia="宋体" w:cs="宋体"/>
                <w:color w:val="auto"/>
                <w:sz w:val="21"/>
                <w:szCs w:val="21"/>
                <w:lang w:eastAsia="zh-CN"/>
              </w:rPr>
              <w:t>7.5</w:t>
            </w:r>
            <w:r>
              <w:rPr>
                <w:rFonts w:ascii="宋体" w:hAnsi="宋体" w:eastAsia="宋体" w:cs="宋体"/>
                <w:color w:val="auto"/>
                <w:sz w:val="21"/>
                <w:szCs w:val="21"/>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560" w:type="dxa"/>
            <w:gridSpan w:val="2"/>
            <w:vMerge w:val="continue"/>
            <w:vAlign w:val="center"/>
          </w:tcPr>
          <w:p>
            <w:pPr>
              <w:spacing w:line="360" w:lineRule="auto"/>
              <w:rPr>
                <w:color w:val="auto"/>
                <w:sz w:val="21"/>
                <w:szCs w:val="21"/>
              </w:rPr>
            </w:pPr>
          </w:p>
        </w:tc>
        <w:tc>
          <w:tcPr>
            <w:tcW w:w="1304" w:type="dxa"/>
            <w:vAlign w:val="center"/>
          </w:tcPr>
          <w:p>
            <w:pPr>
              <w:pStyle w:val="27"/>
              <w:spacing w:line="360" w:lineRule="auto"/>
              <w:ind w:left="103" w:right="2" w:firstLine="57"/>
              <w:rPr>
                <w:rFonts w:ascii="宋体" w:hAnsi="宋体" w:eastAsia="宋体" w:cs="宋体"/>
                <w:color w:val="auto"/>
                <w:sz w:val="21"/>
                <w:szCs w:val="21"/>
              </w:rPr>
            </w:pPr>
            <w:r>
              <w:rPr>
                <w:rFonts w:ascii="宋体" w:hAnsi="宋体" w:eastAsia="宋体" w:cs="宋体"/>
                <w:color w:val="auto"/>
                <w:sz w:val="21"/>
                <w:szCs w:val="21"/>
              </w:rPr>
              <w:t>电源（相/</w:t>
            </w:r>
            <w:r>
              <w:rPr>
                <w:rFonts w:ascii="宋体" w:hAnsi="宋体" w:eastAsia="宋体" w:cs="宋体"/>
                <w:color w:val="auto"/>
                <w:spacing w:val="-1"/>
                <w:sz w:val="21"/>
                <w:szCs w:val="21"/>
              </w:rPr>
              <w:t>频率/电压）</w:t>
            </w:r>
          </w:p>
        </w:tc>
        <w:tc>
          <w:tcPr>
            <w:tcW w:w="6095" w:type="dxa"/>
            <w:vAlign w:val="center"/>
          </w:tcPr>
          <w:p>
            <w:pPr>
              <w:pStyle w:val="27"/>
              <w:spacing w:before="150" w:line="360" w:lineRule="auto"/>
              <w:ind w:left="2"/>
              <w:jc w:val="center"/>
              <w:rPr>
                <w:rFonts w:ascii="宋体" w:hAnsi="宋体" w:eastAsia="宋体" w:cs="宋体"/>
                <w:color w:val="auto"/>
                <w:sz w:val="21"/>
                <w:szCs w:val="21"/>
              </w:rPr>
            </w:pPr>
            <w:r>
              <w:rPr>
                <w:rFonts w:ascii="宋体"/>
                <w:color w:val="auto"/>
                <w:sz w:val="21"/>
                <w:szCs w:val="21"/>
              </w:rPr>
              <w:t>3Ph/50Hz/380V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560" w:type="dxa"/>
            <w:gridSpan w:val="2"/>
            <w:vMerge w:val="continue"/>
            <w:vAlign w:val="center"/>
          </w:tcPr>
          <w:p>
            <w:pPr>
              <w:spacing w:line="360" w:lineRule="auto"/>
              <w:rPr>
                <w:color w:val="auto"/>
                <w:sz w:val="21"/>
                <w:szCs w:val="21"/>
              </w:rPr>
            </w:pPr>
          </w:p>
        </w:tc>
        <w:tc>
          <w:tcPr>
            <w:tcW w:w="1304" w:type="dxa"/>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启动方式</w:t>
            </w:r>
          </w:p>
        </w:tc>
        <w:tc>
          <w:tcPr>
            <w:tcW w:w="609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直接启动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560" w:type="dxa"/>
            <w:gridSpan w:val="2"/>
            <w:vMerge w:val="continue"/>
            <w:vAlign w:val="center"/>
          </w:tcPr>
          <w:p>
            <w:pPr>
              <w:spacing w:line="360" w:lineRule="auto"/>
              <w:rPr>
                <w:color w:val="auto"/>
                <w:sz w:val="21"/>
                <w:szCs w:val="21"/>
              </w:rPr>
            </w:pPr>
          </w:p>
        </w:tc>
        <w:tc>
          <w:tcPr>
            <w:tcW w:w="1304" w:type="dxa"/>
            <w:vAlign w:val="center"/>
          </w:tcPr>
          <w:p>
            <w:pPr>
              <w:pStyle w:val="27"/>
              <w:spacing w:line="360" w:lineRule="auto"/>
              <w:ind w:left="213" w:right="155" w:hanging="53"/>
              <w:rPr>
                <w:rFonts w:ascii="宋体" w:hAnsi="宋体" w:eastAsia="宋体" w:cs="宋体"/>
                <w:color w:val="auto"/>
                <w:sz w:val="21"/>
                <w:szCs w:val="21"/>
              </w:rPr>
            </w:pPr>
            <w:r>
              <w:rPr>
                <w:rFonts w:ascii="宋体" w:hAnsi="宋体" w:eastAsia="宋体" w:cs="宋体"/>
                <w:color w:val="auto"/>
                <w:spacing w:val="-1"/>
                <w:sz w:val="21"/>
                <w:szCs w:val="21"/>
              </w:rPr>
              <w:t>防护等级/</w:t>
            </w:r>
            <w:r>
              <w:rPr>
                <w:rFonts w:ascii="宋体" w:hAnsi="宋体" w:eastAsia="宋体" w:cs="宋体"/>
                <w:color w:val="auto"/>
                <w:sz w:val="21"/>
                <w:szCs w:val="21"/>
              </w:rPr>
              <w:t>绝缘等级</w:t>
            </w:r>
          </w:p>
        </w:tc>
        <w:tc>
          <w:tcPr>
            <w:tcW w:w="6095" w:type="dxa"/>
            <w:vAlign w:val="center"/>
          </w:tcPr>
          <w:p>
            <w:pPr>
              <w:pStyle w:val="27"/>
              <w:spacing w:before="150"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IP68/F级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560" w:type="dxa"/>
            <w:gridSpan w:val="2"/>
            <w:vMerge w:val="continue"/>
            <w:vAlign w:val="center"/>
          </w:tcPr>
          <w:p>
            <w:pPr>
              <w:spacing w:line="360" w:lineRule="auto"/>
              <w:rPr>
                <w:color w:val="auto"/>
                <w:sz w:val="21"/>
                <w:szCs w:val="21"/>
              </w:rPr>
            </w:pPr>
          </w:p>
        </w:tc>
        <w:tc>
          <w:tcPr>
            <w:tcW w:w="1304" w:type="dxa"/>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冷却类型</w:t>
            </w:r>
          </w:p>
        </w:tc>
        <w:tc>
          <w:tcPr>
            <w:tcW w:w="609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输送介质直接冷却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560" w:type="dxa"/>
            <w:gridSpan w:val="2"/>
            <w:vMerge w:val="continue"/>
            <w:vAlign w:val="center"/>
          </w:tcPr>
          <w:p>
            <w:pPr>
              <w:spacing w:line="360" w:lineRule="auto"/>
              <w:rPr>
                <w:color w:val="auto"/>
                <w:sz w:val="21"/>
                <w:szCs w:val="21"/>
              </w:rPr>
            </w:pPr>
          </w:p>
        </w:tc>
        <w:tc>
          <w:tcPr>
            <w:tcW w:w="1304" w:type="dxa"/>
            <w:vAlign w:val="center"/>
          </w:tcPr>
          <w:p>
            <w:pPr>
              <w:pStyle w:val="27"/>
              <w:spacing w:line="360" w:lineRule="auto"/>
              <w:ind w:left="213" w:right="101" w:hanging="106"/>
              <w:rPr>
                <w:rFonts w:ascii="宋体" w:hAnsi="宋体" w:eastAsia="宋体" w:cs="宋体"/>
                <w:color w:val="auto"/>
                <w:sz w:val="21"/>
                <w:szCs w:val="21"/>
              </w:rPr>
            </w:pPr>
            <w:r>
              <w:rPr>
                <w:rFonts w:ascii="宋体" w:hAnsi="宋体" w:eastAsia="宋体" w:cs="宋体"/>
                <w:color w:val="auto"/>
                <w:spacing w:val="-1"/>
                <w:sz w:val="21"/>
                <w:szCs w:val="21"/>
              </w:rPr>
              <w:t>电机每小时</w:t>
            </w:r>
            <w:r>
              <w:rPr>
                <w:rFonts w:ascii="宋体" w:hAnsi="宋体" w:eastAsia="宋体" w:cs="宋体"/>
                <w:color w:val="auto"/>
                <w:sz w:val="21"/>
                <w:szCs w:val="21"/>
              </w:rPr>
              <w:t>启动次数</w:t>
            </w:r>
          </w:p>
        </w:tc>
        <w:tc>
          <w:tcPr>
            <w:tcW w:w="6095" w:type="dxa"/>
            <w:vAlign w:val="center"/>
          </w:tcPr>
          <w:p>
            <w:pPr>
              <w:pStyle w:val="27"/>
              <w:spacing w:before="150"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≥15次／小时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864" w:type="dxa"/>
            <w:gridSpan w:val="3"/>
            <w:vAlign w:val="center"/>
          </w:tcPr>
          <w:p>
            <w:pPr>
              <w:pStyle w:val="27"/>
              <w:spacing w:line="360" w:lineRule="auto"/>
              <w:ind w:left="885"/>
              <w:rPr>
                <w:rFonts w:ascii="宋体" w:hAnsi="宋体" w:eastAsia="宋体" w:cs="宋体"/>
                <w:color w:val="auto"/>
                <w:sz w:val="21"/>
                <w:szCs w:val="21"/>
              </w:rPr>
            </w:pPr>
            <w:r>
              <w:rPr>
                <w:rFonts w:ascii="宋体" w:hAnsi="宋体" w:eastAsia="宋体" w:cs="宋体"/>
                <w:color w:val="auto"/>
                <w:sz w:val="21"/>
                <w:szCs w:val="21"/>
              </w:rPr>
              <w:t>搅拌器推力</w:t>
            </w:r>
          </w:p>
        </w:tc>
        <w:tc>
          <w:tcPr>
            <w:tcW w:w="6095" w:type="dxa"/>
            <w:vAlign w:val="center"/>
          </w:tcPr>
          <w:p>
            <w:pPr>
              <w:pStyle w:val="27"/>
              <w:spacing w:line="360" w:lineRule="auto"/>
              <w:ind w:left="103" w:right="63" w:hanging="39"/>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提供的搅拌器必须具有足够大的每千瓦推力，每台潜水搅拌器应能在所安装的污水中工作，须能推动污水流动和充分搅拌、混合污水，保证污水池底流速（距池底300mm为准）不小于</w:t>
            </w:r>
            <w:r>
              <w:rPr>
                <w:rFonts w:ascii="宋体" w:hAnsi="宋体" w:eastAsia="宋体" w:cs="宋体"/>
                <w:color w:val="auto"/>
                <w:spacing w:val="-5"/>
                <w:sz w:val="21"/>
                <w:szCs w:val="21"/>
                <w:lang w:eastAsia="zh-CN"/>
              </w:rPr>
              <w:t>0.3m/s（暂定）。在出厂前对潜水搅拌器进行搅拌和推力测试，</w:t>
            </w:r>
            <w:r>
              <w:rPr>
                <w:rFonts w:ascii="宋体" w:hAnsi="宋体" w:eastAsia="宋体" w:cs="宋体"/>
                <w:color w:val="auto"/>
                <w:sz w:val="21"/>
                <w:szCs w:val="21"/>
                <w:lang w:eastAsia="zh-CN"/>
              </w:rPr>
              <w:t>按国际ISO21630</w:t>
            </w:r>
            <w:r>
              <w:rPr>
                <w:rFonts w:ascii="宋体" w:hAnsi="宋体" w:eastAsia="宋体" w:cs="宋体"/>
                <w:color w:val="auto"/>
                <w:spacing w:val="-4"/>
                <w:sz w:val="21"/>
                <w:szCs w:val="21"/>
                <w:lang w:eastAsia="zh-CN"/>
              </w:rPr>
              <w:t>标准执行，每种位置的设备至少提供两份以上</w:t>
            </w:r>
            <w:r>
              <w:rPr>
                <w:rFonts w:ascii="宋体" w:hAnsi="宋体" w:eastAsia="宋体" w:cs="宋体"/>
                <w:color w:val="auto"/>
                <w:sz w:val="21"/>
                <w:szCs w:val="21"/>
                <w:lang w:eastAsia="zh-CN"/>
              </w:rPr>
              <w:t>的书面测试报告。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864" w:type="dxa"/>
            <w:gridSpan w:val="3"/>
            <w:vAlign w:val="center"/>
          </w:tcPr>
          <w:p>
            <w:pPr>
              <w:pStyle w:val="27"/>
              <w:spacing w:line="360" w:lineRule="auto"/>
              <w:ind w:left="571"/>
              <w:rPr>
                <w:rFonts w:ascii="宋体" w:hAnsi="宋体" w:eastAsia="宋体" w:cs="宋体"/>
                <w:color w:val="auto"/>
                <w:sz w:val="21"/>
                <w:szCs w:val="21"/>
              </w:rPr>
            </w:pPr>
            <w:r>
              <w:rPr>
                <w:rFonts w:ascii="宋体" w:hAnsi="宋体" w:eastAsia="宋体" w:cs="宋体"/>
                <w:color w:val="auto"/>
                <w:sz w:val="21"/>
                <w:szCs w:val="21"/>
              </w:rPr>
              <w:t>运行安全运行时间</w:t>
            </w:r>
          </w:p>
        </w:tc>
        <w:tc>
          <w:tcPr>
            <w:tcW w:w="6095" w:type="dxa"/>
            <w:vAlign w:val="center"/>
          </w:tcPr>
          <w:p>
            <w:pPr>
              <w:pStyle w:val="27"/>
              <w:spacing w:line="360" w:lineRule="auto"/>
              <w:ind w:left="134" w:right="132"/>
              <w:jc w:val="center"/>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应能在全浸没或潜水电机露出液面的条件下连续运行、间歇运行和长期停止状态后恢复运行，搅拌器在整个运行过程中须保</w:t>
            </w:r>
            <w:r>
              <w:rPr>
                <w:rFonts w:ascii="宋体" w:hAnsi="宋体" w:eastAsia="宋体" w:cs="宋体"/>
                <w:color w:val="auto"/>
                <w:sz w:val="21"/>
                <w:szCs w:val="21"/>
                <w:lang w:eastAsia="zh-CN"/>
              </w:rPr>
              <w:t>持无振动平稳运行，无故障运行时间至少为20000小时。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864" w:type="dxa"/>
            <w:gridSpan w:val="3"/>
            <w:vAlign w:val="center"/>
          </w:tcPr>
          <w:p>
            <w:pPr>
              <w:pStyle w:val="27"/>
              <w:spacing w:line="360" w:lineRule="auto"/>
              <w:ind w:left="1202" w:right="149" w:hanging="1052"/>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搅拌器的电机和螺旋桨传动</w:t>
            </w:r>
            <w:r>
              <w:rPr>
                <w:rFonts w:ascii="宋体" w:hAnsi="宋体" w:eastAsia="宋体" w:cs="宋体"/>
                <w:color w:val="auto"/>
                <w:sz w:val="21"/>
                <w:szCs w:val="21"/>
                <w:lang w:eastAsia="zh-CN"/>
              </w:rPr>
              <w:t>方式</w:t>
            </w:r>
          </w:p>
        </w:tc>
        <w:tc>
          <w:tcPr>
            <w:tcW w:w="6095" w:type="dxa"/>
            <w:vAlign w:val="center"/>
          </w:tcPr>
          <w:p>
            <w:pPr>
              <w:pStyle w:val="27"/>
              <w:spacing w:before="150" w:line="360" w:lineRule="auto"/>
              <w:jc w:val="center"/>
              <w:rPr>
                <w:rFonts w:ascii="宋体" w:hAnsi="宋体" w:eastAsia="宋体" w:cs="宋体"/>
                <w:color w:val="auto"/>
                <w:sz w:val="21"/>
                <w:szCs w:val="21"/>
              </w:rPr>
            </w:pPr>
            <w:r>
              <w:rPr>
                <w:rFonts w:ascii="宋体" w:hAnsi="宋体" w:eastAsia="宋体" w:cs="宋体"/>
                <w:color w:val="auto"/>
                <w:sz w:val="21"/>
                <w:szCs w:val="21"/>
              </w:rPr>
              <w:t>直联传动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864" w:type="dxa"/>
            <w:gridSpan w:val="3"/>
            <w:vAlign w:val="center"/>
          </w:tcPr>
          <w:p>
            <w:pPr>
              <w:pStyle w:val="27"/>
              <w:spacing w:line="360" w:lineRule="auto"/>
              <w:ind w:left="1202" w:right="149" w:hanging="1052"/>
              <w:rPr>
                <w:rFonts w:ascii="宋体" w:hAnsi="宋体" w:eastAsia="宋体" w:cs="宋体"/>
                <w:color w:val="auto"/>
                <w:sz w:val="21"/>
                <w:szCs w:val="21"/>
                <w:lang w:eastAsia="zh-CN"/>
              </w:rPr>
            </w:pPr>
            <w:r>
              <w:rPr>
                <w:rFonts w:ascii="宋体" w:hAnsi="宋体" w:eastAsia="宋体" w:cs="宋体"/>
                <w:color w:val="auto"/>
                <w:sz w:val="21"/>
                <w:szCs w:val="21"/>
                <w:lang w:eastAsia="zh-CN"/>
              </w:rPr>
              <w:t>池底流速（距池底300mm为准）</w:t>
            </w:r>
          </w:p>
        </w:tc>
        <w:tc>
          <w:tcPr>
            <w:tcW w:w="6095" w:type="dxa"/>
            <w:vAlign w:val="center"/>
          </w:tcPr>
          <w:p>
            <w:pPr>
              <w:pStyle w:val="27"/>
              <w:spacing w:before="150" w:line="360" w:lineRule="auto"/>
              <w:jc w:val="center"/>
              <w:rPr>
                <w:rFonts w:ascii="宋体" w:hAnsi="宋体" w:eastAsia="宋体" w:cs="宋体"/>
                <w:color w:val="auto"/>
                <w:sz w:val="21"/>
                <w:szCs w:val="21"/>
              </w:rPr>
            </w:pPr>
            <w:r>
              <w:rPr>
                <w:rFonts w:ascii="宋体" w:hAnsi="宋体" w:eastAsia="宋体" w:cs="宋体"/>
                <w:color w:val="auto"/>
                <w:sz w:val="21"/>
                <w:szCs w:val="21"/>
              </w:rPr>
              <w:t>≥0.3m/s（暂定）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864" w:type="dxa"/>
            <w:gridSpan w:val="3"/>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轴承温升</w:t>
            </w:r>
          </w:p>
        </w:tc>
        <w:tc>
          <w:tcPr>
            <w:tcW w:w="609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864" w:type="dxa"/>
            <w:gridSpan w:val="3"/>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噪声</w:t>
            </w:r>
          </w:p>
        </w:tc>
        <w:tc>
          <w:tcPr>
            <w:tcW w:w="6095" w:type="dxa"/>
            <w:vAlign w:val="center"/>
          </w:tcPr>
          <w:p>
            <w:pPr>
              <w:pStyle w:val="27"/>
              <w:spacing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≤80dB（A）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163" w:type="dxa"/>
            <w:vMerge w:val="restart"/>
            <w:vAlign w:val="center"/>
          </w:tcPr>
          <w:p>
            <w:pPr>
              <w:pStyle w:val="27"/>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材质</w:t>
            </w:r>
          </w:p>
        </w:tc>
        <w:tc>
          <w:tcPr>
            <w:tcW w:w="1701" w:type="dxa"/>
            <w:gridSpan w:val="2"/>
            <w:vAlign w:val="center"/>
          </w:tcPr>
          <w:p>
            <w:pPr>
              <w:pStyle w:val="27"/>
              <w:spacing w:before="44" w:line="360" w:lineRule="auto"/>
              <w:ind w:left="108" w:right="101"/>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电机壳体</w:t>
            </w:r>
            <w:r>
              <w:rPr>
                <w:rFonts w:ascii="宋体" w:hAnsi="宋体" w:eastAsia="宋体" w:cs="宋体"/>
                <w:color w:val="auto"/>
                <w:spacing w:val="-1"/>
                <w:sz w:val="21"/>
                <w:szCs w:val="21"/>
                <w:lang w:eastAsia="zh-CN"/>
              </w:rPr>
              <w:t>（含前后端</w:t>
            </w:r>
            <w:r>
              <w:rPr>
                <w:rFonts w:ascii="宋体" w:hAnsi="宋体" w:eastAsia="宋体" w:cs="宋体"/>
                <w:color w:val="auto"/>
                <w:sz w:val="21"/>
                <w:szCs w:val="21"/>
                <w:lang w:eastAsia="zh-CN"/>
              </w:rPr>
              <w:t>盖）</w:t>
            </w:r>
          </w:p>
        </w:tc>
        <w:tc>
          <w:tcPr>
            <w:tcW w:w="6095" w:type="dxa"/>
            <w:vAlign w:val="center"/>
          </w:tcPr>
          <w:p>
            <w:pPr>
              <w:pStyle w:val="27"/>
              <w:spacing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不锈钢0Cr19Ni9(304)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163"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701" w:type="dxa"/>
            <w:gridSpan w:val="2"/>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螺旋桨</w:t>
            </w:r>
          </w:p>
        </w:tc>
        <w:tc>
          <w:tcPr>
            <w:tcW w:w="609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不锈钢0Cr17Ni12Mo2(316)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163"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701" w:type="dxa"/>
            <w:gridSpan w:val="2"/>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轴</w:t>
            </w:r>
          </w:p>
        </w:tc>
        <w:tc>
          <w:tcPr>
            <w:tcW w:w="609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不锈钢2Cr13(420)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163"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701" w:type="dxa"/>
            <w:gridSpan w:val="2"/>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机械密封</w:t>
            </w:r>
          </w:p>
        </w:tc>
        <w:tc>
          <w:tcPr>
            <w:tcW w:w="609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耐腐蚀烧结碳化硅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163"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701" w:type="dxa"/>
            <w:gridSpan w:val="2"/>
            <w:vAlign w:val="center"/>
          </w:tcPr>
          <w:p>
            <w:pPr>
              <w:pStyle w:val="27"/>
              <w:spacing w:line="360" w:lineRule="auto"/>
              <w:ind w:left="422" w:right="-7" w:hanging="320"/>
              <w:jc w:val="center"/>
              <w:rPr>
                <w:rFonts w:ascii="宋体" w:hAnsi="宋体" w:eastAsia="宋体" w:cs="宋体"/>
                <w:color w:val="auto"/>
                <w:sz w:val="21"/>
                <w:szCs w:val="21"/>
              </w:rPr>
            </w:pPr>
            <w:r>
              <w:rPr>
                <w:rFonts w:ascii="宋体" w:hAnsi="宋体" w:eastAsia="宋体" w:cs="宋体"/>
                <w:color w:val="auto"/>
                <w:spacing w:val="-17"/>
                <w:sz w:val="21"/>
                <w:szCs w:val="21"/>
              </w:rPr>
              <w:t>螺栓、螺母、</w:t>
            </w:r>
            <w:r>
              <w:rPr>
                <w:rFonts w:ascii="宋体" w:hAnsi="宋体" w:eastAsia="宋体" w:cs="宋体"/>
                <w:color w:val="auto"/>
                <w:sz w:val="21"/>
                <w:szCs w:val="21"/>
              </w:rPr>
              <w:t>垫圈</w:t>
            </w:r>
          </w:p>
        </w:tc>
        <w:tc>
          <w:tcPr>
            <w:tcW w:w="6095" w:type="dxa"/>
            <w:vAlign w:val="center"/>
          </w:tcPr>
          <w:p>
            <w:pPr>
              <w:pStyle w:val="27"/>
              <w:spacing w:before="150" w:line="360" w:lineRule="auto"/>
              <w:jc w:val="center"/>
              <w:rPr>
                <w:rFonts w:ascii="宋体" w:hAnsi="宋体" w:eastAsia="宋体" w:cs="宋体"/>
                <w:color w:val="auto"/>
                <w:sz w:val="21"/>
                <w:szCs w:val="21"/>
              </w:rPr>
            </w:pPr>
            <w:r>
              <w:rPr>
                <w:rFonts w:ascii="宋体" w:hAnsi="宋体" w:eastAsia="宋体" w:cs="宋体"/>
                <w:color w:val="auto"/>
                <w:sz w:val="21"/>
                <w:szCs w:val="21"/>
              </w:rPr>
              <w:t>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163"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701" w:type="dxa"/>
            <w:gridSpan w:val="2"/>
            <w:vAlign w:val="center"/>
          </w:tcPr>
          <w:p>
            <w:pPr>
              <w:pStyle w:val="27"/>
              <w:spacing w:line="360" w:lineRule="auto"/>
              <w:ind w:left="528" w:right="101" w:hanging="420"/>
              <w:jc w:val="center"/>
              <w:rPr>
                <w:rFonts w:ascii="宋体" w:hAnsi="宋体" w:eastAsia="宋体" w:cs="宋体"/>
                <w:color w:val="auto"/>
                <w:sz w:val="21"/>
                <w:szCs w:val="21"/>
              </w:rPr>
            </w:pPr>
            <w:r>
              <w:rPr>
                <w:rFonts w:ascii="宋体" w:hAnsi="宋体" w:eastAsia="宋体" w:cs="宋体"/>
                <w:color w:val="auto"/>
                <w:spacing w:val="-1"/>
                <w:sz w:val="21"/>
                <w:szCs w:val="21"/>
              </w:rPr>
              <w:t>水下提升支</w:t>
            </w:r>
            <w:r>
              <w:rPr>
                <w:rFonts w:ascii="宋体" w:hAnsi="宋体" w:eastAsia="宋体" w:cs="宋体"/>
                <w:color w:val="auto"/>
                <w:sz w:val="21"/>
                <w:szCs w:val="21"/>
              </w:rPr>
              <w:t>架</w:t>
            </w:r>
          </w:p>
        </w:tc>
        <w:tc>
          <w:tcPr>
            <w:tcW w:w="6095" w:type="dxa"/>
            <w:vAlign w:val="center"/>
          </w:tcPr>
          <w:p>
            <w:pPr>
              <w:pStyle w:val="27"/>
              <w:spacing w:before="150" w:line="360" w:lineRule="auto"/>
              <w:jc w:val="center"/>
              <w:rPr>
                <w:rFonts w:ascii="宋体" w:hAnsi="宋体" w:eastAsia="宋体" w:cs="宋体"/>
                <w:color w:val="auto"/>
                <w:sz w:val="21"/>
                <w:szCs w:val="21"/>
              </w:rPr>
            </w:pPr>
            <w:r>
              <w:rPr>
                <w:rFonts w:ascii="宋体" w:hAnsi="宋体" w:eastAsia="宋体" w:cs="宋体"/>
                <w:color w:val="auto"/>
                <w:sz w:val="21"/>
                <w:szCs w:val="21"/>
              </w:rPr>
              <w:t>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163"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701" w:type="dxa"/>
            <w:gridSpan w:val="2"/>
            <w:vAlign w:val="center"/>
          </w:tcPr>
          <w:p>
            <w:pPr>
              <w:pStyle w:val="27"/>
              <w:spacing w:line="360" w:lineRule="auto"/>
              <w:ind w:left="528" w:right="101" w:hanging="420"/>
              <w:jc w:val="center"/>
              <w:rPr>
                <w:rFonts w:ascii="宋体" w:hAnsi="宋体" w:eastAsia="宋体" w:cs="宋体"/>
                <w:color w:val="auto"/>
                <w:sz w:val="21"/>
                <w:szCs w:val="21"/>
              </w:rPr>
            </w:pPr>
            <w:r>
              <w:rPr>
                <w:rFonts w:ascii="宋体" w:hAnsi="宋体" w:eastAsia="宋体" w:cs="宋体"/>
                <w:color w:val="auto"/>
                <w:spacing w:val="-1"/>
                <w:sz w:val="21"/>
                <w:szCs w:val="21"/>
              </w:rPr>
              <w:t>水上提升吊</w:t>
            </w:r>
            <w:r>
              <w:rPr>
                <w:rFonts w:ascii="宋体" w:hAnsi="宋体" w:eastAsia="宋体" w:cs="宋体"/>
                <w:color w:val="auto"/>
                <w:sz w:val="21"/>
                <w:szCs w:val="21"/>
              </w:rPr>
              <w:t>架</w:t>
            </w:r>
          </w:p>
        </w:tc>
        <w:tc>
          <w:tcPr>
            <w:tcW w:w="6095" w:type="dxa"/>
            <w:vAlign w:val="center"/>
          </w:tcPr>
          <w:p>
            <w:pPr>
              <w:pStyle w:val="27"/>
              <w:spacing w:before="150" w:line="360" w:lineRule="auto"/>
              <w:jc w:val="center"/>
              <w:rPr>
                <w:rFonts w:ascii="宋体" w:hAnsi="宋体" w:eastAsia="宋体" w:cs="宋体"/>
                <w:color w:val="auto"/>
                <w:sz w:val="21"/>
                <w:szCs w:val="21"/>
              </w:rPr>
            </w:pPr>
            <w:r>
              <w:rPr>
                <w:rFonts w:ascii="宋体" w:hAnsi="宋体" w:eastAsia="宋体" w:cs="宋体"/>
                <w:color w:val="auto"/>
                <w:sz w:val="21"/>
                <w:szCs w:val="21"/>
              </w:rPr>
              <w:t>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163"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701" w:type="dxa"/>
            <w:gridSpan w:val="2"/>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提升钢丝绳</w:t>
            </w:r>
          </w:p>
        </w:tc>
        <w:tc>
          <w:tcPr>
            <w:tcW w:w="6095" w:type="dxa"/>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color w:val="auto"/>
                <w:sz w:val="21"/>
                <w:szCs w:val="21"/>
              </w:rPr>
              <w:t>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163"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701" w:type="dxa"/>
            <w:gridSpan w:val="2"/>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控制箱</w:t>
            </w:r>
          </w:p>
        </w:tc>
        <w:tc>
          <w:tcPr>
            <w:tcW w:w="6095" w:type="dxa"/>
            <w:vAlign w:val="center"/>
          </w:tcPr>
          <w:p>
            <w:pPr>
              <w:pStyle w:val="27"/>
              <w:spacing w:line="360" w:lineRule="auto"/>
              <w:ind w:left="110" w:leftChars="50" w:right="110" w:rightChars="50"/>
              <w:jc w:val="center"/>
              <w:rPr>
                <w:rFonts w:ascii="宋体" w:hAnsi="宋体" w:eastAsia="宋体" w:cs="宋体"/>
                <w:color w:val="auto"/>
                <w:sz w:val="21"/>
                <w:szCs w:val="21"/>
                <w:lang w:eastAsia="zh-CN"/>
              </w:rPr>
            </w:pPr>
            <w:r>
              <w:rPr>
                <w:rFonts w:ascii="宋体" w:hAnsi="宋体" w:eastAsia="宋体" w:cs="宋体"/>
                <w:color w:val="auto"/>
                <w:sz w:val="21"/>
                <w:szCs w:val="21"/>
                <w:lang w:eastAsia="zh-CN"/>
              </w:rPr>
              <w:t>不锈钢</w:t>
            </w:r>
            <w:r>
              <w:rPr>
                <w:rFonts w:ascii="宋体" w:hAnsi="宋体" w:eastAsia="宋体" w:cs="宋体"/>
                <w:color w:val="auto"/>
                <w:spacing w:val="-5"/>
                <w:sz w:val="21"/>
                <w:szCs w:val="21"/>
                <w:lang w:eastAsia="zh-CN"/>
              </w:rPr>
              <w:t>304，钢板厚度应不小于1.5mm，防护等级应不小于</w:t>
            </w:r>
            <w:r>
              <w:rPr>
                <w:rFonts w:ascii="宋体" w:hAnsi="宋体" w:eastAsia="宋体" w:cs="宋体"/>
                <w:color w:val="auto"/>
                <w:sz w:val="21"/>
                <w:szCs w:val="21"/>
                <w:lang w:eastAsia="zh-CN"/>
              </w:rPr>
              <w:t>IP65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163" w:type="dxa"/>
            <w:vMerge w:val="restart"/>
            <w:vAlign w:val="center"/>
          </w:tcPr>
          <w:p>
            <w:pPr>
              <w:pStyle w:val="27"/>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附件</w:t>
            </w:r>
          </w:p>
        </w:tc>
        <w:tc>
          <w:tcPr>
            <w:tcW w:w="1701" w:type="dxa"/>
            <w:gridSpan w:val="2"/>
            <w:vAlign w:val="center"/>
          </w:tcPr>
          <w:p>
            <w:pPr>
              <w:pStyle w:val="27"/>
              <w:spacing w:before="44" w:line="360" w:lineRule="auto"/>
              <w:ind w:left="213"/>
              <w:jc w:val="center"/>
              <w:rPr>
                <w:rFonts w:ascii="宋体" w:hAnsi="宋体" w:eastAsia="宋体" w:cs="宋体"/>
                <w:color w:val="auto"/>
                <w:sz w:val="21"/>
                <w:szCs w:val="21"/>
              </w:rPr>
            </w:pPr>
            <w:r>
              <w:rPr>
                <w:rFonts w:ascii="宋体" w:hAnsi="宋体" w:eastAsia="宋体" w:cs="宋体"/>
                <w:color w:val="auto"/>
                <w:sz w:val="21"/>
                <w:szCs w:val="21"/>
              </w:rPr>
              <w:t>潜水电缆（长度）</w:t>
            </w:r>
          </w:p>
        </w:tc>
        <w:tc>
          <w:tcPr>
            <w:tcW w:w="6095" w:type="dxa"/>
            <w:vAlign w:val="center"/>
          </w:tcPr>
          <w:p>
            <w:pPr>
              <w:pStyle w:val="29"/>
              <w:ind w:left="110" w:leftChars="50" w:right="110" w:rightChars="50" w:firstLine="412"/>
              <w:rPr>
                <w:color w:val="auto"/>
                <w:sz w:val="21"/>
                <w:szCs w:val="20"/>
              </w:rPr>
            </w:pPr>
            <w:r>
              <w:rPr>
                <w:color w:val="auto"/>
                <w:sz w:val="21"/>
                <w:szCs w:val="20"/>
              </w:rPr>
              <w:t>≥15m米/根，与搅拌器配套，完好无接驳口，达到规范要求的防水等级及绝缘等级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163"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701" w:type="dxa"/>
            <w:gridSpan w:val="2"/>
            <w:vAlign w:val="center"/>
          </w:tcPr>
          <w:p>
            <w:pPr>
              <w:pStyle w:val="27"/>
              <w:spacing w:line="360" w:lineRule="auto"/>
              <w:ind w:left="316" w:right="101" w:hanging="209"/>
              <w:jc w:val="center"/>
              <w:rPr>
                <w:rFonts w:ascii="宋体" w:hAnsi="宋体" w:eastAsia="宋体" w:cs="宋体"/>
                <w:color w:val="auto"/>
                <w:sz w:val="21"/>
                <w:szCs w:val="21"/>
              </w:rPr>
            </w:pPr>
            <w:r>
              <w:rPr>
                <w:rFonts w:ascii="宋体" w:hAnsi="宋体" w:eastAsia="宋体" w:cs="宋体"/>
                <w:color w:val="auto"/>
                <w:spacing w:val="-1"/>
                <w:sz w:val="21"/>
                <w:szCs w:val="21"/>
              </w:rPr>
              <w:t>电气专用保</w:t>
            </w:r>
            <w:r>
              <w:rPr>
                <w:rFonts w:ascii="宋体" w:hAnsi="宋体" w:eastAsia="宋体" w:cs="宋体"/>
                <w:color w:val="auto"/>
                <w:sz w:val="21"/>
                <w:szCs w:val="21"/>
              </w:rPr>
              <w:t>护元件</w:t>
            </w:r>
          </w:p>
        </w:tc>
        <w:tc>
          <w:tcPr>
            <w:tcW w:w="6095" w:type="dxa"/>
            <w:vAlign w:val="center"/>
          </w:tcPr>
          <w:p>
            <w:pPr>
              <w:pStyle w:val="29"/>
              <w:ind w:left="110" w:leftChars="50" w:right="110" w:rightChars="50" w:firstLine="412"/>
              <w:rPr>
                <w:color w:val="auto"/>
                <w:sz w:val="21"/>
                <w:szCs w:val="20"/>
              </w:rPr>
            </w:pPr>
            <w:r>
              <w:rPr>
                <w:color w:val="auto"/>
                <w:sz w:val="21"/>
                <w:szCs w:val="20"/>
              </w:rPr>
              <w:t>配套电机定子室泄漏传感器、定子绕组过热保护、搅拌器综合保护器等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163"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701" w:type="dxa"/>
            <w:gridSpan w:val="2"/>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控制箱</w:t>
            </w:r>
          </w:p>
        </w:tc>
        <w:tc>
          <w:tcPr>
            <w:tcW w:w="6095" w:type="dxa"/>
            <w:vAlign w:val="center"/>
          </w:tcPr>
          <w:p>
            <w:pPr>
              <w:pStyle w:val="29"/>
              <w:ind w:left="110" w:leftChars="50" w:right="110" w:rightChars="50" w:firstLine="412"/>
              <w:rPr>
                <w:color w:val="auto"/>
                <w:sz w:val="21"/>
                <w:szCs w:val="20"/>
              </w:rPr>
            </w:pPr>
            <w:r>
              <w:rPr>
                <w:color w:val="auto"/>
                <w:sz w:val="21"/>
                <w:szCs w:val="20"/>
              </w:rPr>
              <w:t>应配备手动/停/自动及现场/遥控的就地控制箱，并需配备向中心控制室传输状态显示信号的接口和接受中心控制室遥控信号的接口。支撑件高度应保证使电气控制箱底部离地1.3米安装。凡需落地安装的电气控制箱，应配套提供用于安装的槽钢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163" w:type="dxa"/>
            <w:vMerge w:val="continue"/>
            <w:vAlign w:val="center"/>
          </w:tcPr>
          <w:p>
            <w:pPr>
              <w:pStyle w:val="27"/>
              <w:spacing w:line="360" w:lineRule="auto"/>
              <w:jc w:val="center"/>
              <w:rPr>
                <w:rFonts w:ascii="宋体" w:hAnsi="宋体" w:eastAsia="宋体" w:cs="宋体"/>
                <w:color w:val="auto"/>
                <w:sz w:val="21"/>
                <w:szCs w:val="21"/>
                <w:lang w:eastAsia="zh-CN"/>
              </w:rPr>
            </w:pPr>
          </w:p>
        </w:tc>
        <w:tc>
          <w:tcPr>
            <w:tcW w:w="1701" w:type="dxa"/>
            <w:gridSpan w:val="2"/>
            <w:vAlign w:val="center"/>
          </w:tcPr>
          <w:p>
            <w:pPr>
              <w:pStyle w:val="27"/>
              <w:spacing w:before="150"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其它</w:t>
            </w:r>
          </w:p>
        </w:tc>
        <w:tc>
          <w:tcPr>
            <w:tcW w:w="6095" w:type="dxa"/>
            <w:vAlign w:val="center"/>
          </w:tcPr>
          <w:p>
            <w:pPr>
              <w:pStyle w:val="29"/>
              <w:ind w:left="110" w:leftChars="50" w:right="110" w:rightChars="50" w:firstLine="412"/>
              <w:rPr>
                <w:color w:val="auto"/>
                <w:sz w:val="21"/>
                <w:szCs w:val="20"/>
              </w:rPr>
            </w:pPr>
            <w:r>
              <w:rPr>
                <w:color w:val="auto"/>
                <w:sz w:val="21"/>
                <w:szCs w:val="20"/>
              </w:rPr>
              <w:t>每台潜水搅拌器均配备一套安装提升系统，安装系统应包括导轨、提拉绳，并配有臂式起吊架和手摇式卷升装置。</w:t>
            </w:r>
          </w:p>
        </w:tc>
      </w:tr>
    </w:tbl>
    <w:p>
      <w:pPr>
        <w:pStyle w:val="31"/>
        <w:rPr>
          <w:color w:val="auto"/>
        </w:rPr>
      </w:pPr>
      <w:r>
        <w:rPr>
          <w:color w:val="auto"/>
        </w:rPr>
        <w:t>闸门</w:t>
      </w:r>
    </w:p>
    <w:tbl>
      <w:tblPr>
        <w:tblStyle w:val="25"/>
        <w:tblW w:w="8932" w:type="dxa"/>
        <w:tblInd w:w="118" w:type="dxa"/>
        <w:tblLayout w:type="fixed"/>
        <w:tblCellMar>
          <w:top w:w="0" w:type="dxa"/>
          <w:left w:w="0" w:type="dxa"/>
          <w:bottom w:w="0" w:type="dxa"/>
          <w:right w:w="0" w:type="dxa"/>
        </w:tblCellMar>
      </w:tblPr>
      <w:tblGrid>
        <w:gridCol w:w="2408"/>
        <w:gridCol w:w="1704"/>
        <w:gridCol w:w="835"/>
        <w:gridCol w:w="3135"/>
        <w:gridCol w:w="850"/>
      </w:tblGrid>
      <w:tr>
        <w:tblPrEx>
          <w:tblLayout w:type="fixed"/>
          <w:tblCellMar>
            <w:top w:w="0" w:type="dxa"/>
            <w:left w:w="0" w:type="dxa"/>
            <w:bottom w:w="0" w:type="dxa"/>
            <w:right w:w="0" w:type="dxa"/>
          </w:tblCellMar>
        </w:tblPrEx>
        <w:tc>
          <w:tcPr>
            <w:tcW w:w="2408" w:type="dxa"/>
            <w:tcBorders>
              <w:top w:val="single" w:color="000000" w:sz="2" w:space="0"/>
              <w:left w:val="single" w:color="000000" w:sz="2" w:space="0"/>
              <w:bottom w:val="single" w:color="000000" w:sz="6" w:space="0"/>
              <w:right w:val="single" w:color="000000" w:sz="6" w:space="0"/>
            </w:tcBorders>
            <w:vAlign w:val="center"/>
          </w:tcPr>
          <w:p>
            <w:pPr>
              <w:pStyle w:val="27"/>
              <w:spacing w:before="11" w:line="360" w:lineRule="auto"/>
              <w:jc w:val="center"/>
              <w:rPr>
                <w:rFonts w:ascii="宋体" w:hAnsi="宋体" w:eastAsia="宋体" w:cs="宋体"/>
                <w:b/>
                <w:color w:val="auto"/>
                <w:sz w:val="21"/>
                <w:szCs w:val="21"/>
              </w:rPr>
            </w:pPr>
            <w:r>
              <w:rPr>
                <w:rFonts w:ascii="宋体" w:hAnsi="宋体" w:eastAsia="宋体" w:cs="宋体"/>
                <w:b/>
                <w:color w:val="auto"/>
                <w:sz w:val="21"/>
                <w:szCs w:val="21"/>
              </w:rPr>
              <w:t>设备名称</w:t>
            </w:r>
          </w:p>
        </w:tc>
        <w:tc>
          <w:tcPr>
            <w:tcW w:w="1704" w:type="dxa"/>
            <w:tcBorders>
              <w:top w:val="single" w:color="000000" w:sz="2" w:space="0"/>
              <w:left w:val="single" w:color="000000" w:sz="6" w:space="0"/>
              <w:bottom w:val="single" w:color="000000" w:sz="6" w:space="0"/>
              <w:right w:val="single" w:color="000000" w:sz="6" w:space="0"/>
            </w:tcBorders>
            <w:vAlign w:val="center"/>
          </w:tcPr>
          <w:p>
            <w:pPr>
              <w:pStyle w:val="27"/>
              <w:spacing w:before="11" w:line="360" w:lineRule="auto"/>
              <w:jc w:val="center"/>
              <w:rPr>
                <w:rFonts w:ascii="宋体" w:hAnsi="宋体" w:eastAsia="宋体" w:cs="宋体"/>
                <w:b/>
                <w:color w:val="auto"/>
                <w:sz w:val="21"/>
                <w:szCs w:val="21"/>
              </w:rPr>
            </w:pPr>
            <w:r>
              <w:rPr>
                <w:rFonts w:ascii="宋体" w:hAnsi="宋体" w:eastAsia="宋体" w:cs="宋体"/>
                <w:b/>
                <w:color w:val="auto"/>
                <w:sz w:val="21"/>
                <w:szCs w:val="21"/>
              </w:rPr>
              <w:t>规格</w:t>
            </w:r>
          </w:p>
        </w:tc>
        <w:tc>
          <w:tcPr>
            <w:tcW w:w="835" w:type="dxa"/>
            <w:tcBorders>
              <w:top w:val="single" w:color="000000" w:sz="2" w:space="0"/>
              <w:left w:val="single" w:color="000000" w:sz="6" w:space="0"/>
              <w:bottom w:val="single" w:color="000000" w:sz="6" w:space="0"/>
              <w:right w:val="single" w:color="000000" w:sz="2" w:space="0"/>
            </w:tcBorders>
            <w:vAlign w:val="center"/>
          </w:tcPr>
          <w:p>
            <w:pPr>
              <w:pStyle w:val="27"/>
              <w:spacing w:before="11" w:line="360" w:lineRule="auto"/>
              <w:ind w:left="-1"/>
              <w:jc w:val="center"/>
              <w:rPr>
                <w:rFonts w:ascii="宋体" w:hAnsi="宋体" w:eastAsia="宋体" w:cs="宋体"/>
                <w:b/>
                <w:color w:val="auto"/>
                <w:sz w:val="21"/>
                <w:szCs w:val="21"/>
              </w:rPr>
            </w:pPr>
            <w:r>
              <w:rPr>
                <w:rFonts w:ascii="宋体" w:hAnsi="宋体" w:eastAsia="宋体" w:cs="宋体"/>
                <w:b/>
                <w:color w:val="auto"/>
                <w:sz w:val="21"/>
                <w:szCs w:val="21"/>
              </w:rPr>
              <w:t>数量</w:t>
            </w:r>
          </w:p>
        </w:tc>
        <w:tc>
          <w:tcPr>
            <w:tcW w:w="3135" w:type="dxa"/>
            <w:tcBorders>
              <w:top w:val="single" w:color="000000" w:sz="2" w:space="0"/>
              <w:left w:val="single" w:color="000000" w:sz="2" w:space="0"/>
              <w:bottom w:val="single" w:color="000000" w:sz="6" w:space="0"/>
              <w:right w:val="single" w:color="000000" w:sz="2" w:space="0"/>
            </w:tcBorders>
            <w:vAlign w:val="center"/>
          </w:tcPr>
          <w:p>
            <w:pPr>
              <w:pStyle w:val="27"/>
              <w:spacing w:before="11" w:line="360" w:lineRule="auto"/>
              <w:ind w:left="-1"/>
              <w:jc w:val="center"/>
              <w:rPr>
                <w:rFonts w:ascii="宋体" w:hAnsi="宋体" w:eastAsia="宋体" w:cs="宋体"/>
                <w:b/>
                <w:color w:val="auto"/>
                <w:sz w:val="21"/>
                <w:szCs w:val="21"/>
              </w:rPr>
            </w:pPr>
            <w:r>
              <w:rPr>
                <w:rFonts w:ascii="宋体" w:hAnsi="宋体" w:eastAsia="宋体" w:cs="宋体"/>
                <w:b/>
                <w:color w:val="auto"/>
                <w:sz w:val="21"/>
                <w:szCs w:val="21"/>
              </w:rPr>
              <w:t>启闭方式</w:t>
            </w:r>
          </w:p>
        </w:tc>
        <w:tc>
          <w:tcPr>
            <w:tcW w:w="850" w:type="dxa"/>
            <w:tcBorders>
              <w:top w:val="single" w:color="000000" w:sz="2" w:space="0"/>
              <w:left w:val="single" w:color="000000" w:sz="2" w:space="0"/>
              <w:bottom w:val="single" w:color="000000" w:sz="6" w:space="0"/>
              <w:right w:val="single" w:color="000000" w:sz="2" w:space="0"/>
            </w:tcBorders>
            <w:vAlign w:val="center"/>
          </w:tcPr>
          <w:p>
            <w:pPr>
              <w:pStyle w:val="27"/>
              <w:spacing w:before="11" w:line="360" w:lineRule="auto"/>
              <w:jc w:val="center"/>
              <w:rPr>
                <w:rFonts w:ascii="宋体" w:hAnsi="宋体" w:eastAsia="宋体" w:cs="宋体"/>
                <w:b/>
                <w:color w:val="auto"/>
                <w:sz w:val="21"/>
                <w:szCs w:val="21"/>
              </w:rPr>
            </w:pPr>
            <w:r>
              <w:rPr>
                <w:rFonts w:ascii="宋体" w:hAnsi="宋体" w:eastAsia="宋体" w:cs="宋体"/>
                <w:b/>
                <w:color w:val="auto"/>
                <w:sz w:val="21"/>
                <w:szCs w:val="21"/>
              </w:rPr>
              <w:t>材质</w:t>
            </w:r>
          </w:p>
        </w:tc>
      </w:tr>
      <w:tr>
        <w:tblPrEx>
          <w:tblLayout w:type="fixed"/>
          <w:tblCellMar>
            <w:top w:w="0" w:type="dxa"/>
            <w:left w:w="0" w:type="dxa"/>
            <w:bottom w:w="0" w:type="dxa"/>
            <w:right w:w="0" w:type="dxa"/>
          </w:tblCellMar>
        </w:tblPrEx>
        <w:tc>
          <w:tcPr>
            <w:tcW w:w="2408" w:type="dxa"/>
            <w:tcBorders>
              <w:top w:val="single" w:color="000000" w:sz="6" w:space="0"/>
              <w:left w:val="single" w:color="000000" w:sz="2" w:space="0"/>
              <w:bottom w:val="single" w:color="000000" w:sz="6" w:space="0"/>
              <w:right w:val="single" w:color="000000" w:sz="6" w:space="0"/>
            </w:tcBorders>
            <w:vAlign w:val="center"/>
          </w:tcPr>
          <w:p>
            <w:pPr>
              <w:widowControl/>
              <w:spacing w:line="360" w:lineRule="auto"/>
              <w:jc w:val="center"/>
              <w:rPr>
                <w:color w:val="auto"/>
                <w:sz w:val="21"/>
                <w:szCs w:val="21"/>
              </w:rPr>
            </w:pPr>
            <w:r>
              <w:rPr>
                <w:color w:val="auto"/>
                <w:sz w:val="21"/>
                <w:szCs w:val="21"/>
              </w:rPr>
              <w:t>电动闸阀</w:t>
            </w:r>
          </w:p>
        </w:tc>
        <w:tc>
          <w:tcPr>
            <w:tcW w:w="1704" w:type="dxa"/>
            <w:tcBorders>
              <w:top w:val="single" w:color="000000" w:sz="6" w:space="0"/>
              <w:left w:val="single" w:color="000000" w:sz="6" w:space="0"/>
              <w:bottom w:val="single" w:color="000000" w:sz="6" w:space="0"/>
              <w:right w:val="single" w:color="000000" w:sz="6" w:space="0"/>
            </w:tcBorders>
            <w:vAlign w:val="center"/>
          </w:tcPr>
          <w:p>
            <w:pPr>
              <w:widowControl/>
              <w:spacing w:line="360" w:lineRule="auto"/>
              <w:jc w:val="center"/>
              <w:rPr>
                <w:color w:val="auto"/>
                <w:sz w:val="21"/>
                <w:szCs w:val="21"/>
              </w:rPr>
            </w:pPr>
            <w:r>
              <w:rPr>
                <w:color w:val="auto"/>
                <w:sz w:val="21"/>
                <w:szCs w:val="21"/>
              </w:rPr>
              <w:t>DN300，P=0.55kW</w:t>
            </w:r>
          </w:p>
        </w:tc>
        <w:tc>
          <w:tcPr>
            <w:tcW w:w="835" w:type="dxa"/>
            <w:tcBorders>
              <w:top w:val="single" w:color="000000" w:sz="6" w:space="0"/>
              <w:left w:val="single" w:color="000000" w:sz="6" w:space="0"/>
              <w:bottom w:val="single" w:color="000000" w:sz="6" w:space="0"/>
              <w:right w:val="single" w:color="000000" w:sz="2" w:space="0"/>
            </w:tcBorders>
            <w:vAlign w:val="center"/>
          </w:tcPr>
          <w:p>
            <w:pPr>
              <w:pStyle w:val="27"/>
              <w:spacing w:before="9" w:line="360" w:lineRule="auto"/>
              <w:ind w:left="-1"/>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p>
        </w:tc>
        <w:tc>
          <w:tcPr>
            <w:tcW w:w="3135" w:type="dxa"/>
            <w:tcBorders>
              <w:top w:val="single" w:color="000000" w:sz="6" w:space="0"/>
              <w:left w:val="single" w:color="000000" w:sz="2" w:space="0"/>
              <w:bottom w:val="single" w:color="000000" w:sz="6" w:space="0"/>
              <w:right w:val="single" w:color="000000" w:sz="2" w:space="0"/>
            </w:tcBorders>
            <w:vAlign w:val="center"/>
          </w:tcPr>
          <w:p>
            <w:pPr>
              <w:pStyle w:val="27"/>
              <w:spacing w:before="9" w:line="360" w:lineRule="auto"/>
              <w:ind w:left="-1"/>
              <w:rPr>
                <w:rFonts w:ascii="宋体" w:hAnsi="宋体" w:eastAsia="宋体" w:cs="宋体"/>
                <w:color w:val="auto"/>
                <w:sz w:val="21"/>
                <w:szCs w:val="21"/>
              </w:rPr>
            </w:pPr>
            <w:r>
              <w:rPr>
                <w:rFonts w:ascii="宋体" w:hAnsi="宋体" w:eastAsia="宋体" w:cs="宋体"/>
                <w:color w:val="auto"/>
                <w:sz w:val="21"/>
                <w:szCs w:val="21"/>
              </w:rPr>
              <w:t>采用电动方式</w:t>
            </w:r>
          </w:p>
        </w:tc>
        <w:tc>
          <w:tcPr>
            <w:tcW w:w="850" w:type="dxa"/>
            <w:vMerge w:val="restart"/>
            <w:tcBorders>
              <w:top w:val="single" w:color="000000" w:sz="6" w:space="0"/>
              <w:left w:val="single" w:color="000000" w:sz="2" w:space="0"/>
              <w:right w:val="single" w:color="000000" w:sz="2" w:space="0"/>
            </w:tcBorders>
            <w:vAlign w:val="center"/>
          </w:tcPr>
          <w:p>
            <w:pPr>
              <w:pStyle w:val="27"/>
              <w:spacing w:before="6" w:line="360" w:lineRule="auto"/>
              <w:rPr>
                <w:rFonts w:ascii="宋体" w:hAnsi="宋体" w:eastAsia="宋体" w:cs="宋体"/>
                <w:color w:val="auto"/>
                <w:sz w:val="21"/>
                <w:szCs w:val="21"/>
              </w:rPr>
            </w:pPr>
          </w:p>
          <w:p>
            <w:pPr>
              <w:pStyle w:val="27"/>
              <w:spacing w:line="360" w:lineRule="auto"/>
              <w:rPr>
                <w:rFonts w:ascii="宋体" w:hAnsi="宋体" w:eastAsia="宋体" w:cs="宋体"/>
                <w:color w:val="auto"/>
                <w:sz w:val="21"/>
                <w:szCs w:val="21"/>
              </w:rPr>
            </w:pPr>
            <w:r>
              <w:rPr>
                <w:rFonts w:ascii="宋体" w:hAnsi="宋体" w:eastAsia="宋体" w:cs="宋体"/>
                <w:color w:val="auto"/>
                <w:sz w:val="21"/>
                <w:szCs w:val="21"/>
              </w:rPr>
              <w:t>不锈钢</w:t>
            </w:r>
          </w:p>
        </w:tc>
      </w:tr>
      <w:tr>
        <w:tblPrEx>
          <w:tblLayout w:type="fixed"/>
          <w:tblCellMar>
            <w:top w:w="0" w:type="dxa"/>
            <w:left w:w="0" w:type="dxa"/>
            <w:bottom w:w="0" w:type="dxa"/>
            <w:right w:w="0" w:type="dxa"/>
          </w:tblCellMar>
        </w:tblPrEx>
        <w:tc>
          <w:tcPr>
            <w:tcW w:w="2408" w:type="dxa"/>
            <w:tcBorders>
              <w:top w:val="single" w:color="000000" w:sz="6" w:space="0"/>
              <w:left w:val="single" w:color="000000" w:sz="2" w:space="0"/>
              <w:bottom w:val="single" w:color="000000" w:sz="6" w:space="0"/>
              <w:right w:val="single" w:color="000000" w:sz="6" w:space="0"/>
            </w:tcBorders>
            <w:vAlign w:val="center"/>
          </w:tcPr>
          <w:p>
            <w:pPr>
              <w:widowControl/>
              <w:spacing w:line="360" w:lineRule="auto"/>
              <w:jc w:val="center"/>
              <w:rPr>
                <w:color w:val="auto"/>
                <w:sz w:val="21"/>
                <w:szCs w:val="21"/>
              </w:rPr>
            </w:pPr>
            <w:r>
              <w:rPr>
                <w:color w:val="auto"/>
                <w:sz w:val="21"/>
                <w:szCs w:val="21"/>
              </w:rPr>
              <w:t>碟式止回阀</w:t>
            </w:r>
          </w:p>
        </w:tc>
        <w:tc>
          <w:tcPr>
            <w:tcW w:w="1704" w:type="dxa"/>
            <w:tcBorders>
              <w:top w:val="single" w:color="000000" w:sz="6" w:space="0"/>
              <w:left w:val="single" w:color="000000" w:sz="6" w:space="0"/>
              <w:bottom w:val="single" w:color="000000" w:sz="6" w:space="0"/>
              <w:right w:val="single" w:color="000000" w:sz="6" w:space="0"/>
            </w:tcBorders>
            <w:vAlign w:val="center"/>
          </w:tcPr>
          <w:p>
            <w:pPr>
              <w:widowControl/>
              <w:spacing w:line="360" w:lineRule="auto"/>
              <w:jc w:val="center"/>
              <w:rPr>
                <w:color w:val="auto"/>
                <w:sz w:val="21"/>
                <w:szCs w:val="21"/>
              </w:rPr>
            </w:pPr>
            <w:r>
              <w:rPr>
                <w:color w:val="auto"/>
                <w:sz w:val="21"/>
                <w:szCs w:val="21"/>
              </w:rPr>
              <w:t>DN300</w:t>
            </w:r>
          </w:p>
        </w:tc>
        <w:tc>
          <w:tcPr>
            <w:tcW w:w="835" w:type="dxa"/>
            <w:tcBorders>
              <w:top w:val="single" w:color="000000" w:sz="6" w:space="0"/>
              <w:left w:val="single" w:color="000000" w:sz="6" w:space="0"/>
              <w:bottom w:val="single" w:color="000000" w:sz="6" w:space="0"/>
              <w:right w:val="single" w:color="000000" w:sz="2" w:space="0"/>
            </w:tcBorders>
            <w:vAlign w:val="center"/>
          </w:tcPr>
          <w:p>
            <w:pPr>
              <w:pStyle w:val="27"/>
              <w:spacing w:before="6" w:line="360" w:lineRule="auto"/>
              <w:ind w:left="-1"/>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p>
        </w:tc>
        <w:tc>
          <w:tcPr>
            <w:tcW w:w="3135" w:type="dxa"/>
            <w:tcBorders>
              <w:top w:val="single" w:color="000000" w:sz="6" w:space="0"/>
              <w:left w:val="single" w:color="000000" w:sz="2" w:space="0"/>
              <w:bottom w:val="single" w:color="000000" w:sz="6" w:space="0"/>
              <w:right w:val="single" w:color="000000" w:sz="2" w:space="0"/>
            </w:tcBorders>
            <w:vAlign w:val="center"/>
          </w:tcPr>
          <w:p>
            <w:pPr>
              <w:pStyle w:val="27"/>
              <w:spacing w:before="6" w:line="360" w:lineRule="auto"/>
              <w:ind w:left="-1"/>
              <w:rPr>
                <w:rFonts w:ascii="宋体" w:hAnsi="宋体" w:eastAsia="宋体" w:cs="宋体"/>
                <w:color w:val="auto"/>
                <w:sz w:val="21"/>
                <w:szCs w:val="21"/>
              </w:rPr>
            </w:pPr>
          </w:p>
        </w:tc>
        <w:tc>
          <w:tcPr>
            <w:tcW w:w="850" w:type="dxa"/>
            <w:vMerge w:val="continue"/>
            <w:tcBorders>
              <w:left w:val="single" w:color="000000" w:sz="2" w:space="0"/>
              <w:right w:val="single" w:color="000000" w:sz="2" w:space="0"/>
            </w:tcBorders>
            <w:vAlign w:val="center"/>
          </w:tcPr>
          <w:p>
            <w:pPr>
              <w:spacing w:line="360" w:lineRule="auto"/>
              <w:rPr>
                <w:color w:val="auto"/>
                <w:sz w:val="21"/>
                <w:szCs w:val="21"/>
              </w:rPr>
            </w:pPr>
          </w:p>
        </w:tc>
      </w:tr>
      <w:tr>
        <w:tblPrEx>
          <w:tblLayout w:type="fixed"/>
          <w:tblCellMar>
            <w:top w:w="0" w:type="dxa"/>
            <w:left w:w="0" w:type="dxa"/>
            <w:bottom w:w="0" w:type="dxa"/>
            <w:right w:w="0" w:type="dxa"/>
          </w:tblCellMar>
        </w:tblPrEx>
        <w:tc>
          <w:tcPr>
            <w:tcW w:w="2408" w:type="dxa"/>
            <w:tcBorders>
              <w:top w:val="single" w:color="000000" w:sz="6" w:space="0"/>
              <w:left w:val="single" w:color="000000" w:sz="2" w:space="0"/>
              <w:bottom w:val="single" w:color="000000" w:sz="6" w:space="0"/>
              <w:right w:val="single" w:color="000000" w:sz="6" w:space="0"/>
            </w:tcBorders>
            <w:vAlign w:val="center"/>
          </w:tcPr>
          <w:p>
            <w:pPr>
              <w:widowControl/>
              <w:spacing w:line="360" w:lineRule="auto"/>
              <w:jc w:val="center"/>
              <w:rPr>
                <w:color w:val="auto"/>
                <w:sz w:val="21"/>
                <w:szCs w:val="21"/>
              </w:rPr>
            </w:pPr>
            <w:r>
              <w:rPr>
                <w:color w:val="auto"/>
                <w:sz w:val="21"/>
                <w:szCs w:val="21"/>
              </w:rPr>
              <w:t>手动闸阀</w:t>
            </w:r>
          </w:p>
        </w:tc>
        <w:tc>
          <w:tcPr>
            <w:tcW w:w="1704" w:type="dxa"/>
            <w:tcBorders>
              <w:top w:val="single" w:color="000000" w:sz="6" w:space="0"/>
              <w:left w:val="single" w:color="000000" w:sz="6" w:space="0"/>
              <w:bottom w:val="single" w:color="000000" w:sz="6" w:space="0"/>
              <w:right w:val="single" w:color="000000" w:sz="6" w:space="0"/>
            </w:tcBorders>
            <w:vAlign w:val="center"/>
          </w:tcPr>
          <w:p>
            <w:pPr>
              <w:widowControl/>
              <w:spacing w:line="360" w:lineRule="auto"/>
              <w:jc w:val="center"/>
              <w:rPr>
                <w:color w:val="auto"/>
                <w:sz w:val="21"/>
                <w:szCs w:val="21"/>
              </w:rPr>
            </w:pPr>
            <w:r>
              <w:rPr>
                <w:color w:val="auto"/>
                <w:sz w:val="21"/>
                <w:szCs w:val="21"/>
              </w:rPr>
              <w:t>DN300</w:t>
            </w:r>
          </w:p>
        </w:tc>
        <w:tc>
          <w:tcPr>
            <w:tcW w:w="835" w:type="dxa"/>
            <w:tcBorders>
              <w:top w:val="single" w:color="000000" w:sz="6" w:space="0"/>
              <w:left w:val="single" w:color="000000" w:sz="6" w:space="0"/>
              <w:bottom w:val="single" w:color="000000" w:sz="6" w:space="0"/>
              <w:right w:val="single" w:color="000000" w:sz="2" w:space="0"/>
            </w:tcBorders>
            <w:vAlign w:val="center"/>
          </w:tcPr>
          <w:p>
            <w:pPr>
              <w:pStyle w:val="27"/>
              <w:spacing w:before="16" w:line="360" w:lineRule="auto"/>
              <w:ind w:left="-1"/>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p>
        </w:tc>
        <w:tc>
          <w:tcPr>
            <w:tcW w:w="3135" w:type="dxa"/>
            <w:tcBorders>
              <w:top w:val="single" w:color="000000" w:sz="6" w:space="0"/>
              <w:left w:val="single" w:color="000000" w:sz="2" w:space="0"/>
              <w:bottom w:val="single" w:color="000000" w:sz="6" w:space="0"/>
              <w:right w:val="single" w:color="000000" w:sz="2" w:space="0"/>
            </w:tcBorders>
            <w:vAlign w:val="center"/>
          </w:tcPr>
          <w:p>
            <w:pPr>
              <w:pStyle w:val="27"/>
              <w:spacing w:before="16" w:line="360" w:lineRule="auto"/>
              <w:ind w:left="-1"/>
              <w:rPr>
                <w:rFonts w:ascii="宋体" w:hAnsi="宋体" w:eastAsia="宋体" w:cs="宋体"/>
                <w:color w:val="auto"/>
                <w:sz w:val="21"/>
                <w:szCs w:val="21"/>
              </w:rPr>
            </w:pPr>
            <w:r>
              <w:rPr>
                <w:rFonts w:ascii="宋体" w:hAnsi="宋体" w:eastAsia="宋体" w:cs="宋体"/>
                <w:color w:val="auto"/>
                <w:sz w:val="21"/>
                <w:szCs w:val="21"/>
              </w:rPr>
              <w:t>采用手动方式</w:t>
            </w:r>
          </w:p>
        </w:tc>
        <w:tc>
          <w:tcPr>
            <w:tcW w:w="850" w:type="dxa"/>
            <w:vMerge w:val="continue"/>
            <w:tcBorders>
              <w:left w:val="single" w:color="000000" w:sz="2" w:space="0"/>
              <w:right w:val="single" w:color="000000" w:sz="2" w:space="0"/>
            </w:tcBorders>
            <w:vAlign w:val="center"/>
          </w:tcPr>
          <w:p>
            <w:pPr>
              <w:spacing w:line="360" w:lineRule="auto"/>
              <w:rPr>
                <w:color w:val="auto"/>
                <w:sz w:val="21"/>
                <w:szCs w:val="21"/>
              </w:rPr>
            </w:pPr>
          </w:p>
        </w:tc>
      </w:tr>
      <w:tr>
        <w:tblPrEx>
          <w:tblLayout w:type="fixed"/>
          <w:tblCellMar>
            <w:top w:w="0" w:type="dxa"/>
            <w:left w:w="0" w:type="dxa"/>
            <w:bottom w:w="0" w:type="dxa"/>
            <w:right w:w="0" w:type="dxa"/>
          </w:tblCellMar>
        </w:tblPrEx>
        <w:tc>
          <w:tcPr>
            <w:tcW w:w="8932" w:type="dxa"/>
            <w:gridSpan w:val="5"/>
            <w:tcBorders>
              <w:top w:val="single" w:color="000000" w:sz="6" w:space="0"/>
              <w:left w:val="single" w:color="000000" w:sz="2" w:space="0"/>
              <w:bottom w:val="single" w:color="000000" w:sz="6" w:space="0"/>
              <w:right w:val="single" w:color="000000" w:sz="2" w:space="0"/>
            </w:tcBorders>
            <w:vAlign w:val="center"/>
          </w:tcPr>
          <w:p>
            <w:pPr>
              <w:pStyle w:val="27"/>
              <w:spacing w:line="360" w:lineRule="auto"/>
              <w:ind w:left="24"/>
              <w:rPr>
                <w:rFonts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1</w:t>
            </w:r>
            <w:r>
              <w:rPr>
                <w:rFonts w:ascii="Times New Roman" w:hAnsi="Times New Roman" w:eastAsia="宋体" w:cs="Times New Roman"/>
                <w:color w:val="auto"/>
                <w:sz w:val="21"/>
                <w:szCs w:val="21"/>
                <w:lang w:eastAsia="zh-CN"/>
              </w:rPr>
              <w:t>、闸阀</w:t>
            </w:r>
          </w:p>
          <w:p>
            <w:pPr>
              <w:pStyle w:val="27"/>
              <w:spacing w:before="44" w:line="360" w:lineRule="auto"/>
              <w:ind w:left="24"/>
              <w:rPr>
                <w:rFonts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1</w:t>
            </w:r>
            <w:r>
              <w:rPr>
                <w:rFonts w:ascii="Times New Roman" w:hAnsi="Times New Roman" w:eastAsia="宋体" w:cs="Times New Roman"/>
                <w:color w:val="auto"/>
                <w:sz w:val="21"/>
                <w:szCs w:val="21"/>
                <w:lang w:eastAsia="zh-CN"/>
              </w:rPr>
              <w:t>.1设计要求</w:t>
            </w:r>
          </w:p>
          <w:p>
            <w:pPr>
              <w:pStyle w:val="27"/>
              <w:spacing w:before="42" w:line="360" w:lineRule="auto"/>
              <w:ind w:left="24" w:right="67" w:firstLine="419"/>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2"/>
                <w:sz w:val="21"/>
                <w:szCs w:val="21"/>
                <w:lang w:eastAsia="zh-CN"/>
              </w:rPr>
              <w:t>a.软密封闸阀应采用暗杆式、单阀板、楔形、平底、双法兰式结构，阀板包胶，阀体涂塑的</w:t>
            </w:r>
            <w:r>
              <w:rPr>
                <w:rFonts w:ascii="Times New Roman" w:hAnsi="Times New Roman" w:eastAsia="宋体" w:cs="Times New Roman"/>
                <w:color w:val="auto"/>
                <w:sz w:val="21"/>
                <w:szCs w:val="21"/>
                <w:lang w:eastAsia="zh-CN"/>
              </w:rPr>
              <w:t>形式，可安装于二管道之间，与管道的同规格法兰用高强度螺栓连接。</w:t>
            </w:r>
          </w:p>
          <w:p>
            <w:pPr>
              <w:pStyle w:val="27"/>
              <w:spacing w:before="10" w:line="360" w:lineRule="auto"/>
              <w:ind w:left="24" w:right="67" w:firstLine="419"/>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2"/>
                <w:sz w:val="21"/>
                <w:szCs w:val="21"/>
                <w:lang w:eastAsia="zh-CN"/>
              </w:rPr>
              <w:t>b.软密封闸阀及其零部件必须适用于原生污水的特性。闸阀要按照本节所提供的标准及其它</w:t>
            </w:r>
            <w:r>
              <w:rPr>
                <w:rFonts w:ascii="Times New Roman" w:hAnsi="Times New Roman" w:eastAsia="宋体" w:cs="Times New Roman"/>
                <w:color w:val="auto"/>
                <w:sz w:val="21"/>
                <w:szCs w:val="21"/>
                <w:lang w:eastAsia="zh-CN"/>
              </w:rPr>
              <w:t>相当的标准，使用的材料及设计构造应保证阀完全适应污水系统的运行条件</w:t>
            </w:r>
          </w:p>
          <w:p>
            <w:pPr>
              <w:pStyle w:val="27"/>
              <w:spacing w:before="10" w:line="360" w:lineRule="auto"/>
              <w:ind w:left="24" w:right="4902" w:firstLine="419"/>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1"/>
                <w:sz w:val="21"/>
                <w:szCs w:val="21"/>
                <w:lang w:eastAsia="zh-CN"/>
              </w:rPr>
              <w:t>c.电动操作时，启闭速度应≤2m/min。</w:t>
            </w:r>
            <w:r>
              <w:rPr>
                <w:rFonts w:hint="eastAsia" w:ascii="Times New Roman" w:hAnsi="Times New Roman" w:eastAsia="宋体" w:cs="Times New Roman"/>
                <w:color w:val="auto"/>
                <w:sz w:val="21"/>
                <w:szCs w:val="21"/>
                <w:lang w:eastAsia="zh-CN"/>
              </w:rPr>
              <w:t>1</w:t>
            </w:r>
            <w:r>
              <w:rPr>
                <w:rFonts w:ascii="Times New Roman" w:hAnsi="Times New Roman" w:eastAsia="宋体" w:cs="Times New Roman"/>
                <w:color w:val="auto"/>
                <w:sz w:val="21"/>
                <w:szCs w:val="21"/>
                <w:lang w:eastAsia="zh-CN"/>
              </w:rPr>
              <w:t>.2、性能和结构</w:t>
            </w:r>
          </w:p>
          <w:p>
            <w:pPr>
              <w:pStyle w:val="27"/>
              <w:spacing w:before="10" w:line="360" w:lineRule="auto"/>
              <w:ind w:left="24"/>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(1)阀体</w:t>
            </w:r>
          </w:p>
          <w:p>
            <w:pPr>
              <w:pStyle w:val="27"/>
              <w:spacing w:before="44" w:line="360" w:lineRule="auto"/>
              <w:ind w:left="24" w:right="15" w:firstLine="419"/>
              <w:jc w:val="both"/>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2"/>
                <w:sz w:val="21"/>
                <w:szCs w:val="21"/>
                <w:lang w:eastAsia="zh-CN"/>
              </w:rPr>
              <w:t>a.阀体应有下阀体和阀盖二个部分组成，在结构上，腔体的轴向通道须呈直线状，阀体底部</w:t>
            </w:r>
            <w:r>
              <w:rPr>
                <w:rFonts w:ascii="Times New Roman" w:hAnsi="Times New Roman" w:eastAsia="宋体" w:cs="Times New Roman"/>
                <w:color w:val="auto"/>
                <w:spacing w:val="-4"/>
                <w:sz w:val="21"/>
                <w:szCs w:val="21"/>
                <w:lang w:eastAsia="zh-CN"/>
              </w:rPr>
              <w:t>无凹穴，并按</w:t>
            </w:r>
            <w:r>
              <w:rPr>
                <w:rFonts w:ascii="Times New Roman" w:hAnsi="Times New Roman" w:eastAsia="宋体" w:cs="Times New Roman"/>
                <w:color w:val="auto"/>
                <w:sz w:val="21"/>
                <w:szCs w:val="21"/>
                <w:lang w:eastAsia="zh-CN"/>
              </w:rPr>
              <w:t>CJ/T216-2005</w:t>
            </w:r>
            <w:r>
              <w:rPr>
                <w:rFonts w:ascii="Times New Roman" w:hAnsi="Times New Roman" w:eastAsia="宋体" w:cs="Times New Roman"/>
                <w:color w:val="auto"/>
                <w:spacing w:val="-3"/>
                <w:sz w:val="21"/>
                <w:szCs w:val="21"/>
                <w:lang w:eastAsia="zh-CN"/>
              </w:rPr>
              <w:t>标准进行阀体内、外表面的高压静电无毒环氧树脂喷涂。涂层厚度应</w:t>
            </w:r>
            <w:r>
              <w:rPr>
                <w:rFonts w:ascii="Times New Roman" w:hAnsi="Times New Roman" w:eastAsia="宋体" w:cs="Times New Roman"/>
                <w:color w:val="auto"/>
                <w:sz w:val="21"/>
                <w:szCs w:val="21"/>
                <w:lang w:eastAsia="zh-CN"/>
              </w:rPr>
              <w:t>在0.15mm</w:t>
            </w:r>
            <w:r>
              <w:rPr>
                <w:rFonts w:ascii="Times New Roman" w:hAnsi="Times New Roman" w:eastAsia="宋体" w:cs="Times New Roman"/>
                <w:color w:val="auto"/>
                <w:spacing w:val="-8"/>
                <w:sz w:val="21"/>
                <w:szCs w:val="21"/>
                <w:lang w:eastAsia="zh-CN"/>
              </w:rPr>
              <w:t>以上，硬度应达到</w:t>
            </w:r>
            <w:r>
              <w:rPr>
                <w:rFonts w:ascii="Times New Roman" w:hAnsi="Times New Roman" w:eastAsia="宋体" w:cs="Times New Roman"/>
                <w:color w:val="auto"/>
                <w:sz w:val="21"/>
                <w:szCs w:val="21"/>
                <w:lang w:eastAsia="zh-CN"/>
              </w:rPr>
              <w:t>GB/T6739规定德铅笔硬度</w:t>
            </w:r>
            <w:r>
              <w:rPr>
                <w:rFonts w:ascii="Times New Roman" w:hAnsi="Times New Roman" w:eastAsia="宋体" w:cs="Times New Roman"/>
                <w:color w:val="auto"/>
                <w:spacing w:val="-6"/>
                <w:sz w:val="21"/>
                <w:szCs w:val="21"/>
                <w:lang w:eastAsia="zh-CN"/>
              </w:rPr>
              <w:t>2H，涂层附着力应达到</w:t>
            </w:r>
            <w:r>
              <w:rPr>
                <w:rFonts w:ascii="Times New Roman" w:hAnsi="Times New Roman" w:eastAsia="宋体" w:cs="Times New Roman"/>
                <w:color w:val="auto"/>
                <w:sz w:val="21"/>
                <w:szCs w:val="21"/>
                <w:lang w:eastAsia="zh-CN"/>
              </w:rPr>
              <w:t>GB/T9286规定德划格法1mm2</w:t>
            </w:r>
            <w:r>
              <w:rPr>
                <w:rFonts w:ascii="Times New Roman" w:hAnsi="Times New Roman" w:eastAsia="宋体" w:cs="Times New Roman"/>
                <w:color w:val="auto"/>
                <w:spacing w:val="-3"/>
                <w:sz w:val="21"/>
                <w:szCs w:val="21"/>
                <w:lang w:eastAsia="zh-CN"/>
              </w:rPr>
              <w:t>不脱落。下阀体的材料为球墨铸铁</w:t>
            </w:r>
            <w:r>
              <w:rPr>
                <w:rFonts w:ascii="Times New Roman" w:hAnsi="Times New Roman" w:eastAsia="宋体" w:cs="Times New Roman"/>
                <w:color w:val="auto"/>
                <w:sz w:val="21"/>
                <w:szCs w:val="21"/>
                <w:lang w:eastAsia="zh-CN"/>
              </w:rPr>
              <w:t>400</w:t>
            </w:r>
            <w:r>
              <w:rPr>
                <w:rFonts w:ascii="Times New Roman" w:hAnsi="Times New Roman" w:eastAsia="宋体" w:cs="Times New Roman"/>
                <w:color w:val="auto"/>
                <w:spacing w:val="-3"/>
                <w:sz w:val="21"/>
                <w:szCs w:val="21"/>
                <w:lang w:eastAsia="zh-CN"/>
              </w:rPr>
              <w:t>或更好，阀盖材料为球墨铸铁</w:t>
            </w:r>
            <w:r>
              <w:rPr>
                <w:rFonts w:ascii="Times New Roman" w:hAnsi="Times New Roman" w:eastAsia="宋体" w:cs="Times New Roman"/>
                <w:color w:val="auto"/>
                <w:sz w:val="21"/>
                <w:szCs w:val="21"/>
                <w:lang w:eastAsia="zh-CN"/>
              </w:rPr>
              <w:t>500</w:t>
            </w:r>
            <w:r>
              <w:rPr>
                <w:rFonts w:ascii="Times New Roman" w:hAnsi="Times New Roman" w:eastAsia="宋体" w:cs="Times New Roman"/>
                <w:color w:val="auto"/>
                <w:spacing w:val="-4"/>
                <w:sz w:val="21"/>
                <w:szCs w:val="21"/>
                <w:lang w:eastAsia="zh-CN"/>
              </w:rPr>
              <w:t>或更好。阀体</w:t>
            </w:r>
            <w:r>
              <w:rPr>
                <w:rFonts w:ascii="Times New Roman" w:hAnsi="Times New Roman" w:eastAsia="宋体" w:cs="Times New Roman"/>
                <w:color w:val="auto"/>
                <w:sz w:val="21"/>
                <w:szCs w:val="21"/>
                <w:lang w:eastAsia="zh-CN"/>
              </w:rPr>
              <w:t>内腔面不切削加工，应靠铸造精度保证密封，在2.4MPa压力下泄漏量为0。</w:t>
            </w:r>
          </w:p>
          <w:p>
            <w:pPr>
              <w:pStyle w:val="27"/>
              <w:spacing w:before="8" w:line="360" w:lineRule="auto"/>
              <w:ind w:left="443"/>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b.在下阀体底部要浇铸支承翼座，使闸阀能直立固定。</w:t>
            </w:r>
          </w:p>
          <w:p>
            <w:pPr>
              <w:pStyle w:val="27"/>
              <w:spacing w:before="44" w:line="360" w:lineRule="auto"/>
              <w:ind w:left="443" w:right="17"/>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c.下阀体二端的法兰应符合GB/T12232-1989铸铁闸阀法兰的规定，额定压力为1MPa。</w:t>
            </w:r>
            <w:r>
              <w:rPr>
                <w:rFonts w:ascii="Times New Roman" w:hAnsi="Times New Roman" w:eastAsia="宋体" w:cs="Times New Roman"/>
                <w:color w:val="auto"/>
                <w:spacing w:val="-3"/>
                <w:sz w:val="21"/>
                <w:szCs w:val="21"/>
                <w:lang w:eastAsia="zh-CN"/>
              </w:rPr>
              <w:t>d.阀板必须包复橡胶，采用</w:t>
            </w:r>
            <w:r>
              <w:rPr>
                <w:rFonts w:ascii="Times New Roman" w:hAnsi="Times New Roman" w:eastAsia="宋体" w:cs="Times New Roman"/>
                <w:color w:val="auto"/>
                <w:sz w:val="21"/>
                <w:szCs w:val="21"/>
                <w:lang w:eastAsia="zh-CN"/>
              </w:rPr>
              <w:t>EPDM</w:t>
            </w:r>
            <w:r>
              <w:rPr>
                <w:rFonts w:ascii="Times New Roman" w:hAnsi="Times New Roman" w:eastAsia="宋体" w:cs="Times New Roman"/>
                <w:color w:val="auto"/>
                <w:spacing w:val="-3"/>
                <w:sz w:val="21"/>
                <w:szCs w:val="21"/>
                <w:lang w:eastAsia="zh-CN"/>
              </w:rPr>
              <w:t>或丁腈橡胶，一次粘复成型，保证在-30℃~80℃的温度范围</w:t>
            </w:r>
          </w:p>
          <w:p>
            <w:pPr>
              <w:pStyle w:val="27"/>
              <w:spacing w:before="11" w:line="360" w:lineRule="auto"/>
              <w:ind w:left="24"/>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内安全使用。</w:t>
            </w:r>
          </w:p>
          <w:p>
            <w:pPr>
              <w:pStyle w:val="27"/>
              <w:spacing w:before="44" w:line="360" w:lineRule="auto"/>
              <w:ind w:left="24" w:right="67" w:firstLine="419"/>
              <w:rPr>
                <w:rFonts w:ascii="Times New Roman" w:hAnsi="Times New Roman" w:eastAsia="宋体" w:cs="Times New Roman"/>
                <w:color w:val="auto"/>
                <w:sz w:val="21"/>
                <w:szCs w:val="21"/>
                <w:lang w:eastAsia="zh-CN"/>
              </w:rPr>
            </w:pPr>
            <w:r>
              <w:rPr>
                <w:rFonts w:ascii="Times New Roman" w:hAnsi="Times New Roman" w:eastAsia="宋体" w:cs="Times New Roman"/>
                <w:color w:val="auto"/>
                <w:spacing w:val="-2"/>
                <w:sz w:val="21"/>
                <w:szCs w:val="21"/>
                <w:lang w:eastAsia="zh-CN"/>
              </w:rPr>
              <w:t>e.阀盖须设有固定启闭装置的支座，在上阀体和阀杆的相贯处应设置可靠的密封措施，保证</w:t>
            </w:r>
            <w:r>
              <w:rPr>
                <w:rFonts w:ascii="Times New Roman" w:hAnsi="Times New Roman" w:eastAsia="宋体" w:cs="Times New Roman"/>
                <w:color w:val="auto"/>
                <w:sz w:val="21"/>
                <w:szCs w:val="21"/>
                <w:lang w:eastAsia="zh-CN"/>
              </w:rPr>
              <w:t>在通水时可更换上部密封件和O形圈。</w:t>
            </w:r>
          </w:p>
          <w:p>
            <w:pPr>
              <w:pStyle w:val="27"/>
              <w:spacing w:before="10" w:line="360" w:lineRule="auto"/>
              <w:ind w:left="443"/>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f.阀盖应配置吊环用来起吊整个装置。</w:t>
            </w:r>
          </w:p>
          <w:p>
            <w:pPr>
              <w:pStyle w:val="27"/>
              <w:spacing w:before="44" w:line="360" w:lineRule="auto"/>
              <w:ind w:left="24" w:right="74" w:firstLine="419"/>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g.包胶的阀板应符合CJ/T216-2005的规定，在1.6MPa的试验压力下，至少启闭500次无泄漏。</w:t>
            </w:r>
          </w:p>
          <w:p>
            <w:pPr>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h.阀杆材料采用不锈钢1Cr17Ni2或更好。</w:t>
            </w:r>
          </w:p>
          <w:p>
            <w:pPr>
              <w:pStyle w:val="27"/>
              <w:spacing w:line="360" w:lineRule="auto"/>
              <w:ind w:left="24"/>
              <w:rPr>
                <w:rFonts w:ascii="宋体" w:hAnsi="宋体" w:eastAsia="宋体" w:cs="宋体"/>
                <w:color w:val="auto"/>
                <w:sz w:val="21"/>
                <w:szCs w:val="21"/>
                <w:lang w:eastAsia="zh-CN"/>
              </w:rPr>
            </w:pPr>
            <w:r>
              <w:rPr>
                <w:rFonts w:ascii="宋体" w:hAnsi="宋体" w:eastAsia="宋体" w:cs="宋体"/>
                <w:color w:val="auto"/>
                <w:sz w:val="21"/>
                <w:szCs w:val="21"/>
                <w:lang w:eastAsia="zh-CN"/>
              </w:rPr>
              <w:t>2、止回阀</w:t>
            </w:r>
          </w:p>
          <w:p>
            <w:pPr>
              <w:pStyle w:val="27"/>
              <w:spacing w:before="44" w:line="360" w:lineRule="auto"/>
              <w:ind w:left="24"/>
              <w:rPr>
                <w:rFonts w:ascii="宋体" w:hAnsi="宋体" w:eastAsia="宋体" w:cs="宋体"/>
                <w:color w:val="auto"/>
                <w:sz w:val="21"/>
                <w:szCs w:val="21"/>
                <w:lang w:eastAsia="zh-CN"/>
              </w:rPr>
            </w:pPr>
            <w:r>
              <w:rPr>
                <w:rFonts w:ascii="宋体" w:hAnsi="宋体" w:eastAsia="宋体" w:cs="宋体"/>
                <w:color w:val="auto"/>
                <w:sz w:val="21"/>
                <w:szCs w:val="21"/>
                <w:lang w:eastAsia="zh-CN"/>
              </w:rPr>
              <w:t>2.1设计要求</w:t>
            </w:r>
          </w:p>
          <w:p>
            <w:pPr>
              <w:pStyle w:val="27"/>
              <w:spacing w:before="44" w:line="360" w:lineRule="auto"/>
              <w:ind w:left="24" w:right="67" w:firstLine="419"/>
              <w:jc w:val="both"/>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止回阀应安装在泵的出口，靠介质压力推动蝶板开启，靠蝶板自重和重锤以及介质倒流压力推动蝶板，并利用油缸的阻尼作用，实行快和满二阶段关闭，总的关闭时间应小于</w:t>
            </w:r>
            <w:r>
              <w:rPr>
                <w:rFonts w:ascii="宋体" w:hAnsi="宋体" w:eastAsia="宋体" w:cs="宋体"/>
                <w:color w:val="auto"/>
                <w:spacing w:val="-15"/>
                <w:sz w:val="21"/>
                <w:szCs w:val="21"/>
                <w:lang w:eastAsia="zh-CN"/>
              </w:rPr>
              <w:t>120s（可调）</w:t>
            </w:r>
            <w:r>
              <w:rPr>
                <w:rFonts w:ascii="宋体" w:hAnsi="宋体" w:eastAsia="宋体" w:cs="宋体"/>
                <w:color w:val="auto"/>
                <w:sz w:val="21"/>
                <w:szCs w:val="21"/>
                <w:lang w:eastAsia="zh-CN"/>
              </w:rPr>
              <w:t>2.2、性能和结构</w:t>
            </w:r>
          </w:p>
          <w:p>
            <w:pPr>
              <w:pStyle w:val="27"/>
              <w:spacing w:before="10" w:line="360" w:lineRule="auto"/>
              <w:ind w:left="24" w:right="122" w:firstLine="419"/>
              <w:jc w:val="both"/>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止回阀的结构应符合</w:t>
            </w:r>
            <w:r>
              <w:rPr>
                <w:rFonts w:ascii="宋体" w:hAnsi="宋体" w:eastAsia="宋体" w:cs="宋体"/>
                <w:color w:val="auto"/>
                <w:spacing w:val="-9"/>
                <w:sz w:val="21"/>
                <w:szCs w:val="21"/>
                <w:lang w:eastAsia="zh-CN"/>
              </w:rPr>
              <w:t>CJ/T282-200“蝶形缓闭止回阀”标准，端面法兰按</w:t>
            </w:r>
            <w:r>
              <w:rPr>
                <w:rFonts w:ascii="宋体" w:hAnsi="宋体" w:eastAsia="宋体" w:cs="宋体"/>
                <w:color w:val="auto"/>
                <w:spacing w:val="-1"/>
                <w:sz w:val="21"/>
                <w:szCs w:val="21"/>
                <w:lang w:eastAsia="zh-CN"/>
              </w:rPr>
              <w:t>GB/T17241</w:t>
            </w:r>
            <w:r>
              <w:rPr>
                <w:rFonts w:ascii="宋体" w:hAnsi="宋体" w:eastAsia="宋体" w:cs="宋体"/>
                <w:color w:val="auto"/>
                <w:spacing w:val="-14"/>
                <w:sz w:val="21"/>
                <w:szCs w:val="21"/>
                <w:lang w:eastAsia="zh-CN"/>
              </w:rPr>
              <w:t>PN10（Bar</w:t>
            </w:r>
            <w:r>
              <w:rPr>
                <w:rFonts w:ascii="宋体" w:hAnsi="宋体" w:eastAsia="宋体" w:cs="宋体"/>
                <w:color w:val="auto"/>
                <w:sz w:val="21"/>
                <w:szCs w:val="21"/>
                <w:lang w:eastAsia="zh-CN"/>
              </w:rPr>
              <w:t>的规定，结构长度按GB/T12221-2005的规定。</w:t>
            </w:r>
          </w:p>
          <w:p>
            <w:pPr>
              <w:pStyle w:val="27"/>
              <w:spacing w:before="10" w:line="360" w:lineRule="auto"/>
              <w:ind w:left="24" w:right="67" w:firstLine="419"/>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阀轴采用整体轴，也可采用两个分开的“短轴”式，嵌入轴孔的长度不小于轴径的1.5倍，阀轴与阀板的连接强度应保证阀轴能传递最大扭矩。</w:t>
            </w:r>
          </w:p>
          <w:p>
            <w:pPr>
              <w:pStyle w:val="27"/>
              <w:spacing w:before="10" w:line="360" w:lineRule="auto"/>
              <w:ind w:left="443" w:right="67"/>
              <w:rPr>
                <w:rFonts w:ascii="宋体" w:hAnsi="宋体" w:eastAsia="宋体" w:cs="宋体"/>
                <w:color w:val="auto"/>
                <w:sz w:val="21"/>
                <w:szCs w:val="21"/>
                <w:lang w:eastAsia="zh-CN"/>
              </w:rPr>
            </w:pPr>
            <w:r>
              <w:rPr>
                <w:rFonts w:ascii="宋体" w:hAnsi="宋体" w:eastAsia="宋体" w:cs="宋体"/>
                <w:color w:val="auto"/>
                <w:sz w:val="21"/>
                <w:szCs w:val="21"/>
                <w:lang w:eastAsia="zh-CN"/>
              </w:rPr>
              <w:t>阀轴的轴套应使用不需要任何外加润滑的自润滑轴承。</w:t>
            </w:r>
            <w:r>
              <w:rPr>
                <w:rFonts w:ascii="宋体" w:hAnsi="宋体" w:eastAsia="宋体" w:cs="宋体"/>
                <w:color w:val="auto"/>
                <w:spacing w:val="-2"/>
                <w:sz w:val="21"/>
                <w:szCs w:val="21"/>
                <w:lang w:eastAsia="zh-CN"/>
              </w:rPr>
              <w:t>阀板的金属密封座为斜置方式，由不锈钢螺母和螺钉紧固在阀板上，阀体密封座可采用铸造不锈钢或堆焊的形式与阀体连成一体，阀板密封座与阀体密封座二者需有硬度差。</w:t>
            </w:r>
            <w:r>
              <w:rPr>
                <w:rFonts w:ascii="宋体" w:hAnsi="宋体" w:eastAsia="宋体" w:cs="宋体"/>
                <w:color w:val="auto"/>
                <w:sz w:val="21"/>
                <w:szCs w:val="21"/>
                <w:lang w:eastAsia="zh-CN"/>
              </w:rPr>
              <w:t>阀板必须具有足够的强度和刚度。</w:t>
            </w:r>
          </w:p>
          <w:p>
            <w:pPr>
              <w:pStyle w:val="27"/>
              <w:spacing w:before="10" w:line="360" w:lineRule="auto"/>
              <w:ind w:left="24" w:right="17" w:firstLine="419"/>
              <w:jc w:val="both"/>
              <w:rPr>
                <w:rFonts w:ascii="宋体" w:hAnsi="宋体" w:eastAsia="宋体" w:cs="宋体"/>
                <w:color w:val="auto"/>
                <w:sz w:val="21"/>
                <w:szCs w:val="21"/>
                <w:lang w:eastAsia="zh-CN"/>
              </w:rPr>
            </w:pPr>
            <w:r>
              <w:rPr>
                <w:rFonts w:ascii="宋体" w:hAnsi="宋体" w:eastAsia="宋体" w:cs="宋体"/>
                <w:color w:val="auto"/>
                <w:spacing w:val="-5"/>
                <w:sz w:val="21"/>
                <w:szCs w:val="21"/>
                <w:lang w:eastAsia="zh-CN"/>
              </w:rPr>
              <w:t>轴伸出穿过阀体外，应提供轴密封装置，密封装置采用</w:t>
            </w:r>
            <w:r>
              <w:rPr>
                <w:rFonts w:ascii="宋体" w:hAnsi="宋体" w:eastAsia="宋体" w:cs="宋体"/>
                <w:color w:val="auto"/>
                <w:sz w:val="21"/>
                <w:szCs w:val="21"/>
                <w:lang w:eastAsia="zh-CN"/>
              </w:rPr>
              <w:t>O型或V</w:t>
            </w:r>
            <w:r>
              <w:rPr>
                <w:rFonts w:ascii="宋体" w:hAnsi="宋体" w:eastAsia="宋体" w:cs="宋体"/>
                <w:color w:val="auto"/>
                <w:spacing w:val="-5"/>
                <w:sz w:val="21"/>
                <w:szCs w:val="21"/>
                <w:lang w:eastAsia="zh-CN"/>
              </w:rPr>
              <w:t>密封橡胶密封圈，且不少于</w:t>
            </w:r>
            <w:r>
              <w:rPr>
                <w:rFonts w:ascii="宋体" w:hAnsi="宋体" w:eastAsia="宋体" w:cs="宋体"/>
                <w:color w:val="auto"/>
                <w:sz w:val="21"/>
                <w:szCs w:val="21"/>
                <w:lang w:eastAsia="zh-CN"/>
              </w:rPr>
              <w:t>2道。</w:t>
            </w:r>
          </w:p>
          <w:p>
            <w:pPr>
              <w:spacing w:line="360" w:lineRule="auto"/>
              <w:rPr>
                <w:rFonts w:ascii="宋体" w:hAnsi="宋体" w:eastAsia="宋体" w:cs="宋体"/>
                <w:color w:val="auto"/>
                <w:sz w:val="21"/>
                <w:szCs w:val="21"/>
                <w:lang w:eastAsia="zh-CN"/>
              </w:rPr>
            </w:pPr>
            <w:r>
              <w:rPr>
                <w:rFonts w:ascii="宋体" w:hAnsi="宋体" w:eastAsia="宋体" w:cs="宋体"/>
                <w:color w:val="auto"/>
                <w:sz w:val="21"/>
                <w:szCs w:val="21"/>
                <w:lang w:eastAsia="zh-CN"/>
              </w:rPr>
              <w:t>2.3、主要材料：</w:t>
            </w:r>
          </w:p>
          <w:p>
            <w:pPr>
              <w:pStyle w:val="27"/>
              <w:spacing w:line="360" w:lineRule="auto"/>
              <w:ind w:left="443" w:right="7161"/>
              <w:rPr>
                <w:rFonts w:ascii="宋体" w:hAnsi="宋体" w:eastAsia="宋体" w:cs="宋体"/>
                <w:color w:val="auto"/>
                <w:sz w:val="21"/>
                <w:szCs w:val="21"/>
                <w:lang w:eastAsia="zh-CN"/>
              </w:rPr>
            </w:pPr>
            <w:r>
              <w:rPr>
                <w:rFonts w:ascii="宋体" w:hAnsi="宋体" w:eastAsia="宋体" w:cs="宋体"/>
                <w:color w:val="auto"/>
                <w:sz w:val="21"/>
                <w:szCs w:val="21"/>
                <w:lang w:eastAsia="zh-CN"/>
              </w:rPr>
              <w:t>阀体QT450-10蝶板QT450-10</w:t>
            </w:r>
          </w:p>
          <w:p>
            <w:pPr>
              <w:pStyle w:val="27"/>
              <w:spacing w:before="10" w:line="360" w:lineRule="auto"/>
              <w:ind w:left="443"/>
              <w:rPr>
                <w:rFonts w:ascii="宋体" w:hAnsi="宋体" w:eastAsia="宋体" w:cs="宋体"/>
                <w:color w:val="auto"/>
                <w:sz w:val="21"/>
                <w:szCs w:val="21"/>
                <w:lang w:eastAsia="zh-CN"/>
              </w:rPr>
            </w:pPr>
            <w:r>
              <w:rPr>
                <w:rFonts w:ascii="宋体" w:hAnsi="宋体" w:eastAsia="宋体" w:cs="宋体"/>
                <w:color w:val="auto"/>
                <w:sz w:val="21"/>
                <w:szCs w:val="21"/>
                <w:lang w:eastAsia="zh-CN"/>
              </w:rPr>
              <w:t>阀轴2Cr13</w:t>
            </w:r>
          </w:p>
          <w:p>
            <w:pPr>
              <w:pStyle w:val="27"/>
              <w:spacing w:before="44" w:line="360" w:lineRule="auto"/>
              <w:ind w:left="443" w:right="6426"/>
              <w:rPr>
                <w:rFonts w:ascii="宋体" w:hAnsi="宋体" w:eastAsia="宋体" w:cs="宋体"/>
                <w:color w:val="auto"/>
                <w:sz w:val="21"/>
                <w:szCs w:val="21"/>
                <w:lang w:eastAsia="zh-CN"/>
              </w:rPr>
            </w:pPr>
            <w:r>
              <w:rPr>
                <w:rFonts w:ascii="宋体" w:hAnsi="宋体" w:eastAsia="宋体" w:cs="宋体"/>
                <w:color w:val="auto"/>
                <w:sz w:val="21"/>
                <w:szCs w:val="21"/>
                <w:lang w:eastAsia="zh-CN"/>
              </w:rPr>
              <w:t>紧固件06Cr17Ni12Mo2阀座06Cr17Ni12Mo2密封圈NBR</w:t>
            </w:r>
          </w:p>
          <w:p>
            <w:pPr>
              <w:spacing w:line="360" w:lineRule="auto"/>
              <w:rPr>
                <w:rFonts w:ascii="宋体" w:hAnsi="宋体" w:eastAsia="宋体" w:cs="宋体"/>
                <w:color w:val="auto"/>
                <w:sz w:val="21"/>
                <w:szCs w:val="21"/>
                <w:lang w:eastAsia="zh-CN"/>
              </w:rPr>
            </w:pPr>
            <w:r>
              <w:rPr>
                <w:rFonts w:ascii="宋体" w:hAnsi="宋体" w:eastAsia="宋体" w:cs="宋体"/>
                <w:color w:val="auto"/>
                <w:sz w:val="21"/>
                <w:szCs w:val="21"/>
                <w:lang w:eastAsia="zh-CN"/>
              </w:rPr>
              <w:t>轴承ZCuAl10Fe3</w:t>
            </w:r>
          </w:p>
        </w:tc>
      </w:tr>
    </w:tbl>
    <w:p>
      <w:pPr>
        <w:pStyle w:val="29"/>
        <w:ind w:firstLine="472"/>
        <w:rPr>
          <w:color w:val="auto"/>
        </w:rPr>
      </w:pPr>
    </w:p>
    <w:p>
      <w:pPr>
        <w:pStyle w:val="30"/>
        <w:spacing w:before="120" w:after="120"/>
        <w:rPr>
          <w:color w:val="auto"/>
        </w:rPr>
      </w:pPr>
      <w:bookmarkStart w:id="263" w:name="_Toc117181375"/>
      <w:r>
        <w:rPr>
          <w:rFonts w:hint="eastAsia"/>
          <w:color w:val="auto"/>
        </w:rPr>
        <w:t>加氯接触池及中水泵房（清水）</w:t>
      </w:r>
      <w:bookmarkEnd w:id="263"/>
    </w:p>
    <w:tbl>
      <w:tblPr>
        <w:tblStyle w:val="23"/>
        <w:tblW w:w="890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2106"/>
        <w:gridCol w:w="2538"/>
        <w:gridCol w:w="850"/>
        <w:gridCol w:w="851"/>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738" w:type="dxa"/>
            <w:shd w:val="clear" w:color="auto" w:fill="auto"/>
            <w:vAlign w:val="center"/>
          </w:tcPr>
          <w:p>
            <w:pPr>
              <w:widowControl/>
              <w:spacing w:line="360" w:lineRule="auto"/>
              <w:jc w:val="center"/>
              <w:rPr>
                <w:rFonts w:ascii="宋体" w:hAnsi="宋体" w:eastAsia="宋体" w:cs="宋体"/>
                <w:b/>
                <w:color w:val="auto"/>
                <w:sz w:val="21"/>
                <w:szCs w:val="21"/>
                <w:lang w:eastAsia="zh-CN"/>
              </w:rPr>
            </w:pPr>
            <w:r>
              <w:rPr>
                <w:rFonts w:hint="eastAsia" w:ascii="宋体" w:hAnsi="宋体" w:eastAsia="宋体" w:cs="宋体"/>
                <w:b/>
                <w:color w:val="auto"/>
                <w:sz w:val="21"/>
                <w:szCs w:val="21"/>
                <w:lang w:eastAsia="zh-CN"/>
              </w:rPr>
              <w:t>序号</w:t>
            </w:r>
          </w:p>
        </w:tc>
        <w:tc>
          <w:tcPr>
            <w:tcW w:w="2106" w:type="dxa"/>
            <w:shd w:val="clear" w:color="auto" w:fill="auto"/>
            <w:vAlign w:val="center"/>
          </w:tcPr>
          <w:p>
            <w:pPr>
              <w:widowControl/>
              <w:spacing w:line="360" w:lineRule="auto"/>
              <w:jc w:val="center"/>
              <w:rPr>
                <w:rFonts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名称</w:t>
            </w:r>
          </w:p>
        </w:tc>
        <w:tc>
          <w:tcPr>
            <w:tcW w:w="2538" w:type="dxa"/>
            <w:shd w:val="clear" w:color="auto" w:fill="auto"/>
            <w:vAlign w:val="center"/>
          </w:tcPr>
          <w:p>
            <w:pPr>
              <w:widowControl/>
              <w:spacing w:line="360" w:lineRule="auto"/>
              <w:jc w:val="center"/>
              <w:rPr>
                <w:rFonts w:ascii="宋体" w:hAnsi="宋体" w:eastAsia="宋体" w:cs="宋体"/>
                <w:b/>
                <w:color w:val="auto"/>
                <w:sz w:val="21"/>
                <w:szCs w:val="21"/>
                <w:lang w:eastAsia="zh-CN"/>
              </w:rPr>
            </w:pPr>
            <w:r>
              <w:rPr>
                <w:rFonts w:hint="eastAsia" w:ascii="宋体" w:hAnsi="宋体" w:eastAsia="宋体" w:cs="宋体"/>
                <w:b/>
                <w:color w:val="auto"/>
                <w:sz w:val="21"/>
                <w:szCs w:val="21"/>
                <w:lang w:eastAsia="zh-CN"/>
              </w:rPr>
              <w:t>规格</w:t>
            </w:r>
          </w:p>
        </w:tc>
        <w:tc>
          <w:tcPr>
            <w:tcW w:w="850" w:type="dxa"/>
            <w:shd w:val="clear" w:color="auto" w:fill="auto"/>
            <w:vAlign w:val="center"/>
          </w:tcPr>
          <w:p>
            <w:pPr>
              <w:widowControl/>
              <w:spacing w:line="360" w:lineRule="auto"/>
              <w:jc w:val="center"/>
              <w:rPr>
                <w:rFonts w:ascii="宋体" w:hAnsi="宋体" w:eastAsia="宋体" w:cs="宋体"/>
                <w:b/>
                <w:color w:val="auto"/>
                <w:sz w:val="21"/>
                <w:szCs w:val="21"/>
                <w:lang w:eastAsia="zh-CN"/>
              </w:rPr>
            </w:pPr>
            <w:r>
              <w:rPr>
                <w:rFonts w:hint="eastAsia" w:ascii="宋体" w:hAnsi="宋体" w:eastAsia="宋体" w:cs="宋体"/>
                <w:b/>
                <w:color w:val="auto"/>
                <w:sz w:val="21"/>
                <w:szCs w:val="21"/>
                <w:lang w:eastAsia="zh-CN"/>
              </w:rPr>
              <w:t>单位</w:t>
            </w:r>
          </w:p>
        </w:tc>
        <w:tc>
          <w:tcPr>
            <w:tcW w:w="851" w:type="dxa"/>
            <w:shd w:val="clear" w:color="auto" w:fill="auto"/>
            <w:vAlign w:val="center"/>
          </w:tcPr>
          <w:p>
            <w:pPr>
              <w:widowControl/>
              <w:spacing w:line="360" w:lineRule="auto"/>
              <w:jc w:val="center"/>
              <w:rPr>
                <w:rFonts w:ascii="宋体" w:hAnsi="宋体" w:eastAsia="宋体" w:cs="宋体"/>
                <w:b/>
                <w:color w:val="auto"/>
                <w:sz w:val="21"/>
                <w:szCs w:val="21"/>
                <w:lang w:eastAsia="zh-CN"/>
              </w:rPr>
            </w:pPr>
            <w:r>
              <w:rPr>
                <w:rFonts w:hint="eastAsia" w:ascii="宋体" w:hAnsi="宋体" w:eastAsia="宋体" w:cs="宋体"/>
                <w:b/>
                <w:color w:val="auto"/>
                <w:sz w:val="21"/>
                <w:szCs w:val="21"/>
                <w:lang w:eastAsia="zh-CN"/>
              </w:rPr>
              <w:t>数量</w:t>
            </w:r>
          </w:p>
        </w:tc>
        <w:tc>
          <w:tcPr>
            <w:tcW w:w="1819" w:type="dxa"/>
            <w:shd w:val="clear" w:color="auto" w:fill="auto"/>
            <w:vAlign w:val="center"/>
          </w:tcPr>
          <w:p>
            <w:pPr>
              <w:widowControl/>
              <w:spacing w:line="360" w:lineRule="auto"/>
              <w:jc w:val="center"/>
              <w:rPr>
                <w:rFonts w:ascii="宋体" w:hAnsi="宋体" w:eastAsia="宋体" w:cs="宋体"/>
                <w:b/>
                <w:color w:val="auto"/>
                <w:sz w:val="21"/>
                <w:szCs w:val="21"/>
                <w:lang w:eastAsia="zh-CN"/>
              </w:rPr>
            </w:pPr>
            <w:r>
              <w:rPr>
                <w:rFonts w:hint="eastAsia" w:ascii="宋体" w:hAnsi="宋体" w:eastAsia="宋体" w:cs="宋体"/>
                <w:b/>
                <w:color w:val="auto"/>
                <w:sz w:val="21"/>
                <w:szCs w:val="21"/>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738"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p>
        </w:tc>
        <w:tc>
          <w:tcPr>
            <w:tcW w:w="2106"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卧式单级双吸离心泵组</w:t>
            </w:r>
          </w:p>
        </w:tc>
        <w:tc>
          <w:tcPr>
            <w:tcW w:w="2538"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Q=875m³/h，H=55m，P=187kW</w:t>
            </w:r>
          </w:p>
        </w:tc>
        <w:tc>
          <w:tcPr>
            <w:tcW w:w="850"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台</w:t>
            </w:r>
          </w:p>
        </w:tc>
        <w:tc>
          <w:tcPr>
            <w:tcW w:w="85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p>
        </w:tc>
        <w:tc>
          <w:tcPr>
            <w:tcW w:w="1819" w:type="dxa"/>
            <w:shd w:val="clear" w:color="auto" w:fill="auto"/>
            <w:vAlign w:val="center"/>
          </w:tcPr>
          <w:p>
            <w:pPr>
              <w:widowControl/>
              <w:spacing w:line="360" w:lineRule="auto"/>
              <w:jc w:val="center"/>
              <w:rPr>
                <w:rFonts w:ascii="宋体" w:hAnsi="宋体" w:eastAsia="宋体" w:cs="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738"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p>
        </w:tc>
        <w:tc>
          <w:tcPr>
            <w:tcW w:w="2106"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插板闸门</w:t>
            </w:r>
          </w:p>
        </w:tc>
        <w:tc>
          <w:tcPr>
            <w:tcW w:w="2538"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1200×1200mm，配手电两用启闭机，N=1.5kW</w:t>
            </w:r>
          </w:p>
        </w:tc>
        <w:tc>
          <w:tcPr>
            <w:tcW w:w="850"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套</w:t>
            </w:r>
          </w:p>
        </w:tc>
        <w:tc>
          <w:tcPr>
            <w:tcW w:w="851"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p>
        </w:tc>
        <w:tc>
          <w:tcPr>
            <w:tcW w:w="1819"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8902" w:type="dxa"/>
            <w:gridSpan w:val="6"/>
            <w:shd w:val="clear" w:color="auto" w:fill="auto"/>
            <w:vAlign w:val="center"/>
          </w:tcPr>
          <w:p>
            <w:pPr>
              <w:widowControl/>
              <w:spacing w:line="360" w:lineRule="auto"/>
              <w:rPr>
                <w:rFonts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总体要求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8902" w:type="dxa"/>
            <w:gridSpan w:val="6"/>
            <w:shd w:val="clear" w:color="auto" w:fill="auto"/>
            <w:vAlign w:val="center"/>
          </w:tcPr>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承包商需按照设备表以及说明书的要求设置并安装水泵。</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水泵为单级卧式中开双吸离心泵，按要求在预定的效率和转速(RPM)下，泵送设计的流量(单位m³/h),满足规定的水力扬程(单位M)。承包人所提供的水泵还应满足水泵设备的汽蚀余量要求，在泵整个工作范围内不得有异常振动和汽蚀发生。</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为使水泵在运行范围内维持高效运行，水泵工作点的选取需尽可能地接近水泵最佳效率点。所选择的水泵效率曲线需具有较宽广的高效区。</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为保证水泵不汽蚀，每台泵的NPSHr值应足够低，在要求的扬程范围里，水泵可稳定连续的运行。</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hint="eastAsia" w:ascii="宋体" w:hAnsi="宋体"/>
                <w:color w:val="auto"/>
                <w:sz w:val="21"/>
                <w:szCs w:val="21"/>
                <w:lang w:eastAsia="zh-CN"/>
              </w:rPr>
              <w:t>★</w:t>
            </w:r>
            <w:r>
              <w:rPr>
                <w:rFonts w:ascii="宋体" w:hAnsi="宋体"/>
                <w:color w:val="auto"/>
                <w:sz w:val="21"/>
                <w:szCs w:val="21"/>
                <w:lang w:eastAsia="zh-CN"/>
              </w:rPr>
              <w:t>每台泵需根据ISO5199标准进行工厂水压试验。经测试后，水泵在出厂前均被彻底清洁并至少喷一层底漆，并再喷面漆。</w:t>
            </w:r>
            <w:r>
              <w:rPr>
                <w:rFonts w:hint="eastAsia" w:ascii="宋体" w:hAnsi="宋体"/>
                <w:color w:val="auto"/>
                <w:sz w:val="21"/>
                <w:szCs w:val="21"/>
                <w:lang w:eastAsia="zh-CN"/>
              </w:rPr>
              <w:t>泵壳</w:t>
            </w:r>
            <w:r>
              <w:rPr>
                <w:rFonts w:ascii="宋体" w:hAnsi="宋体"/>
                <w:color w:val="auto"/>
                <w:sz w:val="21"/>
                <w:szCs w:val="21"/>
                <w:lang w:eastAsia="zh-CN"/>
              </w:rPr>
              <w:t>不允许采用</w:t>
            </w:r>
            <w:r>
              <w:rPr>
                <w:rFonts w:hint="eastAsia" w:ascii="宋体" w:hAnsi="宋体"/>
                <w:color w:val="auto"/>
                <w:sz w:val="21"/>
                <w:szCs w:val="21"/>
                <w:lang w:eastAsia="zh-CN"/>
              </w:rPr>
              <w:t>腻子</w:t>
            </w:r>
            <w:r>
              <w:rPr>
                <w:rFonts w:ascii="宋体" w:hAnsi="宋体"/>
                <w:color w:val="auto"/>
                <w:sz w:val="21"/>
                <w:szCs w:val="21"/>
                <w:lang w:eastAsia="zh-CN"/>
              </w:rPr>
              <w:t>处理。</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水泵的Q/H曲线应从关阀时的最大扬程开始呈连续下降，水泵的实际高效点应与水泵特性曲线上的额定点一致。</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具有相同扬程、流量特性的泵应有共同的构造特点和部件，这些部件应是通用、可以互换的。</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hint="eastAsia" w:ascii="宋体" w:hAnsi="宋体"/>
                <w:color w:val="auto"/>
                <w:sz w:val="21"/>
                <w:szCs w:val="21"/>
                <w:lang w:eastAsia="zh-CN"/>
              </w:rPr>
              <w:t>★</w:t>
            </w:r>
            <w:r>
              <w:rPr>
                <w:rFonts w:ascii="宋体" w:hAnsi="宋体"/>
                <w:color w:val="auto"/>
                <w:sz w:val="21"/>
                <w:szCs w:val="21"/>
                <w:lang w:eastAsia="zh-CN"/>
              </w:rPr>
              <w:t>所配套的驱动电机应有足够的额定值，</w:t>
            </w:r>
            <w:r>
              <w:rPr>
                <w:rFonts w:hint="eastAsia" w:ascii="宋体" w:hAnsi="宋体"/>
                <w:color w:val="auto"/>
                <w:sz w:val="21"/>
                <w:szCs w:val="21"/>
                <w:lang w:eastAsia="zh-CN"/>
              </w:rPr>
              <w:t>保证水泵即使偏离额定工作点（流量不超过20%）也能正常运行。电机的额定输出功率与泵的轴功率的配套原则符合ISO5199的安全余量。（o</w:t>
            </w:r>
            <w:r>
              <w:rPr>
                <w:rFonts w:ascii="宋体" w:hAnsi="宋体"/>
                <w:color w:val="auto"/>
                <w:sz w:val="21"/>
                <w:szCs w:val="21"/>
                <w:lang w:eastAsia="zh-CN"/>
              </w:rPr>
              <w:t>r应保证水泵在性能曲线（流量自零至界限点）的任何一点工作都不过载</w:t>
            </w:r>
            <w:r>
              <w:rPr>
                <w:rFonts w:hint="eastAsia" w:ascii="宋体" w:hAnsi="宋体"/>
                <w:color w:val="auto"/>
                <w:sz w:val="21"/>
                <w:szCs w:val="21"/>
                <w:lang w:eastAsia="zh-CN"/>
              </w:rPr>
              <w:t>，且</w:t>
            </w:r>
            <w:r>
              <w:rPr>
                <w:rFonts w:ascii="宋体" w:hAnsi="宋体"/>
                <w:color w:val="auto"/>
                <w:sz w:val="21"/>
                <w:szCs w:val="21"/>
                <w:lang w:eastAsia="zh-CN"/>
              </w:rPr>
              <w:t>电机额定输出功率与泵额定轴功率之比至少应为1.15</w:t>
            </w:r>
            <w:r>
              <w:rPr>
                <w:rFonts w:hint="eastAsia" w:ascii="宋体" w:hAnsi="宋体"/>
                <w:color w:val="auto"/>
                <w:sz w:val="21"/>
                <w:szCs w:val="21"/>
                <w:lang w:eastAsia="zh-CN"/>
              </w:rPr>
              <w:t>（全曲线不过载）</w:t>
            </w:r>
            <w:r>
              <w:rPr>
                <w:rFonts w:ascii="宋体" w:hAnsi="宋体"/>
                <w:color w:val="auto"/>
                <w:sz w:val="21"/>
                <w:szCs w:val="21"/>
                <w:lang w:eastAsia="zh-CN"/>
              </w:rPr>
              <w:t>。</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水泵与电机在运行时的振动和所产生的噪音必须符合国家及制造厂的标准，并在DIN标准允许范围内。满负荷工作时，综合噪音等级不大于90dB(A)（距泵表面1m处测量）。</w:t>
            </w:r>
          </w:p>
          <w:p>
            <w:pPr>
              <w:widowControl/>
              <w:spacing w:line="360" w:lineRule="auto"/>
              <w:rPr>
                <w:rFonts w:ascii="宋体" w:hAnsi="宋体" w:eastAsia="宋体" w:cs="宋体"/>
                <w:color w:val="auto"/>
                <w:sz w:val="21"/>
                <w:szCs w:val="21"/>
                <w:lang w:eastAsia="zh-CN"/>
              </w:rPr>
            </w:pPr>
            <w:r>
              <w:rPr>
                <w:rFonts w:ascii="宋体" w:hAnsi="宋体"/>
                <w:color w:val="auto"/>
                <w:sz w:val="21"/>
                <w:szCs w:val="21"/>
                <w:lang w:eastAsia="zh-CN"/>
              </w:rPr>
              <w:t>除磨损、易损件外，所有主设备，耐用部件保证正常使用期10年以上不用更换，特殊情况除外，相同设备的易损件及部件应具有通用性和可互换性</w:t>
            </w:r>
            <w:r>
              <w:rPr>
                <w:rFonts w:hint="eastAsia" w:ascii="宋体" w:hAnsi="宋体"/>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8902" w:type="dxa"/>
            <w:gridSpan w:val="6"/>
            <w:shd w:val="clear" w:color="auto" w:fill="auto"/>
            <w:vAlign w:val="center"/>
          </w:tcPr>
          <w:p>
            <w:pPr>
              <w:widowControl/>
              <w:spacing w:line="360" w:lineRule="auto"/>
              <w:rPr>
                <w:rFonts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设备应用及技术参数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8902" w:type="dxa"/>
            <w:gridSpan w:val="6"/>
            <w:shd w:val="clear" w:color="auto" w:fill="auto"/>
            <w:vAlign w:val="center"/>
          </w:tcPr>
          <w:tbl>
            <w:tblPr>
              <w:tblStyle w:val="23"/>
              <w:tblW w:w="74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6"/>
              <w:gridCol w:w="1441"/>
              <w:gridCol w:w="1306"/>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3306" w:type="dxa"/>
                  <w:vAlign w:val="center"/>
                </w:tcPr>
                <w:p>
                  <w:pPr>
                    <w:spacing w:before="120" w:beforeLines="50" w:after="120" w:afterLines="50" w:line="360" w:lineRule="auto"/>
                    <w:contextualSpacing/>
                    <w:rPr>
                      <w:rFonts w:ascii="宋体" w:hAnsi="宋体"/>
                      <w:color w:val="auto"/>
                      <w:sz w:val="21"/>
                      <w:szCs w:val="21"/>
                    </w:rPr>
                  </w:pPr>
                  <w:r>
                    <w:rPr>
                      <w:rFonts w:ascii="宋体" w:hAnsi="宋体"/>
                      <w:color w:val="auto"/>
                      <w:sz w:val="21"/>
                      <w:szCs w:val="21"/>
                    </w:rPr>
                    <w:t>水泵类型</w:t>
                  </w:r>
                  <w:r>
                    <w:rPr>
                      <w:rFonts w:hint="eastAsia" w:ascii="宋体" w:hAnsi="宋体"/>
                      <w:color w:val="auto"/>
                      <w:sz w:val="21"/>
                      <w:szCs w:val="21"/>
                    </w:rPr>
                    <w:t>：</w:t>
                  </w:r>
                </w:p>
              </w:tc>
              <w:tc>
                <w:tcPr>
                  <w:tcW w:w="4168" w:type="dxa"/>
                  <w:gridSpan w:val="3"/>
                  <w:vAlign w:val="center"/>
                </w:tcPr>
                <w:p>
                  <w:pPr>
                    <w:spacing w:before="120" w:beforeLines="50" w:after="120" w:afterLines="50" w:line="360" w:lineRule="auto"/>
                    <w:contextualSpacing/>
                    <w:jc w:val="center"/>
                    <w:rPr>
                      <w:rFonts w:ascii="宋体" w:hAnsi="宋体"/>
                      <w:color w:val="auto"/>
                      <w:sz w:val="21"/>
                      <w:szCs w:val="21"/>
                      <w:lang w:eastAsia="zh-CN"/>
                    </w:rPr>
                  </w:pPr>
                  <w:r>
                    <w:rPr>
                      <w:rFonts w:ascii="宋体" w:hAnsi="宋体"/>
                      <w:color w:val="auto"/>
                      <w:sz w:val="21"/>
                      <w:szCs w:val="21"/>
                      <w:lang w:eastAsia="zh-CN"/>
                    </w:rPr>
                    <w:t>单级双吸卧式水平中泵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4" w:hRule="atLeast"/>
                <w:jc w:val="center"/>
              </w:trPr>
              <w:tc>
                <w:tcPr>
                  <w:tcW w:w="3306" w:type="dxa"/>
                  <w:vAlign w:val="center"/>
                </w:tcPr>
                <w:p>
                  <w:pPr>
                    <w:spacing w:before="120" w:beforeLines="50" w:after="120" w:afterLines="50" w:line="360" w:lineRule="auto"/>
                    <w:contextualSpacing/>
                    <w:rPr>
                      <w:rFonts w:ascii="宋体" w:hAnsi="宋体"/>
                      <w:color w:val="auto"/>
                      <w:sz w:val="21"/>
                      <w:szCs w:val="21"/>
                    </w:rPr>
                  </w:pPr>
                  <w:r>
                    <w:rPr>
                      <w:rFonts w:hint="eastAsia" w:ascii="宋体" w:hAnsi="宋体"/>
                      <w:color w:val="auto"/>
                      <w:sz w:val="21"/>
                      <w:szCs w:val="21"/>
                    </w:rPr>
                    <w:t>安装位置：</w:t>
                  </w:r>
                </w:p>
              </w:tc>
              <w:tc>
                <w:tcPr>
                  <w:tcW w:w="4168" w:type="dxa"/>
                  <w:gridSpan w:val="3"/>
                  <w:vAlign w:val="center"/>
                </w:tcPr>
                <w:p>
                  <w:pPr>
                    <w:spacing w:before="120" w:beforeLines="50" w:after="120" w:afterLines="50" w:line="360" w:lineRule="auto"/>
                    <w:contextualSpacing/>
                    <w:jc w:val="center"/>
                    <w:rPr>
                      <w:rFonts w:ascii="宋体" w:hAnsi="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4" w:hRule="atLeast"/>
                <w:jc w:val="center"/>
              </w:trPr>
              <w:tc>
                <w:tcPr>
                  <w:tcW w:w="3306" w:type="dxa"/>
                  <w:vAlign w:val="center"/>
                </w:tcPr>
                <w:p>
                  <w:pPr>
                    <w:spacing w:before="120" w:beforeLines="50" w:after="120" w:afterLines="50" w:line="360" w:lineRule="auto"/>
                    <w:contextualSpacing/>
                    <w:rPr>
                      <w:rFonts w:ascii="宋体" w:hAnsi="宋体"/>
                      <w:color w:val="auto"/>
                      <w:sz w:val="21"/>
                      <w:szCs w:val="21"/>
                    </w:rPr>
                  </w:pPr>
                  <w:r>
                    <w:rPr>
                      <w:rFonts w:ascii="宋体" w:hAnsi="宋体"/>
                      <w:color w:val="auto"/>
                      <w:sz w:val="21"/>
                      <w:szCs w:val="21"/>
                    </w:rPr>
                    <w:t>水泵数量：(台)</w:t>
                  </w:r>
                </w:p>
              </w:tc>
              <w:tc>
                <w:tcPr>
                  <w:tcW w:w="4168" w:type="dxa"/>
                  <w:gridSpan w:val="3"/>
                  <w:vAlign w:val="center"/>
                </w:tcPr>
                <w:p>
                  <w:pPr>
                    <w:spacing w:before="120" w:beforeLines="50" w:after="120" w:afterLines="50" w:line="360" w:lineRule="auto"/>
                    <w:contextualSpacing/>
                    <w:jc w:val="center"/>
                    <w:rPr>
                      <w:rFonts w:ascii="宋体" w:hAnsi="宋体"/>
                      <w:color w:val="auto"/>
                      <w:sz w:val="21"/>
                      <w:szCs w:val="21"/>
                    </w:rPr>
                  </w:pPr>
                  <w:r>
                    <w:rPr>
                      <w:rFonts w:hint="eastAsia" w:ascii="宋体" w:hAnsi="宋体"/>
                      <w:color w:val="auto"/>
                      <w:sz w:val="21"/>
                      <w:szCs w:val="21"/>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3306" w:type="dxa"/>
                  <w:vAlign w:val="center"/>
                </w:tcPr>
                <w:p>
                  <w:pPr>
                    <w:spacing w:before="120" w:beforeLines="50" w:after="120" w:afterLines="50" w:line="360" w:lineRule="auto"/>
                    <w:contextualSpacing/>
                    <w:rPr>
                      <w:rFonts w:ascii="宋体" w:hAnsi="宋体"/>
                      <w:color w:val="auto"/>
                      <w:sz w:val="21"/>
                      <w:szCs w:val="21"/>
                    </w:rPr>
                  </w:pPr>
                  <w:r>
                    <w:rPr>
                      <w:rFonts w:ascii="宋体" w:hAnsi="宋体"/>
                      <w:color w:val="auto"/>
                      <w:sz w:val="21"/>
                      <w:szCs w:val="21"/>
                    </w:rPr>
                    <w:t>流量Q：(m³/h)</w:t>
                  </w:r>
                </w:p>
              </w:tc>
              <w:tc>
                <w:tcPr>
                  <w:tcW w:w="1441" w:type="dxa"/>
                </w:tcPr>
                <w:p>
                  <w:pPr>
                    <w:spacing w:before="120" w:beforeLines="50" w:after="120" w:afterLines="50" w:line="360" w:lineRule="auto"/>
                    <w:contextualSpacing/>
                    <w:jc w:val="center"/>
                    <w:rPr>
                      <w:rFonts w:ascii="宋体" w:hAnsi="宋体"/>
                      <w:color w:val="auto"/>
                      <w:sz w:val="21"/>
                      <w:szCs w:val="21"/>
                    </w:rPr>
                  </w:pPr>
                  <w:r>
                    <w:rPr>
                      <w:rFonts w:hint="eastAsia" w:ascii="宋体" w:hAnsi="宋体"/>
                      <w:color w:val="auto"/>
                      <w:sz w:val="21"/>
                      <w:szCs w:val="21"/>
                    </w:rPr>
                    <w:t>≥</w:t>
                  </w:r>
                  <w:r>
                    <w:rPr>
                      <w:rFonts w:hint="eastAsia" w:ascii="宋体" w:hAnsi="宋体"/>
                      <w:color w:val="auto"/>
                      <w:sz w:val="21"/>
                      <w:szCs w:val="21"/>
                      <w:lang w:eastAsia="zh-CN"/>
                    </w:rPr>
                    <w:t>875</w:t>
                  </w:r>
                </w:p>
              </w:tc>
              <w:tc>
                <w:tcPr>
                  <w:tcW w:w="1306" w:type="dxa"/>
                </w:tcPr>
                <w:p>
                  <w:pPr>
                    <w:spacing w:before="120" w:beforeLines="50" w:after="120" w:afterLines="50" w:line="360" w:lineRule="auto"/>
                    <w:contextualSpacing/>
                    <w:jc w:val="center"/>
                    <w:rPr>
                      <w:rFonts w:ascii="宋体" w:hAnsi="宋体"/>
                      <w:color w:val="auto"/>
                      <w:sz w:val="21"/>
                      <w:szCs w:val="21"/>
                    </w:rPr>
                  </w:pPr>
                  <w:r>
                    <w:rPr>
                      <w:rFonts w:hint="eastAsia" w:ascii="宋体" w:hAnsi="宋体"/>
                      <w:color w:val="auto"/>
                      <w:sz w:val="21"/>
                      <w:szCs w:val="21"/>
                    </w:rPr>
                    <w:t>≥</w:t>
                  </w:r>
                </w:p>
              </w:tc>
              <w:tc>
                <w:tcPr>
                  <w:tcW w:w="1421" w:type="dxa"/>
                </w:tcPr>
                <w:p>
                  <w:pPr>
                    <w:spacing w:before="120" w:beforeLines="50" w:after="120" w:afterLines="50" w:line="360" w:lineRule="auto"/>
                    <w:contextualSpacing/>
                    <w:jc w:val="center"/>
                    <w:rPr>
                      <w:rFonts w:ascii="宋体" w:hAnsi="宋体"/>
                      <w:color w:val="auto"/>
                      <w:sz w:val="21"/>
                      <w:szCs w:val="21"/>
                    </w:rPr>
                  </w:pPr>
                  <w:r>
                    <w:rPr>
                      <w:rFonts w:hint="eastAsia" w:ascii="宋体" w:hAnsi="宋体"/>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3306" w:type="dxa"/>
                  <w:vAlign w:val="center"/>
                </w:tcPr>
                <w:p>
                  <w:pPr>
                    <w:spacing w:before="120" w:beforeLines="50" w:after="120" w:afterLines="50" w:line="360" w:lineRule="auto"/>
                    <w:contextualSpacing/>
                    <w:rPr>
                      <w:rFonts w:ascii="宋体" w:hAnsi="宋体"/>
                      <w:color w:val="auto"/>
                      <w:sz w:val="21"/>
                      <w:szCs w:val="21"/>
                    </w:rPr>
                  </w:pPr>
                  <w:r>
                    <w:rPr>
                      <w:rFonts w:ascii="宋体" w:hAnsi="宋体"/>
                      <w:color w:val="auto"/>
                      <w:sz w:val="21"/>
                      <w:szCs w:val="21"/>
                    </w:rPr>
                    <w:t>扬程H：(m)</w:t>
                  </w:r>
                </w:p>
              </w:tc>
              <w:tc>
                <w:tcPr>
                  <w:tcW w:w="1441" w:type="dxa"/>
                  <w:vAlign w:val="center"/>
                </w:tcPr>
                <w:p>
                  <w:pPr>
                    <w:spacing w:before="120" w:beforeLines="50" w:after="120" w:afterLines="50" w:line="360" w:lineRule="auto"/>
                    <w:contextualSpacing/>
                    <w:jc w:val="center"/>
                    <w:rPr>
                      <w:rFonts w:ascii="宋体" w:hAnsi="宋体"/>
                      <w:color w:val="auto"/>
                      <w:sz w:val="21"/>
                      <w:szCs w:val="21"/>
                    </w:rPr>
                  </w:pPr>
                  <w:r>
                    <w:rPr>
                      <w:rFonts w:hint="eastAsia" w:ascii="宋体" w:hAnsi="宋体"/>
                      <w:color w:val="auto"/>
                      <w:sz w:val="21"/>
                      <w:szCs w:val="21"/>
                    </w:rPr>
                    <w:t>≥</w:t>
                  </w:r>
                  <w:r>
                    <w:rPr>
                      <w:rFonts w:hint="eastAsia" w:ascii="宋体" w:hAnsi="宋体"/>
                      <w:color w:val="auto"/>
                      <w:sz w:val="21"/>
                      <w:szCs w:val="21"/>
                      <w:lang w:eastAsia="zh-CN"/>
                    </w:rPr>
                    <w:t>55</w:t>
                  </w:r>
                </w:p>
              </w:tc>
              <w:tc>
                <w:tcPr>
                  <w:tcW w:w="1306" w:type="dxa"/>
                  <w:vAlign w:val="center"/>
                </w:tcPr>
                <w:p>
                  <w:pPr>
                    <w:spacing w:before="120" w:beforeLines="50" w:after="120" w:afterLines="50" w:line="360" w:lineRule="auto"/>
                    <w:contextualSpacing/>
                    <w:jc w:val="center"/>
                    <w:rPr>
                      <w:rFonts w:ascii="宋体" w:hAnsi="宋体"/>
                      <w:color w:val="auto"/>
                      <w:sz w:val="21"/>
                      <w:szCs w:val="21"/>
                    </w:rPr>
                  </w:pPr>
                  <w:r>
                    <w:rPr>
                      <w:rFonts w:hint="eastAsia" w:ascii="宋体" w:hAnsi="宋体"/>
                      <w:color w:val="auto"/>
                      <w:sz w:val="21"/>
                      <w:szCs w:val="21"/>
                    </w:rPr>
                    <w:t>≥</w:t>
                  </w:r>
                </w:p>
              </w:tc>
              <w:tc>
                <w:tcPr>
                  <w:tcW w:w="1421" w:type="dxa"/>
                  <w:vAlign w:val="center"/>
                </w:tcPr>
                <w:p>
                  <w:pPr>
                    <w:spacing w:before="120" w:beforeLines="50" w:after="120" w:afterLines="50" w:line="360" w:lineRule="auto"/>
                    <w:contextualSpacing/>
                    <w:jc w:val="center"/>
                    <w:rPr>
                      <w:rFonts w:ascii="宋体" w:hAnsi="宋体"/>
                      <w:color w:val="auto"/>
                      <w:sz w:val="21"/>
                      <w:szCs w:val="21"/>
                    </w:rPr>
                  </w:pPr>
                  <w:r>
                    <w:rPr>
                      <w:rFonts w:hint="eastAsia" w:ascii="宋体" w:hAnsi="宋体"/>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3306" w:type="dxa"/>
                  <w:vAlign w:val="center"/>
                </w:tcPr>
                <w:p>
                  <w:pPr>
                    <w:spacing w:before="120" w:beforeLines="50" w:after="120" w:afterLines="50" w:line="360" w:lineRule="auto"/>
                    <w:contextualSpacing/>
                    <w:rPr>
                      <w:rFonts w:ascii="宋体" w:hAnsi="宋体"/>
                      <w:color w:val="auto"/>
                      <w:sz w:val="21"/>
                      <w:szCs w:val="21"/>
                    </w:rPr>
                  </w:pPr>
                  <w:r>
                    <w:rPr>
                      <w:rFonts w:ascii="宋体" w:hAnsi="宋体"/>
                      <w:color w:val="auto"/>
                      <w:sz w:val="21"/>
                      <w:szCs w:val="21"/>
                    </w:rPr>
                    <w:t>效率</w:t>
                  </w:r>
                  <w:r>
                    <w:rPr>
                      <w:rFonts w:hint="eastAsia" w:ascii="宋体" w:hAnsi="宋体"/>
                      <w:color w:val="auto"/>
                      <w:sz w:val="21"/>
                      <w:szCs w:val="21"/>
                    </w:rPr>
                    <w:t>：</w:t>
                  </w:r>
                  <w:r>
                    <w:rPr>
                      <w:rFonts w:ascii="宋体" w:hAnsi="宋体"/>
                      <w:color w:val="auto"/>
                      <w:sz w:val="21"/>
                      <w:szCs w:val="21"/>
                    </w:rPr>
                    <w:t>(%)</w:t>
                  </w:r>
                </w:p>
              </w:tc>
              <w:tc>
                <w:tcPr>
                  <w:tcW w:w="1441" w:type="dxa"/>
                </w:tcPr>
                <w:p>
                  <w:pPr>
                    <w:spacing w:before="120" w:beforeLines="50" w:after="120" w:afterLines="50" w:line="360" w:lineRule="auto"/>
                    <w:contextualSpacing/>
                    <w:jc w:val="center"/>
                    <w:rPr>
                      <w:rFonts w:ascii="宋体" w:hAnsi="宋体"/>
                      <w:color w:val="auto"/>
                      <w:sz w:val="21"/>
                      <w:szCs w:val="21"/>
                    </w:rPr>
                  </w:pPr>
                  <w:r>
                    <w:rPr>
                      <w:rFonts w:hint="eastAsia" w:ascii="宋体" w:hAnsi="宋体"/>
                      <w:color w:val="auto"/>
                      <w:sz w:val="21"/>
                      <w:szCs w:val="21"/>
                    </w:rPr>
                    <w:t>≥</w:t>
                  </w:r>
                  <w:r>
                    <w:rPr>
                      <w:rFonts w:hint="eastAsia" w:ascii="宋体" w:hAnsi="宋体"/>
                      <w:color w:val="auto"/>
                      <w:sz w:val="21"/>
                      <w:szCs w:val="21"/>
                      <w:lang w:eastAsia="zh-CN"/>
                    </w:rPr>
                    <w:t>80</w:t>
                  </w:r>
                </w:p>
              </w:tc>
              <w:tc>
                <w:tcPr>
                  <w:tcW w:w="1306" w:type="dxa"/>
                </w:tcPr>
                <w:p>
                  <w:pPr>
                    <w:spacing w:before="120" w:beforeLines="50" w:after="120" w:afterLines="50" w:line="360" w:lineRule="auto"/>
                    <w:contextualSpacing/>
                    <w:jc w:val="center"/>
                    <w:rPr>
                      <w:rFonts w:ascii="宋体" w:hAnsi="宋体"/>
                      <w:color w:val="auto"/>
                      <w:sz w:val="21"/>
                      <w:szCs w:val="21"/>
                    </w:rPr>
                  </w:pPr>
                  <w:r>
                    <w:rPr>
                      <w:rFonts w:hint="eastAsia" w:ascii="宋体" w:hAnsi="宋体"/>
                      <w:color w:val="auto"/>
                      <w:sz w:val="21"/>
                      <w:szCs w:val="21"/>
                    </w:rPr>
                    <w:t>≥</w:t>
                  </w:r>
                </w:p>
              </w:tc>
              <w:tc>
                <w:tcPr>
                  <w:tcW w:w="1421" w:type="dxa"/>
                </w:tcPr>
                <w:p>
                  <w:pPr>
                    <w:spacing w:before="120" w:beforeLines="50" w:after="120" w:afterLines="50" w:line="360" w:lineRule="auto"/>
                    <w:contextualSpacing/>
                    <w:jc w:val="center"/>
                    <w:rPr>
                      <w:rFonts w:ascii="宋体" w:hAnsi="宋体"/>
                      <w:color w:val="auto"/>
                      <w:sz w:val="21"/>
                      <w:szCs w:val="21"/>
                    </w:rPr>
                  </w:pPr>
                  <w:r>
                    <w:rPr>
                      <w:rFonts w:hint="eastAsia" w:ascii="宋体" w:hAnsi="宋体"/>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3306" w:type="dxa"/>
                  <w:vAlign w:val="center"/>
                </w:tcPr>
                <w:p>
                  <w:pPr>
                    <w:spacing w:before="120" w:beforeLines="50" w:after="120" w:afterLines="50" w:line="360" w:lineRule="auto"/>
                    <w:contextualSpacing/>
                    <w:rPr>
                      <w:rFonts w:ascii="宋体" w:hAnsi="宋体"/>
                      <w:color w:val="auto"/>
                      <w:sz w:val="21"/>
                      <w:szCs w:val="21"/>
                      <w:lang w:eastAsia="zh-CN"/>
                    </w:rPr>
                  </w:pPr>
                  <w:r>
                    <w:rPr>
                      <w:rFonts w:ascii="宋体" w:hAnsi="宋体"/>
                      <w:color w:val="auto"/>
                      <w:sz w:val="21"/>
                      <w:szCs w:val="21"/>
                      <w:lang w:eastAsia="zh-CN"/>
                    </w:rPr>
                    <w:t>必须汽蚀余量NPSHr</w:t>
                  </w:r>
                  <w:r>
                    <w:rPr>
                      <w:rFonts w:hint="eastAsia" w:ascii="宋体" w:hAnsi="宋体"/>
                      <w:color w:val="auto"/>
                      <w:sz w:val="21"/>
                      <w:szCs w:val="21"/>
                      <w:lang w:eastAsia="zh-CN"/>
                    </w:rPr>
                    <w:t>：</w:t>
                  </w:r>
                  <w:r>
                    <w:rPr>
                      <w:rFonts w:ascii="宋体" w:hAnsi="宋体"/>
                      <w:color w:val="auto"/>
                      <w:sz w:val="21"/>
                      <w:szCs w:val="21"/>
                      <w:lang w:eastAsia="zh-CN"/>
                    </w:rPr>
                    <w:t>(m)</w:t>
                  </w:r>
                </w:p>
              </w:tc>
              <w:tc>
                <w:tcPr>
                  <w:tcW w:w="1441" w:type="dxa"/>
                  <w:vAlign w:val="center"/>
                </w:tcPr>
                <w:p>
                  <w:pPr>
                    <w:spacing w:before="120" w:beforeLines="50" w:after="120" w:afterLines="50" w:line="360" w:lineRule="auto"/>
                    <w:contextualSpacing/>
                    <w:jc w:val="center"/>
                    <w:rPr>
                      <w:rFonts w:ascii="宋体" w:hAnsi="宋体"/>
                      <w:color w:val="auto"/>
                      <w:sz w:val="21"/>
                      <w:szCs w:val="21"/>
                    </w:rPr>
                  </w:pPr>
                  <w:r>
                    <w:rPr>
                      <w:rFonts w:hint="eastAsia" w:ascii="宋体" w:hAnsi="宋体"/>
                      <w:color w:val="auto"/>
                      <w:sz w:val="21"/>
                      <w:szCs w:val="21"/>
                    </w:rPr>
                    <w:t>≤</w:t>
                  </w:r>
                  <w:r>
                    <w:rPr>
                      <w:rFonts w:hint="eastAsia" w:ascii="宋体" w:hAnsi="宋体"/>
                      <w:color w:val="auto"/>
                      <w:sz w:val="21"/>
                      <w:szCs w:val="21"/>
                      <w:lang w:eastAsia="zh-CN"/>
                    </w:rPr>
                    <w:t>5</w:t>
                  </w:r>
                </w:p>
              </w:tc>
              <w:tc>
                <w:tcPr>
                  <w:tcW w:w="1306" w:type="dxa"/>
                  <w:vAlign w:val="center"/>
                </w:tcPr>
                <w:p>
                  <w:pPr>
                    <w:spacing w:before="120" w:beforeLines="50" w:after="120" w:afterLines="50" w:line="360" w:lineRule="auto"/>
                    <w:contextualSpacing/>
                    <w:jc w:val="center"/>
                    <w:rPr>
                      <w:rFonts w:ascii="宋体" w:hAnsi="宋体"/>
                      <w:color w:val="auto"/>
                      <w:sz w:val="21"/>
                      <w:szCs w:val="21"/>
                    </w:rPr>
                  </w:pPr>
                  <w:r>
                    <w:rPr>
                      <w:rFonts w:hint="eastAsia" w:ascii="宋体" w:hAnsi="宋体"/>
                      <w:color w:val="auto"/>
                      <w:sz w:val="21"/>
                      <w:szCs w:val="21"/>
                    </w:rPr>
                    <w:t>≤</w:t>
                  </w:r>
                </w:p>
              </w:tc>
              <w:tc>
                <w:tcPr>
                  <w:tcW w:w="1421" w:type="dxa"/>
                  <w:vAlign w:val="center"/>
                </w:tcPr>
                <w:p>
                  <w:pPr>
                    <w:spacing w:before="120" w:beforeLines="50" w:after="120" w:afterLines="50" w:line="360" w:lineRule="auto"/>
                    <w:contextualSpacing/>
                    <w:jc w:val="center"/>
                    <w:rPr>
                      <w:rFonts w:ascii="宋体" w:hAnsi="宋体"/>
                      <w:color w:val="auto"/>
                      <w:sz w:val="21"/>
                      <w:szCs w:val="21"/>
                    </w:rPr>
                  </w:pPr>
                  <w:r>
                    <w:rPr>
                      <w:rFonts w:hint="eastAsia" w:ascii="宋体" w:hAnsi="宋体"/>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3306" w:type="dxa"/>
                  <w:vAlign w:val="center"/>
                </w:tcPr>
                <w:p>
                  <w:pPr>
                    <w:spacing w:before="120" w:beforeLines="50" w:after="120" w:afterLines="50" w:line="360" w:lineRule="auto"/>
                    <w:contextualSpacing/>
                    <w:rPr>
                      <w:rFonts w:ascii="宋体" w:hAnsi="宋体"/>
                      <w:color w:val="auto"/>
                      <w:sz w:val="21"/>
                      <w:szCs w:val="21"/>
                      <w:lang w:eastAsia="zh-CN"/>
                    </w:rPr>
                  </w:pPr>
                  <w:r>
                    <w:rPr>
                      <w:rFonts w:ascii="宋体" w:hAnsi="宋体"/>
                      <w:color w:val="auto"/>
                      <w:sz w:val="21"/>
                      <w:szCs w:val="21"/>
                      <w:lang w:eastAsia="zh-CN"/>
                    </w:rPr>
                    <w:t>电机</w:t>
                  </w:r>
                  <w:r>
                    <w:rPr>
                      <w:rFonts w:hint="eastAsia" w:ascii="宋体" w:hAnsi="宋体"/>
                      <w:color w:val="auto"/>
                      <w:sz w:val="21"/>
                      <w:szCs w:val="21"/>
                      <w:lang w:eastAsia="zh-CN"/>
                    </w:rPr>
                    <w:t>额定</w:t>
                  </w:r>
                  <w:r>
                    <w:rPr>
                      <w:rFonts w:ascii="宋体" w:hAnsi="宋体"/>
                      <w:color w:val="auto"/>
                      <w:sz w:val="21"/>
                      <w:szCs w:val="21"/>
                      <w:lang w:eastAsia="zh-CN"/>
                    </w:rPr>
                    <w:t>功率N：(kW)</w:t>
                  </w:r>
                </w:p>
              </w:tc>
              <w:tc>
                <w:tcPr>
                  <w:tcW w:w="4168" w:type="dxa"/>
                  <w:gridSpan w:val="3"/>
                  <w:vAlign w:val="center"/>
                </w:tcPr>
                <w:p>
                  <w:pPr>
                    <w:spacing w:before="120" w:beforeLines="50" w:after="120" w:afterLines="50" w:line="360" w:lineRule="auto"/>
                    <w:contextualSpacing/>
                    <w:jc w:val="center"/>
                    <w:rPr>
                      <w:rFonts w:ascii="宋体" w:hAnsi="宋体"/>
                      <w:color w:val="auto"/>
                      <w:sz w:val="21"/>
                      <w:szCs w:val="21"/>
                    </w:rPr>
                  </w:pPr>
                  <w:r>
                    <w:rPr>
                      <w:rFonts w:hint="eastAsia" w:ascii="宋体" w:hAnsi="宋体"/>
                      <w:color w:val="auto"/>
                      <w:sz w:val="21"/>
                      <w:szCs w:val="21"/>
                    </w:rPr>
                    <w:t>≤</w:t>
                  </w:r>
                  <w:r>
                    <w:rPr>
                      <w:rFonts w:hint="eastAsia" w:ascii="宋体" w:hAnsi="宋体"/>
                      <w:color w:val="auto"/>
                      <w:sz w:val="21"/>
                      <w:szCs w:val="21"/>
                      <w:lang w:eastAsia="zh-CN"/>
                    </w:rPr>
                    <w:t>187</w:t>
                  </w:r>
                  <w:r>
                    <w:rPr>
                      <w:rFonts w:ascii="宋体" w:hAnsi="宋体"/>
                      <w:color w:val="auto"/>
                      <w:sz w:val="21"/>
                      <w:szCs w:val="21"/>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3306" w:type="dxa"/>
                  <w:vAlign w:val="center"/>
                </w:tcPr>
                <w:p>
                  <w:pPr>
                    <w:spacing w:before="120" w:beforeLines="50" w:after="120" w:afterLines="50" w:line="360" w:lineRule="auto"/>
                    <w:contextualSpacing/>
                    <w:rPr>
                      <w:rFonts w:ascii="宋体" w:hAnsi="宋体"/>
                      <w:color w:val="auto"/>
                      <w:sz w:val="21"/>
                      <w:szCs w:val="21"/>
                      <w:lang w:eastAsia="zh-CN"/>
                    </w:rPr>
                  </w:pPr>
                  <w:r>
                    <w:rPr>
                      <w:rFonts w:ascii="宋体" w:hAnsi="宋体"/>
                      <w:color w:val="auto"/>
                      <w:sz w:val="21"/>
                      <w:szCs w:val="21"/>
                      <w:lang w:eastAsia="zh-CN"/>
                    </w:rPr>
                    <w:t>电机满负荷转速(rpm)</w:t>
                  </w:r>
                </w:p>
              </w:tc>
              <w:tc>
                <w:tcPr>
                  <w:tcW w:w="4168" w:type="dxa"/>
                  <w:gridSpan w:val="3"/>
                  <w:vAlign w:val="center"/>
                </w:tcPr>
                <w:p>
                  <w:pPr>
                    <w:spacing w:before="120" w:beforeLines="50" w:after="120" w:afterLines="50" w:line="360" w:lineRule="auto"/>
                    <w:contextualSpacing/>
                    <w:jc w:val="center"/>
                    <w:rPr>
                      <w:rFonts w:ascii="宋体" w:hAnsi="宋体"/>
                      <w:color w:val="auto"/>
                      <w:sz w:val="21"/>
                      <w:szCs w:val="21"/>
                    </w:rPr>
                  </w:pPr>
                  <w:r>
                    <w:rPr>
                      <w:rFonts w:hint="eastAsia" w:ascii="宋体" w:hAnsi="宋体"/>
                      <w:color w:val="auto"/>
                      <w:sz w:val="21"/>
                      <w:szCs w:val="21"/>
                    </w:rPr>
                    <w:t>≤</w:t>
                  </w:r>
                  <w:r>
                    <w:rPr>
                      <w:rFonts w:hint="eastAsia" w:ascii="宋体" w:hAnsi="宋体"/>
                      <w:color w:val="auto"/>
                      <w:sz w:val="21"/>
                      <w:szCs w:val="21"/>
                      <w:lang w:eastAsia="zh-CN"/>
                    </w:rPr>
                    <w:t>1500</w:t>
                  </w:r>
                  <w:r>
                    <w:rPr>
                      <w:rFonts w:ascii="宋体" w:hAnsi="宋体"/>
                      <w:color w:val="auto"/>
                      <w:sz w:val="21"/>
                      <w:szCs w:val="21"/>
                    </w:rPr>
                    <w:t>rpm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3306" w:type="dxa"/>
                  <w:vAlign w:val="center"/>
                </w:tcPr>
                <w:p>
                  <w:pPr>
                    <w:spacing w:before="120" w:beforeLines="50" w:after="120" w:afterLines="50" w:line="360" w:lineRule="auto"/>
                    <w:contextualSpacing/>
                    <w:rPr>
                      <w:rFonts w:ascii="宋体" w:hAnsi="宋体"/>
                      <w:color w:val="auto"/>
                      <w:sz w:val="21"/>
                      <w:szCs w:val="21"/>
                    </w:rPr>
                  </w:pPr>
                  <w:r>
                    <w:rPr>
                      <w:rFonts w:hint="eastAsia" w:ascii="宋体" w:hAnsi="宋体"/>
                      <w:color w:val="auto"/>
                      <w:sz w:val="21"/>
                      <w:szCs w:val="21"/>
                    </w:rPr>
                    <w:t>电源</w:t>
                  </w:r>
                  <w:r>
                    <w:rPr>
                      <w:rFonts w:ascii="宋体" w:hAnsi="宋体"/>
                      <w:color w:val="auto"/>
                      <w:sz w:val="21"/>
                      <w:szCs w:val="21"/>
                    </w:rPr>
                    <w:t>(V)</w:t>
                  </w:r>
                </w:p>
              </w:tc>
              <w:tc>
                <w:tcPr>
                  <w:tcW w:w="4168" w:type="dxa"/>
                  <w:gridSpan w:val="3"/>
                  <w:vAlign w:val="center"/>
                </w:tcPr>
                <w:p>
                  <w:pPr>
                    <w:spacing w:before="120" w:beforeLines="50" w:after="120" w:afterLines="50" w:line="360" w:lineRule="auto"/>
                    <w:contextualSpacing/>
                    <w:jc w:val="center"/>
                    <w:rPr>
                      <w:rFonts w:ascii="宋体" w:hAnsi="宋体"/>
                      <w:color w:val="auto"/>
                      <w:sz w:val="21"/>
                      <w:szCs w:val="21"/>
                    </w:rPr>
                  </w:pPr>
                  <w:r>
                    <w:rPr>
                      <w:rFonts w:ascii="宋体" w:hAnsi="宋体"/>
                      <w:color w:val="auto"/>
                      <w:sz w:val="21"/>
                      <w:szCs w:val="21"/>
                    </w:rPr>
                    <w:t>380V,</w:t>
                  </w:r>
                  <w:r>
                    <w:rPr>
                      <w:rFonts w:hint="eastAsia" w:ascii="宋体" w:hAnsi="宋体"/>
                      <w:color w:val="auto"/>
                      <w:sz w:val="21"/>
                      <w:szCs w:val="21"/>
                    </w:rPr>
                    <w:t>50</w:t>
                  </w:r>
                  <w:r>
                    <w:rPr>
                      <w:rFonts w:ascii="宋体" w:hAnsi="宋体"/>
                      <w:color w:val="auto"/>
                      <w:sz w:val="21"/>
                      <w:szCs w:val="21"/>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3306" w:type="dxa"/>
                </w:tcPr>
                <w:p>
                  <w:pPr>
                    <w:spacing w:before="120" w:beforeLines="50" w:after="120" w:afterLines="50" w:line="360" w:lineRule="auto"/>
                    <w:contextualSpacing/>
                    <w:rPr>
                      <w:rFonts w:ascii="宋体" w:hAnsi="宋体"/>
                      <w:bCs/>
                      <w:color w:val="auto"/>
                      <w:sz w:val="21"/>
                      <w:szCs w:val="21"/>
                    </w:rPr>
                  </w:pPr>
                  <w:r>
                    <w:rPr>
                      <w:rFonts w:hint="eastAsia"/>
                      <w:bCs/>
                      <w:color w:val="auto"/>
                      <w:sz w:val="21"/>
                      <w:szCs w:val="21"/>
                    </w:rPr>
                    <w:t>★泵进口口径mm</w:t>
                  </w:r>
                </w:p>
              </w:tc>
              <w:tc>
                <w:tcPr>
                  <w:tcW w:w="4168" w:type="dxa"/>
                  <w:gridSpan w:val="3"/>
                </w:tcPr>
                <w:p>
                  <w:pPr>
                    <w:spacing w:before="120" w:beforeLines="50" w:after="120" w:afterLines="50" w:line="360" w:lineRule="auto"/>
                    <w:contextualSpacing/>
                    <w:jc w:val="center"/>
                    <w:rPr>
                      <w:rFonts w:ascii="宋体" w:hAnsi="宋体"/>
                      <w:color w:val="auto"/>
                      <w:sz w:val="21"/>
                      <w:szCs w:val="21"/>
                    </w:rPr>
                  </w:pPr>
                  <w:r>
                    <w:rPr>
                      <w:color w:val="auto"/>
                      <w:sz w:val="21"/>
                      <w:szCs w:val="21"/>
                    </w:rPr>
                    <w:t>DN</w:t>
                  </w:r>
                  <w:r>
                    <w:rPr>
                      <w:rFonts w:hint="eastAsia"/>
                      <w:color w:val="auto"/>
                      <w:sz w:val="21"/>
                      <w:szCs w:val="21"/>
                      <w:lang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3306" w:type="dxa"/>
                </w:tcPr>
                <w:p>
                  <w:pPr>
                    <w:spacing w:before="120" w:beforeLines="50" w:after="120" w:afterLines="50" w:line="360" w:lineRule="auto"/>
                    <w:contextualSpacing/>
                    <w:rPr>
                      <w:rFonts w:ascii="宋体" w:hAnsi="宋体"/>
                      <w:bCs/>
                      <w:color w:val="auto"/>
                      <w:sz w:val="21"/>
                      <w:szCs w:val="21"/>
                    </w:rPr>
                  </w:pPr>
                  <w:bookmarkStart w:id="264" w:name="OLE_LINK1"/>
                  <w:r>
                    <w:rPr>
                      <w:rFonts w:hint="eastAsia"/>
                      <w:bCs/>
                      <w:color w:val="auto"/>
                      <w:sz w:val="21"/>
                      <w:szCs w:val="21"/>
                    </w:rPr>
                    <w:t>★</w:t>
                  </w:r>
                  <w:bookmarkEnd w:id="264"/>
                  <w:r>
                    <w:rPr>
                      <w:rFonts w:hint="eastAsia"/>
                      <w:bCs/>
                      <w:color w:val="auto"/>
                      <w:sz w:val="21"/>
                      <w:szCs w:val="21"/>
                    </w:rPr>
                    <w:t>泵出口口径mm</w:t>
                  </w:r>
                </w:p>
              </w:tc>
              <w:tc>
                <w:tcPr>
                  <w:tcW w:w="4168" w:type="dxa"/>
                  <w:gridSpan w:val="3"/>
                </w:tcPr>
                <w:p>
                  <w:pPr>
                    <w:spacing w:before="120" w:beforeLines="50" w:after="120" w:afterLines="50" w:line="360" w:lineRule="auto"/>
                    <w:contextualSpacing/>
                    <w:jc w:val="center"/>
                    <w:rPr>
                      <w:rFonts w:ascii="宋体" w:hAnsi="宋体"/>
                      <w:color w:val="auto"/>
                      <w:sz w:val="21"/>
                      <w:szCs w:val="21"/>
                    </w:rPr>
                  </w:pPr>
                  <w:r>
                    <w:rPr>
                      <w:color w:val="auto"/>
                      <w:sz w:val="21"/>
                      <w:szCs w:val="21"/>
                    </w:rPr>
                    <w:t>DN</w:t>
                  </w:r>
                  <w:r>
                    <w:rPr>
                      <w:rFonts w:hint="eastAsia"/>
                      <w:color w:val="auto"/>
                      <w:sz w:val="21"/>
                      <w:szCs w:val="21"/>
                      <w:lang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3306" w:type="dxa"/>
                </w:tcPr>
                <w:p>
                  <w:pPr>
                    <w:spacing w:before="120" w:beforeLines="50" w:after="120" w:afterLines="50" w:line="360" w:lineRule="auto"/>
                    <w:contextualSpacing/>
                    <w:rPr>
                      <w:color w:val="auto"/>
                      <w:sz w:val="21"/>
                      <w:szCs w:val="21"/>
                      <w:lang w:eastAsia="zh-CN"/>
                    </w:rPr>
                  </w:pPr>
                  <w:r>
                    <w:rPr>
                      <w:rFonts w:hint="eastAsia"/>
                      <w:color w:val="auto"/>
                      <w:sz w:val="21"/>
                      <w:szCs w:val="21"/>
                      <w:lang w:eastAsia="zh-CN"/>
                    </w:rPr>
                    <w:t>水泵转向（从电机端向水泵看）</w:t>
                  </w:r>
                </w:p>
              </w:tc>
              <w:tc>
                <w:tcPr>
                  <w:tcW w:w="4168" w:type="dxa"/>
                  <w:gridSpan w:val="3"/>
                </w:tcPr>
                <w:p>
                  <w:pPr>
                    <w:spacing w:before="120" w:beforeLines="50" w:after="120" w:afterLines="50" w:line="360" w:lineRule="auto"/>
                    <w:contextualSpacing/>
                    <w:jc w:val="center"/>
                    <w:rPr>
                      <w:color w:val="auto"/>
                      <w:sz w:val="21"/>
                      <w:szCs w:val="21"/>
                    </w:rPr>
                  </w:pPr>
                  <w:r>
                    <w:rPr>
                      <w:rFonts w:hint="eastAsia"/>
                      <w:color w:val="auto"/>
                      <w:sz w:val="21"/>
                      <w:szCs w:val="21"/>
                      <w:lang w:eastAsia="zh-CN"/>
                    </w:rPr>
                    <w:t>顺时针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3306" w:type="dxa"/>
                </w:tcPr>
                <w:p>
                  <w:pPr>
                    <w:spacing w:before="120" w:beforeLines="50" w:after="120" w:afterLines="50" w:line="360" w:lineRule="auto"/>
                    <w:contextualSpacing/>
                    <w:rPr>
                      <w:rFonts w:ascii="宋体" w:hAnsi="宋体"/>
                      <w:color w:val="auto"/>
                      <w:sz w:val="21"/>
                      <w:szCs w:val="21"/>
                    </w:rPr>
                  </w:pPr>
                  <w:r>
                    <w:rPr>
                      <w:rFonts w:hint="eastAsia"/>
                      <w:color w:val="auto"/>
                      <w:sz w:val="21"/>
                      <w:szCs w:val="21"/>
                    </w:rPr>
                    <w:t>其它要求</w:t>
                  </w:r>
                </w:p>
              </w:tc>
              <w:tc>
                <w:tcPr>
                  <w:tcW w:w="4168" w:type="dxa"/>
                  <w:gridSpan w:val="3"/>
                </w:tcPr>
                <w:p>
                  <w:pPr>
                    <w:spacing w:before="120" w:beforeLines="50" w:after="120" w:afterLines="50" w:line="360" w:lineRule="auto"/>
                    <w:contextualSpacing/>
                    <w:jc w:val="center"/>
                    <w:rPr>
                      <w:rFonts w:ascii="宋体" w:hAnsi="宋体"/>
                      <w:color w:val="auto"/>
                      <w:sz w:val="21"/>
                      <w:szCs w:val="21"/>
                    </w:rPr>
                  </w:pPr>
                  <w:r>
                    <w:rPr>
                      <w:rFonts w:hint="eastAsia"/>
                      <w:color w:val="auto"/>
                      <w:sz w:val="21"/>
                      <w:szCs w:val="21"/>
                    </w:rPr>
                    <w:t>工频（变频）运行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atLeast"/>
                <w:jc w:val="center"/>
              </w:trPr>
              <w:tc>
                <w:tcPr>
                  <w:tcW w:w="3306" w:type="dxa"/>
                  <w:vAlign w:val="center"/>
                </w:tcPr>
                <w:p>
                  <w:pPr>
                    <w:spacing w:before="120" w:beforeLines="50" w:after="120" w:afterLines="50" w:line="360" w:lineRule="auto"/>
                    <w:contextualSpacing/>
                    <w:rPr>
                      <w:rFonts w:ascii="宋体" w:hAnsi="宋体"/>
                      <w:color w:val="auto"/>
                      <w:sz w:val="21"/>
                      <w:szCs w:val="21"/>
                    </w:rPr>
                  </w:pPr>
                  <w:r>
                    <w:rPr>
                      <w:rFonts w:hint="eastAsia" w:ascii="宋体" w:hAnsi="宋体"/>
                      <w:color w:val="auto"/>
                      <w:sz w:val="21"/>
                      <w:szCs w:val="21"/>
                    </w:rPr>
                    <w:t>水泵性能测试标准</w:t>
                  </w:r>
                </w:p>
              </w:tc>
              <w:tc>
                <w:tcPr>
                  <w:tcW w:w="4168" w:type="dxa"/>
                  <w:gridSpan w:val="3"/>
                  <w:vAlign w:val="center"/>
                </w:tcPr>
                <w:p>
                  <w:pPr>
                    <w:spacing w:before="120" w:beforeLines="50" w:after="120" w:afterLines="50" w:line="360" w:lineRule="auto"/>
                    <w:contextualSpacing/>
                    <w:jc w:val="center"/>
                    <w:rPr>
                      <w:rFonts w:ascii="宋体" w:hAnsi="宋体"/>
                      <w:color w:val="auto"/>
                      <w:sz w:val="21"/>
                      <w:szCs w:val="21"/>
                      <w:lang w:eastAsia="zh-CN"/>
                    </w:rPr>
                  </w:pPr>
                  <w:r>
                    <w:rPr>
                      <w:rFonts w:hint="eastAsia" w:ascii="宋体" w:hAnsi="宋体"/>
                      <w:color w:val="auto"/>
                      <w:sz w:val="21"/>
                      <w:szCs w:val="21"/>
                      <w:lang w:eastAsia="zh-CN"/>
                    </w:rPr>
                    <w:t>符合I</w:t>
                  </w:r>
                  <w:r>
                    <w:rPr>
                      <w:rFonts w:ascii="宋体" w:hAnsi="宋体"/>
                      <w:color w:val="auto"/>
                      <w:sz w:val="21"/>
                      <w:szCs w:val="21"/>
                      <w:lang w:eastAsia="zh-CN"/>
                    </w:rPr>
                    <w:t>SO9906-2B</w:t>
                  </w:r>
                  <w:r>
                    <w:rPr>
                      <w:rFonts w:hint="eastAsia" w:ascii="宋体" w:hAnsi="宋体"/>
                      <w:color w:val="auto"/>
                      <w:sz w:val="21"/>
                      <w:szCs w:val="21"/>
                      <w:lang w:eastAsia="zh-CN"/>
                    </w:rPr>
                    <w:t>测试标准</w:t>
                  </w:r>
                </w:p>
              </w:tc>
            </w:tr>
          </w:tbl>
          <w:p>
            <w:pPr>
              <w:widowControl/>
              <w:spacing w:line="360" w:lineRule="auto"/>
              <w:rPr>
                <w:rFonts w:ascii="宋体" w:hAnsi="宋体" w:eastAsia="宋体" w:cs="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8902" w:type="dxa"/>
            <w:gridSpan w:val="6"/>
            <w:shd w:val="clear" w:color="auto" w:fill="auto"/>
            <w:vAlign w:val="center"/>
          </w:tcPr>
          <w:p>
            <w:pPr>
              <w:widowControl/>
              <w:spacing w:line="360" w:lineRule="auto"/>
              <w:rPr>
                <w:rFonts w:ascii="宋体" w:hAnsi="宋体" w:eastAsia="宋体" w:cs="宋体"/>
                <w:b/>
                <w:color w:val="auto"/>
                <w:sz w:val="21"/>
                <w:szCs w:val="21"/>
                <w:lang w:eastAsia="zh-CN"/>
              </w:rPr>
            </w:pPr>
            <w:r>
              <w:rPr>
                <w:rFonts w:ascii="宋体" w:hAnsi="宋体"/>
                <w:b/>
                <w:color w:val="auto"/>
                <w:sz w:val="21"/>
                <w:szCs w:val="21"/>
                <w:lang w:eastAsia="zh-CN"/>
              </w:rPr>
              <w:t>水泵的结构与形式及详细要求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8902" w:type="dxa"/>
            <w:gridSpan w:val="6"/>
            <w:shd w:val="clear" w:color="auto" w:fill="auto"/>
            <w:vAlign w:val="center"/>
          </w:tcPr>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水泵应当是单级、双吸、中开离心式水泵。水从吸水口间叶轮两边进入，壳体水平中开，分为泵盖和泵体，泵内部检修时只需揭开泵盖，不需拆卸进水和出水管路。主要由泵体、泵盖、叶轮、轴、密封环、轴套及悬架轴承部件等组成。</w:t>
            </w:r>
          </w:p>
          <w:p>
            <w:pPr>
              <w:pStyle w:val="35"/>
              <w:numPr>
                <w:ilvl w:val="0"/>
                <w:numId w:val="0"/>
              </w:numPr>
              <w:tabs>
                <w:tab w:val="clear" w:pos="840"/>
                <w:tab w:val="clear" w:pos="1146"/>
                <w:tab w:val="clear" w:pos="1200"/>
                <w:tab w:val="clear" w:pos="1740"/>
              </w:tabs>
              <w:ind w:left="480"/>
              <w:rPr>
                <w:color w:val="auto"/>
                <w:sz w:val="21"/>
                <w:szCs w:val="21"/>
              </w:rPr>
            </w:pPr>
            <w:r>
              <w:rPr>
                <w:rFonts w:hint="eastAsia"/>
                <w:color w:val="auto"/>
                <w:sz w:val="21"/>
                <w:szCs w:val="21"/>
              </w:rPr>
              <w:t>（1）</w:t>
            </w:r>
            <w:r>
              <w:rPr>
                <w:color w:val="auto"/>
                <w:sz w:val="21"/>
                <w:szCs w:val="21"/>
              </w:rPr>
              <w:t>泵壳</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水泵的壳体应设计成可在水泵轴中心线处水平分开，一分为二，其吸入口和吐出口应当与壳体的下半部分一次浇成。只要提起上半部分的壳体和轴承的托架以及退去联轴器上的螺栓以后就可以拆卸全部的转动部件。上下泵壳经由精确的机加工；用螺栓和定位销连接。上下泵壳间需装有一非石棉质的垫圈。</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水泵的壳体应采用高质量</w:t>
            </w:r>
            <w:r>
              <w:rPr>
                <w:rFonts w:hint="eastAsia" w:ascii="宋体" w:hAnsi="宋体"/>
                <w:color w:val="auto"/>
                <w:sz w:val="21"/>
                <w:szCs w:val="21"/>
                <w:lang w:eastAsia="zh-CN"/>
              </w:rPr>
              <w:t>灰铸铁HT250</w:t>
            </w:r>
            <w:r>
              <w:rPr>
                <w:rFonts w:ascii="宋体" w:hAnsi="宋体"/>
                <w:color w:val="auto"/>
                <w:sz w:val="21"/>
                <w:szCs w:val="21"/>
                <w:lang w:eastAsia="zh-CN"/>
              </w:rPr>
              <w:t>(</w:t>
            </w:r>
            <w:r>
              <w:rPr>
                <w:rFonts w:hint="eastAsia" w:ascii="宋体" w:hAnsi="宋体"/>
                <w:color w:val="auto"/>
                <w:sz w:val="21"/>
                <w:szCs w:val="21"/>
                <w:lang w:eastAsia="zh-CN"/>
              </w:rPr>
              <w:t>球墨铸铁QT500-7</w:t>
            </w:r>
            <w:r>
              <w:rPr>
                <w:rFonts w:ascii="宋体" w:hAnsi="宋体"/>
                <w:color w:val="auto"/>
                <w:sz w:val="21"/>
                <w:szCs w:val="21"/>
                <w:lang w:eastAsia="zh-CN"/>
              </w:rPr>
              <w:t>)铸造。</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泵联接法兰尺寸及密封面型式符合ANSI125</w:t>
            </w:r>
            <w:r>
              <w:rPr>
                <w:rFonts w:hint="eastAsia" w:ascii="宋体" w:hAnsi="宋体"/>
                <w:color w:val="auto"/>
                <w:sz w:val="21"/>
                <w:szCs w:val="21"/>
                <w:lang w:eastAsia="zh-CN"/>
              </w:rPr>
              <w:t>和A</w:t>
            </w:r>
            <w:r>
              <w:rPr>
                <w:rFonts w:ascii="宋体" w:hAnsi="宋体"/>
                <w:color w:val="auto"/>
                <w:sz w:val="21"/>
                <w:szCs w:val="21"/>
                <w:lang w:eastAsia="zh-CN"/>
              </w:rPr>
              <w:t>NSI250平面法兰的要求，</w:t>
            </w:r>
            <w:r>
              <w:rPr>
                <w:rFonts w:hint="eastAsia" w:ascii="宋体" w:hAnsi="宋体"/>
                <w:color w:val="auto"/>
                <w:sz w:val="21"/>
                <w:szCs w:val="21"/>
                <w:lang w:eastAsia="zh-CN"/>
              </w:rPr>
              <w:t>根据D</w:t>
            </w:r>
            <w:r>
              <w:rPr>
                <w:rFonts w:ascii="宋体" w:hAnsi="宋体"/>
                <w:color w:val="auto"/>
                <w:sz w:val="21"/>
                <w:szCs w:val="21"/>
                <w:lang w:eastAsia="zh-CN"/>
              </w:rPr>
              <w:t>IN10/16</w:t>
            </w:r>
            <w:r>
              <w:rPr>
                <w:rFonts w:hint="eastAsia" w:ascii="宋体" w:hAnsi="宋体"/>
                <w:color w:val="auto"/>
                <w:sz w:val="21"/>
                <w:szCs w:val="21"/>
                <w:lang w:eastAsia="zh-CN"/>
              </w:rPr>
              <w:t>的法兰标准联接孔尺寸开孔，</w:t>
            </w:r>
            <w:r>
              <w:rPr>
                <w:rFonts w:ascii="宋体" w:hAnsi="宋体"/>
                <w:color w:val="auto"/>
                <w:sz w:val="21"/>
                <w:szCs w:val="21"/>
                <w:lang w:eastAsia="zh-CN"/>
              </w:rPr>
              <w:t>法兰孔应与垂直线对称分布。泵体上在泵的重心或对称位置处应设置吊环、螺钉或吊耳等，以便泵的装卸。壳体至少有两个管道接口，一只在下半壳体的底部，作为放水管连接口，一只在上半部壳体的顶部，作放气之用。</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hint="eastAsia" w:ascii="宋体" w:hAnsi="宋体"/>
                <w:color w:val="auto"/>
                <w:sz w:val="21"/>
                <w:szCs w:val="21"/>
                <w:lang w:eastAsia="zh-CN"/>
              </w:rPr>
              <w:t>★泵壳按预定工作压力特别设计，并接受1.5倍最大工作压力的静压测试，需充分保证蜗壳的安全可靠性。</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水泵应配有可替换无铅青铜磨损环，并带有销钉以便定位安装。磨损环的材料等级为</w:t>
            </w:r>
            <w:r>
              <w:rPr>
                <w:rFonts w:hint="eastAsia" w:ascii="宋体" w:hAnsi="宋体"/>
                <w:color w:val="auto"/>
                <w:sz w:val="21"/>
                <w:szCs w:val="21"/>
                <w:lang w:eastAsia="zh-CN"/>
              </w:rPr>
              <w:t>ZCuSn10Zn2</w:t>
            </w:r>
            <w:r>
              <w:rPr>
                <w:rFonts w:ascii="宋体" w:hAnsi="宋体"/>
                <w:color w:val="auto"/>
                <w:sz w:val="21"/>
                <w:szCs w:val="21"/>
                <w:lang w:eastAsia="zh-CN"/>
              </w:rPr>
              <w:t>或同等材料。</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hint="eastAsia" w:ascii="宋体" w:hAnsi="宋体"/>
                <w:color w:val="auto"/>
                <w:sz w:val="21"/>
                <w:szCs w:val="21"/>
                <w:lang w:eastAsia="zh-CN"/>
              </w:rPr>
              <w:t>★</w:t>
            </w:r>
            <w:r>
              <w:rPr>
                <w:rFonts w:ascii="宋体" w:hAnsi="宋体"/>
                <w:color w:val="auto"/>
                <w:sz w:val="21"/>
                <w:szCs w:val="21"/>
                <w:lang w:eastAsia="zh-CN"/>
              </w:rPr>
              <w:t>为平衡和消除作用在轴上的径向力，应采用补偿式双蜗壳设计，以延长轴承和轴封的使用寿命。平衡后的径向力和轴向水推力的合成结果应能确保泵在整个运行范围里安静、平稳的运行性能。</w:t>
            </w:r>
            <w:r>
              <w:rPr>
                <w:rFonts w:hint="eastAsia" w:ascii="宋体" w:hAnsi="宋体"/>
                <w:b/>
                <w:color w:val="auto"/>
                <w:sz w:val="21"/>
                <w:szCs w:val="21"/>
                <w:lang w:eastAsia="zh-CN"/>
              </w:rPr>
              <w:t>(投标人应提供设备真实照片)</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hint="eastAsia" w:ascii="宋体" w:hAnsi="宋体"/>
                <w:color w:val="auto"/>
                <w:sz w:val="21"/>
                <w:szCs w:val="21"/>
                <w:lang w:eastAsia="zh-CN"/>
              </w:rPr>
              <w:t>★</w:t>
            </w:r>
            <w:r>
              <w:rPr>
                <w:rFonts w:ascii="宋体" w:hAnsi="宋体"/>
                <w:color w:val="auto"/>
                <w:sz w:val="21"/>
                <w:szCs w:val="21"/>
                <w:lang w:eastAsia="zh-CN"/>
              </w:rPr>
              <w:t>水泵入口应带有入口隔板以保证入口流态平稳以及吸入口的流量分配，以确保水泵运行平稳无振动。应采用整体铸造的进口隔板引导流体更集中流入叶轮的吸入口，内部流体被逐渐加速，抑制涡流，确保安静，平稳的运行。不</w:t>
            </w:r>
            <w:r>
              <w:rPr>
                <w:rFonts w:hint="eastAsia" w:ascii="宋体" w:hAnsi="宋体"/>
                <w:color w:val="auto"/>
                <w:sz w:val="21"/>
                <w:szCs w:val="21"/>
                <w:lang w:eastAsia="zh-CN"/>
              </w:rPr>
              <w:t>可</w:t>
            </w:r>
            <w:r>
              <w:rPr>
                <w:rFonts w:ascii="宋体" w:hAnsi="宋体"/>
                <w:color w:val="auto"/>
                <w:sz w:val="21"/>
                <w:szCs w:val="21"/>
                <w:lang w:eastAsia="zh-CN"/>
              </w:rPr>
              <w:t>使用后焊的隔板，以确保整体流道的光滑和平稳。</w:t>
            </w:r>
            <w:r>
              <w:rPr>
                <w:rFonts w:hint="eastAsia" w:ascii="宋体" w:hAnsi="宋体"/>
                <w:b/>
                <w:color w:val="auto"/>
                <w:sz w:val="21"/>
                <w:szCs w:val="21"/>
                <w:lang w:eastAsia="zh-CN"/>
              </w:rPr>
              <w:t>(投标人应提供设备真实照片)</w:t>
            </w:r>
          </w:p>
          <w:p>
            <w:pPr>
              <w:pStyle w:val="35"/>
              <w:numPr>
                <w:ilvl w:val="0"/>
                <w:numId w:val="0"/>
              </w:numPr>
              <w:tabs>
                <w:tab w:val="clear" w:pos="840"/>
                <w:tab w:val="clear" w:pos="1146"/>
                <w:tab w:val="clear" w:pos="1200"/>
                <w:tab w:val="clear" w:pos="1740"/>
              </w:tabs>
              <w:ind w:left="480"/>
              <w:rPr>
                <w:color w:val="auto"/>
                <w:sz w:val="21"/>
                <w:szCs w:val="21"/>
              </w:rPr>
            </w:pPr>
            <w:r>
              <w:rPr>
                <w:rFonts w:hint="eastAsia"/>
                <w:color w:val="auto"/>
                <w:sz w:val="21"/>
                <w:szCs w:val="21"/>
              </w:rPr>
              <w:t>（2）</w:t>
            </w:r>
            <w:r>
              <w:rPr>
                <w:color w:val="auto"/>
                <w:sz w:val="21"/>
                <w:szCs w:val="21"/>
              </w:rPr>
              <w:t>轴承座</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hint="eastAsia" w:ascii="宋体" w:hAnsi="宋体"/>
                <w:color w:val="auto"/>
                <w:sz w:val="21"/>
                <w:szCs w:val="21"/>
                <w:lang w:eastAsia="zh-CN"/>
              </w:rPr>
              <w:t>★</w:t>
            </w:r>
            <w:r>
              <w:rPr>
                <w:rFonts w:ascii="宋体" w:hAnsi="宋体"/>
                <w:color w:val="auto"/>
                <w:sz w:val="21"/>
                <w:szCs w:val="21"/>
                <w:lang w:eastAsia="zh-CN"/>
              </w:rPr>
              <w:t>水泵的轴承座应采用可</w:t>
            </w:r>
            <w:r>
              <w:rPr>
                <w:rFonts w:hint="eastAsia" w:ascii="宋体" w:hAnsi="宋体"/>
                <w:color w:val="auto"/>
                <w:sz w:val="21"/>
                <w:szCs w:val="21"/>
                <w:lang w:eastAsia="zh-CN"/>
              </w:rPr>
              <w:t>拆卸</w:t>
            </w:r>
            <w:r>
              <w:rPr>
                <w:rFonts w:ascii="宋体" w:hAnsi="宋体"/>
                <w:color w:val="auto"/>
                <w:sz w:val="21"/>
                <w:szCs w:val="21"/>
                <w:lang w:eastAsia="zh-CN"/>
              </w:rPr>
              <w:t>式，以便在检查或更换机封</w:t>
            </w:r>
            <w:r>
              <w:rPr>
                <w:rFonts w:hint="eastAsia" w:ascii="宋体" w:hAnsi="宋体"/>
                <w:color w:val="auto"/>
                <w:sz w:val="21"/>
                <w:szCs w:val="21"/>
                <w:lang w:eastAsia="zh-CN"/>
              </w:rPr>
              <w:t>、</w:t>
            </w:r>
            <w:r>
              <w:rPr>
                <w:rFonts w:ascii="宋体" w:hAnsi="宋体"/>
                <w:color w:val="auto"/>
                <w:sz w:val="21"/>
                <w:szCs w:val="21"/>
                <w:lang w:eastAsia="zh-CN"/>
              </w:rPr>
              <w:t>轴承时，不用拆下旋转部件或上泵壳。</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轴承箱应栓接在上下泵壳，</w:t>
            </w:r>
            <w:r>
              <w:rPr>
                <w:rFonts w:hint="eastAsia" w:ascii="宋体" w:hAnsi="宋体"/>
                <w:color w:val="auto"/>
                <w:sz w:val="21"/>
                <w:szCs w:val="21"/>
                <w:lang w:eastAsia="zh-CN"/>
              </w:rPr>
              <w:t>全方位</w:t>
            </w:r>
            <w:r>
              <w:rPr>
                <w:rFonts w:ascii="宋体" w:hAnsi="宋体"/>
                <w:color w:val="auto"/>
                <w:sz w:val="21"/>
                <w:szCs w:val="21"/>
                <w:lang w:eastAsia="zh-CN"/>
              </w:rPr>
              <w:t>支撑以确保绝对的对中。</w:t>
            </w:r>
          </w:p>
          <w:p>
            <w:pPr>
              <w:pStyle w:val="35"/>
              <w:numPr>
                <w:ilvl w:val="0"/>
                <w:numId w:val="0"/>
              </w:numPr>
              <w:tabs>
                <w:tab w:val="clear" w:pos="840"/>
                <w:tab w:val="clear" w:pos="1146"/>
                <w:tab w:val="clear" w:pos="1200"/>
                <w:tab w:val="clear" w:pos="1740"/>
              </w:tabs>
              <w:ind w:left="480"/>
              <w:rPr>
                <w:color w:val="auto"/>
                <w:sz w:val="21"/>
                <w:szCs w:val="21"/>
              </w:rPr>
            </w:pPr>
            <w:r>
              <w:rPr>
                <w:rFonts w:hint="eastAsia"/>
                <w:color w:val="auto"/>
                <w:sz w:val="21"/>
                <w:szCs w:val="21"/>
              </w:rPr>
              <w:t>（3）</w:t>
            </w:r>
            <w:r>
              <w:rPr>
                <w:color w:val="auto"/>
                <w:sz w:val="21"/>
                <w:szCs w:val="21"/>
              </w:rPr>
              <w:t>水泵叶轮</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hint="eastAsia" w:ascii="宋体" w:hAnsi="宋体"/>
                <w:color w:val="auto"/>
                <w:sz w:val="21"/>
                <w:szCs w:val="21"/>
                <w:lang w:eastAsia="zh-CN"/>
              </w:rPr>
              <w:t>★</w:t>
            </w:r>
            <w:r>
              <w:rPr>
                <w:rFonts w:ascii="宋体" w:hAnsi="宋体"/>
                <w:color w:val="auto"/>
                <w:sz w:val="21"/>
                <w:szCs w:val="21"/>
                <w:lang w:eastAsia="zh-CN"/>
              </w:rPr>
              <w:t>叶轮应当是双吸口，封闭式结构，其外表面要经过机加工，内面全部磨削以保证其轮廓线和流道表面光滑，并要保证其静态和动态平衡。叶轮应用键与泵轴紧密联结，不论叶轮沿着顺时针旋转或反之，都不准有任何松动。叶轮和轴的联接方式，不得采用任何需要特殊工具或以“过盈”联接为基础的联接方式，避免增加后期的运营维护成本。</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hint="eastAsia" w:ascii="宋体" w:hAnsi="宋体"/>
                <w:color w:val="auto"/>
                <w:sz w:val="21"/>
                <w:szCs w:val="21"/>
                <w:lang w:eastAsia="zh-CN"/>
              </w:rPr>
              <w:t>★叶轮应为整体铸造，不接受组装或焊接的形式。</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叶轮的材质为不锈钢SS304材质，符合DIN标准。如果叶轮材质采用更优材质的，需提供备件叶轮的报价。</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叶轮应通过螺纹轴套锁定位置。叶轮可切割以满足特定的水力需要。</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叶轮的水力模型应经水力平衡以及动平衡，有较高的水力效率和较好的抗汽蚀性能。并且可以通过切割叶轮满足特定的水力需要。</w:t>
            </w:r>
          </w:p>
          <w:p>
            <w:pPr>
              <w:pStyle w:val="35"/>
              <w:numPr>
                <w:ilvl w:val="0"/>
                <w:numId w:val="0"/>
              </w:numPr>
              <w:tabs>
                <w:tab w:val="clear" w:pos="840"/>
                <w:tab w:val="clear" w:pos="1146"/>
                <w:tab w:val="clear" w:pos="1200"/>
                <w:tab w:val="clear" w:pos="1740"/>
              </w:tabs>
              <w:ind w:left="480"/>
              <w:rPr>
                <w:color w:val="auto"/>
                <w:sz w:val="21"/>
                <w:szCs w:val="21"/>
              </w:rPr>
            </w:pPr>
            <w:r>
              <w:rPr>
                <w:rFonts w:hint="eastAsia"/>
                <w:color w:val="auto"/>
                <w:sz w:val="21"/>
                <w:szCs w:val="21"/>
              </w:rPr>
              <w:t>（4）</w:t>
            </w:r>
            <w:r>
              <w:rPr>
                <w:color w:val="auto"/>
                <w:sz w:val="21"/>
                <w:szCs w:val="21"/>
              </w:rPr>
              <w:t>泵轴</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泵轴材质应为300系列不锈钢，或相当于AISISS420材料，经精确磨削加工能确保真正可靠地运转。</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泵轴设有可更换的轴套，以保护轴免于磨损及腐蚀。水泵轴套通过螺纹以及锁紧方式牢固安装在泵轴上。</w:t>
            </w:r>
            <w:r>
              <w:rPr>
                <w:rFonts w:hint="eastAsia" w:ascii="宋体" w:hAnsi="宋体"/>
                <w:color w:val="auto"/>
                <w:sz w:val="21"/>
                <w:szCs w:val="21"/>
                <w:lang w:eastAsia="zh-CN"/>
              </w:rPr>
              <w:t>（非标）</w:t>
            </w:r>
          </w:p>
          <w:p>
            <w:pPr>
              <w:pStyle w:val="35"/>
              <w:numPr>
                <w:ilvl w:val="0"/>
                <w:numId w:val="0"/>
              </w:numPr>
              <w:tabs>
                <w:tab w:val="clear" w:pos="840"/>
                <w:tab w:val="clear" w:pos="1146"/>
                <w:tab w:val="clear" w:pos="1200"/>
                <w:tab w:val="clear" w:pos="1740"/>
              </w:tabs>
              <w:ind w:left="480"/>
              <w:rPr>
                <w:color w:val="auto"/>
                <w:sz w:val="21"/>
                <w:szCs w:val="21"/>
              </w:rPr>
            </w:pPr>
            <w:r>
              <w:rPr>
                <w:rFonts w:hint="eastAsia"/>
                <w:color w:val="auto"/>
                <w:sz w:val="21"/>
                <w:szCs w:val="21"/>
              </w:rPr>
              <w:t>（5）</w:t>
            </w:r>
            <w:r>
              <w:rPr>
                <w:color w:val="auto"/>
                <w:sz w:val="21"/>
                <w:szCs w:val="21"/>
              </w:rPr>
              <w:t>水泵轴承</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轴承为脂润滑球轴承，固定在轴上，应拥有足够大的尺寸以用来承受轴向推力。</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轴承采用滚动轴承，滚珠应用重负荷型的防磨球珠。球型滚珠或滚柱轴承都可应用，但必须是重载轴承，使用L10寿命不得低于50,000hr。</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不论用何种型式的轴承，均用润滑脂润滑，保证轴承工作时的最高温度不超过90</w:t>
            </w:r>
            <w:r>
              <w:rPr>
                <w:rFonts w:hint="eastAsia" w:ascii="宋体" w:hAnsi="宋体"/>
                <w:color w:val="auto"/>
                <w:sz w:val="21"/>
                <w:szCs w:val="21"/>
                <w:lang w:eastAsia="zh-CN"/>
              </w:rPr>
              <w:t>℃</w:t>
            </w:r>
            <w:r>
              <w:rPr>
                <w:rFonts w:ascii="宋体" w:hAnsi="宋体"/>
                <w:color w:val="auto"/>
                <w:sz w:val="21"/>
                <w:szCs w:val="21"/>
                <w:lang w:eastAsia="zh-CN"/>
              </w:rPr>
              <w:t>。</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hint="eastAsia" w:ascii="宋体" w:hAnsi="宋体"/>
                <w:color w:val="auto"/>
                <w:sz w:val="21"/>
                <w:szCs w:val="21"/>
                <w:lang w:eastAsia="zh-CN"/>
              </w:rPr>
              <w:t>水泵</w:t>
            </w:r>
            <w:r>
              <w:rPr>
                <w:rFonts w:ascii="宋体" w:hAnsi="宋体"/>
                <w:color w:val="auto"/>
                <w:sz w:val="21"/>
                <w:szCs w:val="21"/>
                <w:lang w:eastAsia="zh-CN"/>
              </w:rPr>
              <w:t>轴承应设有测定轴承温度的温度传感器PT100以监控轴承温度。如果温度过高，传感器能实施报警并停机。</w:t>
            </w:r>
            <w:r>
              <w:rPr>
                <w:rFonts w:hint="eastAsia" w:ascii="宋体" w:hAnsi="宋体"/>
                <w:color w:val="auto"/>
                <w:sz w:val="21"/>
                <w:szCs w:val="21"/>
                <w:lang w:eastAsia="zh-CN"/>
              </w:rPr>
              <w:t>(非标)</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hint="eastAsia" w:ascii="宋体" w:hAnsi="宋体"/>
                <w:color w:val="auto"/>
                <w:sz w:val="21"/>
                <w:szCs w:val="21"/>
                <w:lang w:eastAsia="zh-CN"/>
              </w:rPr>
              <w:t>★水泵</w:t>
            </w:r>
            <w:r>
              <w:rPr>
                <w:rFonts w:ascii="宋体" w:hAnsi="宋体"/>
                <w:color w:val="auto"/>
                <w:sz w:val="21"/>
                <w:szCs w:val="21"/>
                <w:lang w:eastAsia="zh-CN"/>
              </w:rPr>
              <w:t>轴承</w:t>
            </w:r>
            <w:r>
              <w:rPr>
                <w:rFonts w:hint="eastAsia" w:ascii="宋体" w:hAnsi="宋体"/>
                <w:color w:val="auto"/>
                <w:sz w:val="21"/>
                <w:szCs w:val="21"/>
                <w:lang w:eastAsia="zh-CN"/>
              </w:rPr>
              <w:t>品牌采用国际知名品牌SKF/NTN/NSK</w:t>
            </w:r>
            <w:r>
              <w:rPr>
                <w:rFonts w:ascii="宋体" w:hAnsi="宋体"/>
                <w:color w:val="auto"/>
                <w:sz w:val="21"/>
                <w:szCs w:val="21"/>
                <w:lang w:eastAsia="zh-CN"/>
              </w:rPr>
              <w:t>,</w:t>
            </w:r>
            <w:r>
              <w:rPr>
                <w:rFonts w:hint="eastAsia" w:ascii="宋体" w:hAnsi="宋体"/>
                <w:color w:val="auto"/>
                <w:sz w:val="21"/>
                <w:szCs w:val="21"/>
                <w:lang w:eastAsia="zh-CN"/>
              </w:rPr>
              <w:t>且需提供轴承进口报告单证明。</w:t>
            </w:r>
          </w:p>
          <w:p>
            <w:pPr>
              <w:pStyle w:val="35"/>
              <w:numPr>
                <w:ilvl w:val="0"/>
                <w:numId w:val="0"/>
              </w:numPr>
              <w:tabs>
                <w:tab w:val="clear" w:pos="840"/>
                <w:tab w:val="clear" w:pos="1146"/>
                <w:tab w:val="clear" w:pos="1200"/>
                <w:tab w:val="clear" w:pos="1740"/>
              </w:tabs>
              <w:ind w:left="480"/>
              <w:rPr>
                <w:color w:val="auto"/>
                <w:sz w:val="21"/>
                <w:szCs w:val="21"/>
              </w:rPr>
            </w:pPr>
            <w:r>
              <w:rPr>
                <w:rFonts w:hint="eastAsia"/>
                <w:color w:val="auto"/>
                <w:sz w:val="21"/>
                <w:szCs w:val="21"/>
              </w:rPr>
              <w:t>（6）</w:t>
            </w:r>
            <w:r>
              <w:rPr>
                <w:color w:val="auto"/>
                <w:sz w:val="21"/>
                <w:szCs w:val="21"/>
              </w:rPr>
              <w:t>水泵轴封</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水泵的机封至少应具有陶瓷静环及石墨动环，并有</w:t>
            </w:r>
            <w:r>
              <w:rPr>
                <w:rFonts w:hint="eastAsia" w:ascii="宋体" w:hAnsi="宋体"/>
                <w:color w:val="auto"/>
                <w:sz w:val="21"/>
                <w:szCs w:val="21"/>
                <w:lang w:eastAsia="zh-CN"/>
              </w:rPr>
              <w:t>E</w:t>
            </w:r>
            <w:r>
              <w:rPr>
                <w:rFonts w:ascii="宋体" w:hAnsi="宋体"/>
                <w:color w:val="auto"/>
                <w:sz w:val="21"/>
                <w:szCs w:val="21"/>
                <w:lang w:eastAsia="zh-CN"/>
              </w:rPr>
              <w:t>PDM橡胶或其他适合的材质以保证在212F度.(100</w:t>
            </w:r>
            <w:r>
              <w:rPr>
                <w:rFonts w:hint="eastAsia" w:ascii="宋体" w:hAnsi="宋体"/>
                <w:color w:val="auto"/>
                <w:sz w:val="21"/>
                <w:szCs w:val="21"/>
                <w:lang w:eastAsia="zh-CN"/>
              </w:rPr>
              <w:t>℃</w:t>
            </w:r>
            <w:r>
              <w:rPr>
                <w:rFonts w:ascii="宋体" w:hAnsi="宋体"/>
                <w:color w:val="auto"/>
                <w:sz w:val="21"/>
                <w:szCs w:val="21"/>
                <w:lang w:eastAsia="zh-CN"/>
              </w:rPr>
              <w:t>)的连续运行。</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为检修便宜，泵的机封结构应经过特殊设计，检修替换轴封时，不需要将泵从管路拆下或打开上泵壳，就可以直接检修。</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hint="eastAsia" w:ascii="宋体" w:hAnsi="宋体"/>
                <w:color w:val="auto"/>
                <w:sz w:val="21"/>
                <w:szCs w:val="21"/>
                <w:lang w:eastAsia="zh-CN"/>
              </w:rPr>
              <w:t>★</w:t>
            </w:r>
            <w:r>
              <w:rPr>
                <w:rFonts w:ascii="宋体" w:hAnsi="宋体"/>
                <w:color w:val="auto"/>
                <w:sz w:val="21"/>
                <w:szCs w:val="21"/>
                <w:lang w:eastAsia="zh-CN"/>
              </w:rPr>
              <w:t>轴封的品牌应采用约翰.克兰或</w:t>
            </w:r>
            <w:r>
              <w:rPr>
                <w:rFonts w:hint="eastAsia" w:ascii="宋体" w:hAnsi="宋体"/>
                <w:color w:val="auto"/>
                <w:sz w:val="21"/>
                <w:szCs w:val="21"/>
                <w:lang w:eastAsia="zh-CN"/>
              </w:rPr>
              <w:t>博格曼或</w:t>
            </w:r>
            <w:r>
              <w:rPr>
                <w:rFonts w:ascii="宋体" w:hAnsi="宋体"/>
                <w:color w:val="auto"/>
                <w:sz w:val="21"/>
                <w:szCs w:val="21"/>
                <w:lang w:eastAsia="zh-CN"/>
              </w:rPr>
              <w:t>同等产品。</w:t>
            </w:r>
            <w:r>
              <w:rPr>
                <w:rFonts w:hint="eastAsia" w:ascii="宋体" w:hAnsi="宋体"/>
                <w:color w:val="auto"/>
                <w:sz w:val="21"/>
                <w:szCs w:val="21"/>
                <w:lang w:eastAsia="zh-CN"/>
              </w:rPr>
              <w:t>(非标)</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hint="eastAsia" w:ascii="宋体" w:hAnsi="宋体"/>
                <w:bCs/>
                <w:color w:val="auto"/>
                <w:sz w:val="21"/>
                <w:szCs w:val="21"/>
                <w:lang w:eastAsia="zh-CN"/>
              </w:rPr>
              <w:t>水泵采用采用盘根填料密封。填料压盖为分体/整体式结构，保证填料装拆的方便，同时为了保证轴或叶轮不受磨损，轴或叶轮的填料密封处装有轴套，轴套材质为不锈钢S</w:t>
            </w:r>
            <w:r>
              <w:rPr>
                <w:rFonts w:ascii="宋体" w:hAnsi="宋体"/>
                <w:bCs/>
                <w:color w:val="auto"/>
                <w:sz w:val="21"/>
                <w:szCs w:val="21"/>
                <w:lang w:eastAsia="zh-CN"/>
              </w:rPr>
              <w:t>S</w:t>
            </w:r>
            <w:r>
              <w:rPr>
                <w:rFonts w:hint="eastAsia" w:ascii="宋体" w:hAnsi="宋体"/>
                <w:bCs/>
                <w:color w:val="auto"/>
                <w:sz w:val="21"/>
                <w:szCs w:val="21"/>
                <w:lang w:eastAsia="zh-CN"/>
              </w:rPr>
              <w:t>3</w:t>
            </w:r>
            <w:r>
              <w:rPr>
                <w:rFonts w:ascii="宋体" w:hAnsi="宋体"/>
                <w:bCs/>
                <w:color w:val="auto"/>
                <w:sz w:val="21"/>
                <w:szCs w:val="21"/>
                <w:lang w:eastAsia="zh-CN"/>
              </w:rPr>
              <w:t>04</w:t>
            </w:r>
            <w:r>
              <w:rPr>
                <w:rFonts w:hint="eastAsia" w:ascii="宋体" w:hAnsi="宋体"/>
                <w:bCs/>
                <w:color w:val="auto"/>
                <w:sz w:val="21"/>
                <w:szCs w:val="21"/>
                <w:lang w:eastAsia="zh-CN"/>
              </w:rPr>
              <w:t>，并可更换。使用聚四氟乙烯填料，实心编织而成，具有柔韧性可调和良好的化学稳定性，良好的自润滑性和防粘粘性能，同时减少轴套的损耗。填料密封品牌应采用博格曼品牌。（非标，选用填料密封时）</w:t>
            </w:r>
          </w:p>
          <w:p>
            <w:pPr>
              <w:pStyle w:val="35"/>
              <w:numPr>
                <w:ilvl w:val="0"/>
                <w:numId w:val="0"/>
              </w:numPr>
              <w:tabs>
                <w:tab w:val="clear" w:pos="840"/>
                <w:tab w:val="clear" w:pos="1146"/>
                <w:tab w:val="clear" w:pos="1200"/>
                <w:tab w:val="clear" w:pos="1740"/>
              </w:tabs>
              <w:ind w:left="480"/>
              <w:rPr>
                <w:color w:val="auto"/>
                <w:sz w:val="21"/>
                <w:szCs w:val="21"/>
              </w:rPr>
            </w:pPr>
            <w:r>
              <w:rPr>
                <w:rFonts w:hint="eastAsia"/>
                <w:color w:val="auto"/>
                <w:sz w:val="21"/>
                <w:szCs w:val="21"/>
              </w:rPr>
              <w:t>（7）</w:t>
            </w:r>
            <w:r>
              <w:rPr>
                <w:color w:val="auto"/>
                <w:sz w:val="21"/>
                <w:szCs w:val="21"/>
              </w:rPr>
              <w:t>水泵底座,联轴器及防护罩</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水泵应安装于焊接结构钢的底座上，如说明书要求，通过重载弹性联轴器</w:t>
            </w:r>
            <w:r>
              <w:rPr>
                <w:rFonts w:hint="eastAsia" w:ascii="宋体" w:hAnsi="宋体"/>
                <w:color w:val="auto"/>
                <w:sz w:val="21"/>
                <w:szCs w:val="21"/>
                <w:lang w:eastAsia="zh-CN"/>
              </w:rPr>
              <w:t>（或膜片式带中间段联轴器）</w:t>
            </w:r>
            <w:r>
              <w:rPr>
                <w:rFonts w:ascii="宋体" w:hAnsi="宋体"/>
                <w:color w:val="auto"/>
                <w:sz w:val="21"/>
                <w:szCs w:val="21"/>
                <w:lang w:eastAsia="zh-CN"/>
              </w:rPr>
              <w:t>与卧式电机直接相连。</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水泵制造商需提供联轴器防护罩，防护罩位于水泵和电机之间，并紧固于底座上。防护罩的外壳应便于拆卸。</w:t>
            </w:r>
            <w:r>
              <w:rPr>
                <w:rFonts w:hint="eastAsia" w:ascii="宋体" w:hAnsi="宋体"/>
                <w:bCs/>
                <w:color w:val="auto"/>
                <w:sz w:val="21"/>
                <w:szCs w:val="21"/>
                <w:lang w:eastAsia="zh-CN"/>
              </w:rPr>
              <w:t>联轴器防护罩材质应为不锈钢S</w:t>
            </w:r>
            <w:r>
              <w:rPr>
                <w:rFonts w:ascii="宋体" w:hAnsi="宋体"/>
                <w:bCs/>
                <w:color w:val="auto"/>
                <w:sz w:val="21"/>
                <w:szCs w:val="21"/>
                <w:lang w:eastAsia="zh-CN"/>
              </w:rPr>
              <w:t>S304</w:t>
            </w:r>
            <w:r>
              <w:rPr>
                <w:rFonts w:hint="eastAsia" w:ascii="宋体" w:hAnsi="宋体"/>
                <w:bCs/>
                <w:color w:val="auto"/>
                <w:sz w:val="21"/>
                <w:szCs w:val="21"/>
                <w:lang w:eastAsia="zh-CN"/>
              </w:rPr>
              <w:t>。</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hint="eastAsia" w:ascii="宋体" w:hAnsi="宋体"/>
                <w:color w:val="auto"/>
                <w:sz w:val="21"/>
                <w:szCs w:val="21"/>
                <w:lang w:eastAsia="zh-CN"/>
              </w:rPr>
              <w:t>水泵制造商应保证所供设备没有外露旋转部件，符合C</w:t>
            </w:r>
            <w:r>
              <w:rPr>
                <w:rFonts w:ascii="宋体" w:hAnsi="宋体"/>
                <w:color w:val="auto"/>
                <w:sz w:val="21"/>
                <w:szCs w:val="21"/>
                <w:lang w:eastAsia="zh-CN"/>
              </w:rPr>
              <w:t>E</w:t>
            </w:r>
            <w:r>
              <w:rPr>
                <w:rFonts w:hint="eastAsia" w:ascii="宋体" w:hAnsi="宋体"/>
                <w:color w:val="auto"/>
                <w:sz w:val="21"/>
                <w:szCs w:val="21"/>
                <w:lang w:eastAsia="zh-CN"/>
              </w:rPr>
              <w:t>安全标准要求，并能出具相应证书文件或在铭牌上清晰标注C</w:t>
            </w:r>
            <w:r>
              <w:rPr>
                <w:rFonts w:ascii="宋体" w:hAnsi="宋体"/>
                <w:color w:val="auto"/>
                <w:sz w:val="21"/>
                <w:szCs w:val="21"/>
                <w:lang w:eastAsia="zh-CN"/>
              </w:rPr>
              <w:t>E</w:t>
            </w:r>
            <w:r>
              <w:rPr>
                <w:rFonts w:hint="eastAsia" w:ascii="宋体" w:hAnsi="宋体"/>
                <w:color w:val="auto"/>
                <w:sz w:val="21"/>
                <w:szCs w:val="21"/>
                <w:lang w:eastAsia="zh-CN"/>
              </w:rPr>
              <w:t>标识。（C</w:t>
            </w:r>
            <w:r>
              <w:rPr>
                <w:rFonts w:ascii="宋体" w:hAnsi="宋体"/>
                <w:color w:val="auto"/>
                <w:sz w:val="21"/>
                <w:szCs w:val="21"/>
                <w:lang w:eastAsia="zh-CN"/>
              </w:rPr>
              <w:t>E</w:t>
            </w:r>
            <w:r>
              <w:rPr>
                <w:rFonts w:hint="eastAsia" w:ascii="宋体" w:hAnsi="宋体"/>
                <w:color w:val="auto"/>
                <w:sz w:val="21"/>
                <w:szCs w:val="21"/>
                <w:lang w:eastAsia="zh-CN"/>
              </w:rPr>
              <w:t>认证范围</w:t>
            </w:r>
            <w:r>
              <w:rPr>
                <w:rFonts w:ascii="宋体" w:hAnsi="宋体"/>
                <w:color w:val="auto"/>
                <w:sz w:val="21"/>
                <w:szCs w:val="21"/>
                <w:lang w:eastAsia="zh-CN"/>
              </w:rPr>
              <w:t>LS65~LS450）</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泵底座的最低刚度应满足ANSI/HI1.3.4-1997卧式泵底座设计标准。</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泵</w:t>
            </w:r>
            <w:r>
              <w:rPr>
                <w:rFonts w:hint="eastAsia" w:ascii="宋体" w:hAnsi="宋体"/>
                <w:color w:val="auto"/>
                <w:sz w:val="21"/>
                <w:szCs w:val="21"/>
                <w:lang w:eastAsia="zh-CN"/>
              </w:rPr>
              <w:t>与电机采用整体式公共底座（采用分体式底座）</w:t>
            </w:r>
            <w:r>
              <w:rPr>
                <w:rFonts w:ascii="宋体" w:hAnsi="宋体"/>
                <w:color w:val="auto"/>
                <w:sz w:val="21"/>
                <w:szCs w:val="21"/>
                <w:lang w:eastAsia="zh-CN"/>
              </w:rPr>
              <w:t>。</w:t>
            </w:r>
          </w:p>
          <w:p>
            <w:pPr>
              <w:spacing w:before="120" w:beforeLines="50" w:after="120" w:afterLines="50" w:line="360" w:lineRule="auto"/>
              <w:contextualSpacing/>
              <w:rPr>
                <w:rFonts w:ascii="宋体" w:hAnsi="宋体"/>
                <w:color w:val="auto"/>
                <w:sz w:val="21"/>
                <w:szCs w:val="21"/>
                <w:lang w:eastAsia="zh-CN"/>
              </w:rPr>
            </w:pPr>
            <w:r>
              <w:rPr>
                <w:rFonts w:ascii="宋体" w:hAnsi="宋体"/>
                <w:color w:val="auto"/>
                <w:sz w:val="21"/>
                <w:szCs w:val="21"/>
                <w:lang w:eastAsia="zh-CN"/>
              </w:rPr>
              <w:t>1</w:t>
            </w:r>
            <w:r>
              <w:rPr>
                <w:rFonts w:hint="eastAsia" w:ascii="宋体" w:hAnsi="宋体"/>
                <w:color w:val="auto"/>
                <w:sz w:val="21"/>
                <w:szCs w:val="21"/>
                <w:lang w:eastAsia="zh-CN"/>
              </w:rPr>
              <w:t>.8</w:t>
            </w:r>
            <w:r>
              <w:rPr>
                <w:rFonts w:ascii="宋体" w:hAnsi="宋体"/>
                <w:color w:val="auto"/>
                <w:sz w:val="21"/>
                <w:szCs w:val="21"/>
                <w:lang w:eastAsia="zh-CN"/>
              </w:rPr>
              <w:t>电机的详细技术要求</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hint="eastAsia" w:ascii="宋体" w:hAnsi="宋体"/>
                <w:color w:val="auto"/>
                <w:sz w:val="21"/>
                <w:szCs w:val="21"/>
                <w:lang w:eastAsia="zh-CN"/>
              </w:rPr>
              <w:t>电机采用西门子品牌（或与水泵同一品牌,指M</w:t>
            </w:r>
            <w:r>
              <w:rPr>
                <w:rFonts w:ascii="宋体" w:hAnsi="宋体"/>
                <w:color w:val="auto"/>
                <w:sz w:val="21"/>
                <w:szCs w:val="21"/>
                <w:lang w:eastAsia="zh-CN"/>
              </w:rPr>
              <w:t>MG</w:t>
            </w:r>
            <w:r>
              <w:rPr>
                <w:rFonts w:hint="eastAsia" w:ascii="宋体" w:hAnsi="宋体"/>
                <w:color w:val="auto"/>
                <w:sz w:val="21"/>
                <w:szCs w:val="21"/>
                <w:lang w:eastAsia="zh-CN"/>
              </w:rPr>
              <w:t>系列，或与其他）。</w:t>
            </w:r>
          </w:p>
          <w:p>
            <w:pPr>
              <w:spacing w:before="120" w:beforeLines="50" w:after="120" w:afterLines="50" w:line="360" w:lineRule="auto"/>
              <w:ind w:firstLine="420" w:firstLineChars="200"/>
              <w:contextualSpacing/>
              <w:jc w:val="both"/>
              <w:rPr>
                <w:rFonts w:ascii="宋体" w:hAnsi="宋体"/>
                <w:bCs/>
                <w:color w:val="auto"/>
                <w:sz w:val="21"/>
                <w:szCs w:val="21"/>
                <w:lang w:eastAsia="zh-CN"/>
              </w:rPr>
            </w:pPr>
            <w:r>
              <w:rPr>
                <w:rFonts w:hint="eastAsia" w:ascii="宋体" w:hAnsi="宋体"/>
                <w:bCs/>
                <w:color w:val="auto"/>
                <w:sz w:val="21"/>
                <w:szCs w:val="21"/>
                <w:lang w:eastAsia="zh-CN"/>
              </w:rPr>
              <w:t>电机形式为鼠笼式感应电动机满足</w:t>
            </w:r>
            <w:r>
              <w:rPr>
                <w:rFonts w:ascii="宋体" w:hAnsi="宋体"/>
                <w:bCs/>
                <w:color w:val="auto"/>
                <w:sz w:val="21"/>
                <w:szCs w:val="21"/>
                <w:lang w:eastAsia="zh-CN"/>
              </w:rPr>
              <w:t>IEC</w:t>
            </w:r>
            <w:r>
              <w:rPr>
                <w:rFonts w:hint="eastAsia" w:ascii="宋体" w:hAnsi="宋体"/>
                <w:bCs/>
                <w:color w:val="auto"/>
                <w:sz w:val="21"/>
                <w:szCs w:val="21"/>
                <w:lang w:eastAsia="zh-CN"/>
              </w:rPr>
              <w:t>60034/IEC60072/IEC60085标准，</w:t>
            </w:r>
            <w:r>
              <w:rPr>
                <w:rFonts w:ascii="宋体" w:hAnsi="宋体"/>
                <w:bCs/>
                <w:color w:val="auto"/>
                <w:sz w:val="21"/>
                <w:szCs w:val="21"/>
                <w:lang w:eastAsia="zh-CN"/>
              </w:rPr>
              <w:t>TEFC</w:t>
            </w:r>
            <w:r>
              <w:rPr>
                <w:rFonts w:hint="eastAsia" w:ascii="宋体" w:hAnsi="宋体"/>
                <w:bCs/>
                <w:color w:val="auto"/>
                <w:sz w:val="21"/>
                <w:szCs w:val="21"/>
                <w:lang w:eastAsia="zh-CN"/>
              </w:rPr>
              <w:t>，防护等级为</w:t>
            </w:r>
            <w:r>
              <w:rPr>
                <w:rFonts w:ascii="宋体" w:hAnsi="宋体"/>
                <w:bCs/>
                <w:color w:val="auto"/>
                <w:sz w:val="21"/>
                <w:szCs w:val="21"/>
                <w:lang w:eastAsia="zh-CN"/>
              </w:rPr>
              <w:t>IP55</w:t>
            </w:r>
            <w:r>
              <w:rPr>
                <w:rFonts w:hint="eastAsia" w:ascii="宋体" w:hAnsi="宋体"/>
                <w:bCs/>
                <w:color w:val="auto"/>
                <w:sz w:val="21"/>
                <w:szCs w:val="21"/>
                <w:lang w:eastAsia="zh-CN"/>
              </w:rPr>
              <w:t>，绝缘等级为</w:t>
            </w:r>
            <w:r>
              <w:rPr>
                <w:rFonts w:ascii="宋体" w:hAnsi="宋体"/>
                <w:bCs/>
                <w:color w:val="auto"/>
                <w:sz w:val="21"/>
                <w:szCs w:val="21"/>
                <w:lang w:eastAsia="zh-CN"/>
              </w:rPr>
              <w:t>F,</w:t>
            </w:r>
            <w:r>
              <w:rPr>
                <w:rFonts w:hint="eastAsia" w:ascii="宋体" w:hAnsi="宋体"/>
                <w:bCs/>
                <w:color w:val="auto"/>
                <w:sz w:val="21"/>
                <w:szCs w:val="21"/>
                <w:lang w:eastAsia="zh-CN"/>
              </w:rPr>
              <w:t>B级温升，服务系数</w:t>
            </w:r>
            <w:r>
              <w:rPr>
                <w:rFonts w:ascii="宋体" w:hAnsi="宋体"/>
                <w:bCs/>
                <w:color w:val="auto"/>
                <w:sz w:val="21"/>
                <w:szCs w:val="21"/>
                <w:lang w:eastAsia="zh-CN"/>
              </w:rPr>
              <w:t>1.0</w:t>
            </w:r>
            <w:r>
              <w:rPr>
                <w:rFonts w:hint="eastAsia" w:ascii="宋体" w:hAnsi="宋体"/>
                <w:bCs/>
                <w:color w:val="auto"/>
                <w:sz w:val="21"/>
                <w:szCs w:val="21"/>
                <w:lang w:eastAsia="zh-CN"/>
              </w:rPr>
              <w:t>，适应</w:t>
            </w:r>
            <w:r>
              <w:rPr>
                <w:rFonts w:ascii="宋体" w:hAnsi="宋体"/>
                <w:bCs/>
                <w:color w:val="auto"/>
                <w:sz w:val="21"/>
                <w:szCs w:val="21"/>
                <w:lang w:eastAsia="zh-CN"/>
              </w:rPr>
              <w:t>S1</w:t>
            </w:r>
            <w:r>
              <w:rPr>
                <w:rFonts w:hint="eastAsia" w:ascii="宋体" w:hAnsi="宋体"/>
                <w:bCs/>
                <w:color w:val="auto"/>
                <w:sz w:val="21"/>
                <w:szCs w:val="21"/>
                <w:lang w:eastAsia="zh-CN"/>
              </w:rPr>
              <w:t>工作制。</w:t>
            </w:r>
            <w:r>
              <w:rPr>
                <w:rFonts w:ascii="宋体" w:hAnsi="宋体"/>
                <w:color w:val="auto"/>
                <w:sz w:val="21"/>
                <w:szCs w:val="21"/>
                <w:lang w:eastAsia="zh-CN"/>
              </w:rPr>
              <w:t>电机适合于</w:t>
            </w:r>
            <w:r>
              <w:rPr>
                <w:rFonts w:hint="eastAsia" w:ascii="宋体" w:hAnsi="宋体"/>
                <w:color w:val="auto"/>
                <w:sz w:val="21"/>
                <w:szCs w:val="21"/>
                <w:lang w:eastAsia="zh-CN"/>
              </w:rPr>
              <w:t>380</w:t>
            </w:r>
            <w:r>
              <w:rPr>
                <w:rFonts w:ascii="宋体" w:hAnsi="宋体"/>
                <w:color w:val="auto"/>
                <w:sz w:val="21"/>
                <w:szCs w:val="21"/>
                <w:lang w:eastAsia="zh-CN"/>
              </w:rPr>
              <w:t>V/3P/50Hz的电源。</w:t>
            </w:r>
          </w:p>
          <w:p>
            <w:pPr>
              <w:tabs>
                <w:tab w:val="left" w:pos="1418"/>
              </w:tabs>
              <w:spacing w:before="120" w:beforeLines="50" w:after="120" w:afterLines="50" w:line="360" w:lineRule="auto"/>
              <w:ind w:firstLine="420" w:firstLineChars="200"/>
              <w:contextualSpacing/>
              <w:jc w:val="both"/>
              <w:rPr>
                <w:rFonts w:ascii="宋体" w:hAnsi="宋体"/>
                <w:bCs/>
                <w:color w:val="auto"/>
                <w:sz w:val="21"/>
                <w:szCs w:val="21"/>
                <w:lang w:eastAsia="zh-CN"/>
              </w:rPr>
            </w:pPr>
            <w:r>
              <w:rPr>
                <w:rFonts w:hint="eastAsia" w:ascii="宋体" w:hAnsi="宋体"/>
                <w:bCs/>
                <w:color w:val="auto"/>
                <w:sz w:val="21"/>
                <w:szCs w:val="21"/>
                <w:lang w:eastAsia="zh-CN"/>
              </w:rPr>
              <w:t>电机允许海拔高度小于1000m，允许</w:t>
            </w:r>
            <w:bookmarkStart w:id="265" w:name="OLE_LINK13"/>
            <w:bookmarkStart w:id="266" w:name="OLE_LINK12"/>
            <w:r>
              <w:rPr>
                <w:rFonts w:hint="eastAsia" w:ascii="宋体" w:hAnsi="宋体"/>
                <w:bCs/>
                <w:color w:val="auto"/>
                <w:sz w:val="21"/>
                <w:szCs w:val="21"/>
                <w:lang w:eastAsia="zh-CN"/>
              </w:rPr>
              <w:t>环境温度为-10</w:t>
            </w:r>
            <w:bookmarkStart w:id="267" w:name="OLE_LINK8"/>
            <w:bookmarkStart w:id="268" w:name="OLE_LINK9"/>
            <w:r>
              <w:rPr>
                <w:rFonts w:hint="eastAsia" w:ascii="宋体" w:hAnsi="宋体"/>
                <w:bCs/>
                <w:color w:val="auto"/>
                <w:sz w:val="21"/>
                <w:szCs w:val="21"/>
                <w:lang w:eastAsia="zh-CN"/>
              </w:rPr>
              <w:t>°C</w:t>
            </w:r>
            <w:bookmarkEnd w:id="267"/>
            <w:bookmarkEnd w:id="268"/>
            <w:r>
              <w:rPr>
                <w:rFonts w:hint="eastAsia" w:ascii="宋体" w:hAnsi="宋体"/>
                <w:bCs/>
                <w:color w:val="auto"/>
                <w:sz w:val="21"/>
                <w:szCs w:val="21"/>
                <w:lang w:eastAsia="zh-CN"/>
              </w:rPr>
              <w:t>～40</w:t>
            </w:r>
            <w:bookmarkStart w:id="269" w:name="OLE_LINK11"/>
            <w:r>
              <w:rPr>
                <w:rFonts w:hint="eastAsia" w:ascii="宋体" w:hAnsi="宋体"/>
                <w:bCs/>
                <w:color w:val="auto"/>
                <w:sz w:val="21"/>
                <w:szCs w:val="21"/>
                <w:lang w:eastAsia="zh-CN"/>
              </w:rPr>
              <w:t>°C</w:t>
            </w:r>
            <w:bookmarkEnd w:id="269"/>
            <w:r>
              <w:rPr>
                <w:rFonts w:hint="eastAsia" w:ascii="宋体" w:hAnsi="宋体"/>
                <w:bCs/>
                <w:color w:val="auto"/>
                <w:sz w:val="21"/>
                <w:szCs w:val="21"/>
                <w:lang w:eastAsia="zh-CN"/>
              </w:rPr>
              <w:t>，</w:t>
            </w:r>
            <w:bookmarkEnd w:id="265"/>
            <w:bookmarkEnd w:id="266"/>
            <w:r>
              <w:rPr>
                <w:rFonts w:hint="eastAsia" w:ascii="宋体" w:hAnsi="宋体"/>
                <w:bCs/>
                <w:color w:val="auto"/>
                <w:sz w:val="21"/>
                <w:szCs w:val="21"/>
                <w:lang w:eastAsia="zh-CN"/>
              </w:rPr>
              <w:t>环境温度低于20°C时，允许相对湿度为100%，温度高于20°C时，允许相对湿度为95%。</w:t>
            </w:r>
          </w:p>
          <w:p>
            <w:pPr>
              <w:tabs>
                <w:tab w:val="left" w:pos="1418"/>
              </w:tabs>
              <w:spacing w:before="120" w:beforeLines="50" w:after="120" w:afterLines="50" w:line="360" w:lineRule="auto"/>
              <w:ind w:firstLine="420" w:firstLineChars="200"/>
              <w:contextualSpacing/>
              <w:jc w:val="both"/>
              <w:rPr>
                <w:rFonts w:ascii="宋体" w:hAnsi="宋体"/>
                <w:bCs/>
                <w:color w:val="auto"/>
                <w:sz w:val="21"/>
                <w:szCs w:val="21"/>
                <w:lang w:eastAsia="zh-CN"/>
              </w:rPr>
            </w:pPr>
            <w:r>
              <w:rPr>
                <w:rFonts w:hint="eastAsia" w:ascii="宋体" w:hAnsi="宋体"/>
                <w:bCs/>
                <w:color w:val="auto"/>
                <w:sz w:val="21"/>
                <w:szCs w:val="21"/>
                <w:lang w:eastAsia="zh-CN"/>
              </w:rPr>
              <w:t>在海拔低于1000m，环境温度为-10°C～40°C，电机能在电压偏差不超过±5%，频率偏差不超过±2%提供额定转矩，长期安全运行；在电压偏差不超过±10%，频率偏差范围+3%～-5%提供额定转矩，短时间运行。</w:t>
            </w:r>
          </w:p>
          <w:p>
            <w:pPr>
              <w:tabs>
                <w:tab w:val="left" w:pos="1418"/>
              </w:tabs>
              <w:spacing w:before="120" w:beforeLines="50" w:after="120" w:afterLines="50" w:line="360" w:lineRule="auto"/>
              <w:ind w:firstLine="420" w:firstLineChars="200"/>
              <w:contextualSpacing/>
              <w:jc w:val="both"/>
              <w:rPr>
                <w:rFonts w:ascii="宋体" w:hAnsi="宋体"/>
                <w:bCs/>
                <w:color w:val="auto"/>
                <w:sz w:val="21"/>
                <w:szCs w:val="21"/>
                <w:lang w:eastAsia="zh-CN"/>
              </w:rPr>
            </w:pPr>
            <w:r>
              <w:rPr>
                <w:rFonts w:hint="eastAsia" w:ascii="宋体" w:hAnsi="宋体"/>
                <w:bCs/>
                <w:color w:val="auto"/>
                <w:sz w:val="21"/>
                <w:szCs w:val="21"/>
                <w:lang w:eastAsia="zh-CN"/>
              </w:rPr>
              <w:t>在额定电压和频率下，电机能够承受1.5倍额定电流的偶然过电流，历时达2分钟。</w:t>
            </w:r>
          </w:p>
          <w:p>
            <w:pPr>
              <w:tabs>
                <w:tab w:val="left" w:pos="1418"/>
              </w:tabs>
              <w:spacing w:before="120" w:beforeLines="50" w:after="120" w:afterLines="50" w:line="360" w:lineRule="auto"/>
              <w:ind w:firstLine="420" w:firstLineChars="200"/>
              <w:contextualSpacing/>
              <w:jc w:val="both"/>
              <w:rPr>
                <w:rFonts w:ascii="宋体" w:hAnsi="宋体"/>
                <w:bCs/>
                <w:color w:val="auto"/>
                <w:sz w:val="21"/>
                <w:szCs w:val="21"/>
                <w:lang w:eastAsia="zh-CN"/>
              </w:rPr>
            </w:pPr>
            <w:r>
              <w:rPr>
                <w:rFonts w:hint="eastAsia" w:ascii="宋体" w:hAnsi="宋体"/>
                <w:bCs/>
                <w:color w:val="auto"/>
                <w:sz w:val="21"/>
                <w:szCs w:val="21"/>
                <w:lang w:eastAsia="zh-CN"/>
              </w:rPr>
              <w:t>在额定频率下，电机能忍受至少2倍的额定电压的瞬时脉冲电压。</w:t>
            </w:r>
          </w:p>
          <w:p>
            <w:pPr>
              <w:spacing w:before="120" w:beforeLines="50" w:after="120" w:afterLines="50" w:line="360" w:lineRule="auto"/>
              <w:ind w:firstLine="420" w:firstLineChars="200"/>
              <w:contextualSpacing/>
              <w:jc w:val="both"/>
              <w:rPr>
                <w:rFonts w:ascii="宋体" w:hAnsi="宋体"/>
                <w:color w:val="auto"/>
                <w:sz w:val="21"/>
                <w:szCs w:val="21"/>
                <w:lang w:eastAsia="zh-CN"/>
              </w:rPr>
            </w:pPr>
            <w:r>
              <w:rPr>
                <w:rFonts w:hint="eastAsia" w:ascii="宋体" w:hAnsi="宋体"/>
                <w:color w:val="auto"/>
                <w:sz w:val="21"/>
                <w:szCs w:val="21"/>
                <w:lang w:eastAsia="zh-CN"/>
              </w:rPr>
              <w:t>电机为工频使用，低压电机</w:t>
            </w:r>
            <w:r>
              <w:rPr>
                <w:rFonts w:hint="eastAsia" w:ascii="宋体" w:hAnsi="宋体"/>
                <w:color w:val="auto"/>
                <w:sz w:val="21"/>
                <w:szCs w:val="21"/>
                <w:lang w:val="en-GB" w:eastAsia="zh-CN"/>
              </w:rPr>
              <w:t>能效等级：符合G</w:t>
            </w:r>
            <w:r>
              <w:rPr>
                <w:rFonts w:ascii="宋体" w:hAnsi="宋体"/>
                <w:color w:val="auto"/>
                <w:sz w:val="21"/>
                <w:szCs w:val="21"/>
                <w:lang w:val="en-GB" w:eastAsia="zh-CN"/>
              </w:rPr>
              <w:t>B</w:t>
            </w:r>
            <w:r>
              <w:rPr>
                <w:rFonts w:hint="eastAsia" w:ascii="宋体" w:hAnsi="宋体"/>
                <w:color w:val="auto"/>
                <w:sz w:val="21"/>
                <w:szCs w:val="21"/>
                <w:lang w:val="en-GB" w:eastAsia="zh-CN"/>
              </w:rPr>
              <w:t>18613-</w:t>
            </w:r>
            <w:r>
              <w:rPr>
                <w:rFonts w:ascii="宋体" w:hAnsi="宋体"/>
                <w:color w:val="auto"/>
                <w:sz w:val="21"/>
                <w:szCs w:val="21"/>
                <w:lang w:val="en-GB" w:eastAsia="zh-CN"/>
              </w:rPr>
              <w:t>2020</w:t>
            </w:r>
            <w:r>
              <w:rPr>
                <w:rFonts w:hint="eastAsia" w:ascii="宋体" w:hAnsi="宋体"/>
                <w:color w:val="auto"/>
                <w:sz w:val="21"/>
                <w:szCs w:val="21"/>
                <w:lang w:val="en-GB" w:eastAsia="zh-CN"/>
              </w:rPr>
              <w:t>,</w:t>
            </w:r>
            <w:r>
              <w:rPr>
                <w:rFonts w:ascii="宋体" w:hAnsi="宋体"/>
                <w:color w:val="auto"/>
                <w:sz w:val="21"/>
                <w:szCs w:val="21"/>
                <w:lang w:val="en-GB" w:eastAsia="zh-CN"/>
              </w:rPr>
              <w:t>3</w:t>
            </w:r>
            <w:r>
              <w:rPr>
                <w:rFonts w:hint="eastAsia" w:ascii="宋体" w:hAnsi="宋体"/>
                <w:color w:val="auto"/>
                <w:sz w:val="21"/>
                <w:szCs w:val="21"/>
                <w:lang w:val="en-GB" w:eastAsia="zh-CN"/>
              </w:rPr>
              <w:t>级能效</w:t>
            </w:r>
            <w:r>
              <w:rPr>
                <w:rFonts w:hint="eastAsia" w:ascii="宋体" w:hAnsi="宋体"/>
                <w:color w:val="auto"/>
                <w:sz w:val="21"/>
                <w:szCs w:val="21"/>
                <w:lang w:eastAsia="zh-CN"/>
              </w:rPr>
              <w:t>。</w:t>
            </w:r>
          </w:p>
          <w:p>
            <w:pPr>
              <w:spacing w:before="120" w:beforeLines="50" w:after="120" w:afterLines="50" w:line="360" w:lineRule="auto"/>
              <w:ind w:firstLine="420" w:firstLineChars="200"/>
              <w:contextualSpacing/>
              <w:jc w:val="both"/>
              <w:rPr>
                <w:rFonts w:ascii="宋体" w:hAnsi="宋体"/>
                <w:color w:val="auto"/>
                <w:sz w:val="21"/>
                <w:szCs w:val="21"/>
                <w:lang w:eastAsia="zh-CN"/>
              </w:rPr>
            </w:pPr>
            <w:r>
              <w:rPr>
                <w:rFonts w:hint="eastAsia" w:ascii="宋体" w:hAnsi="宋体"/>
                <w:color w:val="auto"/>
                <w:sz w:val="21"/>
                <w:szCs w:val="21"/>
                <w:lang w:eastAsia="zh-CN"/>
              </w:rPr>
              <w:t>电机为变频使用，</w:t>
            </w:r>
            <w:r>
              <w:rPr>
                <w:rFonts w:ascii="宋体" w:hAnsi="宋体"/>
                <w:color w:val="auto"/>
                <w:sz w:val="21"/>
                <w:szCs w:val="21"/>
                <w:lang w:eastAsia="zh-CN"/>
              </w:rPr>
              <w:t>变频电机频率范围为25～50HZ</w:t>
            </w:r>
            <w:r>
              <w:rPr>
                <w:rFonts w:hint="eastAsia" w:ascii="宋体" w:hAnsi="宋体"/>
                <w:color w:val="auto"/>
                <w:sz w:val="21"/>
                <w:szCs w:val="21"/>
                <w:lang w:eastAsia="zh-CN"/>
              </w:rPr>
              <w:t>。</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电机采用IC411</w:t>
            </w:r>
            <w:r>
              <w:rPr>
                <w:rFonts w:hint="eastAsia" w:ascii="宋体" w:hAnsi="宋体"/>
                <w:color w:val="auto"/>
                <w:sz w:val="21"/>
                <w:szCs w:val="21"/>
                <w:lang w:eastAsia="zh-CN"/>
              </w:rPr>
              <w:t>/</w:t>
            </w:r>
            <w:r>
              <w:rPr>
                <w:rFonts w:ascii="宋体" w:hAnsi="宋体"/>
                <w:color w:val="auto"/>
                <w:sz w:val="21"/>
                <w:szCs w:val="21"/>
                <w:lang w:eastAsia="zh-CN"/>
              </w:rPr>
              <w:t>IC416的冷却方式。</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hint="eastAsia" w:ascii="宋体" w:hAnsi="宋体"/>
                <w:color w:val="auto"/>
                <w:sz w:val="21"/>
                <w:szCs w:val="21"/>
                <w:lang w:eastAsia="zh-CN"/>
              </w:rPr>
              <w:t>电机绕组应是成型绝缘铜线绕制，定子绕组应具有良好的防电晕性能，绕组和叠片铁芯之间有较好的热传导性，定子整体需经真空压力浸渍无溶剂漆工艺处理。</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hint="eastAsia" w:ascii="宋体" w:hAnsi="宋体"/>
                <w:bCs/>
                <w:color w:val="auto"/>
                <w:sz w:val="21"/>
                <w:szCs w:val="21"/>
                <w:lang w:eastAsia="zh-CN"/>
              </w:rPr>
              <w:t>电机应含热保护PTC热敏电阻。热敏电阻较低的热电容以及其在绕组间优良的热传导特性，可以精确监控绕组温度。当电机温度过高时，在</w:t>
            </w:r>
            <w:r>
              <w:rPr>
                <w:rFonts w:ascii="宋体" w:hAnsi="宋体"/>
                <w:bCs/>
                <w:color w:val="auto"/>
                <w:sz w:val="21"/>
                <w:szCs w:val="21"/>
                <w:lang w:eastAsia="zh-CN"/>
              </w:rPr>
              <w:t>1</w:t>
            </w:r>
            <w:r>
              <w:rPr>
                <w:rFonts w:hint="eastAsia" w:ascii="宋体" w:hAnsi="宋体"/>
                <w:bCs/>
                <w:color w:val="auto"/>
                <w:sz w:val="21"/>
                <w:szCs w:val="21"/>
                <w:lang w:eastAsia="zh-CN"/>
              </w:rPr>
              <w:t>5</w:t>
            </w:r>
            <w:r>
              <w:rPr>
                <w:rFonts w:ascii="宋体" w:hAnsi="宋体"/>
                <w:bCs/>
                <w:color w:val="auto"/>
                <w:sz w:val="21"/>
                <w:szCs w:val="21"/>
                <w:lang w:eastAsia="zh-CN"/>
              </w:rPr>
              <w:t>5</w:t>
            </w:r>
            <w:r>
              <w:rPr>
                <w:rFonts w:hint="eastAsia" w:ascii="宋体" w:hAnsi="宋体"/>
                <w:bCs/>
                <w:color w:val="auto"/>
                <w:sz w:val="21"/>
                <w:szCs w:val="21"/>
                <w:lang w:eastAsia="zh-CN"/>
              </w:rPr>
              <w:t>°</w:t>
            </w:r>
            <w:r>
              <w:rPr>
                <w:rFonts w:ascii="宋体" w:hAnsi="宋体"/>
                <w:bCs/>
                <w:color w:val="auto"/>
                <w:sz w:val="21"/>
                <w:szCs w:val="21"/>
                <w:lang w:eastAsia="zh-CN"/>
              </w:rPr>
              <w:t>C</w:t>
            </w:r>
            <w:r>
              <w:rPr>
                <w:rFonts w:hint="eastAsia" w:ascii="宋体" w:hAnsi="宋体"/>
                <w:bCs/>
                <w:color w:val="auto"/>
                <w:sz w:val="21"/>
                <w:szCs w:val="21"/>
                <w:lang w:eastAsia="zh-CN"/>
              </w:rPr>
              <w:t>时动作断开，以防线圈过载、过热，保护电机。</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电机应含热保护含6个PT100热敏电阻</w:t>
            </w:r>
            <w:r>
              <w:rPr>
                <w:rFonts w:hint="eastAsia" w:ascii="宋体" w:hAnsi="宋体"/>
                <w:color w:val="auto"/>
                <w:sz w:val="21"/>
                <w:szCs w:val="21"/>
                <w:lang w:eastAsia="zh-CN"/>
              </w:rPr>
              <w:t>（o</w:t>
            </w:r>
            <w:r>
              <w:rPr>
                <w:rFonts w:ascii="宋体" w:hAnsi="宋体"/>
                <w:color w:val="auto"/>
                <w:sz w:val="21"/>
                <w:szCs w:val="21"/>
                <w:lang w:eastAsia="zh-CN"/>
              </w:rPr>
              <w:t>r</w:t>
            </w:r>
            <w:r>
              <w:rPr>
                <w:rFonts w:hint="eastAsia" w:ascii="宋体" w:hAnsi="宋体"/>
                <w:color w:val="auto"/>
                <w:sz w:val="21"/>
                <w:szCs w:val="21"/>
                <w:lang w:eastAsia="zh-CN"/>
              </w:rPr>
              <w:t>3</w:t>
            </w:r>
            <w:r>
              <w:rPr>
                <w:rFonts w:ascii="宋体" w:hAnsi="宋体"/>
                <w:color w:val="auto"/>
                <w:sz w:val="21"/>
                <w:szCs w:val="21"/>
                <w:lang w:eastAsia="zh-CN"/>
              </w:rPr>
              <w:t>个PT100热敏电阻</w:t>
            </w:r>
            <w:r>
              <w:rPr>
                <w:rFonts w:hint="eastAsia" w:ascii="宋体" w:hAnsi="宋体"/>
                <w:color w:val="auto"/>
                <w:sz w:val="21"/>
                <w:szCs w:val="21"/>
                <w:lang w:eastAsia="zh-CN"/>
              </w:rPr>
              <w:t>）</w:t>
            </w:r>
            <w:r>
              <w:rPr>
                <w:rFonts w:ascii="宋体" w:hAnsi="宋体"/>
                <w:color w:val="auto"/>
                <w:sz w:val="21"/>
                <w:szCs w:val="21"/>
                <w:lang w:eastAsia="zh-CN"/>
              </w:rPr>
              <w:t>，串联在绕组中。持续输出绕组问题，实现实时监控温度的变化，提前预警不正常的温升。且能在电机温度过高时，在155°C时动作断开，以防线圈过载、过热，保护电机。</w:t>
            </w:r>
            <w:r>
              <w:rPr>
                <w:rFonts w:hint="eastAsia" w:ascii="宋体" w:hAnsi="宋体"/>
                <w:color w:val="auto"/>
                <w:sz w:val="21"/>
                <w:szCs w:val="21"/>
                <w:lang w:eastAsia="zh-CN"/>
              </w:rPr>
              <w:t>（非标）</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hint="eastAsia" w:ascii="宋体" w:hAnsi="宋体"/>
                <w:color w:val="auto"/>
                <w:sz w:val="21"/>
                <w:szCs w:val="21"/>
                <w:lang w:eastAsia="zh-CN"/>
              </w:rPr>
              <w:t>电机采用密封的或可再润滑的深沟球轴承或角接触球轴承，在额定工况下，轴承的使用寿命至少能达到40，000小时。电机</w:t>
            </w:r>
            <w:r>
              <w:rPr>
                <w:rFonts w:ascii="宋体" w:hAnsi="宋体"/>
                <w:color w:val="auto"/>
                <w:sz w:val="21"/>
                <w:szCs w:val="21"/>
                <w:lang w:eastAsia="zh-CN"/>
              </w:rPr>
              <w:t>轴承</w:t>
            </w:r>
            <w:r>
              <w:rPr>
                <w:rFonts w:hint="eastAsia" w:ascii="宋体" w:hAnsi="宋体"/>
                <w:color w:val="auto"/>
                <w:sz w:val="21"/>
                <w:szCs w:val="21"/>
                <w:lang w:eastAsia="zh-CN"/>
              </w:rPr>
              <w:t>品牌采用国际知名品牌SKF。（西门子，M</w:t>
            </w:r>
            <w:r>
              <w:rPr>
                <w:rFonts w:ascii="宋体" w:hAnsi="宋体"/>
                <w:color w:val="auto"/>
                <w:sz w:val="21"/>
                <w:szCs w:val="21"/>
                <w:lang w:eastAsia="zh-CN"/>
              </w:rPr>
              <w:t>MG</w:t>
            </w:r>
            <w:r>
              <w:rPr>
                <w:rFonts w:hint="eastAsia" w:ascii="宋体" w:hAnsi="宋体"/>
                <w:color w:val="auto"/>
                <w:sz w:val="21"/>
                <w:szCs w:val="21"/>
                <w:lang w:eastAsia="zh-CN"/>
              </w:rPr>
              <w:t>标配）</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电机两端轴承应分别配置一个PT100热敏电阻保护，能实时监控轴承温升，以防轴承受力过大，过载发热。在故障工况，可以提前预警，避免轴承损坏。</w:t>
            </w:r>
            <w:r>
              <w:rPr>
                <w:rFonts w:hint="eastAsia" w:ascii="宋体" w:hAnsi="宋体"/>
                <w:color w:val="auto"/>
                <w:sz w:val="21"/>
                <w:szCs w:val="21"/>
                <w:lang w:eastAsia="zh-CN"/>
              </w:rPr>
              <w:t>（非标）</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电动机应配置了防潮加热器，防止因环境昼夜温差大或湿度大，电机绕组有可能出现的“凝露”现象。</w:t>
            </w:r>
            <w:r>
              <w:rPr>
                <w:rFonts w:hint="eastAsia" w:ascii="宋体" w:hAnsi="宋体"/>
                <w:color w:val="auto"/>
                <w:sz w:val="21"/>
                <w:szCs w:val="21"/>
                <w:lang w:eastAsia="zh-CN"/>
              </w:rPr>
              <w:t>（非标）</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变频</w:t>
            </w:r>
            <w:r>
              <w:rPr>
                <w:rFonts w:hint="eastAsia" w:ascii="宋体" w:hAnsi="宋体"/>
                <w:color w:val="auto"/>
                <w:sz w:val="21"/>
                <w:szCs w:val="21"/>
                <w:lang w:eastAsia="zh-CN"/>
              </w:rPr>
              <w:t>使用的</w:t>
            </w:r>
            <w:r>
              <w:rPr>
                <w:rFonts w:ascii="宋体" w:hAnsi="宋体"/>
                <w:color w:val="auto"/>
                <w:sz w:val="21"/>
                <w:szCs w:val="21"/>
                <w:lang w:eastAsia="zh-CN"/>
              </w:rPr>
              <w:t>电机为避免杂散电流对电机轴承的损坏，电机轴承采用电绝缘工艺，避免感应电流对轴承的电蚀作用，防止电流对润滑脂和滚动体、滚道造成的损坏，提高轴承的使用寿命。</w:t>
            </w:r>
            <w:r>
              <w:rPr>
                <w:rFonts w:hint="eastAsia" w:ascii="宋体" w:hAnsi="宋体"/>
                <w:color w:val="auto"/>
                <w:sz w:val="21"/>
                <w:szCs w:val="21"/>
                <w:lang w:eastAsia="zh-CN"/>
              </w:rPr>
              <w:t>(非标)</w:t>
            </w:r>
          </w:p>
          <w:p>
            <w:pPr>
              <w:spacing w:before="120" w:beforeLines="50" w:after="120" w:afterLines="50" w:line="360" w:lineRule="auto"/>
              <w:ind w:firstLine="420" w:firstLineChars="200"/>
              <w:contextualSpacing/>
              <w:rPr>
                <w:rFonts w:ascii="宋体" w:hAnsi="宋体"/>
                <w:color w:val="auto"/>
                <w:sz w:val="21"/>
                <w:szCs w:val="21"/>
              </w:rPr>
            </w:pPr>
            <w:r>
              <w:rPr>
                <w:rFonts w:ascii="宋体" w:hAnsi="宋体"/>
                <w:color w:val="auto"/>
                <w:sz w:val="21"/>
                <w:szCs w:val="21"/>
                <w:lang w:eastAsia="zh-CN"/>
              </w:rPr>
              <w:t>电机在工厂组装完毕后，进行下列各项检查和试验：机器检查；冷态下绝缘电阻及绕组直流电阻测量；空载电流和损耗测定；超速测试；耐压试验；噪音试验；振动试验；轴电压测量；匝间耐电压测试。</w:t>
            </w:r>
            <w:r>
              <w:rPr>
                <w:rFonts w:ascii="宋体" w:hAnsi="宋体"/>
                <w:color w:val="auto"/>
                <w:sz w:val="21"/>
                <w:szCs w:val="21"/>
              </w:rPr>
              <w:t>全部合格后，才运输交付客户。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8902" w:type="dxa"/>
            <w:gridSpan w:val="6"/>
            <w:shd w:val="clear" w:color="auto" w:fill="auto"/>
            <w:vAlign w:val="center"/>
          </w:tcPr>
          <w:p>
            <w:pPr>
              <w:spacing w:before="120" w:beforeLines="50" w:after="120" w:afterLines="50" w:line="360" w:lineRule="auto"/>
              <w:ind w:firstLine="422" w:firstLineChars="200"/>
              <w:contextualSpacing/>
              <w:rPr>
                <w:rFonts w:ascii="宋体" w:hAnsi="宋体"/>
                <w:b/>
                <w:bCs/>
                <w:color w:val="auto"/>
                <w:sz w:val="21"/>
                <w:szCs w:val="21"/>
                <w:lang w:eastAsia="zh-CN"/>
              </w:rPr>
            </w:pPr>
            <w:r>
              <w:rPr>
                <w:rFonts w:hint="eastAsia" w:ascii="宋体" w:hAnsi="宋体"/>
                <w:b/>
                <w:bCs/>
                <w:color w:val="auto"/>
                <w:sz w:val="21"/>
                <w:szCs w:val="21"/>
                <w:lang w:eastAsia="zh-CN"/>
              </w:rPr>
              <w:t>水泵安装总述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8902" w:type="dxa"/>
            <w:gridSpan w:val="6"/>
            <w:shd w:val="clear" w:color="auto" w:fill="auto"/>
            <w:vAlign w:val="center"/>
          </w:tcPr>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水泵和电机要在制造工厂做好预对中。设备供应商应派有经验的技术人员指导安装，并在水泵启动前对泵重新对中。对中的公差需满足水力协会的标准，或者根据制造商的推荐值。通过激光准直工具或刻度量表来实施。</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现场对中要在做好水泵底座灌浆、连接管路以及系统和泵内充满泵送的液体之后。</w:t>
            </w:r>
          </w:p>
          <w:p>
            <w:pPr>
              <w:spacing w:before="120" w:beforeLines="50" w:after="120" w:afterLines="50" w:line="360" w:lineRule="auto"/>
              <w:contextualSpacing/>
              <w:rPr>
                <w:rFonts w:ascii="宋体" w:hAnsi="宋体"/>
                <w:color w:val="auto"/>
                <w:sz w:val="21"/>
                <w:szCs w:val="21"/>
                <w:lang w:eastAsia="zh-CN"/>
              </w:rPr>
            </w:pPr>
            <w:r>
              <w:rPr>
                <w:rFonts w:ascii="宋体" w:hAnsi="宋体"/>
                <w:color w:val="auto"/>
                <w:sz w:val="21"/>
                <w:szCs w:val="21"/>
                <w:lang w:eastAsia="zh-CN"/>
              </w:rPr>
              <w:t>若水泵安装在惯性基础上，则要通过调整惯性台座下的弹簧减震器来保证其水平度。</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承包商要保证水泵基础/惯性台座的正确尺寸；以及泵组的着地面应保证水平度，泵组要正确安装，通过地脚螺栓固定。</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连接水泵法兰的管路与水泵法兰必处在同一水平线上，且不承受张力及压力。</w:t>
            </w:r>
          </w:p>
          <w:p>
            <w:pPr>
              <w:spacing w:before="120" w:beforeLines="50" w:after="120" w:afterLines="50" w:line="360" w:lineRule="auto"/>
              <w:ind w:firstLine="420" w:firstLineChars="200"/>
              <w:contextualSpacing/>
              <w:rPr>
                <w:rFonts w:ascii="宋体" w:hAnsi="宋体"/>
                <w:color w:val="auto"/>
                <w:sz w:val="21"/>
                <w:szCs w:val="21"/>
                <w:lang w:eastAsia="zh-CN"/>
              </w:rPr>
            </w:pPr>
            <w:r>
              <w:rPr>
                <w:rFonts w:ascii="宋体" w:hAnsi="宋体"/>
                <w:color w:val="auto"/>
                <w:sz w:val="21"/>
                <w:szCs w:val="21"/>
                <w:lang w:eastAsia="zh-CN"/>
              </w:rPr>
              <w:t>承包商要保证提供的水泵满足设备明细表上要求的设计流量，扬程以及效率</w:t>
            </w:r>
            <w:r>
              <w:rPr>
                <w:rFonts w:hint="eastAsia" w:ascii="宋体" w:hAnsi="宋体"/>
                <w:color w:val="auto"/>
                <w:sz w:val="21"/>
                <w:szCs w:val="21"/>
                <w:lang w:eastAsia="zh-CN"/>
              </w:rPr>
              <w:t>，符合I</w:t>
            </w:r>
            <w:r>
              <w:rPr>
                <w:rFonts w:ascii="宋体" w:hAnsi="宋体"/>
                <w:color w:val="auto"/>
                <w:sz w:val="21"/>
                <w:szCs w:val="21"/>
                <w:lang w:eastAsia="zh-CN"/>
              </w:rPr>
              <w:t>SO9906-2B</w:t>
            </w:r>
            <w:r>
              <w:rPr>
                <w:rFonts w:hint="eastAsia" w:ascii="宋体" w:hAnsi="宋体"/>
                <w:color w:val="auto"/>
                <w:sz w:val="21"/>
                <w:szCs w:val="21"/>
                <w:lang w:eastAsia="zh-CN"/>
              </w:rPr>
              <w:t>测试标准</w:t>
            </w:r>
            <w:r>
              <w:rPr>
                <w:rFonts w:ascii="宋体" w:hAnsi="宋体"/>
                <w:color w:val="auto"/>
                <w:sz w:val="21"/>
                <w:szCs w:val="21"/>
                <w:lang w:eastAsia="zh-CN"/>
              </w:rPr>
              <w:t>。</w:t>
            </w:r>
          </w:p>
        </w:tc>
      </w:tr>
    </w:tbl>
    <w:p>
      <w:pPr>
        <w:pStyle w:val="30"/>
        <w:spacing w:before="120" w:after="120"/>
        <w:rPr>
          <w:color w:val="auto"/>
        </w:rPr>
      </w:pPr>
      <w:bookmarkStart w:id="270" w:name="_Toc117181376"/>
      <w:r>
        <w:rPr>
          <w:color w:val="auto"/>
        </w:rPr>
        <w:t>鼓风机房</w:t>
      </w:r>
      <w:bookmarkEnd w:id="270"/>
    </w:p>
    <w:tbl>
      <w:tblPr>
        <w:tblStyle w:val="23"/>
        <w:tblW w:w="8853"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552"/>
        <w:gridCol w:w="3543"/>
        <w:gridCol w:w="993"/>
        <w:gridCol w:w="1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04" w:type="dxa"/>
            <w:shd w:val="clear" w:color="auto" w:fill="auto"/>
            <w:vAlign w:val="center"/>
          </w:tcPr>
          <w:p>
            <w:pPr>
              <w:widowControl/>
              <w:spacing w:line="360" w:lineRule="auto"/>
              <w:jc w:val="center"/>
              <w:rPr>
                <w:rFonts w:ascii="宋体" w:hAnsi="宋体" w:eastAsia="宋体" w:cs="宋体"/>
                <w:b/>
                <w:color w:val="auto"/>
                <w:sz w:val="21"/>
                <w:szCs w:val="21"/>
                <w:lang w:eastAsia="zh-CN"/>
              </w:rPr>
            </w:pPr>
            <w:r>
              <w:rPr>
                <w:rFonts w:hint="eastAsia" w:ascii="宋体" w:hAnsi="宋体" w:eastAsia="宋体" w:cs="宋体"/>
                <w:b/>
                <w:color w:val="auto"/>
                <w:sz w:val="21"/>
                <w:szCs w:val="21"/>
                <w:lang w:eastAsia="zh-CN"/>
              </w:rPr>
              <w:t>序号</w:t>
            </w:r>
          </w:p>
        </w:tc>
        <w:tc>
          <w:tcPr>
            <w:tcW w:w="2552" w:type="dxa"/>
            <w:shd w:val="clear" w:color="auto" w:fill="auto"/>
            <w:vAlign w:val="center"/>
          </w:tcPr>
          <w:p>
            <w:pPr>
              <w:widowControl/>
              <w:spacing w:line="360" w:lineRule="auto"/>
              <w:jc w:val="center"/>
              <w:rPr>
                <w:rFonts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名称</w:t>
            </w:r>
          </w:p>
        </w:tc>
        <w:tc>
          <w:tcPr>
            <w:tcW w:w="3543" w:type="dxa"/>
            <w:shd w:val="clear" w:color="auto" w:fill="auto"/>
            <w:vAlign w:val="center"/>
          </w:tcPr>
          <w:p>
            <w:pPr>
              <w:widowControl/>
              <w:spacing w:line="360" w:lineRule="auto"/>
              <w:jc w:val="center"/>
              <w:rPr>
                <w:rFonts w:ascii="宋体" w:hAnsi="宋体" w:eastAsia="宋体" w:cs="宋体"/>
                <w:b/>
                <w:color w:val="auto"/>
                <w:sz w:val="21"/>
                <w:szCs w:val="21"/>
                <w:lang w:eastAsia="zh-CN"/>
              </w:rPr>
            </w:pPr>
            <w:r>
              <w:rPr>
                <w:rFonts w:hint="eastAsia" w:ascii="宋体" w:hAnsi="宋体" w:eastAsia="宋体" w:cs="宋体"/>
                <w:b/>
                <w:color w:val="auto"/>
                <w:sz w:val="21"/>
                <w:szCs w:val="21"/>
                <w:lang w:eastAsia="zh-CN"/>
              </w:rPr>
              <w:t>规格</w:t>
            </w:r>
          </w:p>
        </w:tc>
        <w:tc>
          <w:tcPr>
            <w:tcW w:w="993" w:type="dxa"/>
            <w:shd w:val="clear" w:color="auto" w:fill="auto"/>
            <w:vAlign w:val="center"/>
          </w:tcPr>
          <w:p>
            <w:pPr>
              <w:widowControl/>
              <w:spacing w:line="360" w:lineRule="auto"/>
              <w:jc w:val="center"/>
              <w:rPr>
                <w:rFonts w:ascii="宋体" w:hAnsi="宋体" w:eastAsia="宋体" w:cs="宋体"/>
                <w:b/>
                <w:color w:val="auto"/>
                <w:sz w:val="21"/>
                <w:szCs w:val="21"/>
                <w:lang w:eastAsia="zh-CN"/>
              </w:rPr>
            </w:pPr>
            <w:r>
              <w:rPr>
                <w:rFonts w:hint="eastAsia" w:ascii="宋体" w:hAnsi="宋体" w:eastAsia="宋体" w:cs="宋体"/>
                <w:b/>
                <w:color w:val="auto"/>
                <w:sz w:val="21"/>
                <w:szCs w:val="21"/>
                <w:lang w:eastAsia="zh-CN"/>
              </w:rPr>
              <w:t>单位</w:t>
            </w:r>
          </w:p>
        </w:tc>
        <w:tc>
          <w:tcPr>
            <w:tcW w:w="1061" w:type="dxa"/>
            <w:vAlign w:val="center"/>
          </w:tcPr>
          <w:p>
            <w:pPr>
              <w:widowControl/>
              <w:spacing w:line="360" w:lineRule="auto"/>
              <w:jc w:val="center"/>
              <w:rPr>
                <w:rFonts w:ascii="宋体" w:hAnsi="宋体" w:eastAsia="宋体" w:cs="宋体"/>
                <w:b/>
                <w:color w:val="auto"/>
                <w:sz w:val="21"/>
                <w:szCs w:val="21"/>
                <w:lang w:eastAsia="zh-CN"/>
              </w:rPr>
            </w:pPr>
            <w:r>
              <w:rPr>
                <w:rFonts w:hint="eastAsia" w:ascii="宋体" w:hAnsi="宋体" w:eastAsia="宋体" w:cs="宋体"/>
                <w:b/>
                <w:color w:val="auto"/>
                <w:sz w:val="21"/>
                <w:szCs w:val="21"/>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04"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p>
        </w:tc>
        <w:tc>
          <w:tcPr>
            <w:tcW w:w="2552"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磁悬浮鼓风机</w:t>
            </w:r>
          </w:p>
        </w:tc>
        <w:tc>
          <w:tcPr>
            <w:tcW w:w="3543"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Q=104m³/min，P=93kPa，N=240kW</w:t>
            </w:r>
          </w:p>
        </w:tc>
        <w:tc>
          <w:tcPr>
            <w:tcW w:w="993"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台</w:t>
            </w:r>
          </w:p>
        </w:tc>
        <w:tc>
          <w:tcPr>
            <w:tcW w:w="1061" w:type="dxa"/>
            <w:vMerge w:val="restart"/>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鼓风机房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04"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p>
        </w:tc>
        <w:tc>
          <w:tcPr>
            <w:tcW w:w="2552"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空气卷帘过滤器</w:t>
            </w:r>
          </w:p>
        </w:tc>
        <w:tc>
          <w:tcPr>
            <w:tcW w:w="3543"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B×L=2000×2500mm，过滤效率80-90%，大于5μm，N=2kW</w:t>
            </w:r>
          </w:p>
        </w:tc>
        <w:tc>
          <w:tcPr>
            <w:tcW w:w="993" w:type="dxa"/>
            <w:shd w:val="clear" w:color="auto" w:fill="auto"/>
            <w:vAlign w:val="center"/>
          </w:tcPr>
          <w:p>
            <w:pPr>
              <w:widowControl/>
              <w:spacing w:line="360" w:lineRule="auto"/>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台</w:t>
            </w:r>
          </w:p>
        </w:tc>
        <w:tc>
          <w:tcPr>
            <w:tcW w:w="1061" w:type="dxa"/>
            <w:vMerge w:val="continue"/>
            <w:vAlign w:val="center"/>
          </w:tcPr>
          <w:p>
            <w:pPr>
              <w:widowControl/>
              <w:spacing w:line="360" w:lineRule="auto"/>
              <w:jc w:val="center"/>
              <w:rPr>
                <w:rFonts w:ascii="宋体" w:hAnsi="宋体" w:eastAsia="宋体" w:cs="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widowControl/>
              <w:spacing w:line="360" w:lineRule="auto"/>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供货范围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adjustRightInd w:val="0"/>
              <w:snapToGrid w:val="0"/>
              <w:spacing w:line="360" w:lineRule="auto"/>
              <w:ind w:firstLine="411" w:firstLineChars="196"/>
              <w:rPr>
                <w:rFonts w:ascii="宋体" w:hAnsi="宋体"/>
                <w:color w:val="auto"/>
                <w:sz w:val="21"/>
                <w:szCs w:val="21"/>
                <w:lang w:eastAsia="zh-CN"/>
              </w:rPr>
            </w:pPr>
            <w:r>
              <w:rPr>
                <w:rFonts w:hint="eastAsia" w:ascii="宋体" w:hAnsi="宋体"/>
                <w:color w:val="auto"/>
                <w:sz w:val="21"/>
                <w:szCs w:val="21"/>
                <w:lang w:eastAsia="zh-CN"/>
              </w:rPr>
              <w:t>所</w:t>
            </w:r>
            <w:r>
              <w:rPr>
                <w:rFonts w:ascii="宋体" w:hAnsi="宋体"/>
                <w:color w:val="auto"/>
                <w:sz w:val="21"/>
                <w:szCs w:val="21"/>
                <w:lang w:eastAsia="zh-CN"/>
              </w:rPr>
              <w:t>提供的</w:t>
            </w:r>
            <w:r>
              <w:rPr>
                <w:rFonts w:hint="eastAsia" w:ascii="宋体" w:hAnsi="宋体"/>
                <w:color w:val="auto"/>
                <w:sz w:val="21"/>
                <w:szCs w:val="21"/>
                <w:lang w:eastAsia="zh-CN"/>
              </w:rPr>
              <w:t>磁悬浮离心</w:t>
            </w:r>
            <w:r>
              <w:rPr>
                <w:rFonts w:ascii="宋体" w:hAnsi="宋体"/>
                <w:color w:val="auto"/>
                <w:sz w:val="21"/>
                <w:szCs w:val="21"/>
                <w:lang w:eastAsia="zh-CN"/>
              </w:rPr>
              <w:t>鼓风机应为系统的整套装置，包括鼓风机主机、</w:t>
            </w:r>
            <w:r>
              <w:rPr>
                <w:rFonts w:hint="eastAsia" w:ascii="宋体" w:hAnsi="宋体"/>
                <w:color w:val="auto"/>
                <w:sz w:val="21"/>
                <w:szCs w:val="21"/>
                <w:lang w:eastAsia="zh-CN"/>
              </w:rPr>
              <w:t>主驱动电机、磁悬浮轴承、</w:t>
            </w:r>
            <w:r>
              <w:rPr>
                <w:rFonts w:ascii="宋体" w:hAnsi="宋体"/>
                <w:color w:val="auto"/>
                <w:sz w:val="21"/>
                <w:szCs w:val="21"/>
                <w:lang w:eastAsia="zh-CN"/>
              </w:rPr>
              <w:t>配套的进口过滤器</w:t>
            </w:r>
            <w:r>
              <w:rPr>
                <w:rFonts w:hint="eastAsia" w:ascii="宋体" w:hAnsi="宋体"/>
                <w:color w:val="auto"/>
                <w:sz w:val="21"/>
                <w:szCs w:val="21"/>
                <w:lang w:eastAsia="zh-CN"/>
              </w:rPr>
              <w:t>/</w:t>
            </w:r>
            <w:r>
              <w:rPr>
                <w:rFonts w:ascii="宋体" w:hAnsi="宋体"/>
                <w:color w:val="auto"/>
                <w:sz w:val="21"/>
                <w:szCs w:val="21"/>
                <w:lang w:eastAsia="zh-CN"/>
              </w:rPr>
              <w:t>消</w:t>
            </w:r>
            <w:r>
              <w:rPr>
                <w:rFonts w:hint="eastAsia" w:ascii="宋体" w:hAnsi="宋体"/>
                <w:color w:val="auto"/>
                <w:sz w:val="21"/>
                <w:szCs w:val="21"/>
                <w:lang w:eastAsia="zh-CN"/>
              </w:rPr>
              <w:t>音</w:t>
            </w:r>
            <w:r>
              <w:rPr>
                <w:rFonts w:ascii="宋体" w:hAnsi="宋体"/>
                <w:color w:val="auto"/>
                <w:sz w:val="21"/>
                <w:szCs w:val="21"/>
                <w:lang w:eastAsia="zh-CN"/>
              </w:rPr>
              <w:t>器、电动放空阀</w:t>
            </w:r>
            <w:r>
              <w:rPr>
                <w:rFonts w:hint="eastAsia" w:ascii="宋体" w:hAnsi="宋体"/>
                <w:color w:val="auto"/>
                <w:sz w:val="21"/>
                <w:szCs w:val="21"/>
                <w:lang w:eastAsia="zh-CN"/>
              </w:rPr>
              <w:t>、放空阀</w:t>
            </w:r>
            <w:r>
              <w:rPr>
                <w:rFonts w:ascii="宋体" w:hAnsi="宋体"/>
                <w:color w:val="auto"/>
                <w:sz w:val="21"/>
                <w:szCs w:val="21"/>
                <w:lang w:eastAsia="zh-CN"/>
              </w:rPr>
              <w:t>消音器</w:t>
            </w:r>
            <w:r>
              <w:rPr>
                <w:rFonts w:hint="eastAsia" w:ascii="宋体" w:hAnsi="宋体"/>
                <w:color w:val="auto"/>
                <w:sz w:val="21"/>
                <w:szCs w:val="21"/>
                <w:lang w:eastAsia="zh-CN"/>
              </w:rPr>
              <w:t>、出口锥形扩压管、</w:t>
            </w:r>
            <w:r>
              <w:rPr>
                <w:rFonts w:ascii="宋体" w:hAnsi="宋体"/>
                <w:color w:val="auto"/>
                <w:sz w:val="21"/>
                <w:szCs w:val="21"/>
                <w:lang w:eastAsia="zh-CN"/>
              </w:rPr>
              <w:t>出口止回阀</w:t>
            </w:r>
            <w:r>
              <w:rPr>
                <w:rFonts w:hint="eastAsia" w:ascii="宋体" w:hAnsi="宋体"/>
                <w:color w:val="auto"/>
                <w:sz w:val="21"/>
                <w:szCs w:val="21"/>
                <w:lang w:eastAsia="zh-CN"/>
              </w:rPr>
              <w:t>、</w:t>
            </w:r>
            <w:r>
              <w:rPr>
                <w:rFonts w:ascii="宋体" w:hAnsi="宋体"/>
                <w:color w:val="auto"/>
                <w:sz w:val="21"/>
                <w:szCs w:val="21"/>
                <w:lang w:eastAsia="zh-CN"/>
              </w:rPr>
              <w:t>进口柔性接头</w:t>
            </w:r>
            <w:r>
              <w:rPr>
                <w:rFonts w:hint="eastAsia" w:ascii="宋体" w:hAnsi="宋体"/>
                <w:color w:val="auto"/>
                <w:sz w:val="21"/>
                <w:szCs w:val="21"/>
                <w:lang w:eastAsia="zh-CN"/>
              </w:rPr>
              <w:t>、安装运行所需的附件。</w:t>
            </w:r>
          </w:p>
          <w:p>
            <w:pPr>
              <w:widowControl/>
              <w:overflowPunct w:val="0"/>
              <w:autoSpaceDE w:val="0"/>
              <w:autoSpaceDN w:val="0"/>
              <w:adjustRightInd w:val="0"/>
              <w:spacing w:line="360" w:lineRule="auto"/>
              <w:ind w:firstLine="422" w:firstLineChars="200"/>
              <w:textAlignment w:val="baseline"/>
              <w:rPr>
                <w:rFonts w:ascii="宋体" w:hAnsi="宋体"/>
                <w:b/>
                <w:color w:val="auto"/>
                <w:sz w:val="21"/>
                <w:szCs w:val="21"/>
                <w:lang w:eastAsia="zh-CN"/>
              </w:rPr>
            </w:pPr>
            <w:r>
              <w:rPr>
                <w:rFonts w:hint="eastAsia" w:ascii="宋体" w:hAnsi="宋体"/>
                <w:b/>
                <w:color w:val="auto"/>
                <w:sz w:val="21"/>
                <w:szCs w:val="21"/>
                <w:lang w:eastAsia="zh-CN"/>
              </w:rPr>
              <w:t>★</w:t>
            </w:r>
            <w:r>
              <w:rPr>
                <w:rFonts w:ascii="宋体" w:hAnsi="宋体"/>
                <w:b/>
                <w:color w:val="auto"/>
                <w:sz w:val="21"/>
                <w:szCs w:val="21"/>
                <w:lang w:eastAsia="zh-CN"/>
              </w:rPr>
              <w:t>制造商提供的</w:t>
            </w:r>
            <w:r>
              <w:rPr>
                <w:rFonts w:hint="eastAsia" w:ascii="宋体" w:hAnsi="宋体"/>
                <w:b/>
                <w:color w:val="auto"/>
                <w:sz w:val="21"/>
                <w:szCs w:val="21"/>
                <w:lang w:eastAsia="zh-CN"/>
              </w:rPr>
              <w:t>磁悬浮离心鼓风机</w:t>
            </w:r>
            <w:r>
              <w:rPr>
                <w:rFonts w:ascii="宋体" w:hAnsi="宋体"/>
                <w:b/>
                <w:color w:val="auto"/>
                <w:sz w:val="21"/>
                <w:szCs w:val="21"/>
                <w:lang w:eastAsia="zh-CN"/>
              </w:rPr>
              <w:t>应采用技术先进的国际</w:t>
            </w:r>
            <w:r>
              <w:rPr>
                <w:rFonts w:hint="eastAsia" w:ascii="宋体" w:hAnsi="宋体"/>
                <w:b/>
                <w:color w:val="auto"/>
                <w:sz w:val="21"/>
                <w:szCs w:val="21"/>
                <w:lang w:eastAsia="zh-CN"/>
              </w:rPr>
              <w:t>知</w:t>
            </w:r>
            <w:r>
              <w:rPr>
                <w:rFonts w:ascii="宋体" w:hAnsi="宋体"/>
                <w:b/>
                <w:color w:val="auto"/>
                <w:sz w:val="21"/>
                <w:szCs w:val="21"/>
                <w:lang w:eastAsia="zh-CN"/>
              </w:rPr>
              <w:t>名品牌，至少20年</w:t>
            </w:r>
            <w:r>
              <w:rPr>
                <w:rFonts w:hint="eastAsia" w:ascii="宋体" w:hAnsi="宋体"/>
                <w:b/>
                <w:color w:val="auto"/>
                <w:sz w:val="21"/>
                <w:szCs w:val="21"/>
                <w:lang w:eastAsia="zh-CN"/>
              </w:rPr>
              <w:t>鼓风机</w:t>
            </w:r>
            <w:r>
              <w:rPr>
                <w:rFonts w:ascii="宋体" w:hAnsi="宋体"/>
                <w:b/>
                <w:color w:val="auto"/>
                <w:sz w:val="21"/>
                <w:szCs w:val="21"/>
                <w:lang w:eastAsia="zh-CN"/>
              </w:rPr>
              <w:t>产品的制造生产经验</w:t>
            </w:r>
            <w:r>
              <w:rPr>
                <w:rFonts w:hint="eastAsia" w:ascii="宋体" w:hAnsi="宋体"/>
                <w:b/>
                <w:color w:val="auto"/>
                <w:sz w:val="21"/>
                <w:szCs w:val="21"/>
                <w:lang w:eastAsia="zh-CN"/>
              </w:rPr>
              <w:t>（以提供营业执照为准）</w:t>
            </w:r>
            <w:r>
              <w:rPr>
                <w:rFonts w:ascii="宋体" w:hAnsi="宋体"/>
                <w:b/>
                <w:color w:val="auto"/>
                <w:sz w:val="21"/>
                <w:szCs w:val="21"/>
                <w:lang w:eastAsia="zh-CN"/>
              </w:rPr>
              <w:t>。</w:t>
            </w:r>
          </w:p>
          <w:p>
            <w:pPr>
              <w:adjustRightInd w:val="0"/>
              <w:snapToGrid w:val="0"/>
              <w:spacing w:line="360" w:lineRule="auto"/>
              <w:ind w:firstLine="422" w:firstLineChars="200"/>
              <w:rPr>
                <w:rFonts w:ascii="宋体" w:hAnsi="宋体"/>
                <w:b/>
                <w:color w:val="auto"/>
                <w:sz w:val="21"/>
                <w:szCs w:val="21"/>
                <w:lang w:eastAsia="zh-CN"/>
              </w:rPr>
            </w:pPr>
            <w:r>
              <w:rPr>
                <w:rFonts w:ascii="宋体" w:hAnsi="宋体"/>
                <w:b/>
                <w:color w:val="auto"/>
                <w:sz w:val="21"/>
                <w:szCs w:val="21"/>
              </w:rPr>
              <w:sym w:font="Wingdings" w:char="F0AB"/>
            </w:r>
            <w:r>
              <w:rPr>
                <w:rFonts w:hint="eastAsia" w:ascii="宋体" w:hAnsi="宋体"/>
                <w:b/>
                <w:color w:val="auto"/>
                <w:sz w:val="21"/>
                <w:szCs w:val="21"/>
                <w:lang w:eastAsia="zh-CN"/>
              </w:rPr>
              <w:t>磁悬浮离心鼓风机应采用导叶与变频器相结合的联合调节方式，应保证在恒定压力工艺运行需求下，风量调节范围4</w:t>
            </w:r>
            <w:r>
              <w:rPr>
                <w:rFonts w:ascii="宋体" w:hAnsi="宋体"/>
                <w:b/>
                <w:color w:val="auto"/>
                <w:sz w:val="21"/>
                <w:szCs w:val="21"/>
                <w:lang w:eastAsia="zh-CN"/>
              </w:rPr>
              <w:t>5%~100%</w:t>
            </w:r>
            <w:r>
              <w:rPr>
                <w:rFonts w:hint="eastAsia" w:ascii="宋体" w:hAnsi="宋体"/>
                <w:b/>
                <w:color w:val="auto"/>
                <w:sz w:val="21"/>
                <w:szCs w:val="21"/>
                <w:lang w:eastAsia="zh-CN"/>
              </w:rPr>
              <w:t>，需提供承诺书及选型证明文件。</w:t>
            </w:r>
          </w:p>
          <w:p>
            <w:pPr>
              <w:adjustRightInd w:val="0"/>
              <w:snapToGrid w:val="0"/>
              <w:spacing w:line="360" w:lineRule="auto"/>
              <w:ind w:firstLine="422" w:firstLineChars="200"/>
              <w:rPr>
                <w:rFonts w:ascii="宋体" w:hAnsi="宋体"/>
                <w:b/>
                <w:color w:val="auto"/>
                <w:sz w:val="21"/>
                <w:szCs w:val="21"/>
                <w:lang w:eastAsia="zh-CN"/>
              </w:rPr>
            </w:pPr>
            <w:r>
              <w:rPr>
                <w:rFonts w:hint="eastAsia" w:ascii="宋体" w:hAnsi="宋体"/>
                <w:b/>
                <w:color w:val="auto"/>
                <w:sz w:val="21"/>
                <w:szCs w:val="21"/>
                <w:lang w:eastAsia="zh-CN"/>
              </w:rPr>
              <w:t>★鼓风机发生事故停电时，电机和变频驱动系统应即刻自动转化为发电机模式，在惯性作用下，动能转换形成的电能可以储存，并可以维持整机系统安全控制，为磁悬浮轴承及控制系统提供电源，转子保持飘浮状态直到设计转速的</w:t>
            </w:r>
            <w:r>
              <w:rPr>
                <w:rFonts w:ascii="宋体" w:hAnsi="宋体"/>
                <w:b/>
                <w:color w:val="auto"/>
                <w:sz w:val="21"/>
                <w:szCs w:val="21"/>
                <w:lang w:eastAsia="zh-CN"/>
              </w:rPr>
              <w:t>15%</w:t>
            </w:r>
            <w:r>
              <w:rPr>
                <w:rFonts w:hint="eastAsia" w:ascii="宋体" w:hAnsi="宋体"/>
                <w:b/>
                <w:color w:val="auto"/>
                <w:sz w:val="21"/>
                <w:szCs w:val="21"/>
                <w:lang w:eastAsia="zh-CN"/>
              </w:rPr>
              <w:t>左右。之后转子将安全的落在备用的滚动轴承上直到停止旋转，无接受单独配置U</w:t>
            </w:r>
            <w:r>
              <w:rPr>
                <w:rFonts w:ascii="宋体" w:hAnsi="宋体"/>
                <w:b/>
                <w:color w:val="auto"/>
                <w:sz w:val="21"/>
                <w:szCs w:val="21"/>
                <w:lang w:eastAsia="zh-CN"/>
              </w:rPr>
              <w:t>PS</w:t>
            </w:r>
            <w:r>
              <w:rPr>
                <w:rFonts w:hint="eastAsia" w:ascii="宋体" w:hAnsi="宋体"/>
                <w:b/>
                <w:color w:val="auto"/>
                <w:sz w:val="21"/>
                <w:szCs w:val="21"/>
                <w:lang w:eastAsia="zh-CN"/>
              </w:rPr>
              <w:t>电源，需要制造商提供技术说明及承诺书（盖制造商章）。</w:t>
            </w:r>
          </w:p>
          <w:p>
            <w:pPr>
              <w:adjustRightInd w:val="0"/>
              <w:snapToGrid w:val="0"/>
              <w:spacing w:line="360" w:lineRule="auto"/>
              <w:ind w:firstLine="422" w:firstLineChars="200"/>
              <w:rPr>
                <w:rFonts w:ascii="宋体" w:hAnsi="宋体"/>
                <w:b/>
                <w:color w:val="auto"/>
                <w:sz w:val="21"/>
                <w:szCs w:val="21"/>
                <w:lang w:eastAsia="zh-CN"/>
              </w:rPr>
            </w:pPr>
            <w:r>
              <w:rPr>
                <w:rFonts w:ascii="宋体" w:hAnsi="宋体"/>
                <w:b/>
                <w:color w:val="auto"/>
                <w:sz w:val="21"/>
                <w:szCs w:val="21"/>
              </w:rPr>
              <w:sym w:font="Wingdings" w:char="F0AB"/>
            </w:r>
            <w:r>
              <w:rPr>
                <w:rFonts w:hint="eastAsia" w:ascii="宋体" w:hAnsi="宋体"/>
                <w:b/>
                <w:color w:val="auto"/>
                <w:sz w:val="21"/>
                <w:szCs w:val="21"/>
                <w:lang w:eastAsia="zh-CN"/>
              </w:rPr>
              <w:t>每一台磁悬浮风机就地控制柜都具备主控功能，无需单独配主控柜。需提供技术说明文件及承诺书（盖制造商章）。</w:t>
            </w:r>
          </w:p>
          <w:p>
            <w:pPr>
              <w:adjustRightInd w:val="0"/>
              <w:snapToGrid w:val="0"/>
              <w:spacing w:line="360" w:lineRule="auto"/>
              <w:ind w:firstLine="411" w:firstLineChars="196"/>
              <w:rPr>
                <w:rFonts w:ascii="宋体" w:hAnsi="宋体"/>
                <w:color w:val="auto"/>
                <w:sz w:val="21"/>
                <w:szCs w:val="21"/>
                <w:lang w:eastAsia="zh-CN"/>
              </w:rPr>
            </w:pPr>
            <w:r>
              <w:rPr>
                <w:rFonts w:hint="eastAsia" w:ascii="宋体" w:hAnsi="宋体"/>
                <w:color w:val="auto"/>
                <w:sz w:val="21"/>
                <w:szCs w:val="21"/>
                <w:lang w:eastAsia="zh-CN"/>
              </w:rPr>
              <w:t>每台磁悬浮离心鼓风机包含如下清单</w:t>
            </w:r>
            <w:r>
              <w:rPr>
                <w:rFonts w:ascii="宋体" w:hAnsi="宋体"/>
                <w:color w:val="auto"/>
                <w:sz w:val="21"/>
                <w:szCs w:val="21"/>
                <w:lang w:eastAsia="zh-CN"/>
              </w:rPr>
              <w:t>：</w:t>
            </w:r>
          </w:p>
          <w:tbl>
            <w:tblPr>
              <w:tblStyle w:val="23"/>
              <w:tblW w:w="83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5"/>
              <w:gridCol w:w="3128"/>
              <w:gridCol w:w="2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2415" w:type="dxa"/>
                  <w:vAlign w:val="center"/>
                </w:tcPr>
                <w:p>
                  <w:pPr>
                    <w:adjustRightInd w:val="0"/>
                    <w:snapToGrid w:val="0"/>
                    <w:spacing w:line="360" w:lineRule="auto"/>
                    <w:jc w:val="center"/>
                    <w:rPr>
                      <w:rFonts w:ascii="宋体" w:hAnsi="宋体"/>
                      <w:color w:val="auto"/>
                      <w:sz w:val="21"/>
                      <w:szCs w:val="21"/>
                    </w:rPr>
                  </w:pPr>
                  <w:r>
                    <w:rPr>
                      <w:rFonts w:ascii="宋体" w:hAnsi="宋体"/>
                      <w:color w:val="auto"/>
                      <w:sz w:val="21"/>
                      <w:szCs w:val="21"/>
                    </w:rPr>
                    <w:t>项目</w:t>
                  </w:r>
                </w:p>
              </w:tc>
              <w:tc>
                <w:tcPr>
                  <w:tcW w:w="3128" w:type="dxa"/>
                  <w:vAlign w:val="center"/>
                </w:tcPr>
                <w:p>
                  <w:pPr>
                    <w:adjustRightInd w:val="0"/>
                    <w:snapToGrid w:val="0"/>
                    <w:spacing w:line="360" w:lineRule="auto"/>
                    <w:jc w:val="center"/>
                    <w:rPr>
                      <w:rFonts w:ascii="宋体" w:hAnsi="宋体"/>
                      <w:color w:val="auto"/>
                      <w:sz w:val="21"/>
                      <w:szCs w:val="21"/>
                    </w:rPr>
                  </w:pPr>
                  <w:r>
                    <w:rPr>
                      <w:rFonts w:ascii="宋体" w:hAnsi="宋体"/>
                      <w:color w:val="auto"/>
                      <w:sz w:val="21"/>
                      <w:szCs w:val="21"/>
                    </w:rPr>
                    <w:t>数量</w:t>
                  </w:r>
                </w:p>
              </w:tc>
              <w:tc>
                <w:tcPr>
                  <w:tcW w:w="2772" w:type="dxa"/>
                  <w:vAlign w:val="center"/>
                </w:tcPr>
                <w:p>
                  <w:pPr>
                    <w:adjustRightInd w:val="0"/>
                    <w:snapToGrid w:val="0"/>
                    <w:spacing w:line="360" w:lineRule="auto"/>
                    <w:jc w:val="center"/>
                    <w:rPr>
                      <w:rFonts w:ascii="宋体" w:hAnsi="宋体"/>
                      <w:color w:val="auto"/>
                      <w:sz w:val="21"/>
                      <w:szCs w:val="21"/>
                    </w:rPr>
                  </w:pPr>
                  <w:r>
                    <w:rPr>
                      <w:rFonts w:ascii="宋体" w:hAnsi="宋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15" w:type="dxa"/>
                  <w:vAlign w:val="center"/>
                </w:tcPr>
                <w:p>
                  <w:pPr>
                    <w:adjustRightInd w:val="0"/>
                    <w:snapToGrid w:val="0"/>
                    <w:spacing w:line="360" w:lineRule="auto"/>
                    <w:rPr>
                      <w:rFonts w:ascii="宋体" w:hAnsi="宋体"/>
                      <w:color w:val="auto"/>
                      <w:sz w:val="21"/>
                      <w:szCs w:val="21"/>
                    </w:rPr>
                  </w:pPr>
                  <w:r>
                    <w:rPr>
                      <w:rFonts w:hint="eastAsia" w:ascii="宋体" w:hAnsi="宋体"/>
                      <w:color w:val="auto"/>
                      <w:sz w:val="21"/>
                      <w:szCs w:val="21"/>
                    </w:rPr>
                    <w:t>磁悬浮离心鼓风机</w:t>
                  </w:r>
                </w:p>
              </w:tc>
              <w:tc>
                <w:tcPr>
                  <w:tcW w:w="3128" w:type="dxa"/>
                  <w:vAlign w:val="center"/>
                </w:tcPr>
                <w:p>
                  <w:pPr>
                    <w:adjustRightInd w:val="0"/>
                    <w:snapToGrid w:val="0"/>
                    <w:spacing w:line="360" w:lineRule="auto"/>
                    <w:rPr>
                      <w:rFonts w:ascii="宋体" w:hAnsi="宋体"/>
                      <w:color w:val="auto"/>
                      <w:sz w:val="21"/>
                      <w:szCs w:val="21"/>
                      <w:lang w:eastAsia="zh-CN"/>
                    </w:rPr>
                  </w:pPr>
                  <w:r>
                    <w:rPr>
                      <w:rFonts w:ascii="宋体" w:hAnsi="宋体"/>
                      <w:color w:val="auto"/>
                      <w:sz w:val="21"/>
                      <w:szCs w:val="21"/>
                      <w:lang w:eastAsia="zh-CN"/>
                    </w:rPr>
                    <w:t>电驱动鼓风机成套机组</w:t>
                  </w:r>
                  <w:r>
                    <w:rPr>
                      <w:rFonts w:hint="eastAsia" w:ascii="宋体" w:hAnsi="宋体"/>
                      <w:color w:val="auto"/>
                      <w:sz w:val="21"/>
                      <w:szCs w:val="21"/>
                      <w:lang w:eastAsia="zh-CN"/>
                    </w:rPr>
                    <w:t>1</w:t>
                  </w:r>
                  <w:r>
                    <w:rPr>
                      <w:rFonts w:ascii="宋体" w:hAnsi="宋体"/>
                      <w:color w:val="auto"/>
                      <w:sz w:val="21"/>
                      <w:szCs w:val="21"/>
                      <w:lang w:eastAsia="zh-CN"/>
                    </w:rPr>
                    <w:t>套</w:t>
                  </w:r>
                </w:p>
              </w:tc>
              <w:tc>
                <w:tcPr>
                  <w:tcW w:w="2772" w:type="dxa"/>
                  <w:vAlign w:val="center"/>
                </w:tcPr>
                <w:p>
                  <w:pPr>
                    <w:adjustRightInd w:val="0"/>
                    <w:snapToGrid w:val="0"/>
                    <w:spacing w:line="360" w:lineRule="auto"/>
                    <w:rPr>
                      <w:rFonts w:ascii="宋体" w:hAnsi="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15" w:type="dxa"/>
                  <w:vAlign w:val="center"/>
                </w:tcPr>
                <w:p>
                  <w:pPr>
                    <w:adjustRightInd w:val="0"/>
                    <w:snapToGrid w:val="0"/>
                    <w:spacing w:line="360" w:lineRule="auto"/>
                    <w:rPr>
                      <w:rFonts w:ascii="宋体" w:hAnsi="宋体"/>
                      <w:color w:val="auto"/>
                      <w:sz w:val="21"/>
                      <w:szCs w:val="21"/>
                    </w:rPr>
                  </w:pPr>
                  <w:r>
                    <w:rPr>
                      <w:rFonts w:hint="eastAsia" w:ascii="宋体" w:hAnsi="宋体"/>
                      <w:color w:val="auto"/>
                      <w:sz w:val="21"/>
                      <w:szCs w:val="21"/>
                    </w:rPr>
                    <w:t>主</w:t>
                  </w:r>
                  <w:r>
                    <w:rPr>
                      <w:rFonts w:ascii="宋体" w:hAnsi="宋体"/>
                      <w:color w:val="auto"/>
                      <w:sz w:val="21"/>
                      <w:szCs w:val="21"/>
                    </w:rPr>
                    <w:t>驱动电动机</w:t>
                  </w:r>
                </w:p>
              </w:tc>
              <w:tc>
                <w:tcPr>
                  <w:tcW w:w="3128"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每机组</w:t>
                  </w:r>
                  <w:r>
                    <w:rPr>
                      <w:rFonts w:hint="eastAsia" w:ascii="宋体" w:hAnsi="宋体"/>
                      <w:color w:val="auto"/>
                      <w:sz w:val="21"/>
                      <w:szCs w:val="21"/>
                    </w:rPr>
                    <w:t>1</w:t>
                  </w:r>
                  <w:r>
                    <w:rPr>
                      <w:rFonts w:ascii="宋体" w:hAnsi="宋体"/>
                      <w:color w:val="auto"/>
                      <w:sz w:val="21"/>
                      <w:szCs w:val="21"/>
                    </w:rPr>
                    <w:t>台</w:t>
                  </w:r>
                </w:p>
              </w:tc>
              <w:tc>
                <w:tcPr>
                  <w:tcW w:w="2772" w:type="dxa"/>
                  <w:vAlign w:val="center"/>
                </w:tcPr>
                <w:p>
                  <w:pPr>
                    <w:adjustRightInd w:val="0"/>
                    <w:snapToGrid w:val="0"/>
                    <w:spacing w:line="360" w:lineRule="auto"/>
                    <w:rPr>
                      <w:rFonts w:ascii="宋体" w:hAnsi="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15" w:type="dxa"/>
                  <w:vAlign w:val="center"/>
                </w:tcPr>
                <w:p>
                  <w:pPr>
                    <w:adjustRightInd w:val="0"/>
                    <w:snapToGrid w:val="0"/>
                    <w:spacing w:line="360" w:lineRule="auto"/>
                    <w:rPr>
                      <w:rFonts w:ascii="宋体" w:hAnsi="宋体"/>
                      <w:color w:val="auto"/>
                      <w:sz w:val="21"/>
                      <w:szCs w:val="21"/>
                    </w:rPr>
                  </w:pPr>
                  <w:r>
                    <w:rPr>
                      <w:rFonts w:hint="eastAsia" w:ascii="宋体" w:hAnsi="宋体"/>
                      <w:color w:val="auto"/>
                      <w:sz w:val="21"/>
                      <w:szCs w:val="21"/>
                    </w:rPr>
                    <w:t>磁悬浮轴承</w:t>
                  </w:r>
                </w:p>
              </w:tc>
              <w:tc>
                <w:tcPr>
                  <w:tcW w:w="3128"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每机组</w:t>
                  </w:r>
                  <w:r>
                    <w:rPr>
                      <w:rFonts w:hint="eastAsia" w:ascii="宋体" w:hAnsi="宋体"/>
                      <w:color w:val="auto"/>
                      <w:sz w:val="21"/>
                      <w:szCs w:val="21"/>
                    </w:rPr>
                    <w:t>1</w:t>
                  </w:r>
                  <w:r>
                    <w:rPr>
                      <w:rFonts w:ascii="宋体" w:hAnsi="宋体"/>
                      <w:color w:val="auto"/>
                      <w:sz w:val="21"/>
                      <w:szCs w:val="21"/>
                    </w:rPr>
                    <w:t>台</w:t>
                  </w:r>
                </w:p>
              </w:tc>
              <w:tc>
                <w:tcPr>
                  <w:tcW w:w="2772" w:type="dxa"/>
                  <w:vAlign w:val="center"/>
                </w:tcPr>
                <w:p>
                  <w:pPr>
                    <w:adjustRightInd w:val="0"/>
                    <w:snapToGrid w:val="0"/>
                    <w:spacing w:line="360" w:lineRule="auto"/>
                    <w:rPr>
                      <w:rFonts w:ascii="宋体" w:hAnsi="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15"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减振垫</w:t>
                  </w:r>
                </w:p>
              </w:tc>
              <w:tc>
                <w:tcPr>
                  <w:tcW w:w="3128"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每机组</w:t>
                  </w:r>
                  <w:r>
                    <w:rPr>
                      <w:rFonts w:hint="eastAsia" w:ascii="宋体" w:hAnsi="宋体"/>
                      <w:color w:val="auto"/>
                      <w:sz w:val="21"/>
                      <w:szCs w:val="21"/>
                    </w:rPr>
                    <w:t>1</w:t>
                  </w:r>
                  <w:r>
                    <w:rPr>
                      <w:rFonts w:ascii="宋体" w:hAnsi="宋体"/>
                      <w:color w:val="auto"/>
                      <w:sz w:val="21"/>
                      <w:szCs w:val="21"/>
                    </w:rPr>
                    <w:t>套</w:t>
                  </w:r>
                </w:p>
              </w:tc>
              <w:tc>
                <w:tcPr>
                  <w:tcW w:w="2772"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安装在底座下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415"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就地控制</w:t>
                  </w:r>
                  <w:r>
                    <w:rPr>
                      <w:rFonts w:hint="eastAsia" w:ascii="宋体" w:hAnsi="宋体"/>
                      <w:color w:val="auto"/>
                      <w:sz w:val="21"/>
                      <w:szCs w:val="21"/>
                    </w:rPr>
                    <w:t>柜</w:t>
                  </w:r>
                </w:p>
              </w:tc>
              <w:tc>
                <w:tcPr>
                  <w:tcW w:w="3128"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每机组</w:t>
                  </w:r>
                  <w:r>
                    <w:rPr>
                      <w:rFonts w:hint="eastAsia" w:ascii="宋体" w:hAnsi="宋体"/>
                      <w:color w:val="auto"/>
                      <w:sz w:val="21"/>
                      <w:szCs w:val="21"/>
                    </w:rPr>
                    <w:t>1</w:t>
                  </w:r>
                  <w:r>
                    <w:rPr>
                      <w:rFonts w:ascii="宋体" w:hAnsi="宋体"/>
                      <w:color w:val="auto"/>
                      <w:sz w:val="21"/>
                      <w:szCs w:val="21"/>
                    </w:rPr>
                    <w:t>套</w:t>
                  </w:r>
                </w:p>
              </w:tc>
              <w:tc>
                <w:tcPr>
                  <w:tcW w:w="2772" w:type="dxa"/>
                  <w:vAlign w:val="center"/>
                </w:tcPr>
                <w:p>
                  <w:pPr>
                    <w:adjustRightInd w:val="0"/>
                    <w:snapToGrid w:val="0"/>
                    <w:spacing w:line="360" w:lineRule="auto"/>
                    <w:rPr>
                      <w:rFonts w:ascii="宋体" w:hAnsi="宋体"/>
                      <w:color w:val="auto"/>
                      <w:sz w:val="21"/>
                      <w:szCs w:val="21"/>
                    </w:rPr>
                  </w:pPr>
                  <w:r>
                    <w:rPr>
                      <w:rFonts w:hint="eastAsia" w:ascii="宋体" w:hAnsi="宋体"/>
                      <w:color w:val="auto"/>
                      <w:sz w:val="21"/>
                      <w:szCs w:val="21"/>
                    </w:rPr>
                    <w:t>每台就地控制柜都具有主控功能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415" w:type="dxa"/>
                  <w:vAlign w:val="center"/>
                </w:tcPr>
                <w:p>
                  <w:pPr>
                    <w:adjustRightInd w:val="0"/>
                    <w:snapToGrid w:val="0"/>
                    <w:spacing w:line="360" w:lineRule="auto"/>
                    <w:rPr>
                      <w:rFonts w:ascii="宋体" w:hAnsi="宋体"/>
                      <w:color w:val="auto"/>
                      <w:sz w:val="21"/>
                      <w:szCs w:val="21"/>
                    </w:rPr>
                  </w:pPr>
                  <w:r>
                    <w:rPr>
                      <w:rFonts w:hint="eastAsia" w:ascii="宋体" w:hAnsi="宋体"/>
                      <w:color w:val="auto"/>
                      <w:sz w:val="21"/>
                      <w:szCs w:val="21"/>
                    </w:rPr>
                    <w:t>正弦滤波器</w:t>
                  </w:r>
                </w:p>
              </w:tc>
              <w:tc>
                <w:tcPr>
                  <w:tcW w:w="3128"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每机组</w:t>
                  </w:r>
                  <w:r>
                    <w:rPr>
                      <w:rFonts w:hint="eastAsia" w:ascii="宋体" w:hAnsi="宋体"/>
                      <w:color w:val="auto"/>
                      <w:sz w:val="21"/>
                      <w:szCs w:val="21"/>
                    </w:rPr>
                    <w:t>1</w:t>
                  </w:r>
                  <w:r>
                    <w:rPr>
                      <w:rFonts w:ascii="宋体" w:hAnsi="宋体"/>
                      <w:color w:val="auto"/>
                      <w:sz w:val="21"/>
                      <w:szCs w:val="21"/>
                    </w:rPr>
                    <w:t>套</w:t>
                  </w:r>
                </w:p>
              </w:tc>
              <w:tc>
                <w:tcPr>
                  <w:tcW w:w="2772" w:type="dxa"/>
                  <w:vAlign w:val="center"/>
                </w:tcPr>
                <w:p>
                  <w:pPr>
                    <w:adjustRightInd w:val="0"/>
                    <w:snapToGrid w:val="0"/>
                    <w:spacing w:line="360" w:lineRule="auto"/>
                    <w:rPr>
                      <w:rFonts w:ascii="宋体" w:hAnsi="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415"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进口过滤器/消音器</w:t>
                  </w:r>
                </w:p>
              </w:tc>
              <w:tc>
                <w:tcPr>
                  <w:tcW w:w="3128"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每机组1套</w:t>
                  </w:r>
                </w:p>
              </w:tc>
              <w:tc>
                <w:tcPr>
                  <w:tcW w:w="2772"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一体式，</w:t>
                  </w:r>
                  <w:r>
                    <w:rPr>
                      <w:rFonts w:hint="eastAsia" w:ascii="宋体" w:hAnsi="宋体"/>
                      <w:color w:val="auto"/>
                      <w:sz w:val="21"/>
                      <w:szCs w:val="21"/>
                    </w:rPr>
                    <w:t>室内</w:t>
                  </w:r>
                  <w:r>
                    <w:rPr>
                      <w:rFonts w:ascii="宋体" w:hAnsi="宋体"/>
                      <w:color w:val="auto"/>
                      <w:sz w:val="21"/>
                      <w:szCs w:val="21"/>
                    </w:rPr>
                    <w:t>取风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415" w:type="dxa"/>
                  <w:vAlign w:val="center"/>
                </w:tcPr>
                <w:p>
                  <w:pPr>
                    <w:adjustRightInd w:val="0"/>
                    <w:snapToGrid w:val="0"/>
                    <w:spacing w:line="360" w:lineRule="auto"/>
                    <w:rPr>
                      <w:rFonts w:ascii="宋体" w:hAnsi="宋体"/>
                      <w:color w:val="auto"/>
                      <w:sz w:val="21"/>
                      <w:szCs w:val="21"/>
                    </w:rPr>
                  </w:pPr>
                  <w:r>
                    <w:rPr>
                      <w:rFonts w:hint="eastAsia" w:ascii="宋体" w:hAnsi="宋体"/>
                      <w:color w:val="auto"/>
                      <w:sz w:val="21"/>
                      <w:szCs w:val="21"/>
                    </w:rPr>
                    <w:t>电动</w:t>
                  </w:r>
                  <w:r>
                    <w:rPr>
                      <w:rFonts w:ascii="宋体" w:hAnsi="宋体"/>
                      <w:color w:val="auto"/>
                      <w:sz w:val="21"/>
                      <w:szCs w:val="21"/>
                    </w:rPr>
                    <w:t>放空阀</w:t>
                  </w:r>
                </w:p>
              </w:tc>
              <w:tc>
                <w:tcPr>
                  <w:tcW w:w="3128"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每机组1套</w:t>
                  </w:r>
                </w:p>
              </w:tc>
              <w:tc>
                <w:tcPr>
                  <w:tcW w:w="2772" w:type="dxa"/>
                  <w:vAlign w:val="center"/>
                </w:tcPr>
                <w:p>
                  <w:pPr>
                    <w:adjustRightInd w:val="0"/>
                    <w:snapToGrid w:val="0"/>
                    <w:spacing w:line="360" w:lineRule="auto"/>
                    <w:rPr>
                      <w:rFonts w:ascii="宋体" w:hAnsi="宋体"/>
                      <w:color w:val="auto"/>
                      <w:sz w:val="21"/>
                      <w:szCs w:val="21"/>
                      <w:lang w:eastAsia="zh-CN"/>
                    </w:rPr>
                  </w:pPr>
                  <w:r>
                    <w:rPr>
                      <w:rFonts w:ascii="宋体" w:hAnsi="宋体"/>
                      <w:color w:val="auto"/>
                      <w:sz w:val="21"/>
                      <w:szCs w:val="21"/>
                      <w:lang w:eastAsia="zh-CN"/>
                    </w:rPr>
                    <w:t>带电动执行器和定位器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415" w:type="dxa"/>
                  <w:vAlign w:val="center"/>
                </w:tcPr>
                <w:p>
                  <w:pPr>
                    <w:adjustRightInd w:val="0"/>
                    <w:snapToGrid w:val="0"/>
                    <w:spacing w:line="360" w:lineRule="auto"/>
                    <w:rPr>
                      <w:rFonts w:ascii="宋体" w:hAnsi="宋体"/>
                      <w:color w:val="auto"/>
                      <w:sz w:val="21"/>
                      <w:szCs w:val="21"/>
                    </w:rPr>
                  </w:pPr>
                  <w:r>
                    <w:rPr>
                      <w:rFonts w:hint="eastAsia" w:ascii="宋体" w:hAnsi="宋体"/>
                      <w:color w:val="auto"/>
                      <w:sz w:val="21"/>
                      <w:szCs w:val="21"/>
                    </w:rPr>
                    <w:t>放空阀</w:t>
                  </w:r>
                  <w:r>
                    <w:rPr>
                      <w:rFonts w:ascii="宋体" w:hAnsi="宋体"/>
                      <w:color w:val="auto"/>
                      <w:sz w:val="21"/>
                      <w:szCs w:val="21"/>
                    </w:rPr>
                    <w:t>消音器</w:t>
                  </w:r>
                </w:p>
              </w:tc>
              <w:tc>
                <w:tcPr>
                  <w:tcW w:w="3128"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每机组1套</w:t>
                  </w:r>
                </w:p>
              </w:tc>
              <w:tc>
                <w:tcPr>
                  <w:tcW w:w="2772" w:type="dxa"/>
                  <w:vAlign w:val="center"/>
                </w:tcPr>
                <w:p>
                  <w:pPr>
                    <w:adjustRightInd w:val="0"/>
                    <w:snapToGrid w:val="0"/>
                    <w:spacing w:line="360" w:lineRule="auto"/>
                    <w:rPr>
                      <w:rFonts w:ascii="宋体" w:hAnsi="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415"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出口锥形</w:t>
                  </w:r>
                  <w:r>
                    <w:rPr>
                      <w:rFonts w:hint="eastAsia" w:ascii="宋体" w:hAnsi="宋体"/>
                      <w:color w:val="auto"/>
                      <w:sz w:val="21"/>
                      <w:szCs w:val="21"/>
                    </w:rPr>
                    <w:t>扩压</w:t>
                  </w:r>
                  <w:r>
                    <w:rPr>
                      <w:rFonts w:ascii="宋体" w:hAnsi="宋体"/>
                      <w:color w:val="auto"/>
                      <w:sz w:val="21"/>
                      <w:szCs w:val="21"/>
                    </w:rPr>
                    <w:t>管</w:t>
                  </w:r>
                </w:p>
              </w:tc>
              <w:tc>
                <w:tcPr>
                  <w:tcW w:w="3128"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每机组1套</w:t>
                  </w:r>
                </w:p>
              </w:tc>
              <w:tc>
                <w:tcPr>
                  <w:tcW w:w="2772"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与主机配套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415"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出口止回阀</w:t>
                  </w:r>
                </w:p>
              </w:tc>
              <w:tc>
                <w:tcPr>
                  <w:tcW w:w="3128"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每机组1套</w:t>
                  </w:r>
                </w:p>
              </w:tc>
              <w:tc>
                <w:tcPr>
                  <w:tcW w:w="2772"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与主机配套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15"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隔音罩</w:t>
                  </w:r>
                </w:p>
              </w:tc>
              <w:tc>
                <w:tcPr>
                  <w:tcW w:w="3128"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每机组1套</w:t>
                  </w:r>
                </w:p>
              </w:tc>
              <w:tc>
                <w:tcPr>
                  <w:tcW w:w="2772" w:type="dxa"/>
                  <w:vAlign w:val="center"/>
                </w:tcPr>
                <w:p>
                  <w:pPr>
                    <w:adjustRightInd w:val="0"/>
                    <w:snapToGrid w:val="0"/>
                    <w:spacing w:line="360" w:lineRule="auto"/>
                    <w:rPr>
                      <w:rFonts w:ascii="宋体" w:hAnsi="宋体"/>
                      <w:color w:val="auto"/>
                      <w:sz w:val="21"/>
                      <w:szCs w:val="21"/>
                      <w:lang w:eastAsia="zh-CN"/>
                    </w:rPr>
                  </w:pPr>
                  <w:r>
                    <w:rPr>
                      <w:rFonts w:ascii="宋体" w:hAnsi="宋体"/>
                      <w:color w:val="auto"/>
                      <w:sz w:val="21"/>
                      <w:szCs w:val="21"/>
                      <w:lang w:eastAsia="zh-CN"/>
                    </w:rPr>
                    <w:t>单台无反射1米处噪音不大于80分贝</w:t>
                  </w:r>
                </w:p>
              </w:tc>
            </w:tr>
          </w:tbl>
          <w:p>
            <w:pPr>
              <w:adjustRightInd w:val="0"/>
              <w:snapToGrid w:val="0"/>
              <w:spacing w:line="360" w:lineRule="auto"/>
              <w:ind w:firstLine="422" w:firstLineChars="200"/>
              <w:rPr>
                <w:rFonts w:ascii="宋体" w:hAnsi="宋体"/>
                <w:b/>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widowControl/>
              <w:spacing w:line="360" w:lineRule="auto"/>
              <w:jc w:val="both"/>
              <w:rPr>
                <w:rFonts w:ascii="宋体" w:hAnsi="宋体" w:eastAsia="宋体" w:cs="宋体"/>
                <w:b/>
                <w:color w:val="auto"/>
                <w:sz w:val="21"/>
                <w:szCs w:val="21"/>
                <w:lang w:eastAsia="zh-CN"/>
              </w:rPr>
            </w:pPr>
            <w:r>
              <w:rPr>
                <w:rFonts w:hint="eastAsia" w:ascii="宋体" w:hAnsi="宋体" w:eastAsia="宋体" w:cs="宋体"/>
                <w:b/>
                <w:color w:val="auto"/>
                <w:sz w:val="21"/>
                <w:szCs w:val="21"/>
                <w:lang w:eastAsia="zh-CN"/>
              </w:rPr>
              <w:t>设计及现场条件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pStyle w:val="35"/>
              <w:numPr>
                <w:ilvl w:val="0"/>
                <w:numId w:val="0"/>
              </w:numPr>
              <w:tabs>
                <w:tab w:val="clear" w:pos="840"/>
                <w:tab w:val="clear" w:pos="1146"/>
                <w:tab w:val="clear" w:pos="1200"/>
                <w:tab w:val="clear" w:pos="1740"/>
              </w:tabs>
              <w:ind w:left="480"/>
              <w:rPr>
                <w:color w:val="auto"/>
                <w:sz w:val="21"/>
                <w:szCs w:val="21"/>
              </w:rPr>
            </w:pPr>
            <w:r>
              <w:rPr>
                <w:rFonts w:hint="eastAsia"/>
                <w:color w:val="auto"/>
                <w:sz w:val="21"/>
                <w:szCs w:val="21"/>
              </w:rPr>
              <w:t>（1）每台</w:t>
            </w:r>
            <w:r>
              <w:rPr>
                <w:color w:val="auto"/>
                <w:sz w:val="21"/>
                <w:szCs w:val="21"/>
              </w:rPr>
              <w:t>鼓风机设计</w:t>
            </w:r>
            <w:r>
              <w:rPr>
                <w:rFonts w:hint="eastAsia"/>
                <w:color w:val="auto"/>
                <w:sz w:val="21"/>
                <w:szCs w:val="21"/>
              </w:rPr>
              <w:t>性能</w:t>
            </w:r>
            <w:r>
              <w:rPr>
                <w:color w:val="auto"/>
                <w:sz w:val="21"/>
                <w:szCs w:val="21"/>
              </w:rPr>
              <w:t>条件如下表所示，所提供的机组须完全满足下表要求</w:t>
            </w:r>
            <w:r>
              <w:rPr>
                <w:rFonts w:hint="eastAsia"/>
                <w:color w:val="auto"/>
                <w:sz w:val="21"/>
                <w:szCs w:val="21"/>
              </w:rPr>
              <w:t>。</w:t>
            </w:r>
          </w:p>
          <w:tbl>
            <w:tblPr>
              <w:tblStyle w:val="23"/>
              <w:tblW w:w="80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15"/>
              <w:gridCol w:w="1463"/>
              <w:gridCol w:w="1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jc w:val="center"/>
              </w:trPr>
              <w:tc>
                <w:tcPr>
                  <w:tcW w:w="5515" w:type="dxa"/>
                  <w:vAlign w:val="center"/>
                </w:tcPr>
                <w:p>
                  <w:pPr>
                    <w:adjustRightInd w:val="0"/>
                    <w:snapToGrid w:val="0"/>
                    <w:spacing w:line="360" w:lineRule="auto"/>
                    <w:rPr>
                      <w:rFonts w:ascii="宋体" w:hAnsi="宋体"/>
                      <w:color w:val="auto"/>
                      <w:sz w:val="21"/>
                      <w:szCs w:val="21"/>
                      <w:lang w:eastAsia="zh-CN"/>
                    </w:rPr>
                  </w:pPr>
                  <w:r>
                    <w:rPr>
                      <w:rFonts w:ascii="宋体" w:hAnsi="宋体"/>
                      <w:color w:val="auto"/>
                      <w:sz w:val="21"/>
                      <w:szCs w:val="21"/>
                      <w:lang w:eastAsia="zh-CN"/>
                    </w:rPr>
                    <w:t>100%流量</w:t>
                  </w:r>
                  <w:r>
                    <w:rPr>
                      <w:rFonts w:hint="eastAsia" w:ascii="宋体" w:hAnsi="宋体"/>
                      <w:color w:val="auto"/>
                      <w:sz w:val="21"/>
                      <w:szCs w:val="21"/>
                      <w:lang w:eastAsia="zh-CN"/>
                    </w:rPr>
                    <w:t>（</w:t>
                  </w:r>
                  <w:r>
                    <w:rPr>
                      <w:rFonts w:ascii="宋体" w:hAnsi="宋体"/>
                      <w:color w:val="auto"/>
                      <w:sz w:val="21"/>
                      <w:szCs w:val="21"/>
                      <w:lang w:eastAsia="zh-CN"/>
                    </w:rPr>
                    <w:t>在1.013bar</w:t>
                  </w:r>
                  <w:r>
                    <w:rPr>
                      <w:rFonts w:hint="eastAsia" w:ascii="宋体" w:hAnsi="宋体"/>
                      <w:color w:val="auto"/>
                      <w:sz w:val="21"/>
                      <w:szCs w:val="21"/>
                      <w:lang w:eastAsia="zh-CN"/>
                    </w:rPr>
                    <w:t>，</w:t>
                  </w:r>
                  <w:r>
                    <w:rPr>
                      <w:rFonts w:ascii="宋体" w:hAnsi="宋体"/>
                      <w:color w:val="auto"/>
                      <w:sz w:val="21"/>
                      <w:szCs w:val="21"/>
                      <w:lang w:eastAsia="zh-CN"/>
                    </w:rPr>
                    <w:t>20</w:t>
                  </w:r>
                  <w:r>
                    <w:rPr>
                      <w:rFonts w:hint="eastAsia" w:ascii="宋体" w:hAnsi="宋体" w:cs="宋体"/>
                      <w:color w:val="auto"/>
                      <w:sz w:val="21"/>
                      <w:szCs w:val="21"/>
                      <w:lang w:eastAsia="zh-CN"/>
                    </w:rPr>
                    <w:t>℃</w:t>
                  </w:r>
                  <w:r>
                    <w:rPr>
                      <w:rFonts w:hint="eastAsia" w:ascii="宋体" w:hAnsi="宋体"/>
                      <w:color w:val="auto"/>
                      <w:sz w:val="21"/>
                      <w:szCs w:val="21"/>
                      <w:lang w:eastAsia="zh-CN"/>
                    </w:rPr>
                    <w:t>，</w:t>
                  </w:r>
                  <w:r>
                    <w:rPr>
                      <w:rFonts w:ascii="宋体" w:hAnsi="宋体"/>
                      <w:color w:val="auto"/>
                      <w:sz w:val="21"/>
                      <w:szCs w:val="21"/>
                      <w:lang w:eastAsia="zh-CN"/>
                    </w:rPr>
                    <w:t>70%相对湿度条件下</w:t>
                  </w:r>
                  <w:r>
                    <w:rPr>
                      <w:rFonts w:hint="eastAsia" w:ascii="宋体" w:hAnsi="宋体"/>
                      <w:color w:val="auto"/>
                      <w:sz w:val="21"/>
                      <w:szCs w:val="21"/>
                      <w:lang w:eastAsia="zh-CN"/>
                    </w:rPr>
                    <w:t>）</w:t>
                  </w:r>
                </w:p>
              </w:tc>
              <w:tc>
                <w:tcPr>
                  <w:tcW w:w="1463" w:type="dxa"/>
                  <w:vAlign w:val="center"/>
                </w:tcPr>
                <w:p>
                  <w:pPr>
                    <w:adjustRightInd w:val="0"/>
                    <w:snapToGrid w:val="0"/>
                    <w:spacing w:line="360" w:lineRule="auto"/>
                    <w:jc w:val="center"/>
                    <w:rPr>
                      <w:rFonts w:ascii="宋体" w:hAnsi="宋体"/>
                      <w:color w:val="auto"/>
                      <w:sz w:val="21"/>
                      <w:szCs w:val="21"/>
                    </w:rPr>
                  </w:pPr>
                  <w:r>
                    <w:rPr>
                      <w:rFonts w:hint="eastAsia" w:ascii="宋体" w:hAnsi="宋体"/>
                      <w:color w:val="auto"/>
                      <w:sz w:val="21"/>
                      <w:szCs w:val="21"/>
                    </w:rPr>
                    <w:t>1</w:t>
                  </w:r>
                  <w:r>
                    <w:rPr>
                      <w:rFonts w:ascii="宋体" w:hAnsi="宋体"/>
                      <w:color w:val="auto"/>
                      <w:sz w:val="21"/>
                      <w:szCs w:val="21"/>
                    </w:rPr>
                    <w:t>04</w:t>
                  </w:r>
                </w:p>
              </w:tc>
              <w:tc>
                <w:tcPr>
                  <w:tcW w:w="1024" w:type="dxa"/>
                  <w:vAlign w:val="center"/>
                </w:tcPr>
                <w:p>
                  <w:pPr>
                    <w:adjustRightInd w:val="0"/>
                    <w:snapToGrid w:val="0"/>
                    <w:spacing w:line="360" w:lineRule="auto"/>
                    <w:jc w:val="center"/>
                    <w:rPr>
                      <w:rFonts w:ascii="宋体" w:hAnsi="宋体"/>
                      <w:color w:val="auto"/>
                      <w:sz w:val="21"/>
                      <w:szCs w:val="21"/>
                    </w:rPr>
                  </w:pPr>
                  <w:r>
                    <w:rPr>
                      <w:rFonts w:ascii="宋体" w:hAnsi="宋体"/>
                      <w:color w:val="auto"/>
                      <w:sz w:val="21"/>
                      <w:szCs w:val="21"/>
                    </w:rPr>
                    <w:t>m³/</w:t>
                  </w:r>
                  <w:r>
                    <w:rPr>
                      <w:rFonts w:hint="eastAsia" w:ascii="宋体" w:hAnsi="宋体"/>
                      <w:color w:val="auto"/>
                      <w:sz w:val="21"/>
                      <w:szCs w:val="21"/>
                    </w:rPr>
                    <w:t>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jc w:val="center"/>
              </w:trPr>
              <w:tc>
                <w:tcPr>
                  <w:tcW w:w="5515" w:type="dxa"/>
                  <w:vAlign w:val="center"/>
                </w:tcPr>
                <w:p>
                  <w:pPr>
                    <w:adjustRightInd w:val="0"/>
                    <w:snapToGrid w:val="0"/>
                    <w:spacing w:line="360" w:lineRule="auto"/>
                    <w:rPr>
                      <w:rFonts w:ascii="宋体" w:hAnsi="宋体"/>
                      <w:color w:val="auto"/>
                      <w:sz w:val="21"/>
                      <w:szCs w:val="21"/>
                    </w:rPr>
                  </w:pPr>
                  <w:r>
                    <w:rPr>
                      <w:rFonts w:ascii="宋体" w:hAnsi="宋体"/>
                      <w:color w:val="auto"/>
                      <w:sz w:val="21"/>
                      <w:szCs w:val="21"/>
                    </w:rPr>
                    <w:t>流量调节范围</w:t>
                  </w:r>
                </w:p>
              </w:tc>
              <w:tc>
                <w:tcPr>
                  <w:tcW w:w="1463" w:type="dxa"/>
                  <w:vAlign w:val="center"/>
                </w:tcPr>
                <w:p>
                  <w:pPr>
                    <w:adjustRightInd w:val="0"/>
                    <w:snapToGrid w:val="0"/>
                    <w:spacing w:line="360" w:lineRule="auto"/>
                    <w:jc w:val="center"/>
                    <w:rPr>
                      <w:rFonts w:ascii="宋体" w:hAnsi="宋体"/>
                      <w:color w:val="auto"/>
                      <w:sz w:val="21"/>
                      <w:szCs w:val="21"/>
                    </w:rPr>
                  </w:pPr>
                  <w:r>
                    <w:rPr>
                      <w:rFonts w:ascii="宋体" w:hAnsi="宋体"/>
                      <w:color w:val="auto"/>
                      <w:sz w:val="21"/>
                      <w:szCs w:val="21"/>
                    </w:rPr>
                    <w:t>100%~</w:t>
                  </w:r>
                  <w:r>
                    <w:rPr>
                      <w:rFonts w:hint="eastAsia" w:ascii="宋体" w:hAnsi="宋体"/>
                      <w:color w:val="auto"/>
                      <w:sz w:val="21"/>
                      <w:szCs w:val="21"/>
                    </w:rPr>
                    <w:t>4</w:t>
                  </w:r>
                  <w:r>
                    <w:rPr>
                      <w:rFonts w:ascii="宋体" w:hAnsi="宋体"/>
                      <w:color w:val="auto"/>
                      <w:sz w:val="21"/>
                      <w:szCs w:val="21"/>
                    </w:rPr>
                    <w:t>5%</w:t>
                  </w:r>
                </w:p>
              </w:tc>
              <w:tc>
                <w:tcPr>
                  <w:tcW w:w="1024" w:type="dxa"/>
                  <w:vAlign w:val="center"/>
                </w:tcPr>
                <w:p>
                  <w:pPr>
                    <w:adjustRightInd w:val="0"/>
                    <w:snapToGrid w:val="0"/>
                    <w:spacing w:line="360" w:lineRule="auto"/>
                    <w:jc w:val="center"/>
                    <w:rPr>
                      <w:rFonts w:ascii="宋体" w:hAnsi="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jc w:val="center"/>
              </w:trPr>
              <w:tc>
                <w:tcPr>
                  <w:tcW w:w="5515" w:type="dxa"/>
                </w:tcPr>
                <w:p>
                  <w:pPr>
                    <w:snapToGrid w:val="0"/>
                    <w:spacing w:line="360" w:lineRule="auto"/>
                    <w:rPr>
                      <w:rFonts w:ascii="宋体" w:hAnsi="宋体"/>
                      <w:color w:val="auto"/>
                      <w:sz w:val="21"/>
                      <w:szCs w:val="21"/>
                    </w:rPr>
                  </w:pPr>
                  <w:r>
                    <w:rPr>
                      <w:rFonts w:ascii="宋体" w:hAnsi="宋体"/>
                      <w:color w:val="auto"/>
                      <w:sz w:val="21"/>
                      <w:szCs w:val="21"/>
                    </w:rPr>
                    <w:t>大气压（平均值）</w:t>
                  </w:r>
                </w:p>
              </w:tc>
              <w:tc>
                <w:tcPr>
                  <w:tcW w:w="1463" w:type="dxa"/>
                  <w:vAlign w:val="center"/>
                </w:tcPr>
                <w:p>
                  <w:pPr>
                    <w:snapToGrid w:val="0"/>
                    <w:spacing w:line="360" w:lineRule="auto"/>
                    <w:jc w:val="center"/>
                    <w:rPr>
                      <w:rFonts w:ascii="宋体" w:hAnsi="宋体"/>
                      <w:color w:val="auto"/>
                      <w:sz w:val="21"/>
                      <w:szCs w:val="21"/>
                    </w:rPr>
                  </w:pPr>
                  <w:r>
                    <w:rPr>
                      <w:rFonts w:ascii="宋体" w:hAnsi="宋体"/>
                      <w:color w:val="auto"/>
                      <w:sz w:val="21"/>
                      <w:szCs w:val="21"/>
                    </w:rPr>
                    <w:t>1.013</w:t>
                  </w:r>
                </w:p>
              </w:tc>
              <w:tc>
                <w:tcPr>
                  <w:tcW w:w="1024" w:type="dxa"/>
                  <w:vAlign w:val="center"/>
                </w:tcPr>
                <w:p>
                  <w:pPr>
                    <w:snapToGrid w:val="0"/>
                    <w:spacing w:line="360" w:lineRule="auto"/>
                    <w:jc w:val="center"/>
                    <w:rPr>
                      <w:rFonts w:ascii="宋体" w:hAnsi="宋体"/>
                      <w:color w:val="auto"/>
                      <w:sz w:val="21"/>
                      <w:szCs w:val="21"/>
                    </w:rPr>
                  </w:pPr>
                  <w:r>
                    <w:rPr>
                      <w:rFonts w:ascii="宋体" w:hAnsi="宋体"/>
                      <w:color w:val="auto"/>
                      <w:sz w:val="21"/>
                      <w:szCs w:val="21"/>
                    </w:rPr>
                    <w:t>bar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jc w:val="center"/>
              </w:trPr>
              <w:tc>
                <w:tcPr>
                  <w:tcW w:w="5515" w:type="dxa"/>
                </w:tcPr>
                <w:p>
                  <w:pPr>
                    <w:snapToGrid w:val="0"/>
                    <w:spacing w:line="360" w:lineRule="auto"/>
                    <w:rPr>
                      <w:rFonts w:ascii="宋体" w:hAnsi="宋体"/>
                      <w:color w:val="auto"/>
                      <w:sz w:val="21"/>
                      <w:szCs w:val="21"/>
                    </w:rPr>
                  </w:pPr>
                  <w:r>
                    <w:rPr>
                      <w:rFonts w:ascii="宋体" w:hAnsi="宋体"/>
                      <w:color w:val="auto"/>
                      <w:sz w:val="21"/>
                      <w:szCs w:val="21"/>
                    </w:rPr>
                    <w:t>鼓风机房相对湿度</w:t>
                  </w:r>
                </w:p>
              </w:tc>
              <w:tc>
                <w:tcPr>
                  <w:tcW w:w="1463" w:type="dxa"/>
                  <w:vAlign w:val="center"/>
                </w:tcPr>
                <w:p>
                  <w:pPr>
                    <w:snapToGrid w:val="0"/>
                    <w:spacing w:line="360" w:lineRule="auto"/>
                    <w:jc w:val="center"/>
                    <w:rPr>
                      <w:rFonts w:ascii="宋体" w:hAnsi="宋体"/>
                      <w:color w:val="auto"/>
                      <w:sz w:val="21"/>
                      <w:szCs w:val="21"/>
                    </w:rPr>
                  </w:pPr>
                  <w:r>
                    <w:rPr>
                      <w:rFonts w:ascii="宋体" w:hAnsi="宋体"/>
                      <w:color w:val="auto"/>
                      <w:sz w:val="21"/>
                      <w:szCs w:val="21"/>
                    </w:rPr>
                    <w:t>20</w:t>
                  </w:r>
                </w:p>
              </w:tc>
              <w:tc>
                <w:tcPr>
                  <w:tcW w:w="1024" w:type="dxa"/>
                  <w:vAlign w:val="center"/>
                </w:tcPr>
                <w:p>
                  <w:pPr>
                    <w:snapToGrid w:val="0"/>
                    <w:spacing w:line="360" w:lineRule="auto"/>
                    <w:jc w:val="center"/>
                    <w:rPr>
                      <w:rFonts w:ascii="宋体" w:hAnsi="宋体"/>
                      <w:color w:val="auto"/>
                      <w:sz w:val="21"/>
                      <w:szCs w:val="21"/>
                    </w:rPr>
                  </w:pPr>
                  <w:r>
                    <w:rPr>
                      <w:rFonts w:ascii="宋体" w:hAnsi="宋体"/>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jc w:val="center"/>
              </w:trPr>
              <w:tc>
                <w:tcPr>
                  <w:tcW w:w="5515" w:type="dxa"/>
                </w:tcPr>
                <w:p>
                  <w:pPr>
                    <w:snapToGrid w:val="0"/>
                    <w:spacing w:line="360" w:lineRule="auto"/>
                    <w:rPr>
                      <w:rFonts w:ascii="宋体" w:hAnsi="宋体"/>
                      <w:color w:val="auto"/>
                      <w:sz w:val="21"/>
                      <w:szCs w:val="21"/>
                      <w:lang w:eastAsia="zh-CN"/>
                    </w:rPr>
                  </w:pPr>
                  <w:r>
                    <w:rPr>
                      <w:rFonts w:ascii="宋体" w:hAnsi="宋体"/>
                      <w:color w:val="auto"/>
                      <w:sz w:val="21"/>
                      <w:szCs w:val="21"/>
                      <w:lang w:eastAsia="zh-CN"/>
                    </w:rPr>
                    <w:t>鼓风机出口压力（扩压管出口处）</w:t>
                  </w:r>
                </w:p>
              </w:tc>
              <w:tc>
                <w:tcPr>
                  <w:tcW w:w="1463" w:type="dxa"/>
                  <w:vAlign w:val="center"/>
                </w:tcPr>
                <w:p>
                  <w:pPr>
                    <w:snapToGrid w:val="0"/>
                    <w:spacing w:line="360" w:lineRule="auto"/>
                    <w:jc w:val="center"/>
                    <w:rPr>
                      <w:rFonts w:ascii="宋体" w:hAnsi="宋体"/>
                      <w:color w:val="auto"/>
                      <w:sz w:val="21"/>
                      <w:szCs w:val="21"/>
                      <w:lang w:eastAsia="zh-CN"/>
                    </w:rPr>
                  </w:pPr>
                  <w:r>
                    <w:rPr>
                      <w:rFonts w:ascii="宋体" w:hAnsi="宋体"/>
                      <w:color w:val="auto"/>
                      <w:sz w:val="21"/>
                      <w:szCs w:val="21"/>
                      <w:lang w:eastAsia="zh-CN"/>
                    </w:rPr>
                    <w:t>93</w:t>
                  </w:r>
                </w:p>
              </w:tc>
              <w:tc>
                <w:tcPr>
                  <w:tcW w:w="1024" w:type="dxa"/>
                  <w:vAlign w:val="center"/>
                </w:tcPr>
                <w:p>
                  <w:pPr>
                    <w:snapToGrid w:val="0"/>
                    <w:spacing w:line="360" w:lineRule="auto"/>
                    <w:jc w:val="center"/>
                    <w:rPr>
                      <w:rFonts w:ascii="宋体" w:hAnsi="宋体"/>
                      <w:color w:val="auto"/>
                      <w:sz w:val="21"/>
                      <w:szCs w:val="21"/>
                      <w:lang w:eastAsia="zh-CN"/>
                    </w:rPr>
                  </w:pPr>
                  <w:r>
                    <w:rPr>
                      <w:rFonts w:ascii="宋体" w:hAnsi="宋体"/>
                      <w:color w:val="auto"/>
                      <w:sz w:val="21"/>
                      <w:szCs w:val="21"/>
                      <w:lang w:eastAsia="zh-CN"/>
                    </w:rPr>
                    <w:t>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jc w:val="center"/>
              </w:trPr>
              <w:tc>
                <w:tcPr>
                  <w:tcW w:w="5515" w:type="dxa"/>
                </w:tcPr>
                <w:p>
                  <w:pPr>
                    <w:snapToGrid w:val="0"/>
                    <w:spacing w:line="360" w:lineRule="auto"/>
                    <w:rPr>
                      <w:rFonts w:ascii="宋体" w:hAnsi="宋体"/>
                      <w:color w:val="auto"/>
                      <w:sz w:val="21"/>
                      <w:szCs w:val="21"/>
                      <w:lang w:eastAsia="zh-CN"/>
                    </w:rPr>
                  </w:pPr>
                  <w:r>
                    <w:rPr>
                      <w:rFonts w:hint="eastAsia" w:ascii="宋体" w:hAnsi="宋体" w:cs="宋体"/>
                      <w:color w:val="auto"/>
                      <w:sz w:val="21"/>
                      <w:szCs w:val="21"/>
                      <w:lang w:eastAsia="zh-CN"/>
                    </w:rPr>
                    <w:t>电机额定功率</w:t>
                  </w:r>
                </w:p>
              </w:tc>
              <w:tc>
                <w:tcPr>
                  <w:tcW w:w="1463" w:type="dxa"/>
                  <w:vAlign w:val="center"/>
                </w:tcPr>
                <w:p>
                  <w:pPr>
                    <w:snapToGrid w:val="0"/>
                    <w:spacing w:line="360" w:lineRule="auto"/>
                    <w:jc w:val="center"/>
                    <w:rPr>
                      <w:rFonts w:ascii="宋体" w:hAnsi="宋体"/>
                      <w:color w:val="auto"/>
                      <w:sz w:val="21"/>
                      <w:szCs w:val="21"/>
                      <w:lang w:eastAsia="zh-CN"/>
                    </w:rPr>
                  </w:pPr>
                  <w:r>
                    <w:rPr>
                      <w:rFonts w:ascii="宋体" w:hAnsi="宋体"/>
                      <w:color w:val="auto"/>
                      <w:sz w:val="21"/>
                      <w:szCs w:val="21"/>
                      <w:lang w:eastAsia="zh-CN"/>
                    </w:rPr>
                    <w:t>220</w:t>
                  </w:r>
                </w:p>
              </w:tc>
              <w:tc>
                <w:tcPr>
                  <w:tcW w:w="1024" w:type="dxa"/>
                  <w:vAlign w:val="center"/>
                </w:tcPr>
                <w:p>
                  <w:pPr>
                    <w:snapToGrid w:val="0"/>
                    <w:spacing w:line="360" w:lineRule="auto"/>
                    <w:jc w:val="center"/>
                    <w:rPr>
                      <w:rFonts w:ascii="宋体" w:hAnsi="宋体"/>
                      <w:color w:val="auto"/>
                      <w:sz w:val="21"/>
                      <w:szCs w:val="21"/>
                      <w:lang w:eastAsia="zh-CN"/>
                    </w:rPr>
                  </w:pPr>
                  <w:r>
                    <w:rPr>
                      <w:rFonts w:hint="eastAsia" w:ascii="宋体" w:hAnsi="宋体"/>
                      <w:color w:val="auto"/>
                      <w:sz w:val="21"/>
                      <w:szCs w:val="21"/>
                      <w:lang w:eastAsia="zh-CN"/>
                    </w:rPr>
                    <w:t>K</w:t>
                  </w:r>
                  <w:r>
                    <w:rPr>
                      <w:rFonts w:ascii="宋体" w:hAnsi="宋体"/>
                      <w:color w:val="auto"/>
                      <w:sz w:val="21"/>
                      <w:szCs w:val="21"/>
                      <w:lang w:eastAsia="zh-CN"/>
                    </w:rPr>
                    <w: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jc w:val="center"/>
              </w:trPr>
              <w:tc>
                <w:tcPr>
                  <w:tcW w:w="5515" w:type="dxa"/>
                  <w:tcBorders>
                    <w:top w:val="single" w:color="auto" w:sz="4" w:space="0"/>
                    <w:left w:val="single" w:color="auto" w:sz="4" w:space="0"/>
                    <w:bottom w:val="single" w:color="auto" w:sz="4" w:space="0"/>
                    <w:right w:val="single" w:color="auto" w:sz="4" w:space="0"/>
                  </w:tcBorders>
                </w:tcPr>
                <w:p>
                  <w:pPr>
                    <w:snapToGrid w:val="0"/>
                    <w:spacing w:line="360" w:lineRule="auto"/>
                    <w:rPr>
                      <w:rFonts w:ascii="宋体" w:hAnsi="宋体" w:cs="宋体"/>
                      <w:color w:val="auto"/>
                      <w:sz w:val="21"/>
                      <w:szCs w:val="21"/>
                      <w:lang w:eastAsia="zh-CN"/>
                    </w:rPr>
                  </w:pPr>
                  <w:r>
                    <w:rPr>
                      <w:rFonts w:hint="eastAsia" w:ascii="宋体" w:hAnsi="宋体" w:cs="宋体"/>
                      <w:color w:val="auto"/>
                      <w:sz w:val="21"/>
                      <w:szCs w:val="21"/>
                      <w:lang w:eastAsia="zh-CN"/>
                    </w:rPr>
                    <w:t>电机电压</w:t>
                  </w:r>
                </w:p>
              </w:tc>
              <w:tc>
                <w:tcPr>
                  <w:tcW w:w="146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olor w:val="auto"/>
                      <w:sz w:val="21"/>
                      <w:szCs w:val="21"/>
                      <w:lang w:eastAsia="zh-CN"/>
                    </w:rPr>
                  </w:pPr>
                  <w:r>
                    <w:rPr>
                      <w:rFonts w:ascii="宋体" w:hAnsi="宋体"/>
                      <w:color w:val="auto"/>
                      <w:sz w:val="21"/>
                      <w:szCs w:val="21"/>
                      <w:lang w:eastAsia="zh-CN"/>
                    </w:rPr>
                    <w:t>380</w:t>
                  </w:r>
                </w:p>
              </w:tc>
              <w:tc>
                <w:tcPr>
                  <w:tcW w:w="102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olor w:val="auto"/>
                      <w:sz w:val="21"/>
                      <w:szCs w:val="21"/>
                      <w:lang w:eastAsia="zh-CN"/>
                    </w:rPr>
                  </w:pPr>
                  <w:r>
                    <w:rPr>
                      <w:rFonts w:ascii="宋体" w:hAnsi="宋体"/>
                      <w:color w:val="auto"/>
                      <w:sz w:val="21"/>
                      <w:szCs w:val="21"/>
                      <w:lang w:eastAsia="zh-CN"/>
                    </w:rPr>
                    <w:t>V</w:t>
                  </w:r>
                </w:p>
              </w:tc>
            </w:tr>
          </w:tbl>
          <w:p>
            <w:pPr>
              <w:pStyle w:val="48"/>
              <w:adjustRightInd w:val="0"/>
              <w:snapToGrid w:val="0"/>
              <w:ind w:firstLine="420"/>
              <w:rPr>
                <w:rFonts w:ascii="宋体" w:hAnsi="宋体"/>
                <w:color w:val="auto"/>
                <w:sz w:val="21"/>
                <w:szCs w:val="21"/>
              </w:rPr>
            </w:pPr>
          </w:p>
          <w:p>
            <w:pPr>
              <w:adjustRightInd w:val="0"/>
              <w:snapToGrid w:val="0"/>
              <w:spacing w:line="360" w:lineRule="auto"/>
              <w:ind w:firstLine="424" w:firstLineChars="202"/>
              <w:rPr>
                <w:rFonts w:ascii="宋体" w:hAnsi="宋体"/>
                <w:color w:val="auto"/>
                <w:sz w:val="21"/>
                <w:szCs w:val="21"/>
                <w:lang w:eastAsia="zh-CN"/>
              </w:rPr>
            </w:pPr>
            <w:r>
              <w:rPr>
                <w:rFonts w:hint="eastAsia" w:ascii="宋体" w:hAnsi="宋体"/>
                <w:color w:val="auto"/>
                <w:sz w:val="21"/>
                <w:szCs w:val="21"/>
                <w:lang w:eastAsia="zh-CN"/>
              </w:rPr>
              <w:t>（2）</w:t>
            </w:r>
            <w:r>
              <w:rPr>
                <w:rFonts w:ascii="宋体" w:hAnsi="宋体"/>
                <w:color w:val="auto"/>
                <w:sz w:val="21"/>
                <w:szCs w:val="21"/>
                <w:lang w:eastAsia="zh-CN"/>
              </w:rPr>
              <w:t>多台鼓风机必须能够并联运行，在并联运行条件下，每台鼓风机应能满足不同流量的调节需要。</w:t>
            </w:r>
          </w:p>
          <w:p>
            <w:pPr>
              <w:adjustRightInd w:val="0"/>
              <w:snapToGrid w:val="0"/>
              <w:spacing w:line="360" w:lineRule="auto"/>
              <w:ind w:firstLine="424" w:firstLineChars="202"/>
              <w:rPr>
                <w:rFonts w:ascii="宋体" w:hAnsi="宋体"/>
                <w:color w:val="auto"/>
                <w:sz w:val="21"/>
                <w:szCs w:val="21"/>
                <w:lang w:eastAsia="zh-CN"/>
              </w:rPr>
            </w:pPr>
            <w:r>
              <w:rPr>
                <w:rFonts w:ascii="宋体" w:hAnsi="宋体"/>
                <w:color w:val="auto"/>
                <w:sz w:val="21"/>
                <w:szCs w:val="21"/>
                <w:lang w:eastAsia="zh-CN"/>
              </w:rPr>
              <w:t>整机运转时，在隔音罩外1m处噪音（包括电动机）应低于80dB（A）。</w:t>
            </w:r>
          </w:p>
          <w:p>
            <w:pPr>
              <w:adjustRightInd w:val="0"/>
              <w:snapToGrid w:val="0"/>
              <w:spacing w:line="360" w:lineRule="auto"/>
              <w:ind w:firstLine="424" w:firstLineChars="202"/>
              <w:rPr>
                <w:rFonts w:ascii="宋体" w:hAnsi="宋体"/>
                <w:color w:val="auto"/>
                <w:sz w:val="21"/>
                <w:szCs w:val="21"/>
                <w:lang w:eastAsia="zh-CN"/>
              </w:rPr>
            </w:pPr>
            <w:r>
              <w:rPr>
                <w:rFonts w:ascii="宋体" w:hAnsi="宋体"/>
                <w:color w:val="auto"/>
                <w:sz w:val="21"/>
                <w:szCs w:val="21"/>
                <w:lang w:eastAsia="zh-CN"/>
              </w:rPr>
              <w:t>出口压力应平稳，不得有压力脉冲现象。</w:t>
            </w:r>
          </w:p>
          <w:p>
            <w:pPr>
              <w:adjustRightInd w:val="0"/>
              <w:snapToGrid w:val="0"/>
              <w:spacing w:line="360" w:lineRule="auto"/>
              <w:ind w:firstLine="424" w:firstLineChars="202"/>
              <w:rPr>
                <w:rFonts w:ascii="宋体" w:hAnsi="宋体"/>
                <w:color w:val="auto"/>
                <w:sz w:val="21"/>
                <w:szCs w:val="21"/>
                <w:lang w:eastAsia="zh-CN"/>
              </w:rPr>
            </w:pPr>
            <w:r>
              <w:rPr>
                <w:rFonts w:ascii="宋体" w:hAnsi="宋体"/>
                <w:color w:val="auto"/>
                <w:sz w:val="21"/>
                <w:szCs w:val="21"/>
                <w:lang w:eastAsia="zh-CN"/>
              </w:rPr>
              <w:t>每天24小时连续运转。</w:t>
            </w:r>
          </w:p>
          <w:p>
            <w:pPr>
              <w:adjustRightInd w:val="0"/>
              <w:snapToGrid w:val="0"/>
              <w:spacing w:line="360" w:lineRule="auto"/>
              <w:ind w:firstLine="424" w:firstLineChars="202"/>
              <w:rPr>
                <w:rFonts w:ascii="宋体" w:hAnsi="宋体"/>
                <w:color w:val="auto"/>
                <w:sz w:val="21"/>
                <w:szCs w:val="21"/>
                <w:lang w:eastAsia="zh-CN"/>
              </w:rPr>
            </w:pPr>
            <w:r>
              <w:rPr>
                <w:rFonts w:ascii="宋体" w:hAnsi="宋体"/>
                <w:color w:val="auto"/>
                <w:sz w:val="21"/>
                <w:szCs w:val="21"/>
                <w:lang w:eastAsia="zh-CN"/>
              </w:rPr>
              <w:t>关阀压力应高于工况风量的出口风压。</w:t>
            </w:r>
          </w:p>
          <w:p>
            <w:pPr>
              <w:adjustRightInd w:val="0"/>
              <w:snapToGrid w:val="0"/>
              <w:spacing w:line="360" w:lineRule="auto"/>
              <w:ind w:firstLine="424" w:firstLineChars="202"/>
              <w:rPr>
                <w:rFonts w:ascii="宋体" w:hAnsi="宋体"/>
                <w:color w:val="auto"/>
                <w:sz w:val="21"/>
                <w:szCs w:val="21"/>
                <w:lang w:eastAsia="zh-CN"/>
              </w:rPr>
            </w:pPr>
            <w:r>
              <w:rPr>
                <w:rFonts w:ascii="宋体" w:hAnsi="宋体"/>
                <w:color w:val="auto"/>
                <w:sz w:val="21"/>
                <w:szCs w:val="21"/>
                <w:lang w:eastAsia="zh-CN"/>
              </w:rPr>
              <w:t>为保证鼓风机系统整体系统最高效率和最长使用寿命，每台风机必须在最大时间量程内保持高效运行。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widowControl/>
              <w:spacing w:line="360" w:lineRule="auto"/>
              <w:jc w:val="both"/>
              <w:rPr>
                <w:rFonts w:ascii="宋体" w:hAnsi="宋体" w:eastAsia="宋体" w:cs="宋体"/>
                <w:b/>
                <w:color w:val="auto"/>
                <w:sz w:val="21"/>
                <w:szCs w:val="21"/>
                <w:lang w:eastAsia="zh-CN"/>
              </w:rPr>
            </w:pPr>
            <w:r>
              <w:rPr>
                <w:rFonts w:ascii="宋体" w:hAnsi="宋体"/>
                <w:b/>
                <w:color w:val="auto"/>
                <w:sz w:val="21"/>
                <w:szCs w:val="21"/>
              </w:rPr>
              <w:t>性能和结构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adjustRightInd w:val="0"/>
              <w:snapToGrid w:val="0"/>
              <w:spacing w:line="360" w:lineRule="auto"/>
              <w:ind w:firstLine="420" w:firstLineChars="200"/>
              <w:rPr>
                <w:rFonts w:ascii="宋体" w:hAnsi="宋体"/>
                <w:color w:val="auto"/>
                <w:sz w:val="21"/>
                <w:szCs w:val="21"/>
                <w:lang w:eastAsia="zh-CN"/>
              </w:rPr>
            </w:pPr>
            <w:r>
              <w:rPr>
                <w:rFonts w:ascii="宋体" w:hAnsi="宋体"/>
                <w:color w:val="auto"/>
                <w:sz w:val="21"/>
                <w:szCs w:val="21"/>
                <w:lang w:eastAsia="zh-CN"/>
              </w:rPr>
              <w:t>每一组鼓风机应为电机驱动、单级离心式叶轮，配备完整的轴承以及其他必要配件，过滤后的空气经鼓风机压缩后排到集气总管，每台鼓风机根据流程要求自动控制其流量变化，起动和停车时放空阀应打开以保证无负荷起动和停车及防止发生喘振。</w:t>
            </w:r>
          </w:p>
          <w:p>
            <w:pPr>
              <w:pStyle w:val="35"/>
              <w:numPr>
                <w:ilvl w:val="0"/>
                <w:numId w:val="0"/>
              </w:numPr>
              <w:tabs>
                <w:tab w:val="clear" w:pos="840"/>
                <w:tab w:val="clear" w:pos="1146"/>
                <w:tab w:val="clear" w:pos="1200"/>
                <w:tab w:val="clear" w:pos="1740"/>
              </w:tabs>
              <w:ind w:left="480"/>
              <w:rPr>
                <w:color w:val="auto"/>
                <w:sz w:val="21"/>
                <w:szCs w:val="21"/>
              </w:rPr>
            </w:pPr>
            <w:r>
              <w:rPr>
                <w:color w:val="auto"/>
                <w:sz w:val="21"/>
                <w:szCs w:val="21"/>
              </w:rPr>
              <w:t>（1）叶轮</w:t>
            </w:r>
          </w:p>
          <w:p>
            <w:pPr>
              <w:snapToGrid w:val="0"/>
              <w:spacing w:line="360" w:lineRule="auto"/>
              <w:ind w:firstLine="420" w:firstLineChars="200"/>
              <w:rPr>
                <w:rFonts w:ascii="宋体" w:hAnsi="宋体" w:cs="Arial"/>
                <w:color w:val="auto"/>
                <w:spacing w:val="22"/>
                <w:sz w:val="21"/>
                <w:szCs w:val="21"/>
                <w:lang w:eastAsia="zh-CN"/>
              </w:rPr>
            </w:pPr>
            <w:r>
              <w:rPr>
                <w:rFonts w:ascii="宋体" w:hAnsi="宋体"/>
                <w:bCs/>
                <w:color w:val="auto"/>
                <w:sz w:val="21"/>
                <w:szCs w:val="21"/>
                <w:lang w:eastAsia="zh-CN"/>
              </w:rPr>
              <w:t>整体锻造</w:t>
            </w:r>
            <w:r>
              <w:rPr>
                <w:rFonts w:ascii="宋体" w:hAnsi="宋体"/>
                <w:color w:val="auto"/>
                <w:sz w:val="21"/>
                <w:szCs w:val="21"/>
                <w:lang w:eastAsia="zh-CN"/>
              </w:rPr>
              <w:t>后加工而成，加工而成的开式径向叶轮，</w:t>
            </w:r>
            <w:r>
              <w:rPr>
                <w:rFonts w:hint="eastAsia" w:ascii="宋体" w:hAnsi="宋体"/>
                <w:color w:val="auto"/>
                <w:sz w:val="21"/>
                <w:szCs w:val="21"/>
                <w:lang w:eastAsia="zh-CN"/>
              </w:rPr>
              <w:t>计算机设计造型，用中心螺栓固定在高速轴端；按照</w:t>
            </w:r>
            <w:r>
              <w:rPr>
                <w:rFonts w:ascii="宋体" w:hAnsi="宋体"/>
                <w:color w:val="auto"/>
                <w:sz w:val="21"/>
                <w:szCs w:val="21"/>
                <w:lang w:eastAsia="zh-CN"/>
              </w:rPr>
              <w:t>ISO1940</w:t>
            </w:r>
            <w:r>
              <w:rPr>
                <w:rFonts w:hint="eastAsia" w:ascii="宋体" w:hAnsi="宋体"/>
                <w:color w:val="auto"/>
                <w:sz w:val="21"/>
                <w:szCs w:val="21"/>
                <w:lang w:eastAsia="zh-CN"/>
              </w:rPr>
              <w:t>标准进行动平衡测试；机加工之前进行超声波探伤。</w:t>
            </w:r>
          </w:p>
          <w:p>
            <w:pPr>
              <w:pStyle w:val="35"/>
              <w:numPr>
                <w:ilvl w:val="0"/>
                <w:numId w:val="0"/>
              </w:numPr>
              <w:tabs>
                <w:tab w:val="clear" w:pos="840"/>
                <w:tab w:val="clear" w:pos="1146"/>
                <w:tab w:val="clear" w:pos="1200"/>
                <w:tab w:val="clear" w:pos="1740"/>
              </w:tabs>
              <w:ind w:left="480"/>
              <w:rPr>
                <w:color w:val="auto"/>
                <w:sz w:val="21"/>
                <w:szCs w:val="21"/>
              </w:rPr>
            </w:pPr>
            <w:r>
              <w:rPr>
                <w:color w:val="auto"/>
                <w:sz w:val="21"/>
                <w:szCs w:val="21"/>
              </w:rPr>
              <w:t>（2）蜗壳</w:t>
            </w:r>
          </w:p>
          <w:p>
            <w:pPr>
              <w:adjustRightInd w:val="0"/>
              <w:snapToGrid w:val="0"/>
              <w:spacing w:line="360" w:lineRule="auto"/>
              <w:ind w:firstLine="420" w:firstLineChars="200"/>
              <w:rPr>
                <w:rFonts w:ascii="宋体" w:hAnsi="宋体"/>
                <w:color w:val="auto"/>
                <w:sz w:val="21"/>
                <w:szCs w:val="21"/>
                <w:lang w:eastAsia="zh-CN"/>
              </w:rPr>
            </w:pPr>
            <w:r>
              <w:rPr>
                <w:rFonts w:ascii="宋体" w:hAnsi="宋体"/>
                <w:color w:val="auto"/>
                <w:sz w:val="21"/>
                <w:szCs w:val="21"/>
                <w:lang w:eastAsia="zh-CN"/>
              </w:rPr>
              <w:t>鼓风机机壳</w:t>
            </w:r>
            <w:r>
              <w:rPr>
                <w:rFonts w:hint="eastAsia" w:ascii="宋体" w:hAnsi="宋体"/>
                <w:color w:val="auto"/>
                <w:sz w:val="21"/>
                <w:szCs w:val="21"/>
                <w:lang w:eastAsia="zh-CN"/>
              </w:rPr>
              <w:t>应采</w:t>
            </w:r>
            <w:r>
              <w:rPr>
                <w:rFonts w:ascii="宋体" w:hAnsi="宋体"/>
                <w:color w:val="auto"/>
                <w:sz w:val="21"/>
                <w:szCs w:val="21"/>
                <w:lang w:eastAsia="zh-CN"/>
              </w:rPr>
              <w:t>用整体铸造制造，其设计温度为250°C，设计压力不低于2bar。鼓风机进口通过弹性接管直接与进口过滤器/消音器相接，空气进口为轴向向心式，不允许低效空气流直接进入叶轮中心。出口法兰符合DIN2501，PN10标准，机壳上的所有接口用机加工。鼓风机应设有供起吊用的吊环。</w:t>
            </w:r>
          </w:p>
          <w:p>
            <w:pPr>
              <w:pStyle w:val="35"/>
              <w:numPr>
                <w:ilvl w:val="0"/>
                <w:numId w:val="0"/>
              </w:numPr>
              <w:tabs>
                <w:tab w:val="clear" w:pos="840"/>
                <w:tab w:val="clear" w:pos="1146"/>
                <w:tab w:val="clear" w:pos="1200"/>
                <w:tab w:val="clear" w:pos="1740"/>
              </w:tabs>
              <w:ind w:left="480"/>
              <w:rPr>
                <w:color w:val="auto"/>
                <w:sz w:val="21"/>
                <w:szCs w:val="21"/>
              </w:rPr>
            </w:pPr>
            <w:r>
              <w:rPr>
                <w:color w:val="auto"/>
                <w:sz w:val="21"/>
                <w:szCs w:val="21"/>
              </w:rPr>
              <w:t>（</w:t>
            </w:r>
            <w:r>
              <w:rPr>
                <w:rFonts w:hint="eastAsia"/>
                <w:color w:val="auto"/>
                <w:sz w:val="21"/>
                <w:szCs w:val="21"/>
              </w:rPr>
              <w:t>3</w:t>
            </w:r>
            <w:r>
              <w:rPr>
                <w:color w:val="auto"/>
                <w:sz w:val="21"/>
                <w:szCs w:val="21"/>
              </w:rPr>
              <w:t>）轴承</w:t>
            </w:r>
          </w:p>
          <w:p>
            <w:pPr>
              <w:spacing w:line="360" w:lineRule="auto"/>
              <w:ind w:firstLine="420" w:firstLineChars="200"/>
              <w:rPr>
                <w:rFonts w:ascii="宋体" w:hAnsi="宋体"/>
                <w:color w:val="auto"/>
                <w:sz w:val="21"/>
                <w:szCs w:val="21"/>
                <w:lang w:eastAsia="zh-CN"/>
              </w:rPr>
            </w:pPr>
            <w:r>
              <w:rPr>
                <w:rFonts w:hint="eastAsia" w:ascii="宋体" w:hAnsi="宋体"/>
                <w:color w:val="auto"/>
                <w:sz w:val="21"/>
                <w:szCs w:val="21"/>
                <w:lang w:eastAsia="zh-CN"/>
              </w:rPr>
              <w:t>电机轴承应采用高速磁悬浮轴承，保证输送气体100%无油；主轴承的设计寿命大于</w:t>
            </w:r>
            <w:r>
              <w:rPr>
                <w:rFonts w:ascii="宋体" w:hAnsi="宋体"/>
                <w:color w:val="auto"/>
                <w:sz w:val="21"/>
                <w:szCs w:val="21"/>
                <w:lang w:eastAsia="zh-CN"/>
              </w:rPr>
              <w:t>100,000</w:t>
            </w:r>
            <w:r>
              <w:rPr>
                <w:rFonts w:hint="eastAsia" w:ascii="宋体" w:hAnsi="宋体"/>
                <w:color w:val="auto"/>
                <w:sz w:val="21"/>
                <w:szCs w:val="21"/>
                <w:lang w:eastAsia="zh-CN"/>
              </w:rPr>
              <w:t>小时；辅助轴承采用陶瓷滚珠轴承。无需单独配置备用电池，而自身必须配有断电保护措施，不会因突然停电或故障停机造成任何损坏。备用轴承可承受10次以上的全速跌落。</w:t>
            </w:r>
          </w:p>
          <w:p>
            <w:pPr>
              <w:pStyle w:val="35"/>
              <w:numPr>
                <w:ilvl w:val="0"/>
                <w:numId w:val="0"/>
              </w:numPr>
              <w:tabs>
                <w:tab w:val="clear" w:pos="840"/>
                <w:tab w:val="clear" w:pos="1146"/>
                <w:tab w:val="clear" w:pos="1200"/>
                <w:tab w:val="clear" w:pos="1740"/>
              </w:tabs>
              <w:ind w:left="480"/>
              <w:rPr>
                <w:color w:val="auto"/>
                <w:sz w:val="21"/>
                <w:szCs w:val="21"/>
              </w:rPr>
            </w:pPr>
            <w:r>
              <w:rPr>
                <w:color w:val="auto"/>
                <w:sz w:val="21"/>
                <w:szCs w:val="21"/>
              </w:rPr>
              <w:t>（</w:t>
            </w:r>
            <w:r>
              <w:rPr>
                <w:rFonts w:hint="eastAsia"/>
                <w:color w:val="auto"/>
                <w:sz w:val="21"/>
                <w:szCs w:val="21"/>
              </w:rPr>
              <w:t>4</w:t>
            </w:r>
            <w:r>
              <w:rPr>
                <w:color w:val="auto"/>
                <w:sz w:val="21"/>
                <w:szCs w:val="21"/>
              </w:rPr>
              <w:t>）轴封</w:t>
            </w:r>
          </w:p>
          <w:p>
            <w:pPr>
              <w:adjustRightInd w:val="0"/>
              <w:snapToGrid w:val="0"/>
              <w:spacing w:line="360" w:lineRule="auto"/>
              <w:ind w:firstLine="420" w:firstLineChars="200"/>
              <w:rPr>
                <w:rFonts w:ascii="宋体" w:hAnsi="宋体"/>
                <w:color w:val="auto"/>
                <w:sz w:val="21"/>
                <w:szCs w:val="21"/>
                <w:lang w:eastAsia="zh-CN"/>
              </w:rPr>
            </w:pPr>
            <w:r>
              <w:rPr>
                <w:rFonts w:hint="eastAsia" w:ascii="宋体" w:hAnsi="宋体"/>
                <w:color w:val="auto"/>
                <w:sz w:val="21"/>
                <w:szCs w:val="21"/>
                <w:lang w:eastAsia="zh-CN"/>
              </w:rPr>
              <w:t>迷宫式轴封，保证压缩空气尽可能少的泄漏到电机转子侧，保证鼓风机效率及电机稳定运行</w:t>
            </w:r>
            <w:r>
              <w:rPr>
                <w:rFonts w:ascii="宋体" w:hAnsi="宋体"/>
                <w:color w:val="auto"/>
                <w:sz w:val="21"/>
                <w:szCs w:val="21"/>
                <w:lang w:eastAsia="zh-CN"/>
              </w:rPr>
              <w:t>。</w:t>
            </w:r>
          </w:p>
          <w:p>
            <w:pPr>
              <w:pStyle w:val="35"/>
              <w:numPr>
                <w:ilvl w:val="0"/>
                <w:numId w:val="0"/>
              </w:numPr>
              <w:tabs>
                <w:tab w:val="clear" w:pos="840"/>
                <w:tab w:val="clear" w:pos="1146"/>
                <w:tab w:val="clear" w:pos="1200"/>
                <w:tab w:val="clear" w:pos="1740"/>
              </w:tabs>
              <w:ind w:left="480"/>
              <w:rPr>
                <w:color w:val="auto"/>
                <w:sz w:val="21"/>
                <w:szCs w:val="21"/>
              </w:rPr>
            </w:pPr>
            <w:r>
              <w:rPr>
                <w:color w:val="auto"/>
                <w:sz w:val="21"/>
                <w:szCs w:val="21"/>
              </w:rPr>
              <w:t>（5）电动放空阀</w:t>
            </w:r>
          </w:p>
          <w:p>
            <w:pPr>
              <w:adjustRightInd w:val="0"/>
              <w:snapToGrid w:val="0"/>
              <w:spacing w:line="360" w:lineRule="auto"/>
              <w:ind w:firstLine="420" w:firstLineChars="200"/>
              <w:rPr>
                <w:rFonts w:ascii="宋体" w:hAnsi="宋体"/>
                <w:color w:val="auto"/>
                <w:sz w:val="21"/>
                <w:szCs w:val="21"/>
                <w:lang w:eastAsia="zh-CN"/>
              </w:rPr>
            </w:pPr>
            <w:r>
              <w:rPr>
                <w:rFonts w:ascii="宋体" w:hAnsi="宋体"/>
                <w:color w:val="auto"/>
                <w:sz w:val="21"/>
                <w:szCs w:val="21"/>
                <w:lang w:eastAsia="zh-CN"/>
              </w:rPr>
              <w:t>带有开关型电动执行器的蝶阀在启动鼓风机时打开。</w:t>
            </w:r>
          </w:p>
          <w:p>
            <w:pPr>
              <w:adjustRightInd w:val="0"/>
              <w:snapToGrid w:val="0"/>
              <w:spacing w:line="360" w:lineRule="auto"/>
              <w:ind w:firstLine="420" w:firstLineChars="200"/>
              <w:rPr>
                <w:rFonts w:ascii="宋体" w:hAnsi="宋体"/>
                <w:color w:val="auto"/>
                <w:sz w:val="21"/>
                <w:szCs w:val="21"/>
                <w:lang w:eastAsia="zh-CN"/>
              </w:rPr>
            </w:pPr>
            <w:r>
              <w:rPr>
                <w:rFonts w:ascii="宋体" w:hAnsi="宋体"/>
                <w:color w:val="auto"/>
                <w:sz w:val="21"/>
                <w:szCs w:val="21"/>
                <w:lang w:eastAsia="zh-CN"/>
              </w:rPr>
              <w:t>鼓风机放空阀应采用适用于空气的电动蝶阀，适用温度</w:t>
            </w:r>
            <w:r>
              <w:rPr>
                <w:rFonts w:hint="eastAsia" w:ascii="宋体" w:hAnsi="宋体"/>
                <w:color w:val="auto"/>
                <w:sz w:val="21"/>
                <w:szCs w:val="21"/>
                <w:lang w:eastAsia="zh-CN"/>
              </w:rPr>
              <w:t>≤</w:t>
            </w:r>
            <w:r>
              <w:rPr>
                <w:rFonts w:ascii="宋体" w:hAnsi="宋体"/>
                <w:color w:val="auto"/>
                <w:sz w:val="21"/>
                <w:szCs w:val="21"/>
                <w:lang w:eastAsia="zh-CN"/>
              </w:rPr>
              <w:t>150℃。阀门全开或全关所需的时间应小于2min，在自动运行状态下，</w:t>
            </w:r>
            <w:r>
              <w:rPr>
                <w:rFonts w:hint="eastAsia" w:ascii="宋体" w:hAnsi="宋体"/>
                <w:color w:val="auto"/>
                <w:sz w:val="21"/>
                <w:szCs w:val="21"/>
                <w:lang w:eastAsia="zh-CN"/>
              </w:rPr>
              <w:t>放空</w:t>
            </w:r>
            <w:r>
              <w:rPr>
                <w:rFonts w:ascii="宋体" w:hAnsi="宋体"/>
                <w:color w:val="auto"/>
                <w:sz w:val="21"/>
                <w:szCs w:val="21"/>
                <w:lang w:eastAsia="zh-CN"/>
              </w:rPr>
              <w:t>阀操作将根据鼓风机控制柜上的远距离开闭信号来调节阀门的开和关，每台鼓风机</w:t>
            </w:r>
            <w:r>
              <w:rPr>
                <w:rFonts w:hint="eastAsia" w:ascii="宋体" w:hAnsi="宋体"/>
                <w:color w:val="auto"/>
                <w:sz w:val="21"/>
                <w:szCs w:val="21"/>
                <w:lang w:eastAsia="zh-CN"/>
              </w:rPr>
              <w:t>全开和全关的状态在</w:t>
            </w:r>
            <w:r>
              <w:rPr>
                <w:rFonts w:ascii="宋体" w:hAnsi="宋体"/>
                <w:color w:val="auto"/>
                <w:sz w:val="21"/>
                <w:szCs w:val="21"/>
                <w:lang w:eastAsia="zh-CN"/>
              </w:rPr>
              <w:t>就地控制柜</w:t>
            </w:r>
            <w:r>
              <w:rPr>
                <w:rFonts w:hint="eastAsia" w:ascii="宋体" w:hAnsi="宋体"/>
                <w:color w:val="auto"/>
                <w:sz w:val="21"/>
                <w:szCs w:val="21"/>
                <w:lang w:eastAsia="zh-CN"/>
              </w:rPr>
              <w:t>触摸屏上显示。</w:t>
            </w:r>
          </w:p>
          <w:p>
            <w:pPr>
              <w:pStyle w:val="35"/>
              <w:numPr>
                <w:ilvl w:val="0"/>
                <w:numId w:val="0"/>
              </w:numPr>
              <w:tabs>
                <w:tab w:val="clear" w:pos="840"/>
                <w:tab w:val="clear" w:pos="1146"/>
                <w:tab w:val="clear" w:pos="1200"/>
                <w:tab w:val="clear" w:pos="1740"/>
              </w:tabs>
              <w:ind w:left="480"/>
              <w:rPr>
                <w:color w:val="auto"/>
                <w:sz w:val="21"/>
                <w:szCs w:val="21"/>
              </w:rPr>
            </w:pPr>
            <w:r>
              <w:rPr>
                <w:color w:val="auto"/>
                <w:sz w:val="21"/>
                <w:szCs w:val="21"/>
              </w:rPr>
              <w:t>（6）放空阀消音器</w:t>
            </w:r>
          </w:p>
          <w:p>
            <w:pPr>
              <w:adjustRightInd w:val="0"/>
              <w:snapToGrid w:val="0"/>
              <w:spacing w:line="360" w:lineRule="auto"/>
              <w:ind w:firstLine="420" w:firstLineChars="200"/>
              <w:rPr>
                <w:rFonts w:ascii="宋体" w:hAnsi="宋体"/>
                <w:color w:val="auto"/>
                <w:sz w:val="21"/>
                <w:szCs w:val="21"/>
                <w:lang w:eastAsia="zh-CN"/>
              </w:rPr>
            </w:pPr>
            <w:r>
              <w:rPr>
                <w:rFonts w:hint="eastAsia" w:ascii="宋体" w:hAnsi="宋体"/>
                <w:color w:val="auto"/>
                <w:sz w:val="21"/>
                <w:szCs w:val="21"/>
                <w:lang w:eastAsia="zh-CN"/>
              </w:rPr>
              <w:t>放空阀</w:t>
            </w:r>
            <w:r>
              <w:rPr>
                <w:rFonts w:ascii="宋体" w:hAnsi="宋体"/>
                <w:color w:val="auto"/>
                <w:sz w:val="21"/>
                <w:szCs w:val="21"/>
                <w:lang w:eastAsia="zh-CN"/>
              </w:rPr>
              <w:t>消音器，由低碳钢制成，并配有法兰。</w:t>
            </w:r>
          </w:p>
          <w:p>
            <w:pPr>
              <w:adjustRightInd w:val="0"/>
              <w:snapToGrid w:val="0"/>
              <w:spacing w:line="360" w:lineRule="auto"/>
              <w:ind w:firstLine="420" w:firstLineChars="200"/>
              <w:rPr>
                <w:rFonts w:ascii="宋体" w:hAnsi="宋体"/>
                <w:color w:val="auto"/>
                <w:sz w:val="21"/>
                <w:szCs w:val="21"/>
                <w:lang w:eastAsia="zh-CN"/>
              </w:rPr>
            </w:pPr>
            <w:r>
              <w:rPr>
                <w:rFonts w:ascii="宋体" w:hAnsi="宋体"/>
                <w:color w:val="auto"/>
                <w:sz w:val="21"/>
                <w:szCs w:val="21"/>
                <w:lang w:eastAsia="zh-CN"/>
              </w:rPr>
              <w:t>隔音介质应采用惰性的、阻燃的、不吸湿的和防虫蛀的矿物棉，密度不小于60kg/m³，装载压缩比小于10%以防止介质结块。</w:t>
            </w:r>
          </w:p>
          <w:p>
            <w:pPr>
              <w:adjustRightInd w:val="0"/>
              <w:snapToGrid w:val="0"/>
              <w:spacing w:line="360" w:lineRule="auto"/>
              <w:ind w:firstLine="420" w:firstLineChars="200"/>
              <w:rPr>
                <w:rFonts w:ascii="宋体" w:hAnsi="宋体"/>
                <w:color w:val="auto"/>
                <w:sz w:val="21"/>
                <w:szCs w:val="21"/>
                <w:lang w:eastAsia="zh-CN"/>
              </w:rPr>
            </w:pPr>
            <w:r>
              <w:rPr>
                <w:rFonts w:ascii="宋体" w:hAnsi="宋体"/>
                <w:color w:val="auto"/>
                <w:sz w:val="21"/>
                <w:szCs w:val="21"/>
                <w:lang w:eastAsia="zh-CN"/>
              </w:rPr>
              <w:t>消音器的尺寸是以进口法兰处最大流速为25m/s来设计。消音器安装在旁路管道端部。</w:t>
            </w:r>
          </w:p>
          <w:p>
            <w:pPr>
              <w:pStyle w:val="35"/>
              <w:numPr>
                <w:ilvl w:val="0"/>
                <w:numId w:val="0"/>
              </w:numPr>
              <w:tabs>
                <w:tab w:val="clear" w:pos="840"/>
                <w:tab w:val="clear" w:pos="1146"/>
                <w:tab w:val="clear" w:pos="1200"/>
                <w:tab w:val="clear" w:pos="1740"/>
              </w:tabs>
              <w:ind w:left="480"/>
              <w:rPr>
                <w:color w:val="auto"/>
                <w:sz w:val="21"/>
                <w:szCs w:val="21"/>
              </w:rPr>
            </w:pPr>
            <w:r>
              <w:rPr>
                <w:color w:val="auto"/>
                <w:sz w:val="21"/>
                <w:szCs w:val="21"/>
              </w:rPr>
              <w:t>（7）</w:t>
            </w:r>
            <w:r>
              <w:rPr>
                <w:rFonts w:hint="eastAsia"/>
                <w:color w:val="auto"/>
                <w:sz w:val="21"/>
                <w:szCs w:val="21"/>
              </w:rPr>
              <w:t>进口</w:t>
            </w:r>
            <w:r>
              <w:rPr>
                <w:color w:val="auto"/>
                <w:sz w:val="21"/>
                <w:szCs w:val="21"/>
              </w:rPr>
              <w:t>柔性接头</w:t>
            </w:r>
          </w:p>
          <w:p>
            <w:pPr>
              <w:adjustRightInd w:val="0"/>
              <w:snapToGrid w:val="0"/>
              <w:spacing w:line="360" w:lineRule="auto"/>
              <w:ind w:firstLine="420" w:firstLineChars="200"/>
              <w:rPr>
                <w:rFonts w:ascii="宋体" w:hAnsi="宋体"/>
                <w:color w:val="auto"/>
                <w:sz w:val="21"/>
                <w:szCs w:val="21"/>
                <w:lang w:eastAsia="zh-CN"/>
              </w:rPr>
            </w:pPr>
            <w:r>
              <w:rPr>
                <w:rFonts w:ascii="宋体" w:hAnsi="宋体"/>
                <w:color w:val="auto"/>
                <w:sz w:val="21"/>
                <w:szCs w:val="21"/>
                <w:lang w:eastAsia="zh-CN"/>
              </w:rPr>
              <w:t>骨架式合成橡胶挠性收缩节安装在进口过滤器/消音器和鼓风机进口之间。应能承受所有运行工况的压力和0～200°C的温度。</w:t>
            </w:r>
          </w:p>
          <w:p>
            <w:pPr>
              <w:pStyle w:val="35"/>
              <w:numPr>
                <w:ilvl w:val="0"/>
                <w:numId w:val="0"/>
              </w:numPr>
              <w:tabs>
                <w:tab w:val="clear" w:pos="840"/>
                <w:tab w:val="clear" w:pos="1146"/>
                <w:tab w:val="clear" w:pos="1200"/>
                <w:tab w:val="clear" w:pos="1740"/>
              </w:tabs>
              <w:ind w:left="480"/>
              <w:rPr>
                <w:color w:val="auto"/>
                <w:sz w:val="21"/>
                <w:szCs w:val="21"/>
              </w:rPr>
            </w:pPr>
            <w:r>
              <w:rPr>
                <w:color w:val="auto"/>
                <w:sz w:val="21"/>
                <w:szCs w:val="21"/>
              </w:rPr>
              <w:t>（</w:t>
            </w:r>
            <w:r>
              <w:rPr>
                <w:rFonts w:hint="eastAsia"/>
                <w:color w:val="auto"/>
                <w:sz w:val="21"/>
                <w:szCs w:val="21"/>
              </w:rPr>
              <w:t>8</w:t>
            </w:r>
            <w:r>
              <w:rPr>
                <w:color w:val="auto"/>
                <w:sz w:val="21"/>
                <w:szCs w:val="21"/>
              </w:rPr>
              <w:t>）止回阀</w:t>
            </w:r>
          </w:p>
          <w:p>
            <w:pPr>
              <w:adjustRightInd w:val="0"/>
              <w:snapToGrid w:val="0"/>
              <w:spacing w:line="360" w:lineRule="auto"/>
              <w:ind w:firstLine="420" w:firstLineChars="200"/>
              <w:rPr>
                <w:rFonts w:ascii="宋体" w:hAnsi="宋体"/>
                <w:color w:val="auto"/>
                <w:sz w:val="21"/>
                <w:szCs w:val="21"/>
                <w:lang w:eastAsia="zh-CN"/>
              </w:rPr>
            </w:pPr>
            <w:r>
              <w:rPr>
                <w:rFonts w:ascii="宋体" w:hAnsi="宋体"/>
                <w:color w:val="auto"/>
                <w:sz w:val="21"/>
                <w:szCs w:val="21"/>
                <w:lang w:eastAsia="zh-CN"/>
              </w:rPr>
              <w:t>每台鼓风机提供一个法兰连接的止回阀，其构造适合于空气流体的使用及操作。</w:t>
            </w:r>
            <w:r>
              <w:rPr>
                <w:rFonts w:hint="eastAsia" w:ascii="宋体" w:hAnsi="宋体"/>
                <w:color w:val="auto"/>
                <w:sz w:val="21"/>
                <w:szCs w:val="21"/>
                <w:lang w:eastAsia="zh-CN"/>
              </w:rPr>
              <w:t>止回阀采用</w:t>
            </w:r>
            <w:r>
              <w:rPr>
                <w:rFonts w:ascii="宋体" w:hAnsi="宋体"/>
                <w:color w:val="auto"/>
                <w:sz w:val="21"/>
                <w:szCs w:val="21"/>
                <w:lang w:eastAsia="zh-CN"/>
              </w:rPr>
              <w:t>铸铁阀体，</w:t>
            </w:r>
            <w:r>
              <w:rPr>
                <w:rFonts w:hint="eastAsia" w:ascii="宋体" w:hAnsi="宋体"/>
                <w:color w:val="auto"/>
                <w:sz w:val="21"/>
                <w:szCs w:val="21"/>
                <w:lang w:eastAsia="zh-CN"/>
              </w:rPr>
              <w:t>铸铁</w:t>
            </w:r>
            <w:r>
              <w:rPr>
                <w:rFonts w:ascii="宋体" w:hAnsi="宋体"/>
                <w:color w:val="auto"/>
                <w:sz w:val="21"/>
                <w:szCs w:val="21"/>
                <w:lang w:eastAsia="zh-CN"/>
              </w:rPr>
              <w:t>阀板。</w:t>
            </w:r>
          </w:p>
          <w:p>
            <w:pPr>
              <w:pStyle w:val="35"/>
              <w:numPr>
                <w:ilvl w:val="0"/>
                <w:numId w:val="0"/>
              </w:numPr>
              <w:tabs>
                <w:tab w:val="clear" w:pos="840"/>
                <w:tab w:val="clear" w:pos="1146"/>
                <w:tab w:val="clear" w:pos="1200"/>
                <w:tab w:val="clear" w:pos="1740"/>
              </w:tabs>
              <w:ind w:left="480"/>
              <w:rPr>
                <w:color w:val="auto"/>
                <w:sz w:val="21"/>
                <w:szCs w:val="21"/>
              </w:rPr>
            </w:pPr>
            <w:r>
              <w:rPr>
                <w:color w:val="auto"/>
                <w:sz w:val="21"/>
                <w:szCs w:val="21"/>
              </w:rPr>
              <w:t>（</w:t>
            </w:r>
            <w:r>
              <w:rPr>
                <w:rFonts w:hint="eastAsia"/>
                <w:color w:val="auto"/>
                <w:sz w:val="21"/>
                <w:szCs w:val="21"/>
              </w:rPr>
              <w:t>9</w:t>
            </w:r>
            <w:r>
              <w:rPr>
                <w:color w:val="auto"/>
                <w:sz w:val="21"/>
                <w:szCs w:val="21"/>
              </w:rPr>
              <w:t>）进口过滤器/消音器</w:t>
            </w:r>
          </w:p>
          <w:p>
            <w:pPr>
              <w:adjustRightInd w:val="0"/>
              <w:snapToGrid w:val="0"/>
              <w:spacing w:line="360" w:lineRule="auto"/>
              <w:ind w:firstLine="420" w:firstLineChars="200"/>
              <w:rPr>
                <w:rFonts w:ascii="宋体" w:hAnsi="宋体"/>
                <w:color w:val="auto"/>
                <w:sz w:val="21"/>
                <w:szCs w:val="21"/>
                <w:lang w:eastAsia="zh-CN"/>
              </w:rPr>
            </w:pPr>
            <w:r>
              <w:rPr>
                <w:rFonts w:ascii="宋体" w:hAnsi="宋体"/>
                <w:color w:val="auto"/>
                <w:sz w:val="21"/>
                <w:szCs w:val="21"/>
                <w:lang w:eastAsia="zh-CN"/>
              </w:rPr>
              <w:t>消音器为装有高性能隔音气流分割组件的矩形通道。消音器的外壳应采用至少碳钢板制成。消音器的长度应能达到要求的隔音性能，并在与鼓风机连接一端留有足够的使空气均匀化的空间。</w:t>
            </w:r>
          </w:p>
          <w:p>
            <w:pPr>
              <w:adjustRightInd w:val="0"/>
              <w:snapToGrid w:val="0"/>
              <w:spacing w:line="360" w:lineRule="auto"/>
              <w:ind w:firstLine="420" w:firstLineChars="200"/>
              <w:rPr>
                <w:rFonts w:ascii="宋体" w:hAnsi="宋体"/>
                <w:color w:val="auto"/>
                <w:sz w:val="21"/>
                <w:szCs w:val="21"/>
                <w:lang w:eastAsia="zh-CN"/>
              </w:rPr>
            </w:pPr>
            <w:r>
              <w:rPr>
                <w:rFonts w:ascii="宋体" w:hAnsi="宋体"/>
                <w:color w:val="auto"/>
                <w:sz w:val="21"/>
                <w:szCs w:val="21"/>
                <w:lang w:eastAsia="zh-CN"/>
              </w:rPr>
              <w:t>过滤器的过滤效率符合EU4标准要求。过滤器为单级型，玻璃纤维（或相当材料）制成的板式过滤元件安装在框架内。板式过滤元件可以方便地从侧面抽出。</w:t>
            </w:r>
          </w:p>
          <w:p>
            <w:pPr>
              <w:adjustRightInd w:val="0"/>
              <w:snapToGrid w:val="0"/>
              <w:spacing w:line="360" w:lineRule="auto"/>
              <w:ind w:firstLine="420" w:firstLineChars="200"/>
              <w:rPr>
                <w:rFonts w:ascii="宋体" w:hAnsi="宋体"/>
                <w:color w:val="auto"/>
                <w:sz w:val="21"/>
                <w:szCs w:val="21"/>
                <w:lang w:eastAsia="zh-CN"/>
              </w:rPr>
            </w:pPr>
            <w:r>
              <w:rPr>
                <w:rFonts w:ascii="宋体" w:hAnsi="宋体"/>
                <w:color w:val="auto"/>
                <w:sz w:val="21"/>
                <w:szCs w:val="21"/>
                <w:lang w:eastAsia="zh-CN"/>
              </w:rPr>
              <w:t>过滤元件气流的速度不超过120m/min。过滤器/消音器应带有压差表。</w:t>
            </w:r>
          </w:p>
          <w:p>
            <w:pPr>
              <w:adjustRightInd w:val="0"/>
              <w:snapToGrid w:val="0"/>
              <w:spacing w:line="360" w:lineRule="auto"/>
              <w:ind w:firstLine="420" w:firstLineChars="200"/>
              <w:rPr>
                <w:rFonts w:ascii="宋体" w:hAnsi="宋体"/>
                <w:color w:val="auto"/>
                <w:sz w:val="21"/>
                <w:szCs w:val="21"/>
                <w:lang w:eastAsia="zh-CN"/>
              </w:rPr>
            </w:pPr>
            <w:r>
              <w:rPr>
                <w:rFonts w:ascii="宋体" w:hAnsi="宋体"/>
                <w:color w:val="auto"/>
                <w:sz w:val="21"/>
                <w:szCs w:val="21"/>
                <w:lang w:eastAsia="zh-CN"/>
              </w:rPr>
              <w:t>在距离机组表面任意点1m处、无反射环境和单机运行条件下，将噪音声压水平控制在80dB（A）。</w:t>
            </w:r>
          </w:p>
          <w:p>
            <w:pPr>
              <w:pStyle w:val="35"/>
              <w:numPr>
                <w:ilvl w:val="0"/>
                <w:numId w:val="0"/>
              </w:numPr>
              <w:tabs>
                <w:tab w:val="clear" w:pos="840"/>
                <w:tab w:val="clear" w:pos="1146"/>
                <w:tab w:val="clear" w:pos="1200"/>
                <w:tab w:val="clear" w:pos="1740"/>
              </w:tabs>
              <w:ind w:left="480"/>
              <w:rPr>
                <w:color w:val="auto"/>
                <w:sz w:val="21"/>
                <w:szCs w:val="21"/>
              </w:rPr>
            </w:pPr>
            <w:r>
              <w:rPr>
                <w:color w:val="auto"/>
                <w:sz w:val="21"/>
                <w:szCs w:val="21"/>
              </w:rPr>
              <w:t>（</w:t>
            </w:r>
            <w:r>
              <w:rPr>
                <w:rFonts w:hint="eastAsia"/>
                <w:color w:val="auto"/>
                <w:sz w:val="21"/>
                <w:szCs w:val="21"/>
              </w:rPr>
              <w:t>10</w:t>
            </w:r>
            <w:r>
              <w:rPr>
                <w:color w:val="auto"/>
                <w:sz w:val="21"/>
                <w:szCs w:val="21"/>
              </w:rPr>
              <w:t>）电机</w:t>
            </w:r>
            <w:r>
              <w:rPr>
                <w:rFonts w:hint="eastAsia"/>
                <w:color w:val="auto"/>
                <w:sz w:val="21"/>
                <w:szCs w:val="21"/>
              </w:rPr>
              <w:t>及轴承控制系统</w:t>
            </w:r>
          </w:p>
          <w:p>
            <w:pPr>
              <w:adjustRightInd w:val="0"/>
              <w:snapToGrid w:val="0"/>
              <w:spacing w:line="360" w:lineRule="auto"/>
              <w:ind w:firstLine="420" w:firstLineChars="200"/>
              <w:rPr>
                <w:rFonts w:ascii="宋体" w:hAnsi="宋体"/>
                <w:color w:val="auto"/>
                <w:sz w:val="21"/>
                <w:szCs w:val="21"/>
                <w:lang w:eastAsia="zh-CN"/>
              </w:rPr>
            </w:pPr>
            <w:r>
              <w:rPr>
                <w:rFonts w:hint="eastAsia" w:ascii="宋体" w:hAnsi="宋体"/>
                <w:color w:val="auto"/>
                <w:sz w:val="21"/>
                <w:szCs w:val="21"/>
                <w:lang w:eastAsia="zh-CN"/>
              </w:rPr>
              <w:t>每台鼓风机应配置电机及轴承控制系统，以保证设备运行的稳定性和可靠性</w:t>
            </w:r>
            <w:r>
              <w:rPr>
                <w:rFonts w:ascii="宋体" w:hAnsi="宋体"/>
                <w:color w:val="auto"/>
                <w:sz w:val="21"/>
                <w:szCs w:val="21"/>
                <w:lang w:eastAsia="zh-CN"/>
              </w:rPr>
              <w:t>。电机</w:t>
            </w:r>
            <w:r>
              <w:rPr>
                <w:rFonts w:hint="eastAsia" w:ascii="宋体" w:hAnsi="宋体"/>
                <w:color w:val="auto"/>
                <w:sz w:val="21"/>
                <w:szCs w:val="21"/>
                <w:lang w:eastAsia="zh-CN"/>
              </w:rPr>
              <w:t>功率满足整个设计工况范围内的</w:t>
            </w:r>
            <w:r>
              <w:rPr>
                <w:rFonts w:ascii="宋体" w:hAnsi="宋体"/>
                <w:color w:val="auto"/>
                <w:sz w:val="21"/>
                <w:szCs w:val="21"/>
                <w:lang w:eastAsia="zh-CN"/>
              </w:rPr>
              <w:t>最大负荷值。</w:t>
            </w:r>
          </w:p>
          <w:p>
            <w:pPr>
              <w:adjustRightInd w:val="0"/>
              <w:snapToGrid w:val="0"/>
              <w:spacing w:line="360" w:lineRule="auto"/>
              <w:ind w:firstLine="420" w:firstLineChars="200"/>
              <w:rPr>
                <w:rFonts w:ascii="宋体" w:hAnsi="宋体"/>
                <w:color w:val="auto"/>
                <w:sz w:val="21"/>
                <w:szCs w:val="21"/>
                <w:lang w:eastAsia="zh-CN"/>
              </w:rPr>
            </w:pPr>
            <w:r>
              <w:rPr>
                <w:rFonts w:hint="eastAsia" w:ascii="宋体" w:hAnsi="宋体"/>
                <w:color w:val="auto"/>
                <w:sz w:val="21"/>
                <w:szCs w:val="21"/>
                <w:lang w:eastAsia="zh-CN"/>
              </w:rPr>
              <w:t>电机的包装保护适合常规运输和不少于</w:t>
            </w:r>
            <w:r>
              <w:rPr>
                <w:rFonts w:ascii="宋体" w:hAnsi="宋体"/>
                <w:color w:val="auto"/>
                <w:sz w:val="21"/>
                <w:szCs w:val="21"/>
                <w:lang w:eastAsia="zh-CN"/>
              </w:rPr>
              <w:t>6</w:t>
            </w:r>
            <w:r>
              <w:rPr>
                <w:rFonts w:hint="eastAsia" w:ascii="宋体" w:hAnsi="宋体"/>
                <w:color w:val="auto"/>
                <w:sz w:val="21"/>
                <w:szCs w:val="21"/>
                <w:lang w:eastAsia="zh-CN"/>
              </w:rPr>
              <w:t>个月的室内储存。</w:t>
            </w:r>
          </w:p>
          <w:p>
            <w:pPr>
              <w:pStyle w:val="35"/>
              <w:numPr>
                <w:ilvl w:val="0"/>
                <w:numId w:val="0"/>
              </w:numPr>
              <w:tabs>
                <w:tab w:val="clear" w:pos="840"/>
                <w:tab w:val="clear" w:pos="1146"/>
                <w:tab w:val="clear" w:pos="1200"/>
                <w:tab w:val="clear" w:pos="1740"/>
              </w:tabs>
              <w:ind w:left="480"/>
              <w:rPr>
                <w:color w:val="auto"/>
                <w:sz w:val="21"/>
                <w:szCs w:val="21"/>
              </w:rPr>
            </w:pPr>
            <w:bookmarkStart w:id="271" w:name="_Toc366656855"/>
            <w:r>
              <w:rPr>
                <w:color w:val="auto"/>
                <w:sz w:val="21"/>
                <w:szCs w:val="21"/>
              </w:rPr>
              <w:t>（11）</w:t>
            </w:r>
            <w:bookmarkEnd w:id="271"/>
            <w:r>
              <w:rPr>
                <w:color w:val="auto"/>
                <w:sz w:val="21"/>
                <w:szCs w:val="21"/>
              </w:rPr>
              <w:t>整机隔音罩</w:t>
            </w:r>
          </w:p>
          <w:p>
            <w:pPr>
              <w:pStyle w:val="48"/>
              <w:ind w:firstLine="420"/>
              <w:rPr>
                <w:rFonts w:ascii="宋体" w:hAnsi="宋体" w:cs="宋体"/>
                <w:color w:val="auto"/>
                <w:sz w:val="21"/>
                <w:szCs w:val="21"/>
              </w:rPr>
            </w:pPr>
            <w:r>
              <w:rPr>
                <w:rFonts w:hint="eastAsia" w:ascii="宋体" w:hAnsi="宋体" w:cs="宋体"/>
                <w:color w:val="auto"/>
                <w:sz w:val="21"/>
                <w:szCs w:val="21"/>
              </w:rPr>
              <w:t>隔音罩覆盖：鼓风机和电机。</w:t>
            </w:r>
          </w:p>
          <w:p>
            <w:pPr>
              <w:pStyle w:val="48"/>
              <w:ind w:firstLine="420"/>
              <w:rPr>
                <w:rFonts w:ascii="宋体" w:hAnsi="宋体" w:cs="宋体"/>
                <w:color w:val="auto"/>
                <w:sz w:val="21"/>
                <w:szCs w:val="21"/>
              </w:rPr>
            </w:pPr>
            <w:r>
              <w:rPr>
                <w:rFonts w:hint="eastAsia" w:ascii="宋体" w:hAnsi="宋体" w:cs="宋体"/>
                <w:color w:val="auto"/>
                <w:sz w:val="21"/>
                <w:szCs w:val="21"/>
              </w:rPr>
              <w:t>标准隔音罩一般包括中空主体框架，内部嵌入隔音板。</w:t>
            </w:r>
          </w:p>
          <w:p>
            <w:pPr>
              <w:pStyle w:val="48"/>
              <w:ind w:firstLine="420"/>
              <w:rPr>
                <w:rFonts w:ascii="宋体" w:hAnsi="宋体" w:cs="宋体"/>
                <w:color w:val="auto"/>
                <w:sz w:val="21"/>
                <w:szCs w:val="21"/>
              </w:rPr>
            </w:pPr>
            <w:r>
              <w:rPr>
                <w:rFonts w:hint="eastAsia" w:ascii="宋体" w:hAnsi="宋体" w:cs="宋体"/>
                <w:color w:val="auto"/>
                <w:sz w:val="21"/>
                <w:szCs w:val="21"/>
              </w:rPr>
              <w:t>隔音板中间为“Z”形截面的加强段，按照要求安装在隔音板上，以保证良好的刚性。装载压缩比小于10%以防止介质结块。快速装卸设计使得隔音板的维护很方便。在管道通过隔音板的位置有专门设计的密封隔音板。隔音罩在距离表面任意点1米远处，无反射环境和单机运行条件下，将噪音声压水平控制在8</w:t>
            </w:r>
            <w:r>
              <w:rPr>
                <w:rFonts w:ascii="宋体" w:hAnsi="宋体" w:cs="宋体"/>
                <w:color w:val="auto"/>
                <w:sz w:val="21"/>
                <w:szCs w:val="21"/>
              </w:rPr>
              <w:t>0</w:t>
            </w:r>
            <w:r>
              <w:rPr>
                <w:rFonts w:hint="eastAsia" w:ascii="宋体" w:hAnsi="宋体" w:cs="宋体"/>
                <w:color w:val="auto"/>
                <w:sz w:val="21"/>
                <w:szCs w:val="21"/>
              </w:rPr>
              <w:t>dBA。</w:t>
            </w:r>
          </w:p>
          <w:p>
            <w:pPr>
              <w:pStyle w:val="11"/>
              <w:kinsoku w:val="0"/>
              <w:overflowPunct w:val="0"/>
              <w:snapToGrid w:val="0"/>
              <w:spacing w:line="360" w:lineRule="auto"/>
              <w:ind w:firstLine="420"/>
              <w:rPr>
                <w:color w:val="auto"/>
                <w:lang w:eastAsia="zh-CN"/>
              </w:rPr>
            </w:pPr>
            <w:r>
              <w:rPr>
                <w:color w:val="auto"/>
                <w:lang w:eastAsia="zh-CN"/>
              </w:rPr>
              <w:t>数量</w:t>
            </w:r>
            <w:r>
              <w:rPr>
                <w:rFonts w:hint="eastAsia"/>
                <w:color w:val="auto"/>
                <w:lang w:eastAsia="zh-CN"/>
              </w:rPr>
              <w:t>：</w:t>
            </w:r>
            <w:r>
              <w:rPr>
                <w:color w:val="auto"/>
                <w:lang w:eastAsia="zh-CN"/>
              </w:rPr>
              <w:t>每台鼓风机一套</w:t>
            </w:r>
          </w:p>
          <w:p>
            <w:pPr>
              <w:pStyle w:val="11"/>
              <w:kinsoku w:val="0"/>
              <w:overflowPunct w:val="0"/>
              <w:snapToGrid w:val="0"/>
              <w:spacing w:line="360" w:lineRule="auto"/>
              <w:ind w:firstLine="420"/>
              <w:rPr>
                <w:color w:val="auto"/>
                <w:lang w:eastAsia="zh-CN"/>
              </w:rPr>
            </w:pPr>
            <w:r>
              <w:rPr>
                <w:color w:val="auto"/>
                <w:lang w:eastAsia="zh-CN"/>
              </w:rPr>
              <w:t>类型</w:t>
            </w:r>
            <w:r>
              <w:rPr>
                <w:rFonts w:hint="eastAsia"/>
                <w:color w:val="auto"/>
                <w:lang w:eastAsia="zh-CN"/>
              </w:rPr>
              <w:t>：</w:t>
            </w:r>
            <w:r>
              <w:rPr>
                <w:color w:val="auto"/>
                <w:lang w:eastAsia="zh-CN"/>
              </w:rPr>
              <w:t>为进口/出口管路预留开孔</w:t>
            </w:r>
          </w:p>
          <w:p>
            <w:pPr>
              <w:adjustRightInd w:val="0"/>
              <w:snapToGrid w:val="0"/>
              <w:spacing w:line="360" w:lineRule="auto"/>
              <w:ind w:firstLine="420" w:firstLineChars="200"/>
              <w:rPr>
                <w:rFonts w:ascii="宋体" w:hAnsi="宋体"/>
                <w:color w:val="auto"/>
                <w:sz w:val="21"/>
                <w:szCs w:val="21"/>
                <w:lang w:eastAsia="zh-CN"/>
              </w:rPr>
            </w:pPr>
            <w:r>
              <w:rPr>
                <w:rFonts w:ascii="宋体" w:hAnsi="宋体"/>
                <w:color w:val="auto"/>
                <w:sz w:val="21"/>
                <w:szCs w:val="21"/>
                <w:lang w:eastAsia="zh-CN"/>
              </w:rPr>
              <w:t>特点</w:t>
            </w:r>
            <w:r>
              <w:rPr>
                <w:rFonts w:hint="eastAsia" w:ascii="宋体" w:hAnsi="宋体"/>
                <w:color w:val="auto"/>
                <w:sz w:val="21"/>
                <w:szCs w:val="21"/>
                <w:lang w:eastAsia="zh-CN"/>
              </w:rPr>
              <w:t>：隔音罩侧面板和顶部面板或者铰为门，或者可以快速且容易的移除，以便舒适地接近内部部件。</w:t>
            </w:r>
          </w:p>
          <w:p>
            <w:pPr>
              <w:pStyle w:val="35"/>
              <w:numPr>
                <w:ilvl w:val="0"/>
                <w:numId w:val="0"/>
              </w:numPr>
              <w:tabs>
                <w:tab w:val="clear" w:pos="840"/>
                <w:tab w:val="clear" w:pos="1146"/>
                <w:tab w:val="clear" w:pos="1200"/>
                <w:tab w:val="clear" w:pos="1740"/>
              </w:tabs>
              <w:ind w:left="480"/>
              <w:rPr>
                <w:color w:val="auto"/>
                <w:sz w:val="21"/>
                <w:szCs w:val="21"/>
              </w:rPr>
            </w:pPr>
            <w:r>
              <w:rPr>
                <w:color w:val="auto"/>
                <w:sz w:val="21"/>
                <w:szCs w:val="21"/>
              </w:rPr>
              <w:t>（12）出口锥形扩压管</w:t>
            </w:r>
          </w:p>
          <w:p>
            <w:pPr>
              <w:adjustRightInd w:val="0"/>
              <w:snapToGrid w:val="0"/>
              <w:spacing w:line="360" w:lineRule="auto"/>
              <w:ind w:firstLine="420" w:firstLineChars="200"/>
              <w:rPr>
                <w:rFonts w:ascii="宋体" w:hAnsi="宋体"/>
                <w:color w:val="auto"/>
                <w:sz w:val="21"/>
                <w:szCs w:val="21"/>
                <w:lang w:eastAsia="zh-CN"/>
              </w:rPr>
            </w:pPr>
            <w:r>
              <w:rPr>
                <w:rFonts w:ascii="宋体" w:hAnsi="宋体"/>
                <w:color w:val="auto"/>
                <w:sz w:val="21"/>
                <w:szCs w:val="21"/>
                <w:lang w:eastAsia="zh-CN"/>
              </w:rPr>
              <w:t>每台鼓风机在鼓风机出口与出口管间配有扩压管以降低空气流速至20米/秒。出口扩压管的长度经空气动力学设计以回收动压及将气流扰动减小到最小。出口扩压管用碳钢板制造并配有法兰及安装传感器的接口。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widowControl/>
              <w:spacing w:line="360" w:lineRule="auto"/>
              <w:rPr>
                <w:rFonts w:ascii="宋体" w:hAnsi="宋体" w:eastAsia="宋体" w:cs="宋体"/>
                <w:b/>
                <w:color w:val="auto"/>
                <w:sz w:val="21"/>
                <w:szCs w:val="21"/>
                <w:lang w:eastAsia="zh-CN"/>
              </w:rPr>
            </w:pPr>
            <w:r>
              <w:rPr>
                <w:rFonts w:ascii="宋体" w:hAnsi="宋体"/>
                <w:b/>
                <w:color w:val="auto"/>
                <w:sz w:val="21"/>
                <w:szCs w:val="21"/>
                <w:lang w:eastAsia="zh-CN"/>
              </w:rPr>
              <w:t>仪表及控制系统技术要求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adjustRightInd w:val="0"/>
              <w:snapToGrid w:val="0"/>
              <w:spacing w:line="360" w:lineRule="auto"/>
              <w:ind w:firstLine="420" w:firstLineChars="200"/>
              <w:rPr>
                <w:rFonts w:ascii="宋体" w:hAnsi="宋体"/>
                <w:color w:val="auto"/>
                <w:sz w:val="21"/>
                <w:szCs w:val="21"/>
              </w:rPr>
            </w:pPr>
            <w:r>
              <w:rPr>
                <w:rFonts w:ascii="宋体" w:hAnsi="宋体"/>
                <w:color w:val="auto"/>
                <w:sz w:val="21"/>
                <w:szCs w:val="21"/>
                <w:lang w:eastAsia="zh-CN"/>
              </w:rPr>
              <w:t>仪表部件由鼓风机制造商提供。这些部件安装在鼓风机底座上。</w:t>
            </w:r>
            <w:r>
              <w:rPr>
                <w:rFonts w:ascii="宋体" w:hAnsi="宋体"/>
                <w:color w:val="auto"/>
                <w:sz w:val="21"/>
                <w:szCs w:val="21"/>
              </w:rPr>
              <w:t>至少包括下列仪表：</w:t>
            </w:r>
          </w:p>
          <w:p>
            <w:pPr>
              <w:pStyle w:val="35"/>
              <w:ind w:firstLine="420" w:firstLineChars="200"/>
              <w:rPr>
                <w:color w:val="auto"/>
                <w:sz w:val="21"/>
                <w:szCs w:val="21"/>
              </w:rPr>
            </w:pPr>
            <w:r>
              <w:rPr>
                <w:rFonts w:hint="eastAsia"/>
                <w:color w:val="auto"/>
                <w:sz w:val="21"/>
                <w:szCs w:val="21"/>
              </w:rPr>
              <w:t>进口空气温度传感器</w:t>
            </w:r>
          </w:p>
          <w:p>
            <w:pPr>
              <w:pStyle w:val="35"/>
              <w:ind w:firstLine="420" w:firstLineChars="200"/>
              <w:rPr>
                <w:color w:val="auto"/>
                <w:sz w:val="21"/>
                <w:szCs w:val="21"/>
              </w:rPr>
            </w:pPr>
            <w:r>
              <w:rPr>
                <w:rFonts w:hint="eastAsia"/>
                <w:color w:val="auto"/>
                <w:sz w:val="21"/>
                <w:szCs w:val="21"/>
              </w:rPr>
              <w:t>进口空气压力传感器</w:t>
            </w:r>
          </w:p>
          <w:p>
            <w:pPr>
              <w:pStyle w:val="35"/>
              <w:ind w:firstLine="420" w:firstLineChars="200"/>
              <w:rPr>
                <w:color w:val="auto"/>
                <w:sz w:val="21"/>
                <w:szCs w:val="21"/>
              </w:rPr>
            </w:pPr>
            <w:r>
              <w:rPr>
                <w:rFonts w:hint="eastAsia"/>
                <w:color w:val="auto"/>
                <w:sz w:val="21"/>
                <w:szCs w:val="21"/>
              </w:rPr>
              <w:t>出口空气温度传感器</w:t>
            </w:r>
          </w:p>
          <w:p>
            <w:pPr>
              <w:pStyle w:val="35"/>
              <w:ind w:firstLine="420" w:firstLineChars="200"/>
              <w:rPr>
                <w:color w:val="auto"/>
                <w:sz w:val="21"/>
                <w:szCs w:val="21"/>
              </w:rPr>
            </w:pPr>
            <w:r>
              <w:rPr>
                <w:rFonts w:hint="eastAsia"/>
                <w:color w:val="auto"/>
                <w:sz w:val="21"/>
                <w:szCs w:val="21"/>
              </w:rPr>
              <w:t>出口空气压力传感器</w:t>
            </w:r>
          </w:p>
          <w:p>
            <w:pPr>
              <w:pStyle w:val="35"/>
              <w:ind w:firstLine="420" w:firstLineChars="200"/>
              <w:rPr>
                <w:color w:val="auto"/>
                <w:sz w:val="21"/>
                <w:szCs w:val="21"/>
              </w:rPr>
            </w:pPr>
            <w:r>
              <w:rPr>
                <w:rFonts w:hint="eastAsia"/>
                <w:color w:val="auto"/>
                <w:sz w:val="21"/>
                <w:szCs w:val="21"/>
              </w:rPr>
              <w:t>入口过滤器</w:t>
            </w:r>
            <w:r>
              <w:rPr>
                <w:color w:val="auto"/>
                <w:sz w:val="21"/>
                <w:szCs w:val="21"/>
              </w:rPr>
              <w:t>差压</w:t>
            </w:r>
            <w:r>
              <w:rPr>
                <w:rFonts w:hint="eastAsia"/>
                <w:color w:val="auto"/>
                <w:sz w:val="21"/>
                <w:szCs w:val="21"/>
              </w:rPr>
              <w:t>开关</w:t>
            </w:r>
          </w:p>
          <w:p>
            <w:pPr>
              <w:pStyle w:val="35"/>
              <w:ind w:firstLine="420" w:firstLineChars="200"/>
              <w:rPr>
                <w:color w:val="auto"/>
                <w:sz w:val="21"/>
                <w:szCs w:val="21"/>
              </w:rPr>
            </w:pPr>
            <w:r>
              <w:rPr>
                <w:rFonts w:hint="eastAsia"/>
                <w:color w:val="auto"/>
                <w:sz w:val="21"/>
                <w:szCs w:val="21"/>
              </w:rPr>
              <w:t>放空阀</w:t>
            </w:r>
            <w:r>
              <w:rPr>
                <w:color w:val="auto"/>
                <w:sz w:val="21"/>
                <w:szCs w:val="21"/>
              </w:rPr>
              <w:t>位置</w:t>
            </w:r>
            <w:r>
              <w:rPr>
                <w:rFonts w:hint="eastAsia"/>
                <w:color w:val="auto"/>
                <w:sz w:val="21"/>
                <w:szCs w:val="21"/>
              </w:rPr>
              <w:t>变送器</w:t>
            </w:r>
          </w:p>
          <w:p>
            <w:pPr>
              <w:adjustRightInd w:val="0"/>
              <w:snapToGrid w:val="0"/>
              <w:spacing w:line="360" w:lineRule="auto"/>
              <w:ind w:firstLine="420" w:firstLineChars="200"/>
              <w:rPr>
                <w:rFonts w:ascii="宋体" w:hAnsi="宋体"/>
                <w:color w:val="auto"/>
                <w:sz w:val="21"/>
                <w:szCs w:val="21"/>
                <w:lang w:eastAsia="zh-CN"/>
              </w:rPr>
            </w:pPr>
            <w:r>
              <w:rPr>
                <w:rFonts w:hint="eastAsia" w:ascii="宋体" w:hAnsi="宋体"/>
                <w:color w:val="auto"/>
                <w:sz w:val="21"/>
                <w:szCs w:val="21"/>
                <w:lang w:eastAsia="zh-CN"/>
              </w:rPr>
              <w:t>电机内置传感器及探头主要包括：</w:t>
            </w:r>
          </w:p>
          <w:p>
            <w:pPr>
              <w:pStyle w:val="35"/>
              <w:numPr>
                <w:ilvl w:val="6"/>
                <w:numId w:val="22"/>
              </w:numPr>
              <w:ind w:left="0" w:firstLine="420" w:firstLineChars="200"/>
              <w:rPr>
                <w:color w:val="auto"/>
                <w:sz w:val="21"/>
                <w:szCs w:val="21"/>
              </w:rPr>
            </w:pPr>
            <w:r>
              <w:rPr>
                <w:rFonts w:hint="eastAsia"/>
                <w:color w:val="auto"/>
                <w:sz w:val="21"/>
                <w:szCs w:val="21"/>
              </w:rPr>
              <w:t>转速传感器</w:t>
            </w:r>
          </w:p>
          <w:p>
            <w:pPr>
              <w:pStyle w:val="35"/>
              <w:numPr>
                <w:ilvl w:val="6"/>
                <w:numId w:val="22"/>
              </w:numPr>
              <w:ind w:left="0" w:firstLine="420" w:firstLineChars="200"/>
              <w:rPr>
                <w:color w:val="auto"/>
                <w:sz w:val="21"/>
                <w:szCs w:val="21"/>
              </w:rPr>
            </w:pPr>
            <w:r>
              <w:rPr>
                <w:rFonts w:hint="eastAsia"/>
                <w:color w:val="auto"/>
                <w:sz w:val="21"/>
                <w:szCs w:val="21"/>
              </w:rPr>
              <w:t>径向轴承温度传感器</w:t>
            </w:r>
          </w:p>
          <w:p>
            <w:pPr>
              <w:pStyle w:val="35"/>
              <w:numPr>
                <w:ilvl w:val="6"/>
                <w:numId w:val="22"/>
              </w:numPr>
              <w:ind w:left="0" w:firstLine="420" w:firstLineChars="200"/>
              <w:rPr>
                <w:color w:val="auto"/>
                <w:sz w:val="21"/>
                <w:szCs w:val="21"/>
              </w:rPr>
            </w:pPr>
            <w:r>
              <w:rPr>
                <w:rFonts w:hint="eastAsia"/>
                <w:color w:val="auto"/>
                <w:sz w:val="21"/>
                <w:szCs w:val="21"/>
              </w:rPr>
              <w:t>径向轴承线圈温度传感器</w:t>
            </w:r>
          </w:p>
          <w:p>
            <w:pPr>
              <w:pStyle w:val="35"/>
              <w:numPr>
                <w:ilvl w:val="6"/>
                <w:numId w:val="22"/>
              </w:numPr>
              <w:ind w:left="0" w:firstLine="420" w:firstLineChars="200"/>
              <w:rPr>
                <w:color w:val="auto"/>
                <w:sz w:val="21"/>
                <w:szCs w:val="21"/>
              </w:rPr>
            </w:pPr>
            <w:r>
              <w:rPr>
                <w:rFonts w:hint="eastAsia"/>
                <w:color w:val="auto"/>
                <w:sz w:val="21"/>
                <w:szCs w:val="21"/>
              </w:rPr>
              <w:t>径向轴承位置传感器</w:t>
            </w:r>
          </w:p>
          <w:p>
            <w:pPr>
              <w:pStyle w:val="35"/>
              <w:numPr>
                <w:ilvl w:val="6"/>
                <w:numId w:val="22"/>
              </w:numPr>
              <w:ind w:left="0" w:firstLine="420" w:firstLineChars="200"/>
              <w:rPr>
                <w:color w:val="auto"/>
                <w:sz w:val="21"/>
                <w:szCs w:val="21"/>
              </w:rPr>
            </w:pPr>
            <w:r>
              <w:rPr>
                <w:rFonts w:hint="eastAsia"/>
                <w:color w:val="auto"/>
                <w:sz w:val="21"/>
                <w:szCs w:val="21"/>
              </w:rPr>
              <w:t>轴向轴承位置传感器</w:t>
            </w:r>
          </w:p>
          <w:p>
            <w:pPr>
              <w:pStyle w:val="35"/>
              <w:numPr>
                <w:ilvl w:val="6"/>
                <w:numId w:val="22"/>
              </w:numPr>
              <w:ind w:left="0" w:firstLine="420"/>
              <w:rPr>
                <w:color w:val="auto"/>
                <w:sz w:val="21"/>
                <w:szCs w:val="21"/>
              </w:rPr>
            </w:pPr>
            <w:r>
              <w:rPr>
                <w:rFonts w:hint="eastAsia"/>
                <w:color w:val="auto"/>
                <w:sz w:val="21"/>
                <w:szCs w:val="21"/>
              </w:rPr>
              <w:t>电机轴伸长/压缩传感器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pStyle w:val="48"/>
              <w:ind w:firstLine="0" w:firstLineChars="0"/>
              <w:jc w:val="left"/>
              <w:rPr>
                <w:rFonts w:cs="宋体"/>
                <w:b/>
                <w:color w:val="auto"/>
                <w:sz w:val="21"/>
                <w:szCs w:val="21"/>
              </w:rPr>
            </w:pPr>
            <w:r>
              <w:rPr>
                <w:b/>
                <w:color w:val="auto"/>
                <w:sz w:val="21"/>
                <w:szCs w:val="21"/>
              </w:rPr>
              <w:t>就地控制柜</w:t>
            </w:r>
            <w:r>
              <w:rPr>
                <w:rFonts w:hint="eastAsia"/>
                <w:b/>
                <w:color w:val="auto"/>
                <w:sz w:val="21"/>
                <w:szCs w:val="21"/>
              </w:rPr>
              <w:t>（</w:t>
            </w:r>
            <w:r>
              <w:rPr>
                <w:b/>
                <w:color w:val="auto"/>
                <w:sz w:val="21"/>
                <w:szCs w:val="21"/>
              </w:rPr>
              <w:t>PLC</w:t>
            </w:r>
            <w:r>
              <w:rPr>
                <w:rFonts w:hint="eastAsia"/>
                <w:b/>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磁悬浮鼓风机成套设备为单电机驱动，采用磁悬浮轴承结构的单级高速离心鼓风机，每台鼓风机配套提供完整的附件、监测系统及控制系统，提供必要的控制功能。鼓风机的就地控制柜为与隔音罩集成为一体，防护等级达到IP54，每台鼓风机一套，符合CE标准。就地控制柜即能控制单台鼓风机，包括起动、停车、运行的控制及故障检测，并能在发生故障时停止鼓风机，也能控制多台鼓风机并联运行。作为一个整体，内部接线已在出厂前完成，用户可实现“即插即用”，即用户只需提供控制柜的进线电源，380VAC，3相，5线。仅适用于室内的安全区域。</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每台就地控制柜主要由下列设备组成：</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电控断路器</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可靠防尘触摸面板</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鼓风机通电/运行指示灯</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鼓风机合闸开关</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鼓风机分闸开关</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电抗器</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变频器</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磁悬浮控制器</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紧急停车按钮</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AC220-DC24V电源变换器</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安全继电器</w:t>
            </w:r>
          </w:p>
          <w:p>
            <w:pPr>
              <w:widowControl/>
              <w:spacing w:line="360" w:lineRule="auto"/>
              <w:ind w:firstLine="422" w:firstLineChars="200"/>
              <w:jc w:val="both"/>
              <w:rPr>
                <w:rFonts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概述</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就地控制柜内具有短路及过载保护，并设热保护元件用于电机短路、过载保护。控制柜柜面板上配备带有控制逻辑的人机界面，所有的参数设定、显示、控制等均应通过显示屏完成。并通过HMI上的以太网口与用户的DCS通讯以提供鼓风机所有的状态信息。这些数据可用来组成报告和其它屏幕或打印机可能需要的管理信息。就地控制柜有保证风机安全的失效安全操作方式，即所有控制设备和仪表在故障状态下，风机不能运行。</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磁悬浮高速离心鼓风机对磁性轴承控制器提供断电保护。当主电源断电时，电动机和变频驱动系统变为发电机模式。为磁悬浮轴承及控制系统提供电源，转子保持飘浮状态直到设计转速的15%左右。之后转子将安全的落在备用的滚动轴承上直到停止旋转。就地控制柜带有显示屏，风机运行情况应能够实时进行监测。在鼓风机的运行过程中，如果控制系统检测到故障，风机会自动报警或停机，且控制盘上会显示故障信号。所有信号能远传。</w:t>
            </w:r>
          </w:p>
          <w:p>
            <w:pPr>
              <w:widowControl/>
              <w:spacing w:line="360" w:lineRule="auto"/>
              <w:ind w:firstLine="422" w:firstLineChars="200"/>
              <w:jc w:val="both"/>
              <w:rPr>
                <w:rFonts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主控功能</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每台就地控制柜均能实现整个并联鼓风机系统的自动控制，能够按照要求自动启动／停机，并使鼓风机出口总管的压力在整个流量范围内保持恒定。</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主控系统将鼓风机的各种工况信号及各种检测仪表信号信息通过以太网传送至上位机，以实现全厂控制系统的通讯。</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操作原理概述–多台鼓风机并联运行</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鼓风机系统，包括并联运行的多台鼓风机，用于使出口总管内的压力保持在预先确定的水平上。</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主控系统接受通讯至就地控制柜的出风总管压力信号，以确认是要增加还是减少空气量。控制器将根据制造商的标准控制逻辑来控制鼓风机运行数量的增减和调节鼓风机的空气流量。控制结果是使得在整个风量范围内使总供气量得以逐步增加或减少。如果一台鼓风机因故障而停车，另一台处于预备状态的鼓风机会自动投入运行。</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曝气池流量调节阀安装在曝气支管上，由它方提供和控制。用于调节曝气量并将污水池中的溶解氧保持在预期水平。</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随着溶解氧控制系统气体需求的不断变化，必须连续调节曝气鼓风机的供气量，从而维持总排气管的压力不变。</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主控系统的压力控制回路的主要任务是将出口压力保持在期望值。这是通过控制鼓风机流量调节装置的开度而实现的。进出口叶片的位置直接控制鼓风机流量，参考鼓风机对应不同叶片位置的压力/流量关系性能曲线。</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根据工艺要求，任何时候鼓风机的运行台数由控制系统确定。主控系统主要根据每台运行中鼓风机的进口导向叶片/出口扩散器叶片的位置、电机电流、实际出口压力以及其它参数确定各台鼓风机启动或关闭。</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对于多台鼓风机并联运行的系统，所有鼓风机的控制系统应协同操作（接收相同的信号），在同一时刻所有运行中的鼓风机将处于相同的运行状态，这就是负荷均分系统控制多台鼓风机运行的基础。</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工厂的效率在使用多台鼓风机负荷均分系统后达到最大化，它使得鼓风机运行更加协调，即所有鼓风机总工作负荷的均匀等分。负荷均分系统保证在满足总风量的条件下最少台机组运行，并且这些运转的鼓风机又运行在最大负荷系数下，从而获得最高的效率和最大的时间量程。</w:t>
            </w:r>
          </w:p>
          <w:p>
            <w:pPr>
              <w:widowControl/>
              <w:spacing w:line="360" w:lineRule="auto"/>
              <w:ind w:firstLine="422" w:firstLineChars="200"/>
              <w:jc w:val="both"/>
              <w:rPr>
                <w:rFonts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主控系统的功能配置</w:t>
            </w:r>
          </w:p>
          <w:p>
            <w:pPr>
              <w:widowControl/>
              <w:spacing w:line="360" w:lineRule="auto"/>
              <w:ind w:firstLine="420" w:firstLineChars="200"/>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主控系统的所有功能已包含在每台就地控制柜的软件程序内。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widowControl/>
              <w:spacing w:line="360" w:lineRule="auto"/>
              <w:rPr>
                <w:rFonts w:ascii="宋体" w:hAnsi="宋体" w:eastAsia="宋体" w:cs="宋体"/>
                <w:b/>
                <w:color w:val="auto"/>
                <w:sz w:val="21"/>
                <w:szCs w:val="21"/>
                <w:lang w:eastAsia="zh-CN"/>
              </w:rPr>
            </w:pPr>
            <w:r>
              <w:rPr>
                <w:rFonts w:hint="eastAsia" w:ascii="宋体" w:hAnsi="宋体"/>
                <w:b/>
                <w:color w:val="auto"/>
                <w:sz w:val="21"/>
                <w:szCs w:val="21"/>
              </w:rPr>
              <w:t>喘振探测／保护系统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widowControl/>
              <w:spacing w:line="360" w:lineRule="auto"/>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喘振探测系统包括：</w:t>
            </w:r>
          </w:p>
          <w:p>
            <w:pPr>
              <w:widowControl/>
              <w:spacing w:line="360" w:lineRule="auto"/>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压力变送器</w:t>
            </w:r>
          </w:p>
          <w:p>
            <w:pPr>
              <w:widowControl/>
              <w:spacing w:line="360" w:lineRule="auto"/>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开关型电动执行器驱动蝶阀</w:t>
            </w:r>
          </w:p>
          <w:p>
            <w:pPr>
              <w:widowControl/>
              <w:spacing w:line="360" w:lineRule="auto"/>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控制逻辑</w:t>
            </w:r>
          </w:p>
          <w:p>
            <w:pPr>
              <w:widowControl/>
              <w:spacing w:line="360" w:lineRule="auto"/>
              <w:jc w:val="both"/>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上述喘振探测系统如果发现鼓风机进入喘振状态，则停机保护。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widowControl/>
              <w:spacing w:line="360" w:lineRule="auto"/>
              <w:rPr>
                <w:rFonts w:ascii="宋体" w:hAnsi="宋体" w:eastAsia="宋体" w:cs="宋体"/>
                <w:color w:val="auto"/>
                <w:sz w:val="21"/>
                <w:szCs w:val="21"/>
                <w:lang w:eastAsia="zh-CN"/>
              </w:rPr>
            </w:pPr>
            <w:r>
              <w:rPr>
                <w:rFonts w:hint="eastAsia" w:ascii="宋体" w:hAnsi="宋体"/>
                <w:b/>
                <w:color w:val="auto"/>
                <w:sz w:val="21"/>
                <w:szCs w:val="21"/>
              </w:rPr>
              <w:t>现场调试及验收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pStyle w:val="48"/>
              <w:ind w:firstLine="420"/>
              <w:rPr>
                <w:rFonts w:ascii="宋体" w:hAnsi="宋体"/>
                <w:color w:val="auto"/>
                <w:sz w:val="21"/>
                <w:szCs w:val="21"/>
              </w:rPr>
            </w:pPr>
            <w:r>
              <w:rPr>
                <w:rFonts w:hint="eastAsia" w:ascii="宋体" w:hAnsi="宋体"/>
                <w:color w:val="auto"/>
                <w:sz w:val="21"/>
                <w:szCs w:val="21"/>
              </w:rPr>
              <w:t>鼓风机制造商应派具有丰富安装调试经验的代表去检验安装情况和监督指导。</w:t>
            </w:r>
          </w:p>
          <w:p>
            <w:pPr>
              <w:pStyle w:val="48"/>
              <w:ind w:firstLine="420"/>
              <w:rPr>
                <w:rFonts w:ascii="宋体" w:hAnsi="宋体"/>
                <w:color w:val="auto"/>
                <w:sz w:val="21"/>
                <w:szCs w:val="21"/>
              </w:rPr>
            </w:pPr>
            <w:r>
              <w:rPr>
                <w:rFonts w:hint="eastAsia" w:ascii="宋体" w:hAnsi="宋体"/>
                <w:color w:val="auto"/>
                <w:sz w:val="21"/>
                <w:szCs w:val="21"/>
              </w:rPr>
              <w:t>当鼓风机、电机、控制系统及所有附件安装完毕后，每台鼓风机均应在实际运行条件下进行现场验收试验。该试验由鼓风机制造商代表在有用户及监理工程师在场的情况下进行。</w:t>
            </w:r>
          </w:p>
          <w:p>
            <w:pPr>
              <w:pStyle w:val="48"/>
              <w:ind w:firstLine="420"/>
              <w:rPr>
                <w:rFonts w:ascii="宋体" w:hAnsi="宋体"/>
                <w:color w:val="auto"/>
                <w:sz w:val="21"/>
                <w:szCs w:val="21"/>
              </w:rPr>
            </w:pPr>
            <w:r>
              <w:rPr>
                <w:rFonts w:hint="eastAsia" w:ascii="宋体" w:hAnsi="宋体"/>
                <w:color w:val="auto"/>
                <w:sz w:val="21"/>
                <w:szCs w:val="21"/>
              </w:rPr>
              <w:t>应在鼓风机负荷测试之前进行充分的(2小时以上)无负荷运转测试，并按规格书进行全范围运转测试。现场验收试验应证明鼓风机在任何情况下都保证：</w:t>
            </w:r>
          </w:p>
          <w:p>
            <w:pPr>
              <w:pStyle w:val="48"/>
              <w:ind w:firstLine="420"/>
              <w:rPr>
                <w:rFonts w:ascii="宋体" w:hAnsi="宋体"/>
                <w:color w:val="auto"/>
                <w:sz w:val="21"/>
                <w:szCs w:val="21"/>
              </w:rPr>
            </w:pPr>
            <w:r>
              <w:rPr>
                <w:rFonts w:hint="eastAsia" w:ascii="宋体" w:hAnsi="宋体"/>
                <w:color w:val="auto"/>
                <w:sz w:val="21"/>
                <w:szCs w:val="21"/>
              </w:rPr>
              <w:t>-</w:t>
            </w:r>
            <w:r>
              <w:rPr>
                <w:rFonts w:hint="eastAsia" w:ascii="宋体" w:hAnsi="宋体"/>
                <w:color w:val="auto"/>
                <w:sz w:val="21"/>
                <w:szCs w:val="21"/>
              </w:rPr>
              <w:tab/>
            </w:r>
            <w:r>
              <w:rPr>
                <w:rFonts w:hint="eastAsia" w:ascii="宋体" w:hAnsi="宋体"/>
                <w:color w:val="auto"/>
                <w:sz w:val="21"/>
                <w:szCs w:val="21"/>
              </w:rPr>
              <w:t>安装和运输过程中无损坏</w:t>
            </w:r>
          </w:p>
          <w:p>
            <w:pPr>
              <w:pStyle w:val="48"/>
              <w:ind w:firstLine="420"/>
              <w:rPr>
                <w:rFonts w:ascii="宋体" w:hAnsi="宋体"/>
                <w:color w:val="auto"/>
                <w:sz w:val="21"/>
                <w:szCs w:val="21"/>
              </w:rPr>
            </w:pPr>
            <w:r>
              <w:rPr>
                <w:rFonts w:hint="eastAsia" w:ascii="宋体" w:hAnsi="宋体"/>
                <w:color w:val="auto"/>
                <w:sz w:val="21"/>
                <w:szCs w:val="21"/>
              </w:rPr>
              <w:t>-</w:t>
            </w:r>
            <w:r>
              <w:rPr>
                <w:rFonts w:hint="eastAsia" w:ascii="宋体" w:hAnsi="宋体"/>
                <w:color w:val="auto"/>
                <w:sz w:val="21"/>
                <w:szCs w:val="21"/>
              </w:rPr>
              <w:tab/>
            </w:r>
            <w:r>
              <w:rPr>
                <w:rFonts w:hint="eastAsia" w:ascii="宋体" w:hAnsi="宋体"/>
                <w:color w:val="auto"/>
                <w:sz w:val="21"/>
                <w:szCs w:val="21"/>
              </w:rPr>
              <w:t>安装正确</w:t>
            </w:r>
          </w:p>
          <w:p>
            <w:pPr>
              <w:pStyle w:val="48"/>
              <w:ind w:firstLine="420"/>
              <w:rPr>
                <w:rFonts w:ascii="宋体" w:hAnsi="宋体"/>
                <w:color w:val="auto"/>
                <w:sz w:val="21"/>
                <w:szCs w:val="21"/>
              </w:rPr>
            </w:pPr>
            <w:r>
              <w:rPr>
                <w:rFonts w:hint="eastAsia" w:ascii="宋体" w:hAnsi="宋体"/>
                <w:color w:val="auto"/>
                <w:sz w:val="21"/>
                <w:szCs w:val="21"/>
              </w:rPr>
              <w:t>-</w:t>
            </w:r>
            <w:r>
              <w:rPr>
                <w:rFonts w:hint="eastAsia" w:ascii="宋体" w:hAnsi="宋体"/>
                <w:color w:val="auto"/>
                <w:sz w:val="21"/>
                <w:szCs w:val="21"/>
              </w:rPr>
              <w:tab/>
            </w:r>
            <w:r>
              <w:rPr>
                <w:rFonts w:hint="eastAsia" w:ascii="宋体" w:hAnsi="宋体"/>
                <w:color w:val="auto"/>
                <w:sz w:val="21"/>
                <w:szCs w:val="21"/>
              </w:rPr>
              <w:t>无机械缺陷</w:t>
            </w:r>
          </w:p>
          <w:p>
            <w:pPr>
              <w:pStyle w:val="48"/>
              <w:ind w:firstLine="420"/>
              <w:rPr>
                <w:rFonts w:ascii="宋体" w:hAnsi="宋体"/>
                <w:color w:val="auto"/>
                <w:sz w:val="21"/>
                <w:szCs w:val="21"/>
              </w:rPr>
            </w:pPr>
            <w:r>
              <w:rPr>
                <w:rFonts w:hint="eastAsia" w:ascii="宋体" w:hAnsi="宋体"/>
                <w:color w:val="auto"/>
                <w:sz w:val="21"/>
                <w:szCs w:val="21"/>
              </w:rPr>
              <w:t>-</w:t>
            </w:r>
            <w:r>
              <w:rPr>
                <w:rFonts w:hint="eastAsia" w:ascii="宋体" w:hAnsi="宋体"/>
                <w:color w:val="auto"/>
                <w:sz w:val="21"/>
                <w:szCs w:val="21"/>
              </w:rPr>
              <w:tab/>
            </w:r>
            <w:r>
              <w:rPr>
                <w:rFonts w:hint="eastAsia" w:ascii="宋体" w:hAnsi="宋体"/>
                <w:color w:val="auto"/>
                <w:sz w:val="21"/>
                <w:szCs w:val="21"/>
              </w:rPr>
              <w:t>对中良好</w:t>
            </w:r>
          </w:p>
          <w:p>
            <w:pPr>
              <w:pStyle w:val="48"/>
              <w:ind w:firstLine="420"/>
              <w:rPr>
                <w:rFonts w:ascii="宋体" w:hAnsi="宋体"/>
                <w:color w:val="auto"/>
                <w:sz w:val="21"/>
                <w:szCs w:val="21"/>
              </w:rPr>
            </w:pPr>
            <w:r>
              <w:rPr>
                <w:rFonts w:hint="eastAsia" w:ascii="宋体" w:hAnsi="宋体"/>
                <w:color w:val="auto"/>
                <w:sz w:val="21"/>
                <w:szCs w:val="21"/>
              </w:rPr>
              <w:t>-</w:t>
            </w:r>
            <w:r>
              <w:rPr>
                <w:rFonts w:hint="eastAsia" w:ascii="宋体" w:hAnsi="宋体"/>
                <w:color w:val="auto"/>
                <w:sz w:val="21"/>
                <w:szCs w:val="21"/>
              </w:rPr>
              <w:tab/>
            </w:r>
            <w:r>
              <w:rPr>
                <w:rFonts w:hint="eastAsia" w:ascii="宋体" w:hAnsi="宋体"/>
                <w:color w:val="auto"/>
                <w:sz w:val="21"/>
                <w:szCs w:val="21"/>
              </w:rPr>
              <w:t>连接正确</w:t>
            </w:r>
          </w:p>
          <w:p>
            <w:pPr>
              <w:pStyle w:val="48"/>
              <w:ind w:firstLine="420"/>
              <w:rPr>
                <w:rFonts w:ascii="宋体" w:hAnsi="宋体"/>
                <w:color w:val="auto"/>
                <w:sz w:val="21"/>
                <w:szCs w:val="21"/>
              </w:rPr>
            </w:pPr>
            <w:r>
              <w:rPr>
                <w:rFonts w:hint="eastAsia" w:ascii="宋体" w:hAnsi="宋体"/>
                <w:color w:val="auto"/>
                <w:sz w:val="21"/>
                <w:szCs w:val="21"/>
              </w:rPr>
              <w:t>-</w:t>
            </w:r>
            <w:r>
              <w:rPr>
                <w:rFonts w:hint="eastAsia" w:ascii="宋体" w:hAnsi="宋体"/>
                <w:color w:val="auto"/>
                <w:sz w:val="21"/>
                <w:szCs w:val="21"/>
              </w:rPr>
              <w:tab/>
            </w:r>
            <w:r>
              <w:rPr>
                <w:rFonts w:hint="eastAsia" w:ascii="宋体" w:hAnsi="宋体"/>
                <w:color w:val="auto"/>
                <w:sz w:val="21"/>
                <w:szCs w:val="21"/>
              </w:rPr>
              <w:t>无过热部件</w:t>
            </w:r>
          </w:p>
          <w:p>
            <w:pPr>
              <w:pStyle w:val="48"/>
              <w:ind w:firstLine="420"/>
              <w:rPr>
                <w:rFonts w:ascii="宋体" w:hAnsi="宋体"/>
                <w:color w:val="auto"/>
                <w:sz w:val="21"/>
                <w:szCs w:val="21"/>
              </w:rPr>
            </w:pPr>
            <w:r>
              <w:rPr>
                <w:rFonts w:hint="eastAsia" w:ascii="宋体" w:hAnsi="宋体"/>
                <w:color w:val="auto"/>
                <w:sz w:val="21"/>
                <w:szCs w:val="21"/>
              </w:rPr>
              <w:t>-</w:t>
            </w:r>
            <w:r>
              <w:rPr>
                <w:rFonts w:hint="eastAsia" w:ascii="宋体" w:hAnsi="宋体"/>
                <w:color w:val="auto"/>
                <w:sz w:val="21"/>
                <w:szCs w:val="21"/>
              </w:rPr>
              <w:tab/>
            </w:r>
            <w:r>
              <w:rPr>
                <w:rFonts w:hint="eastAsia" w:ascii="宋体" w:hAnsi="宋体"/>
                <w:color w:val="auto"/>
                <w:sz w:val="21"/>
                <w:szCs w:val="21"/>
              </w:rPr>
              <w:t>无异常振动和噪音</w:t>
            </w:r>
          </w:p>
          <w:p>
            <w:pPr>
              <w:pStyle w:val="48"/>
              <w:ind w:firstLine="420"/>
              <w:rPr>
                <w:rFonts w:ascii="宋体" w:hAnsi="宋体"/>
                <w:color w:val="auto"/>
                <w:sz w:val="21"/>
                <w:szCs w:val="21"/>
              </w:rPr>
            </w:pPr>
            <w:r>
              <w:rPr>
                <w:rFonts w:hint="eastAsia" w:ascii="宋体" w:hAnsi="宋体"/>
                <w:color w:val="auto"/>
                <w:sz w:val="21"/>
                <w:szCs w:val="21"/>
              </w:rPr>
              <w:t>-</w:t>
            </w:r>
            <w:r>
              <w:rPr>
                <w:rFonts w:hint="eastAsia" w:ascii="宋体" w:hAnsi="宋体"/>
                <w:color w:val="auto"/>
                <w:sz w:val="21"/>
                <w:szCs w:val="21"/>
              </w:rPr>
              <w:tab/>
            </w:r>
            <w:r>
              <w:rPr>
                <w:rFonts w:hint="eastAsia" w:ascii="宋体" w:hAnsi="宋体"/>
                <w:color w:val="auto"/>
                <w:sz w:val="21"/>
                <w:szCs w:val="21"/>
              </w:rPr>
              <w:t>无漏气</w:t>
            </w:r>
          </w:p>
          <w:p>
            <w:pPr>
              <w:pStyle w:val="48"/>
              <w:ind w:firstLine="420"/>
              <w:rPr>
                <w:rFonts w:ascii="宋体" w:hAnsi="宋体"/>
                <w:color w:val="auto"/>
                <w:sz w:val="21"/>
                <w:szCs w:val="21"/>
              </w:rPr>
            </w:pPr>
            <w:r>
              <w:rPr>
                <w:rFonts w:hint="eastAsia" w:ascii="宋体" w:hAnsi="宋体"/>
                <w:color w:val="auto"/>
                <w:sz w:val="21"/>
                <w:szCs w:val="21"/>
              </w:rPr>
              <w:t>-</w:t>
            </w:r>
            <w:r>
              <w:rPr>
                <w:rFonts w:hint="eastAsia" w:ascii="宋体" w:hAnsi="宋体"/>
                <w:color w:val="auto"/>
                <w:sz w:val="21"/>
                <w:szCs w:val="21"/>
              </w:rPr>
              <w:tab/>
            </w:r>
            <w:r>
              <w:rPr>
                <w:rFonts w:hint="eastAsia" w:ascii="宋体" w:hAnsi="宋体"/>
                <w:color w:val="auto"/>
                <w:sz w:val="21"/>
                <w:szCs w:val="21"/>
              </w:rPr>
              <w:t>保护装置灵敏、可靠</w:t>
            </w:r>
          </w:p>
          <w:p>
            <w:pPr>
              <w:pStyle w:val="48"/>
              <w:ind w:firstLine="420"/>
              <w:rPr>
                <w:rFonts w:ascii="宋体" w:hAnsi="宋体"/>
                <w:color w:val="auto"/>
                <w:sz w:val="21"/>
                <w:szCs w:val="21"/>
              </w:rPr>
            </w:pPr>
            <w:r>
              <w:rPr>
                <w:rFonts w:hint="eastAsia" w:ascii="宋体" w:hAnsi="宋体"/>
                <w:color w:val="auto"/>
                <w:sz w:val="21"/>
                <w:szCs w:val="21"/>
              </w:rPr>
              <w:t>现场验收试验及试验步骤由双方共同安排。承包人应就试验步骤与用户形成共识，且试验不能妨碍现场设施的正常运行。</w:t>
            </w:r>
          </w:p>
          <w:p>
            <w:pPr>
              <w:pStyle w:val="48"/>
              <w:ind w:firstLine="420"/>
              <w:rPr>
                <w:rFonts w:ascii="宋体" w:hAnsi="宋体"/>
                <w:color w:val="auto"/>
                <w:sz w:val="21"/>
                <w:szCs w:val="21"/>
              </w:rPr>
            </w:pPr>
            <w:r>
              <w:rPr>
                <w:rFonts w:hint="eastAsia" w:ascii="宋体" w:hAnsi="宋体"/>
                <w:color w:val="auto"/>
                <w:sz w:val="21"/>
                <w:szCs w:val="21"/>
              </w:rPr>
              <w:t>制造商应在检查安装情况及进行现场试验时，指导用户如何启动、停止、维护鼓风机及故障检修。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widowControl/>
              <w:spacing w:line="360" w:lineRule="auto"/>
              <w:rPr>
                <w:rFonts w:ascii="宋体" w:hAnsi="宋体" w:eastAsia="宋体" w:cs="宋体"/>
                <w:color w:val="auto"/>
                <w:sz w:val="21"/>
                <w:szCs w:val="21"/>
                <w:lang w:eastAsia="zh-CN"/>
              </w:rPr>
            </w:pPr>
            <w:r>
              <w:rPr>
                <w:rFonts w:ascii="宋体" w:hAnsi="宋体"/>
                <w:b/>
                <w:color w:val="auto"/>
                <w:sz w:val="21"/>
                <w:szCs w:val="21"/>
              </w:rPr>
              <w:t>防腐处理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pStyle w:val="29"/>
              <w:ind w:firstLine="412"/>
              <w:rPr>
                <w:rFonts w:eastAsia="宋体" w:cs="宋体"/>
                <w:color w:val="auto"/>
                <w:sz w:val="21"/>
                <w:szCs w:val="21"/>
              </w:rPr>
            </w:pPr>
            <w:r>
              <w:rPr>
                <w:color w:val="auto"/>
                <w:sz w:val="21"/>
                <w:szCs w:val="21"/>
              </w:rPr>
              <w:t>承包人提供的设备材料应适用于污水厂的腐蚀环境，未经保护或非防腐性材料，应按基本技术要求的规定进行处理</w:t>
            </w: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widowControl/>
              <w:spacing w:line="360" w:lineRule="auto"/>
              <w:rPr>
                <w:rFonts w:ascii="宋体" w:hAnsi="宋体" w:eastAsia="宋体" w:cs="宋体"/>
                <w:color w:val="auto"/>
                <w:sz w:val="21"/>
                <w:szCs w:val="21"/>
                <w:lang w:eastAsia="zh-CN"/>
              </w:rPr>
            </w:pPr>
            <w:r>
              <w:rPr>
                <w:rFonts w:ascii="宋体" w:hAnsi="宋体"/>
                <w:b/>
                <w:color w:val="auto"/>
                <w:sz w:val="21"/>
                <w:szCs w:val="21"/>
              </w:rPr>
              <w:t>安装指导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adjustRightInd w:val="0"/>
              <w:snapToGrid w:val="0"/>
              <w:spacing w:line="360" w:lineRule="auto"/>
              <w:ind w:firstLine="420" w:firstLineChars="200"/>
              <w:rPr>
                <w:rFonts w:ascii="宋体" w:hAnsi="宋体"/>
                <w:color w:val="auto"/>
                <w:sz w:val="21"/>
                <w:szCs w:val="21"/>
                <w:lang w:eastAsia="zh-CN"/>
              </w:rPr>
            </w:pPr>
            <w:r>
              <w:rPr>
                <w:rFonts w:ascii="宋体" w:hAnsi="宋体"/>
                <w:color w:val="auto"/>
                <w:sz w:val="21"/>
                <w:szCs w:val="21"/>
                <w:lang w:eastAsia="zh-CN"/>
              </w:rPr>
              <w:t>在本设备的安装过程中，本合同承包人应负责对安装单位进行技术指导。</w:t>
            </w:r>
          </w:p>
          <w:p>
            <w:pPr>
              <w:adjustRightInd w:val="0"/>
              <w:snapToGrid w:val="0"/>
              <w:spacing w:line="360" w:lineRule="auto"/>
              <w:ind w:firstLine="424" w:firstLineChars="202"/>
              <w:rPr>
                <w:rFonts w:ascii="宋体" w:hAnsi="宋体"/>
                <w:color w:val="auto"/>
                <w:sz w:val="21"/>
                <w:szCs w:val="21"/>
                <w:lang w:eastAsia="zh-CN"/>
              </w:rPr>
            </w:pPr>
            <w:r>
              <w:rPr>
                <w:rFonts w:hint="eastAsia" w:ascii="宋体" w:hAnsi="宋体"/>
                <w:color w:val="auto"/>
                <w:sz w:val="21"/>
                <w:szCs w:val="21"/>
                <w:lang w:eastAsia="zh-CN"/>
              </w:rPr>
              <w:t>（</w:t>
            </w:r>
            <w:r>
              <w:rPr>
                <w:rFonts w:ascii="宋体" w:hAnsi="宋体"/>
                <w:color w:val="auto"/>
                <w:sz w:val="21"/>
                <w:szCs w:val="21"/>
                <w:lang w:eastAsia="zh-CN"/>
              </w:rPr>
              <w:t>1</w:t>
            </w:r>
            <w:r>
              <w:rPr>
                <w:rFonts w:hint="eastAsia" w:ascii="宋体" w:hAnsi="宋体"/>
                <w:color w:val="auto"/>
                <w:sz w:val="21"/>
                <w:szCs w:val="21"/>
                <w:lang w:eastAsia="zh-CN"/>
              </w:rPr>
              <w:t>）</w:t>
            </w:r>
            <w:r>
              <w:rPr>
                <w:rFonts w:ascii="宋体" w:hAnsi="宋体"/>
                <w:color w:val="auto"/>
                <w:sz w:val="21"/>
                <w:szCs w:val="21"/>
                <w:lang w:eastAsia="zh-CN"/>
              </w:rPr>
              <w:t>现场条件</w:t>
            </w:r>
          </w:p>
          <w:p>
            <w:pPr>
              <w:adjustRightInd w:val="0"/>
              <w:snapToGrid w:val="0"/>
              <w:spacing w:line="360" w:lineRule="auto"/>
              <w:ind w:firstLine="424" w:firstLineChars="202"/>
              <w:rPr>
                <w:rFonts w:ascii="宋体" w:hAnsi="宋体"/>
                <w:color w:val="auto"/>
                <w:sz w:val="21"/>
                <w:szCs w:val="21"/>
                <w:lang w:eastAsia="zh-CN"/>
              </w:rPr>
            </w:pPr>
            <w:r>
              <w:rPr>
                <w:rFonts w:ascii="宋体" w:hAnsi="宋体"/>
                <w:color w:val="auto"/>
                <w:sz w:val="21"/>
                <w:szCs w:val="21"/>
                <w:lang w:eastAsia="zh-CN"/>
              </w:rPr>
              <w:t>承包人应遵照</w:t>
            </w:r>
            <w:r>
              <w:rPr>
                <w:rFonts w:hint="eastAsia" w:ascii="宋体" w:hAnsi="宋体"/>
                <w:color w:val="auto"/>
                <w:sz w:val="21"/>
                <w:szCs w:val="21"/>
                <w:lang w:eastAsia="zh-CN"/>
              </w:rPr>
              <w:t>招标</w:t>
            </w:r>
            <w:r>
              <w:rPr>
                <w:rFonts w:ascii="宋体" w:hAnsi="宋体"/>
                <w:color w:val="auto"/>
                <w:sz w:val="21"/>
                <w:szCs w:val="21"/>
                <w:lang w:eastAsia="zh-CN"/>
              </w:rPr>
              <w:t>图纸及对应土建工程的标高、预留孔及相关尺寸，进行上述鼓风机装置的安装指导。</w:t>
            </w:r>
          </w:p>
          <w:p>
            <w:pPr>
              <w:adjustRightInd w:val="0"/>
              <w:snapToGrid w:val="0"/>
              <w:spacing w:line="360" w:lineRule="auto"/>
              <w:ind w:firstLine="420" w:firstLineChars="200"/>
              <w:rPr>
                <w:rFonts w:ascii="宋体" w:hAnsi="宋体"/>
                <w:color w:val="auto"/>
                <w:sz w:val="21"/>
                <w:szCs w:val="21"/>
                <w:lang w:eastAsia="zh-CN"/>
              </w:rPr>
            </w:pPr>
            <w:r>
              <w:rPr>
                <w:rFonts w:ascii="宋体" w:hAnsi="宋体"/>
                <w:color w:val="auto"/>
                <w:sz w:val="21"/>
                <w:szCs w:val="21"/>
                <w:lang w:eastAsia="zh-CN"/>
              </w:rPr>
              <w:t>承包人在机械设备安装前，应对建成构筑物的相关土建尺寸，进行核对，并提出详细记录，对不符合安装条件的部分，应向</w:t>
            </w:r>
            <w:r>
              <w:rPr>
                <w:rFonts w:hint="eastAsia" w:ascii="宋体" w:hAnsi="宋体"/>
                <w:color w:val="auto"/>
                <w:sz w:val="21"/>
                <w:szCs w:val="21"/>
                <w:lang w:eastAsia="zh-CN"/>
              </w:rPr>
              <w:t>招标人</w:t>
            </w:r>
            <w:r>
              <w:rPr>
                <w:rFonts w:ascii="宋体" w:hAnsi="宋体"/>
                <w:color w:val="auto"/>
                <w:sz w:val="21"/>
                <w:szCs w:val="21"/>
                <w:lang w:eastAsia="zh-CN"/>
              </w:rPr>
              <w:t>书面报告，经批准及修正后，方可安装。</w:t>
            </w:r>
          </w:p>
          <w:p>
            <w:pPr>
              <w:adjustRightInd w:val="0"/>
              <w:snapToGrid w:val="0"/>
              <w:spacing w:line="360" w:lineRule="auto"/>
              <w:ind w:firstLine="424" w:firstLineChars="202"/>
              <w:rPr>
                <w:rFonts w:ascii="宋体" w:hAnsi="宋体"/>
                <w:color w:val="auto"/>
                <w:sz w:val="21"/>
                <w:szCs w:val="21"/>
                <w:lang w:eastAsia="zh-CN"/>
              </w:rPr>
            </w:pPr>
            <w:r>
              <w:rPr>
                <w:rFonts w:ascii="宋体" w:hAnsi="宋体"/>
                <w:color w:val="auto"/>
                <w:sz w:val="21"/>
                <w:szCs w:val="21"/>
                <w:lang w:eastAsia="zh-CN"/>
              </w:rPr>
              <w:t>设备制造厂家须提供设备安装手册，</w:t>
            </w:r>
          </w:p>
          <w:p>
            <w:pPr>
              <w:adjustRightInd w:val="0"/>
              <w:snapToGrid w:val="0"/>
              <w:spacing w:line="360" w:lineRule="auto"/>
              <w:ind w:firstLine="424" w:firstLineChars="202"/>
              <w:rPr>
                <w:rFonts w:ascii="宋体" w:hAnsi="宋体"/>
                <w:color w:val="auto"/>
                <w:sz w:val="21"/>
                <w:szCs w:val="21"/>
                <w:lang w:eastAsia="zh-CN"/>
              </w:rPr>
            </w:pPr>
            <w:r>
              <w:rPr>
                <w:rFonts w:ascii="宋体" w:hAnsi="宋体"/>
                <w:color w:val="auto"/>
                <w:sz w:val="21"/>
                <w:szCs w:val="21"/>
                <w:lang w:eastAsia="zh-CN"/>
              </w:rPr>
              <w:t>安装时混凝土面以及螺栓孔内面的杂物，应加以清理，以使设备可紧固。</w:t>
            </w:r>
          </w:p>
          <w:p>
            <w:pPr>
              <w:adjustRightInd w:val="0"/>
              <w:snapToGrid w:val="0"/>
              <w:spacing w:line="360" w:lineRule="auto"/>
              <w:ind w:firstLine="424" w:firstLineChars="202"/>
              <w:rPr>
                <w:rFonts w:ascii="宋体" w:hAnsi="宋体"/>
                <w:color w:val="auto"/>
                <w:sz w:val="21"/>
                <w:szCs w:val="21"/>
                <w:lang w:eastAsia="zh-CN"/>
              </w:rPr>
            </w:pPr>
            <w:r>
              <w:rPr>
                <w:rFonts w:hint="eastAsia" w:ascii="宋体" w:hAnsi="宋体"/>
                <w:color w:val="auto"/>
                <w:sz w:val="21"/>
                <w:szCs w:val="21"/>
                <w:lang w:eastAsia="zh-CN"/>
              </w:rPr>
              <w:t>（2）</w:t>
            </w:r>
            <w:r>
              <w:rPr>
                <w:rFonts w:ascii="宋体" w:hAnsi="宋体"/>
                <w:color w:val="auto"/>
                <w:sz w:val="21"/>
                <w:szCs w:val="21"/>
                <w:lang w:eastAsia="zh-CN"/>
              </w:rPr>
              <w:t>设备结构要素</w:t>
            </w:r>
          </w:p>
          <w:p>
            <w:pPr>
              <w:adjustRightInd w:val="0"/>
              <w:snapToGrid w:val="0"/>
              <w:spacing w:line="360" w:lineRule="auto"/>
              <w:ind w:firstLine="424" w:firstLineChars="202"/>
              <w:rPr>
                <w:rFonts w:ascii="宋体" w:hAnsi="宋体"/>
                <w:color w:val="auto"/>
                <w:sz w:val="21"/>
                <w:szCs w:val="21"/>
                <w:lang w:eastAsia="zh-CN"/>
              </w:rPr>
            </w:pPr>
            <w:r>
              <w:rPr>
                <w:rFonts w:ascii="宋体" w:hAnsi="宋体"/>
                <w:color w:val="auto"/>
                <w:sz w:val="21"/>
                <w:szCs w:val="21"/>
                <w:lang w:eastAsia="zh-CN"/>
              </w:rPr>
              <w:t>应遵照原制造厂及工程师的指示施工安装。</w:t>
            </w:r>
          </w:p>
          <w:p>
            <w:pPr>
              <w:adjustRightInd w:val="0"/>
              <w:snapToGrid w:val="0"/>
              <w:spacing w:line="360" w:lineRule="auto"/>
              <w:ind w:firstLine="424" w:firstLineChars="202"/>
              <w:rPr>
                <w:rFonts w:ascii="宋体" w:hAnsi="宋体"/>
                <w:color w:val="auto"/>
                <w:sz w:val="21"/>
                <w:szCs w:val="21"/>
                <w:lang w:eastAsia="zh-CN"/>
              </w:rPr>
            </w:pPr>
            <w:r>
              <w:rPr>
                <w:rFonts w:ascii="宋体" w:hAnsi="宋体"/>
                <w:color w:val="auto"/>
                <w:sz w:val="21"/>
                <w:szCs w:val="21"/>
                <w:lang w:eastAsia="zh-CN"/>
              </w:rPr>
              <w:t>应整机安装，且配以</w:t>
            </w:r>
            <w:r>
              <w:rPr>
                <w:rFonts w:hint="eastAsia" w:ascii="宋体" w:hAnsi="宋体"/>
                <w:color w:val="auto"/>
                <w:sz w:val="21"/>
                <w:szCs w:val="21"/>
                <w:lang w:eastAsia="zh-CN"/>
              </w:rPr>
              <w:t>进</w:t>
            </w:r>
            <w:r>
              <w:rPr>
                <w:rFonts w:ascii="宋体" w:hAnsi="宋体"/>
                <w:color w:val="auto"/>
                <w:sz w:val="21"/>
                <w:szCs w:val="21"/>
                <w:lang w:eastAsia="zh-CN"/>
              </w:rPr>
              <w:t>口过滤器</w:t>
            </w:r>
            <w:r>
              <w:rPr>
                <w:rFonts w:hint="eastAsia" w:ascii="宋体" w:hAnsi="宋体"/>
                <w:color w:val="auto"/>
                <w:sz w:val="21"/>
                <w:szCs w:val="21"/>
                <w:lang w:eastAsia="zh-CN"/>
              </w:rPr>
              <w:t>/消音器</w:t>
            </w:r>
            <w:r>
              <w:rPr>
                <w:rFonts w:ascii="宋体" w:hAnsi="宋体"/>
                <w:color w:val="auto"/>
                <w:sz w:val="21"/>
                <w:szCs w:val="21"/>
                <w:lang w:eastAsia="zh-CN"/>
              </w:rPr>
              <w:t>、出口扩压管、</w:t>
            </w:r>
            <w:r>
              <w:rPr>
                <w:rFonts w:hint="eastAsia" w:ascii="宋体" w:hAnsi="宋体"/>
                <w:color w:val="auto"/>
                <w:sz w:val="21"/>
                <w:szCs w:val="21"/>
                <w:lang w:eastAsia="zh-CN"/>
              </w:rPr>
              <w:t>放空</w:t>
            </w:r>
            <w:r>
              <w:rPr>
                <w:rFonts w:ascii="宋体" w:hAnsi="宋体"/>
                <w:color w:val="auto"/>
                <w:sz w:val="21"/>
                <w:szCs w:val="21"/>
                <w:lang w:eastAsia="zh-CN"/>
              </w:rPr>
              <w:t>阀</w:t>
            </w:r>
            <w:r>
              <w:rPr>
                <w:rFonts w:hint="eastAsia" w:ascii="宋体" w:hAnsi="宋体"/>
                <w:color w:val="auto"/>
                <w:sz w:val="21"/>
                <w:szCs w:val="21"/>
                <w:lang w:eastAsia="zh-CN"/>
              </w:rPr>
              <w:t>、放空阀消音器</w:t>
            </w:r>
            <w:r>
              <w:rPr>
                <w:rFonts w:ascii="宋体" w:hAnsi="宋体"/>
                <w:color w:val="auto"/>
                <w:sz w:val="21"/>
                <w:szCs w:val="21"/>
                <w:lang w:eastAsia="zh-CN"/>
              </w:rPr>
              <w:t>及管道等辅助设备进行安装连接。</w:t>
            </w:r>
          </w:p>
          <w:p>
            <w:pPr>
              <w:adjustRightInd w:val="0"/>
              <w:snapToGrid w:val="0"/>
              <w:spacing w:line="360" w:lineRule="auto"/>
              <w:ind w:firstLine="424" w:firstLineChars="202"/>
              <w:rPr>
                <w:rFonts w:ascii="宋体" w:hAnsi="宋体"/>
                <w:color w:val="auto"/>
                <w:sz w:val="21"/>
                <w:szCs w:val="21"/>
                <w:lang w:eastAsia="zh-CN"/>
              </w:rPr>
            </w:pPr>
            <w:r>
              <w:rPr>
                <w:rFonts w:ascii="宋体" w:hAnsi="宋体"/>
                <w:color w:val="auto"/>
                <w:sz w:val="21"/>
                <w:szCs w:val="21"/>
                <w:lang w:eastAsia="zh-CN"/>
              </w:rPr>
              <w:t>鼓风机各部件及辅助设备之间的联接和安装顺序应按制造厂手册为准，包括设备安装标准程序、设备安装图等，并说明所需螺栓直径及锁定固定螺帽的需求扭力。</w:t>
            </w:r>
          </w:p>
          <w:p>
            <w:pPr>
              <w:adjustRightInd w:val="0"/>
              <w:snapToGrid w:val="0"/>
              <w:spacing w:line="360" w:lineRule="auto"/>
              <w:ind w:firstLine="424" w:firstLineChars="202"/>
              <w:rPr>
                <w:rFonts w:ascii="宋体" w:hAnsi="宋体"/>
                <w:color w:val="auto"/>
                <w:sz w:val="21"/>
                <w:szCs w:val="21"/>
                <w:lang w:eastAsia="zh-CN"/>
              </w:rPr>
            </w:pPr>
            <w:r>
              <w:rPr>
                <w:rFonts w:ascii="宋体" w:hAnsi="宋体"/>
                <w:color w:val="auto"/>
                <w:sz w:val="21"/>
                <w:szCs w:val="21"/>
                <w:lang w:eastAsia="zh-CN"/>
              </w:rPr>
              <w:t>为达成设备接电及仪控讯号传输功能，各设备的电力线及仪控讯号线的系统线缆衔接均应接至邻近的主动力盘及主控制配电盘内。</w:t>
            </w:r>
          </w:p>
          <w:p>
            <w:pPr>
              <w:adjustRightInd w:val="0"/>
              <w:snapToGrid w:val="0"/>
              <w:spacing w:line="360" w:lineRule="auto"/>
              <w:ind w:firstLine="424" w:firstLineChars="202"/>
              <w:rPr>
                <w:rFonts w:ascii="宋体" w:hAnsi="宋体"/>
                <w:color w:val="auto"/>
                <w:sz w:val="21"/>
                <w:szCs w:val="21"/>
                <w:lang w:eastAsia="zh-CN"/>
              </w:rPr>
            </w:pPr>
            <w:r>
              <w:rPr>
                <w:rFonts w:hint="eastAsia" w:ascii="宋体" w:hAnsi="宋体"/>
                <w:color w:val="auto"/>
                <w:sz w:val="21"/>
                <w:szCs w:val="21"/>
                <w:lang w:eastAsia="zh-CN"/>
              </w:rPr>
              <w:t>（</w:t>
            </w:r>
            <w:r>
              <w:rPr>
                <w:rFonts w:ascii="宋体" w:hAnsi="宋体"/>
                <w:color w:val="auto"/>
                <w:sz w:val="21"/>
                <w:szCs w:val="21"/>
                <w:lang w:eastAsia="zh-CN"/>
              </w:rPr>
              <w:t>3</w:t>
            </w:r>
            <w:r>
              <w:rPr>
                <w:rFonts w:hint="eastAsia" w:ascii="宋体" w:hAnsi="宋体"/>
                <w:color w:val="auto"/>
                <w:sz w:val="21"/>
                <w:szCs w:val="21"/>
                <w:lang w:eastAsia="zh-CN"/>
              </w:rPr>
              <w:t>）</w:t>
            </w:r>
            <w:r>
              <w:rPr>
                <w:rFonts w:ascii="宋体" w:hAnsi="宋体"/>
                <w:color w:val="auto"/>
                <w:sz w:val="21"/>
                <w:szCs w:val="21"/>
                <w:lang w:eastAsia="zh-CN"/>
              </w:rPr>
              <w:t>与土建工程分界面</w:t>
            </w:r>
          </w:p>
          <w:p>
            <w:pPr>
              <w:adjustRightInd w:val="0"/>
              <w:snapToGrid w:val="0"/>
              <w:spacing w:line="360" w:lineRule="auto"/>
              <w:ind w:firstLine="424" w:firstLineChars="202"/>
              <w:rPr>
                <w:rFonts w:ascii="宋体" w:hAnsi="宋体"/>
                <w:color w:val="auto"/>
                <w:sz w:val="21"/>
                <w:szCs w:val="21"/>
                <w:lang w:eastAsia="zh-CN"/>
              </w:rPr>
            </w:pPr>
            <w:r>
              <w:rPr>
                <w:rFonts w:ascii="宋体" w:hAnsi="宋体"/>
                <w:color w:val="auto"/>
                <w:sz w:val="21"/>
                <w:szCs w:val="21"/>
                <w:lang w:eastAsia="zh-CN"/>
              </w:rPr>
              <w:t>鼓风机设备在土建构筑物的预留孔、基础尺寸均属土建工程。</w:t>
            </w:r>
          </w:p>
          <w:p>
            <w:pPr>
              <w:adjustRightInd w:val="0"/>
              <w:snapToGrid w:val="0"/>
              <w:spacing w:line="360" w:lineRule="auto"/>
              <w:ind w:firstLine="424" w:firstLineChars="202"/>
              <w:rPr>
                <w:rFonts w:ascii="宋体" w:hAnsi="宋体"/>
                <w:color w:val="auto"/>
                <w:sz w:val="21"/>
                <w:szCs w:val="21"/>
                <w:lang w:eastAsia="zh-CN"/>
              </w:rPr>
            </w:pPr>
            <w:r>
              <w:rPr>
                <w:rFonts w:ascii="宋体" w:hAnsi="宋体"/>
                <w:color w:val="auto"/>
                <w:sz w:val="21"/>
                <w:szCs w:val="21"/>
                <w:lang w:eastAsia="zh-CN"/>
              </w:rPr>
              <w:t>设备固定用地脚螺栓为供货商的随机附件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widowControl/>
              <w:spacing w:line="360" w:lineRule="auto"/>
              <w:rPr>
                <w:rFonts w:ascii="宋体" w:hAnsi="宋体"/>
                <w:color w:val="auto"/>
                <w:sz w:val="21"/>
                <w:szCs w:val="21"/>
                <w:lang w:eastAsia="zh-CN"/>
              </w:rPr>
            </w:pPr>
            <w:r>
              <w:rPr>
                <w:rFonts w:hint="eastAsia" w:ascii="宋体" w:hAnsi="宋体"/>
                <w:b/>
                <w:color w:val="auto"/>
                <w:sz w:val="21"/>
                <w:szCs w:val="21"/>
              </w:rPr>
              <w:t>现场检验和调试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853" w:type="dxa"/>
            <w:gridSpan w:val="5"/>
            <w:shd w:val="clear" w:color="auto" w:fill="auto"/>
            <w:vAlign w:val="center"/>
          </w:tcPr>
          <w:p>
            <w:pPr>
              <w:adjustRightInd w:val="0"/>
              <w:snapToGrid w:val="0"/>
              <w:spacing w:line="360" w:lineRule="auto"/>
              <w:ind w:firstLine="424" w:firstLineChars="202"/>
              <w:rPr>
                <w:rFonts w:ascii="宋体" w:hAnsi="宋体"/>
                <w:color w:val="auto"/>
                <w:sz w:val="21"/>
                <w:szCs w:val="21"/>
                <w:lang w:eastAsia="zh-CN"/>
              </w:rPr>
            </w:pPr>
            <w:r>
              <w:rPr>
                <w:rFonts w:ascii="宋体" w:hAnsi="宋体"/>
                <w:color w:val="auto"/>
                <w:sz w:val="21"/>
                <w:szCs w:val="21"/>
                <w:lang w:eastAsia="zh-CN"/>
              </w:rPr>
              <w:t>安装后，</w:t>
            </w:r>
            <w:r>
              <w:rPr>
                <w:rFonts w:hint="eastAsia" w:ascii="宋体" w:hAnsi="宋体"/>
                <w:color w:val="auto"/>
                <w:sz w:val="21"/>
                <w:szCs w:val="21"/>
                <w:lang w:eastAsia="zh-CN"/>
              </w:rPr>
              <w:t>承包人</w:t>
            </w:r>
            <w:r>
              <w:rPr>
                <w:rFonts w:ascii="宋体" w:hAnsi="宋体"/>
                <w:color w:val="auto"/>
                <w:sz w:val="21"/>
                <w:szCs w:val="21"/>
                <w:lang w:eastAsia="zh-CN"/>
              </w:rPr>
              <w:t>应按技术要求进行检验，保证其允差值符合规定的指标</w:t>
            </w:r>
            <w:r>
              <w:rPr>
                <w:rFonts w:hint="eastAsia" w:ascii="宋体" w:hAnsi="宋体"/>
                <w:color w:val="auto"/>
                <w:sz w:val="21"/>
                <w:szCs w:val="21"/>
                <w:lang w:eastAsia="zh-CN"/>
              </w:rPr>
              <w:t>。</w:t>
            </w:r>
          </w:p>
          <w:p>
            <w:pPr>
              <w:adjustRightInd w:val="0"/>
              <w:snapToGrid w:val="0"/>
              <w:spacing w:line="360" w:lineRule="auto"/>
              <w:ind w:firstLine="424" w:firstLineChars="202"/>
              <w:rPr>
                <w:rFonts w:ascii="宋体" w:hAnsi="宋体"/>
                <w:color w:val="auto"/>
                <w:sz w:val="21"/>
                <w:szCs w:val="21"/>
                <w:lang w:eastAsia="zh-CN"/>
              </w:rPr>
            </w:pPr>
            <w:r>
              <w:rPr>
                <w:rFonts w:ascii="宋体" w:hAnsi="宋体"/>
                <w:color w:val="auto"/>
                <w:sz w:val="21"/>
                <w:szCs w:val="21"/>
                <w:lang w:eastAsia="zh-CN"/>
              </w:rPr>
              <w:t>设备安装、试验及试运行后，承包人应派经制造厂训练合格的技师对操作人员进行使用及维护设备方面的教导。承包人在开始指导至少二周以前，应提送预定指导时间的正式书面通知给</w:t>
            </w:r>
            <w:r>
              <w:rPr>
                <w:rFonts w:hint="eastAsia" w:ascii="宋体" w:hAnsi="宋体"/>
                <w:color w:val="auto"/>
                <w:sz w:val="21"/>
                <w:szCs w:val="21"/>
                <w:lang w:eastAsia="zh-CN"/>
              </w:rPr>
              <w:t>招标人</w:t>
            </w:r>
            <w:r>
              <w:rPr>
                <w:rFonts w:ascii="宋体" w:hAnsi="宋体"/>
                <w:color w:val="auto"/>
                <w:sz w:val="21"/>
                <w:szCs w:val="21"/>
                <w:lang w:eastAsia="zh-CN"/>
              </w:rPr>
              <w:t>。</w:t>
            </w:r>
          </w:p>
        </w:tc>
      </w:tr>
    </w:tbl>
    <w:p>
      <w:pPr>
        <w:pStyle w:val="30"/>
        <w:spacing w:before="120" w:after="120"/>
        <w:rPr>
          <w:color w:val="auto"/>
        </w:rPr>
      </w:pPr>
      <w:bookmarkStart w:id="272" w:name="_Toc117181377"/>
      <w:r>
        <w:rPr>
          <w:color w:val="auto"/>
        </w:rPr>
        <w:t>污泥浓缩池</w:t>
      </w:r>
      <w:bookmarkEnd w:id="272"/>
    </w:p>
    <w:p>
      <w:pPr>
        <w:pStyle w:val="31"/>
        <w:rPr>
          <w:color w:val="auto"/>
        </w:rPr>
      </w:pPr>
      <w:r>
        <w:rPr>
          <w:rFonts w:hint="eastAsia"/>
          <w:color w:val="auto"/>
        </w:rPr>
        <w:t>悬挂式中心传动浓缩机</w:t>
      </w:r>
    </w:p>
    <w:tbl>
      <w:tblPr>
        <w:tblStyle w:val="24"/>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985"/>
        <w:gridCol w:w="1842"/>
        <w:gridCol w:w="1134"/>
        <w:gridCol w:w="869"/>
        <w:gridCol w:w="2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 w:hRule="atLeast"/>
        </w:trPr>
        <w:tc>
          <w:tcPr>
            <w:tcW w:w="817" w:type="dxa"/>
            <w:vAlign w:val="center"/>
          </w:tcPr>
          <w:p>
            <w:pPr>
              <w:pStyle w:val="29"/>
              <w:ind w:firstLine="0" w:firstLineChars="0"/>
              <w:jc w:val="center"/>
              <w:rPr>
                <w:rFonts w:cs="Times New Roman"/>
                <w:b/>
                <w:color w:val="auto"/>
                <w:sz w:val="21"/>
                <w:szCs w:val="21"/>
              </w:rPr>
            </w:pPr>
            <w:r>
              <w:rPr>
                <w:rFonts w:cs="Times New Roman"/>
                <w:b/>
                <w:color w:val="auto"/>
                <w:sz w:val="21"/>
                <w:szCs w:val="21"/>
              </w:rPr>
              <w:t>序号</w:t>
            </w:r>
          </w:p>
        </w:tc>
        <w:tc>
          <w:tcPr>
            <w:tcW w:w="1985" w:type="dxa"/>
            <w:vAlign w:val="center"/>
          </w:tcPr>
          <w:p>
            <w:pPr>
              <w:pStyle w:val="29"/>
              <w:ind w:firstLine="0" w:firstLineChars="0"/>
              <w:jc w:val="center"/>
              <w:rPr>
                <w:rFonts w:cs="Times New Roman"/>
                <w:b/>
                <w:color w:val="auto"/>
                <w:sz w:val="21"/>
                <w:szCs w:val="21"/>
              </w:rPr>
            </w:pPr>
            <w:r>
              <w:rPr>
                <w:rFonts w:cs="Times New Roman"/>
                <w:b/>
                <w:color w:val="auto"/>
                <w:sz w:val="21"/>
                <w:szCs w:val="21"/>
              </w:rPr>
              <w:t>名称</w:t>
            </w:r>
          </w:p>
        </w:tc>
        <w:tc>
          <w:tcPr>
            <w:tcW w:w="1842" w:type="dxa"/>
            <w:vAlign w:val="center"/>
          </w:tcPr>
          <w:p>
            <w:pPr>
              <w:pStyle w:val="29"/>
              <w:ind w:firstLine="0" w:firstLineChars="0"/>
              <w:jc w:val="center"/>
              <w:rPr>
                <w:rFonts w:cs="Times New Roman"/>
                <w:b/>
                <w:color w:val="auto"/>
                <w:sz w:val="21"/>
                <w:szCs w:val="21"/>
              </w:rPr>
            </w:pPr>
            <w:r>
              <w:rPr>
                <w:rFonts w:cs="Times New Roman"/>
                <w:b/>
                <w:color w:val="auto"/>
                <w:sz w:val="21"/>
                <w:szCs w:val="21"/>
              </w:rPr>
              <w:t>规格</w:t>
            </w:r>
          </w:p>
        </w:tc>
        <w:tc>
          <w:tcPr>
            <w:tcW w:w="1134" w:type="dxa"/>
            <w:vAlign w:val="center"/>
          </w:tcPr>
          <w:p>
            <w:pPr>
              <w:pStyle w:val="29"/>
              <w:ind w:firstLine="0" w:firstLineChars="0"/>
              <w:jc w:val="center"/>
              <w:rPr>
                <w:rFonts w:cs="Times New Roman"/>
                <w:b/>
                <w:color w:val="auto"/>
                <w:sz w:val="21"/>
                <w:szCs w:val="21"/>
              </w:rPr>
            </w:pPr>
            <w:r>
              <w:rPr>
                <w:rFonts w:cs="Times New Roman"/>
                <w:b/>
                <w:color w:val="auto"/>
                <w:sz w:val="21"/>
                <w:szCs w:val="21"/>
              </w:rPr>
              <w:t>数量</w:t>
            </w:r>
          </w:p>
        </w:tc>
        <w:tc>
          <w:tcPr>
            <w:tcW w:w="869" w:type="dxa"/>
            <w:vAlign w:val="center"/>
          </w:tcPr>
          <w:p>
            <w:pPr>
              <w:pStyle w:val="29"/>
              <w:ind w:firstLine="0" w:firstLineChars="0"/>
              <w:jc w:val="center"/>
              <w:rPr>
                <w:rFonts w:cs="Times New Roman"/>
                <w:b/>
                <w:color w:val="auto"/>
                <w:sz w:val="21"/>
                <w:szCs w:val="21"/>
              </w:rPr>
            </w:pPr>
            <w:r>
              <w:rPr>
                <w:rFonts w:cs="Times New Roman"/>
                <w:b/>
                <w:color w:val="auto"/>
                <w:sz w:val="21"/>
                <w:szCs w:val="21"/>
              </w:rPr>
              <w:t>单位</w:t>
            </w:r>
          </w:p>
        </w:tc>
        <w:tc>
          <w:tcPr>
            <w:tcW w:w="2279" w:type="dxa"/>
            <w:vAlign w:val="center"/>
          </w:tcPr>
          <w:p>
            <w:pPr>
              <w:pStyle w:val="29"/>
              <w:ind w:firstLine="0" w:firstLineChars="0"/>
              <w:jc w:val="center"/>
              <w:rPr>
                <w:rFonts w:cs="Times New Roman"/>
                <w:b/>
                <w:color w:val="auto"/>
                <w:sz w:val="21"/>
                <w:szCs w:val="21"/>
              </w:rPr>
            </w:pPr>
            <w:r>
              <w:rPr>
                <w:rFonts w:cs="Times New Roman"/>
                <w:b/>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17" w:type="dxa"/>
            <w:vAlign w:val="center"/>
          </w:tcPr>
          <w:p>
            <w:pPr>
              <w:pStyle w:val="29"/>
              <w:ind w:firstLine="0" w:firstLineChars="0"/>
              <w:jc w:val="center"/>
              <w:rPr>
                <w:rFonts w:cs="Times New Roman"/>
                <w:color w:val="auto"/>
                <w:sz w:val="21"/>
                <w:szCs w:val="21"/>
              </w:rPr>
            </w:pPr>
            <w:r>
              <w:rPr>
                <w:rFonts w:cs="Times New Roman"/>
                <w:color w:val="auto"/>
                <w:sz w:val="21"/>
                <w:szCs w:val="21"/>
              </w:rPr>
              <w:t>1</w:t>
            </w:r>
          </w:p>
        </w:tc>
        <w:tc>
          <w:tcPr>
            <w:tcW w:w="1985" w:type="dxa"/>
            <w:vAlign w:val="center"/>
          </w:tcPr>
          <w:p>
            <w:pPr>
              <w:pStyle w:val="29"/>
              <w:ind w:firstLine="0" w:firstLineChars="0"/>
              <w:jc w:val="center"/>
              <w:rPr>
                <w:rFonts w:cs="Times New Roman"/>
                <w:color w:val="auto"/>
                <w:sz w:val="21"/>
                <w:szCs w:val="21"/>
              </w:rPr>
            </w:pPr>
            <w:r>
              <w:rPr>
                <w:rFonts w:cs="Times New Roman"/>
                <w:color w:val="auto"/>
                <w:sz w:val="21"/>
                <w:szCs w:val="21"/>
              </w:rPr>
              <w:t>悬挂式中心传动浓缩机</w:t>
            </w:r>
          </w:p>
        </w:tc>
        <w:tc>
          <w:tcPr>
            <w:tcW w:w="1842" w:type="dxa"/>
            <w:vAlign w:val="center"/>
          </w:tcPr>
          <w:p>
            <w:pPr>
              <w:pStyle w:val="29"/>
              <w:ind w:firstLine="0" w:firstLineChars="0"/>
              <w:jc w:val="center"/>
              <w:rPr>
                <w:rFonts w:cs="Times New Roman"/>
                <w:color w:val="auto"/>
                <w:sz w:val="21"/>
                <w:szCs w:val="21"/>
              </w:rPr>
            </w:pPr>
            <w:r>
              <w:rPr>
                <w:rFonts w:hint="eastAsia" w:ascii="MS Mincho" w:hAnsi="MS Mincho" w:eastAsia="MS Mincho" w:cs="MS Mincho"/>
                <w:color w:val="auto"/>
                <w:sz w:val="21"/>
                <w:szCs w:val="21"/>
              </w:rPr>
              <w:t>∅</w:t>
            </w:r>
            <w:r>
              <w:rPr>
                <w:rFonts w:cs="Times New Roman"/>
                <w:color w:val="auto"/>
                <w:sz w:val="21"/>
                <w:szCs w:val="21"/>
              </w:rPr>
              <w:t>7000，P=0.55Kw</w:t>
            </w:r>
          </w:p>
        </w:tc>
        <w:tc>
          <w:tcPr>
            <w:tcW w:w="1134" w:type="dxa"/>
            <w:vAlign w:val="center"/>
          </w:tcPr>
          <w:p>
            <w:pPr>
              <w:pStyle w:val="29"/>
              <w:ind w:firstLine="0" w:firstLineChars="0"/>
              <w:jc w:val="center"/>
              <w:rPr>
                <w:rFonts w:cs="Times New Roman"/>
                <w:color w:val="auto"/>
                <w:sz w:val="21"/>
                <w:szCs w:val="21"/>
              </w:rPr>
            </w:pPr>
            <w:r>
              <w:rPr>
                <w:rFonts w:cs="Times New Roman"/>
                <w:color w:val="auto"/>
                <w:sz w:val="21"/>
                <w:szCs w:val="21"/>
              </w:rPr>
              <w:t>3</w:t>
            </w:r>
          </w:p>
        </w:tc>
        <w:tc>
          <w:tcPr>
            <w:tcW w:w="869" w:type="dxa"/>
            <w:vAlign w:val="center"/>
          </w:tcPr>
          <w:p>
            <w:pPr>
              <w:pStyle w:val="29"/>
              <w:ind w:firstLine="0" w:firstLineChars="0"/>
              <w:jc w:val="center"/>
              <w:rPr>
                <w:rFonts w:cs="Times New Roman"/>
                <w:color w:val="auto"/>
                <w:sz w:val="21"/>
                <w:szCs w:val="21"/>
              </w:rPr>
            </w:pPr>
            <w:r>
              <w:rPr>
                <w:rFonts w:cs="Times New Roman"/>
                <w:color w:val="auto"/>
                <w:sz w:val="21"/>
                <w:szCs w:val="21"/>
              </w:rPr>
              <w:t>套</w:t>
            </w:r>
          </w:p>
        </w:tc>
        <w:tc>
          <w:tcPr>
            <w:tcW w:w="2279" w:type="dxa"/>
            <w:vAlign w:val="center"/>
          </w:tcPr>
          <w:p>
            <w:pPr>
              <w:pStyle w:val="29"/>
              <w:ind w:firstLine="0" w:firstLineChars="0"/>
              <w:jc w:val="center"/>
              <w:rPr>
                <w:rFonts w:cs="Times New Roman"/>
                <w:color w:val="auto"/>
                <w:sz w:val="21"/>
                <w:szCs w:val="21"/>
              </w:rPr>
            </w:pPr>
            <w:r>
              <w:rPr>
                <w:rFonts w:cs="Times New Roman"/>
                <w:color w:val="auto"/>
                <w:sz w:val="21"/>
                <w:szCs w:val="21"/>
              </w:rPr>
              <w:t>含稳流桶等附属设备,带浮渣撇除设施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17" w:type="dxa"/>
            <w:vAlign w:val="center"/>
          </w:tcPr>
          <w:p>
            <w:pPr>
              <w:pStyle w:val="29"/>
              <w:ind w:firstLine="0" w:firstLineChars="0"/>
              <w:jc w:val="center"/>
              <w:rPr>
                <w:rFonts w:cs="Times New Roman"/>
                <w:color w:val="auto"/>
                <w:sz w:val="21"/>
                <w:szCs w:val="21"/>
              </w:rPr>
            </w:pPr>
            <w:r>
              <w:rPr>
                <w:rFonts w:cs="Times New Roman"/>
                <w:color w:val="auto"/>
                <w:sz w:val="21"/>
                <w:szCs w:val="21"/>
              </w:rPr>
              <w:t>2</w:t>
            </w:r>
          </w:p>
        </w:tc>
        <w:tc>
          <w:tcPr>
            <w:tcW w:w="1985" w:type="dxa"/>
            <w:vAlign w:val="center"/>
          </w:tcPr>
          <w:p>
            <w:pPr>
              <w:pStyle w:val="29"/>
              <w:ind w:firstLine="0" w:firstLineChars="0"/>
              <w:jc w:val="center"/>
              <w:rPr>
                <w:rFonts w:eastAsia="MS Gothic" w:cs="Times New Roman"/>
                <w:color w:val="auto"/>
                <w:sz w:val="21"/>
                <w:szCs w:val="21"/>
              </w:rPr>
            </w:pPr>
            <w:r>
              <w:rPr>
                <w:rFonts w:cs="Times New Roman"/>
                <w:color w:val="auto"/>
                <w:sz w:val="21"/>
                <w:szCs w:val="21"/>
              </w:rPr>
              <w:t>出水固定堰板</w:t>
            </w:r>
          </w:p>
        </w:tc>
        <w:tc>
          <w:tcPr>
            <w:tcW w:w="1842" w:type="dxa"/>
            <w:vAlign w:val="center"/>
          </w:tcPr>
          <w:p>
            <w:pPr>
              <w:pStyle w:val="29"/>
              <w:ind w:firstLine="0" w:firstLineChars="0"/>
              <w:jc w:val="center"/>
              <w:rPr>
                <w:rFonts w:eastAsia="MS Gothic" w:cs="Times New Roman"/>
                <w:color w:val="auto"/>
                <w:sz w:val="21"/>
                <w:szCs w:val="21"/>
              </w:rPr>
            </w:pPr>
            <w:r>
              <w:rPr>
                <w:rFonts w:cs="Times New Roman"/>
                <w:color w:val="auto"/>
                <w:sz w:val="21"/>
                <w:szCs w:val="21"/>
              </w:rPr>
              <w:t>B=250mm</w:t>
            </w:r>
          </w:p>
        </w:tc>
        <w:tc>
          <w:tcPr>
            <w:tcW w:w="1134" w:type="dxa"/>
            <w:vAlign w:val="center"/>
          </w:tcPr>
          <w:p>
            <w:pPr>
              <w:pStyle w:val="29"/>
              <w:ind w:firstLine="0" w:firstLineChars="0"/>
              <w:jc w:val="center"/>
              <w:rPr>
                <w:rFonts w:cs="Times New Roman"/>
                <w:color w:val="auto"/>
                <w:sz w:val="21"/>
                <w:szCs w:val="21"/>
              </w:rPr>
            </w:pPr>
            <w:r>
              <w:rPr>
                <w:rFonts w:cs="Times New Roman"/>
                <w:color w:val="auto"/>
                <w:sz w:val="21"/>
                <w:szCs w:val="21"/>
              </w:rPr>
              <w:t>150</w:t>
            </w:r>
          </w:p>
        </w:tc>
        <w:tc>
          <w:tcPr>
            <w:tcW w:w="869" w:type="dxa"/>
            <w:vAlign w:val="center"/>
          </w:tcPr>
          <w:p>
            <w:pPr>
              <w:pStyle w:val="29"/>
              <w:ind w:firstLine="0" w:firstLineChars="0"/>
              <w:jc w:val="center"/>
              <w:rPr>
                <w:rFonts w:cs="Times New Roman"/>
                <w:color w:val="auto"/>
                <w:sz w:val="21"/>
                <w:szCs w:val="21"/>
              </w:rPr>
            </w:pPr>
            <w:r>
              <w:rPr>
                <w:rFonts w:cs="Times New Roman"/>
                <w:color w:val="auto"/>
                <w:sz w:val="21"/>
                <w:szCs w:val="21"/>
              </w:rPr>
              <w:t>米</w:t>
            </w:r>
          </w:p>
        </w:tc>
        <w:tc>
          <w:tcPr>
            <w:tcW w:w="2279" w:type="dxa"/>
            <w:vAlign w:val="center"/>
          </w:tcPr>
          <w:p>
            <w:pPr>
              <w:pStyle w:val="29"/>
              <w:ind w:firstLine="0" w:firstLineChars="0"/>
              <w:jc w:val="center"/>
              <w:rPr>
                <w:rFonts w:cs="Times New Roman"/>
                <w:color w:val="auto"/>
                <w:sz w:val="21"/>
                <w:szCs w:val="21"/>
              </w:rPr>
            </w:pPr>
            <w:r>
              <w:rPr>
                <w:rFonts w:cs="Times New Roman"/>
                <w:color w:val="auto"/>
                <w:sz w:val="21"/>
                <w:szCs w:val="21"/>
              </w:rPr>
              <w:t>含适量配件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9"/>
              <w:ind w:firstLine="0" w:firstLineChars="0"/>
              <w:rPr>
                <w:b/>
                <w:bCs/>
                <w:color w:val="auto"/>
                <w:sz w:val="21"/>
                <w:szCs w:val="21"/>
              </w:rPr>
            </w:pPr>
            <w:r>
              <w:rPr>
                <w:rFonts w:ascii="宋体" w:hAnsi="宋体" w:eastAsia="宋体" w:cs="宋体"/>
                <w:b/>
                <w:bCs/>
                <w:color w:val="auto"/>
                <w:sz w:val="21"/>
                <w:szCs w:val="21"/>
              </w:rPr>
              <w:t>性能与结构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7"/>
              <w:spacing w:line="360" w:lineRule="auto"/>
              <w:ind w:firstLine="420" w:firstLineChars="200"/>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由驱动系统（包括电机、减速机及中心立轴、水下轴承）；工作桥；出水堰板；刮泥臂</w:t>
            </w:r>
          </w:p>
          <w:p>
            <w:pPr>
              <w:pStyle w:val="27"/>
              <w:spacing w:line="360" w:lineRule="auto"/>
              <w:ind w:firstLine="420" w:firstLineChars="200"/>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架；刮泥板；进水管；导流筒；浮渣筒、就地控制箱以及安全和有效运行所需的附件。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9"/>
              <w:ind w:firstLine="0" w:firstLineChars="0"/>
              <w:rPr>
                <w:rFonts w:ascii="宋体" w:hAnsi="宋体" w:eastAsia="宋体" w:cs="宋体"/>
                <w:color w:val="auto"/>
                <w:spacing w:val="0"/>
                <w:sz w:val="21"/>
                <w:szCs w:val="21"/>
              </w:rPr>
            </w:pPr>
            <w:r>
              <w:rPr>
                <w:rFonts w:ascii="宋体" w:hAnsi="宋体" w:eastAsia="宋体" w:cs="宋体"/>
                <w:b/>
                <w:bCs/>
                <w:color w:val="auto"/>
                <w:sz w:val="21"/>
                <w:szCs w:val="21"/>
              </w:rPr>
              <w:t>工作桥架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7"/>
              <w:spacing w:line="360" w:lineRule="auto"/>
              <w:ind w:firstLine="420" w:firstLineChars="200"/>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工作桥为全桥式、固定安装，作为驱动装置的支座以及与池周平台的通道，桥架走道宽度1600mm（暂定），应适用于工作人员的维修和管理，工作桥的走道上铺设走道板，承受负荷大于200kg/m2。工作桥应考虑浓缩池加盖构筑物的荷载，挠度应小于桥跨度的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9"/>
              <w:ind w:firstLine="0" w:firstLineChars="0"/>
              <w:rPr>
                <w:rFonts w:ascii="宋体" w:hAnsi="宋体" w:eastAsia="宋体" w:cs="宋体"/>
                <w:color w:val="auto"/>
                <w:sz w:val="21"/>
                <w:szCs w:val="21"/>
              </w:rPr>
            </w:pPr>
            <w:r>
              <w:rPr>
                <w:rFonts w:ascii="宋体" w:hAnsi="宋体" w:eastAsia="宋体" w:cs="宋体"/>
                <w:b/>
                <w:bCs/>
                <w:color w:val="auto"/>
                <w:sz w:val="21"/>
                <w:szCs w:val="21"/>
              </w:rPr>
              <w:t>导流筒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7"/>
              <w:spacing w:line="360" w:lineRule="auto"/>
              <w:ind w:firstLine="420" w:firstLineChars="200"/>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a.进泥管为1根DN300（暂定），用于输送剩余污泥。</w:t>
            </w:r>
          </w:p>
          <w:p>
            <w:pPr>
              <w:pStyle w:val="27"/>
              <w:spacing w:line="360" w:lineRule="auto"/>
              <w:ind w:firstLine="420" w:firstLineChars="200"/>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b.进泥管须经导流筒均匀地布水，导流筒的断面与导流筒的出水流速应保证污泥的有效沉降及在等速向池周幅流动。</w:t>
            </w:r>
          </w:p>
          <w:p>
            <w:pPr>
              <w:pStyle w:val="27"/>
              <w:spacing w:line="360" w:lineRule="auto"/>
              <w:ind w:firstLine="420" w:firstLineChars="200"/>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c.导流筒板厚不小于3mm，应采用不锈钢0Cr17Ni12Mo2(316)制造。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9"/>
              <w:ind w:firstLine="0" w:firstLineChars="0"/>
              <w:rPr>
                <w:rFonts w:ascii="宋体" w:hAnsi="宋体" w:eastAsia="宋体" w:cs="宋体"/>
                <w:color w:val="auto"/>
                <w:sz w:val="21"/>
                <w:szCs w:val="21"/>
              </w:rPr>
            </w:pPr>
            <w:r>
              <w:rPr>
                <w:rFonts w:ascii="宋体" w:hAnsi="宋体" w:eastAsia="宋体" w:cs="宋体"/>
                <w:b/>
                <w:bCs/>
                <w:color w:val="auto"/>
                <w:sz w:val="21"/>
                <w:szCs w:val="21"/>
              </w:rPr>
              <w:t>出水堰板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7"/>
              <w:spacing w:line="360" w:lineRule="auto"/>
              <w:ind w:firstLine="420" w:firstLineChars="200"/>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采用0Cr17Ni12Mo2(316)不锈钢制造，间隔三角堰口，堰板固定在出水槽上，堰板高度250mm，厚度不小于3mm，堰口应满足出水负荷的需要。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9"/>
              <w:ind w:firstLine="0" w:firstLineChars="0"/>
              <w:rPr>
                <w:rFonts w:ascii="宋体" w:hAnsi="宋体" w:eastAsia="宋体" w:cs="宋体"/>
                <w:color w:val="auto"/>
                <w:sz w:val="21"/>
                <w:szCs w:val="21"/>
              </w:rPr>
            </w:pPr>
            <w:r>
              <w:rPr>
                <w:rFonts w:ascii="宋体" w:hAnsi="宋体" w:eastAsia="宋体" w:cs="宋体"/>
                <w:b/>
                <w:bCs/>
                <w:color w:val="auto"/>
                <w:sz w:val="21"/>
                <w:szCs w:val="21"/>
              </w:rPr>
              <w:t>刮泥臂、刮泥板及竖向栅条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7"/>
              <w:spacing w:line="360" w:lineRule="auto"/>
              <w:ind w:firstLine="420" w:firstLineChars="200"/>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刮泥臂应采用对称双臂式钢结构构架，对称设置，应具有足够的抗扭强度和刚度，以承受刮泥的载荷。刮泥板的排列应保证经池底的沉泥由池周向中心泥斗刮集，不得有任何的积泥死区。刮泥机的刮泥臂上应设有均匀排列的竖向栅条，以提高污泥浓缩效果。竖向栅条安装在浓缩机的刮臂上，栅条的形式采用等边不锈钢角钢断面，栅条的高度为刮臂的下弦至配水筒下口，约占有效深度的2/3，栅条的间隔为300mm（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9"/>
              <w:ind w:firstLine="0" w:firstLineChars="0"/>
              <w:rPr>
                <w:rFonts w:ascii="宋体" w:hAnsi="宋体" w:eastAsia="宋体" w:cs="宋体"/>
                <w:color w:val="auto"/>
                <w:spacing w:val="-2"/>
                <w:sz w:val="21"/>
                <w:szCs w:val="21"/>
              </w:rPr>
            </w:pPr>
            <w:r>
              <w:rPr>
                <w:rFonts w:ascii="宋体" w:hAnsi="宋体" w:eastAsia="宋体" w:cs="宋体"/>
                <w:b/>
                <w:bCs/>
                <w:color w:val="auto"/>
                <w:sz w:val="21"/>
                <w:szCs w:val="21"/>
              </w:rPr>
              <w:t>中心立轴与水下轴承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7"/>
              <w:spacing w:line="360" w:lineRule="auto"/>
              <w:ind w:firstLine="420" w:firstLineChars="200"/>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中心立轴采用空心厚壁钢管制作，轴的下端宜设置铜制水下轴承，并悬伸于中心集泥槽内，带动刮板回转，防止泥槽积泥。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9"/>
              <w:ind w:firstLine="0" w:firstLineChars="0"/>
              <w:rPr>
                <w:rFonts w:ascii="宋体" w:hAnsi="宋体" w:eastAsia="宋体" w:cs="宋体"/>
                <w:color w:val="auto"/>
                <w:spacing w:val="-3"/>
                <w:sz w:val="21"/>
                <w:szCs w:val="21"/>
              </w:rPr>
            </w:pPr>
            <w:r>
              <w:rPr>
                <w:rFonts w:ascii="宋体" w:hAnsi="宋体" w:eastAsia="宋体" w:cs="宋体"/>
                <w:b/>
                <w:bCs/>
                <w:color w:val="auto"/>
                <w:sz w:val="21"/>
                <w:szCs w:val="21"/>
              </w:rPr>
              <w:t>驱动装置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7"/>
              <w:spacing w:line="360" w:lineRule="auto"/>
              <w:ind w:firstLine="420" w:firstLineChars="200"/>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驱动装置应安装在桥架上，并通过中心转轴带动刮泥臂及刮泥板等转动，驱动电机应适用于户外使用，3相、380V、50HZ，F级绝缘，防护等级IP65。齿轮箱齿轮设计应采用符合ISO标准，服务系数&gt;2.0，齿轮材料为合金钢，齿面硬度HRC58~62，轴承寿命（B10）不低于10万小时，并带有过载保护。驱动装置噪音≤70dB（A）。吸泥机和刮泥机的驱动装置均须选用国际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9"/>
              <w:ind w:firstLine="0" w:firstLineChars="0"/>
              <w:rPr>
                <w:rFonts w:ascii="宋体" w:hAnsi="宋体" w:eastAsia="宋体" w:cs="宋体"/>
                <w:color w:val="auto"/>
                <w:sz w:val="21"/>
                <w:szCs w:val="21"/>
              </w:rPr>
            </w:pPr>
            <w:r>
              <w:rPr>
                <w:rFonts w:ascii="宋体" w:hAnsi="宋体" w:eastAsia="宋体" w:cs="宋体"/>
                <w:b/>
                <w:bCs/>
                <w:color w:val="auto"/>
                <w:sz w:val="21"/>
                <w:szCs w:val="21"/>
              </w:rPr>
              <w:t>电气控制箱应符合下列技术要求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7"/>
              <w:spacing w:line="360" w:lineRule="auto"/>
              <w:ind w:firstLine="420" w:firstLineChars="200"/>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每台控制箱工作电源：AC380/220V(三相四线).50HZ电缆进出线：下进下出方式</w:t>
            </w:r>
            <w:r>
              <w:rPr>
                <w:rFonts w:hint="eastAsia" w:ascii="宋体" w:hAnsi="宋体" w:eastAsia="宋体" w:cs="宋体"/>
                <w:color w:val="auto"/>
                <w:sz w:val="21"/>
                <w:szCs w:val="21"/>
                <w:lang w:eastAsia="zh-CN"/>
              </w:rPr>
              <w:t>。</w:t>
            </w:r>
            <w:r>
              <w:rPr>
                <w:rFonts w:ascii="宋体" w:hAnsi="宋体" w:eastAsia="宋体" w:cs="宋体"/>
                <w:color w:val="auto"/>
                <w:spacing w:val="-2"/>
                <w:sz w:val="21"/>
                <w:szCs w:val="21"/>
                <w:lang w:eastAsia="zh-CN"/>
              </w:rPr>
              <w:t>起动方式：全压直接启动</w:t>
            </w:r>
            <w:r>
              <w:rPr>
                <w:rFonts w:ascii="宋体" w:hAnsi="宋体" w:eastAsia="宋体" w:cs="宋体"/>
                <w:color w:val="auto"/>
                <w:sz w:val="21"/>
                <w:szCs w:val="21"/>
                <w:lang w:eastAsia="zh-CN"/>
              </w:rPr>
              <w:t>防护等级IP55</w:t>
            </w:r>
            <w:r>
              <w:rPr>
                <w:rFonts w:hint="eastAsia" w:ascii="宋体" w:hAnsi="宋体" w:eastAsia="宋体" w:cs="宋体"/>
                <w:color w:val="auto"/>
                <w:sz w:val="21"/>
                <w:szCs w:val="21"/>
                <w:lang w:eastAsia="zh-CN"/>
              </w:rPr>
              <w:t>。</w:t>
            </w:r>
          </w:p>
          <w:p>
            <w:pPr>
              <w:pStyle w:val="27"/>
              <w:spacing w:line="360" w:lineRule="auto"/>
              <w:jc w:val="both"/>
              <w:rPr>
                <w:rFonts w:ascii="宋体" w:hAnsi="宋体" w:eastAsia="宋体" w:cs="宋体"/>
                <w:color w:val="auto"/>
                <w:sz w:val="21"/>
                <w:szCs w:val="21"/>
                <w:lang w:eastAsia="zh-CN"/>
              </w:rPr>
            </w:pPr>
            <w:r>
              <w:rPr>
                <w:rFonts w:ascii="宋体" w:hAnsi="宋体" w:eastAsia="宋体" w:cs="宋体"/>
                <w:color w:val="auto"/>
                <w:sz w:val="21"/>
                <w:szCs w:val="21"/>
                <w:lang w:eastAsia="zh-CN"/>
              </w:rPr>
              <w:t>随机械设备配套的控制箱内部所需的控制电源由承包商配套供应，控制电源为交流220V控制箱接受电源侧应设总空气开关,总空气开关应有短路及过载保护.对各机械设备配电用的空气开关应有短路及过载保护.并设热保护元件用于电机的过载保护进线处设电流表（数显）</w:t>
            </w:r>
          </w:p>
          <w:p>
            <w:pPr>
              <w:pStyle w:val="29"/>
              <w:ind w:firstLine="412"/>
              <w:rPr>
                <w:rFonts w:ascii="宋体" w:hAnsi="宋体" w:eastAsia="宋体" w:cs="宋体"/>
                <w:color w:val="auto"/>
                <w:spacing w:val="-5"/>
                <w:sz w:val="21"/>
                <w:szCs w:val="21"/>
              </w:rPr>
            </w:pPr>
            <w:r>
              <w:rPr>
                <w:rFonts w:ascii="宋体" w:hAnsi="宋体" w:eastAsia="宋体" w:cs="宋体"/>
                <w:color w:val="auto"/>
                <w:sz w:val="21"/>
                <w:szCs w:val="21"/>
              </w:rPr>
              <w:t>控制箱箱面应设开--停按钮,自动-手动转换开关,紧急停车按钮,</w:t>
            </w:r>
            <w:r>
              <w:rPr>
                <w:rFonts w:ascii="宋体" w:hAnsi="宋体" w:eastAsia="宋体" w:cs="宋体"/>
                <w:color w:val="auto"/>
                <w:spacing w:val="-5"/>
                <w:sz w:val="21"/>
                <w:szCs w:val="21"/>
              </w:rPr>
              <w:t>开-停-故障指示灯，所</w:t>
            </w:r>
            <w:r>
              <w:rPr>
                <w:rFonts w:hint="eastAsia" w:ascii="宋体" w:hAnsi="宋体" w:eastAsia="宋体" w:cs="宋体"/>
                <w:color w:val="auto"/>
                <w:spacing w:val="-5"/>
                <w:sz w:val="21"/>
                <w:szCs w:val="21"/>
              </w:rPr>
              <w:t>有控制及保护回路分开，按钮及指示灯必须匹配。套筒阀材质采用不锈钢316。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9"/>
              <w:ind w:firstLine="410"/>
              <w:rPr>
                <w:rFonts w:ascii="宋体" w:hAnsi="宋体" w:eastAsia="宋体" w:cs="宋体"/>
                <w:color w:val="auto"/>
                <w:spacing w:val="-5"/>
                <w:sz w:val="21"/>
                <w:szCs w:val="21"/>
              </w:rPr>
            </w:pPr>
            <w:r>
              <w:rPr>
                <w:rFonts w:hint="eastAsia" w:ascii="宋体" w:hAnsi="宋体" w:eastAsia="宋体" w:cs="宋体"/>
                <w:color w:val="auto"/>
                <w:spacing w:val="-5"/>
                <w:sz w:val="21"/>
                <w:szCs w:val="21"/>
              </w:rPr>
              <w:t>刮泥机主机主要部件结构尺寸基本要求：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9"/>
              <w:ind w:firstLine="410"/>
              <w:rPr>
                <w:rFonts w:ascii="宋体" w:hAnsi="宋体" w:eastAsia="宋体" w:cs="宋体"/>
                <w:color w:val="auto"/>
                <w:spacing w:val="-5"/>
                <w:sz w:val="21"/>
                <w:szCs w:val="21"/>
              </w:rPr>
            </w:pPr>
            <w:r>
              <w:rPr>
                <w:rFonts w:hint="eastAsia" w:ascii="宋体" w:hAnsi="宋体" w:eastAsia="宋体" w:cs="宋体"/>
                <w:color w:val="auto"/>
                <w:spacing w:val="-5"/>
                <w:sz w:val="21"/>
                <w:szCs w:val="21"/>
              </w:rPr>
              <w:t>中立柱：柱体的壁厚度≥8mm，直径≥400mm（暂定）（直径16m吸泥机）;转笼：主梁厚8mm,斜撑厚度≥6mm桁架：桁架为等边截面，主梁厚度≥8mm,斜撑厚度≥5mm</w:t>
            </w:r>
          </w:p>
          <w:p>
            <w:pPr>
              <w:pStyle w:val="29"/>
              <w:ind w:firstLine="410"/>
              <w:rPr>
                <w:rFonts w:ascii="宋体" w:hAnsi="宋体" w:eastAsia="宋体" w:cs="宋体"/>
                <w:color w:val="auto"/>
                <w:spacing w:val="-5"/>
                <w:sz w:val="21"/>
                <w:szCs w:val="21"/>
              </w:rPr>
            </w:pPr>
            <w:r>
              <w:rPr>
                <w:rFonts w:hint="eastAsia" w:ascii="宋体" w:hAnsi="宋体" w:eastAsia="宋体" w:cs="宋体"/>
                <w:color w:val="auto"/>
                <w:spacing w:val="-5"/>
                <w:sz w:val="21"/>
                <w:szCs w:val="21"/>
              </w:rPr>
              <w:t>筒壁厚度≥6mm排泥管：管壁厚度≥4mm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9"/>
              <w:ind w:firstLine="0" w:firstLineChars="0"/>
              <w:rPr>
                <w:rFonts w:ascii="宋体" w:hAnsi="宋体" w:eastAsia="宋体" w:cs="宋体"/>
                <w:color w:val="auto"/>
                <w:spacing w:val="-5"/>
                <w:sz w:val="21"/>
                <w:szCs w:val="21"/>
              </w:rPr>
            </w:pPr>
            <w:r>
              <w:rPr>
                <w:rFonts w:hint="eastAsia" w:ascii="宋体" w:hAnsi="宋体" w:eastAsia="宋体" w:cs="宋体"/>
                <w:b/>
                <w:bCs/>
                <w:color w:val="auto"/>
                <w:sz w:val="21"/>
                <w:szCs w:val="21"/>
              </w:rPr>
              <w:t>主要材质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pStyle w:val="29"/>
              <w:ind w:firstLine="0" w:firstLineChars="0"/>
              <w:rPr>
                <w:rFonts w:ascii="宋体" w:hAnsi="宋体" w:eastAsia="宋体" w:cs="宋体"/>
                <w:color w:val="auto"/>
                <w:spacing w:val="-5"/>
                <w:sz w:val="21"/>
                <w:szCs w:val="21"/>
              </w:rPr>
            </w:pPr>
          </w:p>
          <w:tbl>
            <w:tblPr>
              <w:tblStyle w:val="25"/>
              <w:tblW w:w="8138"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879"/>
              <w:gridCol w:w="5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7" w:hRule="atLeast"/>
              </w:trPr>
              <w:tc>
                <w:tcPr>
                  <w:tcW w:w="2879" w:type="dxa"/>
                </w:tcPr>
                <w:p>
                  <w:pPr>
                    <w:pStyle w:val="27"/>
                    <w:spacing w:line="360" w:lineRule="auto"/>
                    <w:ind w:left="200"/>
                    <w:rPr>
                      <w:rFonts w:ascii="宋体" w:hAnsi="宋体" w:eastAsia="宋体" w:cs="宋体"/>
                      <w:color w:val="auto"/>
                      <w:sz w:val="21"/>
                      <w:szCs w:val="21"/>
                      <w:lang w:eastAsia="zh-CN"/>
                    </w:rPr>
                  </w:pPr>
                  <w:r>
                    <w:rPr>
                      <w:rFonts w:ascii="宋体" w:hAnsi="宋体" w:eastAsia="宋体" w:cs="宋体"/>
                      <w:color w:val="auto"/>
                      <w:sz w:val="21"/>
                      <w:szCs w:val="21"/>
                      <w:lang w:eastAsia="zh-CN"/>
                    </w:rPr>
                    <w:t>工作桥</w:t>
                  </w:r>
                </w:p>
              </w:tc>
              <w:tc>
                <w:tcPr>
                  <w:tcW w:w="5259" w:type="dxa"/>
                </w:tcPr>
                <w:p>
                  <w:pPr>
                    <w:pStyle w:val="27"/>
                    <w:spacing w:line="360" w:lineRule="auto"/>
                    <w:ind w:left="974"/>
                    <w:rPr>
                      <w:rFonts w:ascii="宋体" w:hAnsi="宋体" w:eastAsia="宋体" w:cs="宋体"/>
                      <w:color w:val="auto"/>
                      <w:sz w:val="21"/>
                      <w:szCs w:val="21"/>
                      <w:lang w:eastAsia="zh-CN"/>
                    </w:rPr>
                  </w:pPr>
                  <w:r>
                    <w:rPr>
                      <w:rFonts w:ascii="宋体" w:hAnsi="宋体" w:eastAsia="宋体" w:cs="宋体"/>
                      <w:color w:val="auto"/>
                      <w:sz w:val="21"/>
                      <w:szCs w:val="21"/>
                      <w:lang w:eastAsia="zh-CN"/>
                    </w:rPr>
                    <w:t>碳钢（防腐涂料）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3" w:hRule="atLeast"/>
              </w:trPr>
              <w:tc>
                <w:tcPr>
                  <w:tcW w:w="2879" w:type="dxa"/>
                </w:tcPr>
                <w:p>
                  <w:pPr>
                    <w:pStyle w:val="27"/>
                    <w:spacing w:line="360" w:lineRule="auto"/>
                    <w:ind w:left="200"/>
                    <w:rPr>
                      <w:rFonts w:ascii="宋体" w:hAnsi="宋体" w:eastAsia="宋体" w:cs="宋体"/>
                      <w:color w:val="auto"/>
                      <w:sz w:val="21"/>
                      <w:szCs w:val="21"/>
                      <w:lang w:eastAsia="zh-CN"/>
                    </w:rPr>
                  </w:pPr>
                  <w:r>
                    <w:rPr>
                      <w:rFonts w:ascii="宋体" w:hAnsi="宋体" w:eastAsia="宋体" w:cs="宋体"/>
                      <w:color w:val="auto"/>
                      <w:sz w:val="21"/>
                      <w:szCs w:val="21"/>
                      <w:lang w:eastAsia="zh-CN"/>
                    </w:rPr>
                    <w:t>中心立轴</w:t>
                  </w:r>
                </w:p>
              </w:tc>
              <w:tc>
                <w:tcPr>
                  <w:tcW w:w="5259" w:type="dxa"/>
                </w:tcPr>
                <w:p>
                  <w:pPr>
                    <w:pStyle w:val="27"/>
                    <w:spacing w:line="360" w:lineRule="auto"/>
                    <w:ind w:left="974"/>
                    <w:rPr>
                      <w:rFonts w:ascii="宋体" w:hAnsi="宋体" w:eastAsia="宋体" w:cs="宋体"/>
                      <w:color w:val="auto"/>
                      <w:sz w:val="21"/>
                      <w:szCs w:val="21"/>
                      <w:lang w:eastAsia="zh-CN"/>
                    </w:rPr>
                  </w:pPr>
                  <w:r>
                    <w:rPr>
                      <w:rFonts w:ascii="宋体" w:hAnsi="宋体" w:eastAsia="宋体" w:cs="宋体"/>
                      <w:color w:val="auto"/>
                      <w:sz w:val="21"/>
                      <w:szCs w:val="21"/>
                      <w:lang w:eastAsia="zh-CN"/>
                    </w:rPr>
                    <w:t>碳钢（防腐涂料）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8" w:hRule="atLeast"/>
              </w:trPr>
              <w:tc>
                <w:tcPr>
                  <w:tcW w:w="2879" w:type="dxa"/>
                </w:tcPr>
                <w:p>
                  <w:pPr>
                    <w:pStyle w:val="27"/>
                    <w:spacing w:line="360" w:lineRule="auto"/>
                    <w:ind w:left="200"/>
                    <w:rPr>
                      <w:rFonts w:ascii="宋体" w:hAnsi="宋体" w:eastAsia="宋体" w:cs="宋体"/>
                      <w:color w:val="auto"/>
                      <w:sz w:val="21"/>
                      <w:szCs w:val="21"/>
                      <w:lang w:eastAsia="zh-CN"/>
                    </w:rPr>
                  </w:pPr>
                  <w:r>
                    <w:rPr>
                      <w:rFonts w:ascii="宋体" w:hAnsi="宋体" w:eastAsia="宋体" w:cs="宋体"/>
                      <w:color w:val="auto"/>
                      <w:sz w:val="21"/>
                      <w:szCs w:val="21"/>
                      <w:lang w:eastAsia="zh-CN"/>
                    </w:rPr>
                    <w:t>进水管、导流筒</w:t>
                  </w:r>
                </w:p>
              </w:tc>
              <w:tc>
                <w:tcPr>
                  <w:tcW w:w="5259" w:type="dxa"/>
                </w:tcPr>
                <w:p>
                  <w:pPr>
                    <w:pStyle w:val="27"/>
                    <w:spacing w:line="360" w:lineRule="auto"/>
                    <w:ind w:left="974"/>
                    <w:rPr>
                      <w:rFonts w:ascii="宋体" w:hAnsi="宋体" w:eastAsia="宋体" w:cs="宋体"/>
                      <w:color w:val="auto"/>
                      <w:sz w:val="21"/>
                      <w:szCs w:val="21"/>
                      <w:lang w:eastAsia="zh-CN"/>
                    </w:rPr>
                  </w:pPr>
                  <w:r>
                    <w:rPr>
                      <w:rFonts w:ascii="宋体" w:hAnsi="宋体" w:eastAsia="宋体" w:cs="宋体"/>
                      <w:color w:val="auto"/>
                      <w:sz w:val="21"/>
                      <w:szCs w:val="21"/>
                      <w:lang w:eastAsia="zh-CN"/>
                    </w:rPr>
                    <w:t>不锈钢0Cr17Ni12Mo2(316)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8" w:hRule="atLeast"/>
              </w:trPr>
              <w:tc>
                <w:tcPr>
                  <w:tcW w:w="2879" w:type="dxa"/>
                </w:tcPr>
                <w:p>
                  <w:pPr>
                    <w:pStyle w:val="27"/>
                    <w:spacing w:line="360" w:lineRule="auto"/>
                    <w:ind w:left="200"/>
                    <w:rPr>
                      <w:rFonts w:ascii="宋体" w:hAnsi="宋体" w:eastAsia="宋体" w:cs="宋体"/>
                      <w:color w:val="auto"/>
                      <w:sz w:val="21"/>
                      <w:szCs w:val="21"/>
                      <w:lang w:eastAsia="zh-CN"/>
                    </w:rPr>
                  </w:pPr>
                  <w:r>
                    <w:rPr>
                      <w:rFonts w:ascii="宋体" w:hAnsi="宋体" w:eastAsia="宋体" w:cs="宋体"/>
                      <w:color w:val="auto"/>
                      <w:sz w:val="21"/>
                      <w:szCs w:val="21"/>
                      <w:lang w:eastAsia="zh-CN"/>
                    </w:rPr>
                    <w:t>出水堰板</w:t>
                  </w:r>
                </w:p>
              </w:tc>
              <w:tc>
                <w:tcPr>
                  <w:tcW w:w="5259" w:type="dxa"/>
                </w:tcPr>
                <w:p>
                  <w:pPr>
                    <w:pStyle w:val="27"/>
                    <w:spacing w:line="360" w:lineRule="auto"/>
                    <w:ind w:left="974"/>
                    <w:rPr>
                      <w:rFonts w:ascii="宋体" w:hAnsi="宋体" w:eastAsia="宋体" w:cs="宋体"/>
                      <w:color w:val="auto"/>
                      <w:sz w:val="21"/>
                      <w:szCs w:val="21"/>
                      <w:lang w:eastAsia="zh-CN"/>
                    </w:rPr>
                  </w:pPr>
                  <w:r>
                    <w:rPr>
                      <w:rFonts w:ascii="宋体" w:hAnsi="宋体" w:eastAsia="宋体" w:cs="宋体"/>
                      <w:color w:val="auto"/>
                      <w:sz w:val="21"/>
                      <w:szCs w:val="21"/>
                      <w:lang w:eastAsia="zh-CN"/>
                    </w:rPr>
                    <w:t>不锈钢0Cr17Ni12Mo2(316)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3" w:hRule="atLeast"/>
              </w:trPr>
              <w:tc>
                <w:tcPr>
                  <w:tcW w:w="2879" w:type="dxa"/>
                </w:tcPr>
                <w:p>
                  <w:pPr>
                    <w:pStyle w:val="27"/>
                    <w:spacing w:line="360" w:lineRule="auto"/>
                    <w:ind w:left="200"/>
                    <w:rPr>
                      <w:rFonts w:ascii="宋体" w:hAnsi="宋体" w:eastAsia="宋体" w:cs="宋体"/>
                      <w:color w:val="auto"/>
                      <w:sz w:val="21"/>
                      <w:szCs w:val="21"/>
                      <w:lang w:eastAsia="zh-CN"/>
                    </w:rPr>
                  </w:pPr>
                  <w:r>
                    <w:rPr>
                      <w:rFonts w:ascii="宋体" w:hAnsi="宋体" w:eastAsia="宋体" w:cs="宋体"/>
                      <w:color w:val="auto"/>
                      <w:sz w:val="21"/>
                      <w:szCs w:val="21"/>
                      <w:lang w:eastAsia="zh-CN"/>
                    </w:rPr>
                    <w:t>浮渣挡板</w:t>
                  </w:r>
                </w:p>
              </w:tc>
              <w:tc>
                <w:tcPr>
                  <w:tcW w:w="5259" w:type="dxa"/>
                </w:tcPr>
                <w:p>
                  <w:pPr>
                    <w:pStyle w:val="27"/>
                    <w:spacing w:line="360" w:lineRule="auto"/>
                    <w:ind w:left="974"/>
                    <w:rPr>
                      <w:rFonts w:ascii="宋体" w:hAnsi="宋体" w:eastAsia="宋体" w:cs="宋体"/>
                      <w:color w:val="auto"/>
                      <w:sz w:val="21"/>
                      <w:szCs w:val="21"/>
                      <w:lang w:eastAsia="zh-CN"/>
                    </w:rPr>
                  </w:pPr>
                  <w:r>
                    <w:rPr>
                      <w:rFonts w:ascii="宋体" w:hAnsi="宋体" w:eastAsia="宋体" w:cs="宋体"/>
                      <w:color w:val="auto"/>
                      <w:sz w:val="21"/>
                      <w:szCs w:val="21"/>
                      <w:lang w:eastAsia="zh-CN"/>
                    </w:rPr>
                    <w:t>不锈钢304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8" w:hRule="atLeast"/>
              </w:trPr>
              <w:tc>
                <w:tcPr>
                  <w:tcW w:w="2879" w:type="dxa"/>
                </w:tcPr>
                <w:p>
                  <w:pPr>
                    <w:pStyle w:val="27"/>
                    <w:spacing w:line="360" w:lineRule="auto"/>
                    <w:ind w:left="200"/>
                    <w:rPr>
                      <w:rFonts w:ascii="宋体" w:hAnsi="宋体" w:eastAsia="宋体" w:cs="宋体"/>
                      <w:color w:val="auto"/>
                      <w:sz w:val="21"/>
                      <w:szCs w:val="21"/>
                      <w:lang w:eastAsia="zh-CN"/>
                    </w:rPr>
                  </w:pPr>
                  <w:r>
                    <w:rPr>
                      <w:rFonts w:ascii="宋体" w:hAnsi="宋体" w:eastAsia="宋体" w:cs="宋体"/>
                      <w:color w:val="auto"/>
                      <w:sz w:val="21"/>
                      <w:szCs w:val="21"/>
                      <w:lang w:eastAsia="zh-CN"/>
                    </w:rPr>
                    <w:t>撇渣板、支架</w:t>
                  </w:r>
                </w:p>
              </w:tc>
              <w:tc>
                <w:tcPr>
                  <w:tcW w:w="5259" w:type="dxa"/>
                </w:tcPr>
                <w:p>
                  <w:pPr>
                    <w:pStyle w:val="27"/>
                    <w:spacing w:line="360" w:lineRule="auto"/>
                    <w:ind w:left="974"/>
                    <w:rPr>
                      <w:rFonts w:ascii="宋体" w:hAnsi="宋体" w:eastAsia="宋体" w:cs="宋体"/>
                      <w:color w:val="auto"/>
                      <w:sz w:val="21"/>
                      <w:szCs w:val="21"/>
                      <w:lang w:eastAsia="zh-CN"/>
                    </w:rPr>
                  </w:pPr>
                  <w:r>
                    <w:rPr>
                      <w:rFonts w:ascii="宋体" w:hAnsi="宋体" w:eastAsia="宋体" w:cs="宋体"/>
                      <w:color w:val="auto"/>
                      <w:sz w:val="21"/>
                      <w:szCs w:val="21"/>
                      <w:lang w:eastAsia="zh-CN"/>
                    </w:rPr>
                    <w:t>不锈钢0Cr17Ni12Mo2(316)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3" w:hRule="atLeast"/>
              </w:trPr>
              <w:tc>
                <w:tcPr>
                  <w:tcW w:w="2879" w:type="dxa"/>
                </w:tcPr>
                <w:p>
                  <w:pPr>
                    <w:pStyle w:val="27"/>
                    <w:spacing w:line="360" w:lineRule="auto"/>
                    <w:ind w:left="200"/>
                    <w:rPr>
                      <w:rFonts w:ascii="宋体" w:hAnsi="宋体" w:eastAsia="宋体" w:cs="宋体"/>
                      <w:color w:val="auto"/>
                      <w:sz w:val="21"/>
                      <w:szCs w:val="21"/>
                      <w:lang w:eastAsia="zh-CN"/>
                    </w:rPr>
                  </w:pPr>
                  <w:r>
                    <w:rPr>
                      <w:rFonts w:ascii="宋体" w:hAnsi="宋体" w:eastAsia="宋体" w:cs="宋体"/>
                      <w:color w:val="auto"/>
                      <w:sz w:val="21"/>
                      <w:szCs w:val="21"/>
                      <w:lang w:eastAsia="zh-CN"/>
                    </w:rPr>
                    <w:t>刮泥臂</w:t>
                  </w:r>
                </w:p>
              </w:tc>
              <w:tc>
                <w:tcPr>
                  <w:tcW w:w="5259" w:type="dxa"/>
                </w:tcPr>
                <w:p>
                  <w:pPr>
                    <w:pStyle w:val="27"/>
                    <w:spacing w:line="360" w:lineRule="auto"/>
                    <w:ind w:left="974"/>
                    <w:rPr>
                      <w:rFonts w:ascii="宋体" w:hAnsi="宋体" w:eastAsia="宋体" w:cs="宋体"/>
                      <w:color w:val="auto"/>
                      <w:sz w:val="21"/>
                      <w:szCs w:val="21"/>
                      <w:lang w:eastAsia="zh-CN"/>
                    </w:rPr>
                  </w:pPr>
                  <w:r>
                    <w:rPr>
                      <w:rFonts w:ascii="宋体" w:hAnsi="宋体" w:eastAsia="宋体" w:cs="宋体"/>
                      <w:color w:val="auto"/>
                      <w:sz w:val="21"/>
                      <w:szCs w:val="21"/>
                      <w:lang w:eastAsia="zh-CN"/>
                    </w:rPr>
                    <w:t>碳钢（防腐涂料）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8" w:hRule="atLeast"/>
              </w:trPr>
              <w:tc>
                <w:tcPr>
                  <w:tcW w:w="2879" w:type="dxa"/>
                </w:tcPr>
                <w:p>
                  <w:pPr>
                    <w:pStyle w:val="27"/>
                    <w:spacing w:line="360" w:lineRule="auto"/>
                    <w:ind w:left="200"/>
                    <w:rPr>
                      <w:rFonts w:ascii="宋体" w:hAnsi="宋体" w:eastAsia="宋体" w:cs="宋体"/>
                      <w:color w:val="auto"/>
                      <w:sz w:val="21"/>
                      <w:szCs w:val="21"/>
                      <w:lang w:eastAsia="zh-CN"/>
                    </w:rPr>
                  </w:pPr>
                  <w:r>
                    <w:rPr>
                      <w:rFonts w:ascii="宋体" w:hAnsi="宋体" w:eastAsia="宋体" w:cs="宋体"/>
                      <w:color w:val="auto"/>
                      <w:sz w:val="21"/>
                      <w:szCs w:val="21"/>
                      <w:lang w:eastAsia="zh-CN"/>
                    </w:rPr>
                    <w:t>刮泥板、浓缩栅条</w:t>
                  </w:r>
                </w:p>
              </w:tc>
              <w:tc>
                <w:tcPr>
                  <w:tcW w:w="5259" w:type="dxa"/>
                </w:tcPr>
                <w:p>
                  <w:pPr>
                    <w:pStyle w:val="27"/>
                    <w:spacing w:line="360" w:lineRule="auto"/>
                    <w:ind w:left="974"/>
                    <w:rPr>
                      <w:rFonts w:ascii="宋体" w:hAnsi="宋体" w:eastAsia="宋体" w:cs="宋体"/>
                      <w:color w:val="auto"/>
                      <w:sz w:val="21"/>
                      <w:szCs w:val="21"/>
                      <w:lang w:eastAsia="zh-CN"/>
                    </w:rPr>
                  </w:pPr>
                  <w:r>
                    <w:rPr>
                      <w:rFonts w:ascii="宋体" w:hAnsi="宋体" w:eastAsia="宋体" w:cs="宋体"/>
                      <w:color w:val="auto"/>
                      <w:sz w:val="21"/>
                      <w:szCs w:val="21"/>
                      <w:lang w:eastAsia="zh-CN"/>
                    </w:rPr>
                    <w:t>不锈钢0Cr17Ni12Mo2(316)</w:t>
                  </w:r>
                </w:p>
              </w:tc>
            </w:tr>
          </w:tbl>
          <w:p>
            <w:pPr>
              <w:pStyle w:val="29"/>
              <w:ind w:firstLine="0" w:firstLineChars="0"/>
              <w:rPr>
                <w:color w:val="auto"/>
                <w:sz w:val="21"/>
                <w:szCs w:val="21"/>
              </w:rPr>
            </w:pPr>
          </w:p>
        </w:tc>
      </w:tr>
    </w:tbl>
    <w:p>
      <w:pPr>
        <w:spacing w:before="3"/>
        <w:rPr>
          <w:rFonts w:ascii="宋体" w:hAnsi="宋体" w:eastAsia="宋体" w:cs="宋体"/>
          <w:b/>
          <w:bCs/>
          <w:color w:val="auto"/>
          <w:sz w:val="19"/>
          <w:szCs w:val="19"/>
          <w:lang w:eastAsia="zh-CN"/>
        </w:rPr>
      </w:pPr>
    </w:p>
    <w:p>
      <w:pPr>
        <w:pStyle w:val="31"/>
        <w:rPr>
          <w:rFonts w:ascii="宋体" w:hAnsi="宋体" w:eastAsia="宋体" w:cs="宋体"/>
          <w:bCs/>
          <w:color w:val="auto"/>
          <w:sz w:val="19"/>
          <w:szCs w:val="19"/>
        </w:rPr>
      </w:pPr>
      <w:r>
        <w:rPr>
          <w:rFonts w:hint="eastAsia"/>
          <w:color w:val="auto"/>
        </w:rPr>
        <w:t>污泥排放泵</w:t>
      </w:r>
    </w:p>
    <w:p>
      <w:pPr>
        <w:spacing w:before="3"/>
        <w:rPr>
          <w:rFonts w:ascii="宋体" w:hAnsi="宋体" w:eastAsia="宋体" w:cs="宋体"/>
          <w:b/>
          <w:bCs/>
          <w:color w:val="auto"/>
          <w:sz w:val="19"/>
          <w:szCs w:val="19"/>
          <w:lang w:eastAsia="zh-CN"/>
        </w:rPr>
      </w:pPr>
    </w:p>
    <w:tbl>
      <w:tblPr>
        <w:tblStyle w:val="24"/>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985"/>
        <w:gridCol w:w="2126"/>
        <w:gridCol w:w="850"/>
        <w:gridCol w:w="869"/>
        <w:gridCol w:w="2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17" w:type="dxa"/>
            <w:vAlign w:val="center"/>
          </w:tcPr>
          <w:p>
            <w:pPr>
              <w:pStyle w:val="29"/>
              <w:ind w:firstLine="0" w:firstLineChars="0"/>
              <w:rPr>
                <w:color w:val="auto"/>
                <w:sz w:val="21"/>
                <w:szCs w:val="21"/>
              </w:rPr>
            </w:pPr>
            <w:r>
              <w:rPr>
                <w:rFonts w:hint="eastAsia"/>
                <w:b/>
                <w:color w:val="auto"/>
                <w:sz w:val="21"/>
                <w:szCs w:val="21"/>
              </w:rPr>
              <w:t>序号</w:t>
            </w:r>
          </w:p>
        </w:tc>
        <w:tc>
          <w:tcPr>
            <w:tcW w:w="1985" w:type="dxa"/>
            <w:vAlign w:val="center"/>
          </w:tcPr>
          <w:p>
            <w:pPr>
              <w:pStyle w:val="29"/>
              <w:ind w:firstLine="0" w:firstLineChars="0"/>
              <w:rPr>
                <w:color w:val="auto"/>
                <w:sz w:val="21"/>
                <w:szCs w:val="21"/>
              </w:rPr>
            </w:pPr>
            <w:r>
              <w:rPr>
                <w:rFonts w:hint="eastAsia"/>
                <w:b/>
                <w:color w:val="auto"/>
                <w:sz w:val="21"/>
                <w:szCs w:val="21"/>
              </w:rPr>
              <w:t>名称</w:t>
            </w:r>
          </w:p>
        </w:tc>
        <w:tc>
          <w:tcPr>
            <w:tcW w:w="2126" w:type="dxa"/>
            <w:vAlign w:val="center"/>
          </w:tcPr>
          <w:p>
            <w:pPr>
              <w:pStyle w:val="29"/>
              <w:ind w:firstLine="0" w:firstLineChars="0"/>
              <w:rPr>
                <w:color w:val="auto"/>
                <w:sz w:val="21"/>
                <w:szCs w:val="21"/>
              </w:rPr>
            </w:pPr>
            <w:r>
              <w:rPr>
                <w:rFonts w:hint="eastAsia"/>
                <w:b/>
                <w:color w:val="auto"/>
                <w:sz w:val="21"/>
                <w:szCs w:val="21"/>
              </w:rPr>
              <w:t>规格</w:t>
            </w:r>
          </w:p>
        </w:tc>
        <w:tc>
          <w:tcPr>
            <w:tcW w:w="850" w:type="dxa"/>
            <w:vAlign w:val="center"/>
          </w:tcPr>
          <w:p>
            <w:pPr>
              <w:pStyle w:val="29"/>
              <w:ind w:firstLine="0" w:firstLineChars="0"/>
              <w:rPr>
                <w:color w:val="auto"/>
                <w:sz w:val="21"/>
                <w:szCs w:val="21"/>
              </w:rPr>
            </w:pPr>
            <w:r>
              <w:rPr>
                <w:rFonts w:hint="eastAsia"/>
                <w:b/>
                <w:color w:val="auto"/>
                <w:sz w:val="21"/>
                <w:szCs w:val="21"/>
              </w:rPr>
              <w:t>数量</w:t>
            </w:r>
          </w:p>
        </w:tc>
        <w:tc>
          <w:tcPr>
            <w:tcW w:w="869" w:type="dxa"/>
            <w:vAlign w:val="center"/>
          </w:tcPr>
          <w:p>
            <w:pPr>
              <w:pStyle w:val="29"/>
              <w:ind w:firstLine="0" w:firstLineChars="0"/>
              <w:rPr>
                <w:color w:val="auto"/>
                <w:sz w:val="21"/>
                <w:szCs w:val="21"/>
              </w:rPr>
            </w:pPr>
            <w:r>
              <w:rPr>
                <w:rFonts w:hint="eastAsia"/>
                <w:b/>
                <w:color w:val="auto"/>
                <w:sz w:val="21"/>
                <w:szCs w:val="21"/>
              </w:rPr>
              <w:t>单位</w:t>
            </w:r>
          </w:p>
        </w:tc>
        <w:tc>
          <w:tcPr>
            <w:tcW w:w="2279" w:type="dxa"/>
            <w:vAlign w:val="center"/>
          </w:tcPr>
          <w:p>
            <w:pPr>
              <w:pStyle w:val="29"/>
              <w:ind w:firstLine="0" w:firstLineChars="0"/>
              <w:rPr>
                <w:color w:val="auto"/>
                <w:sz w:val="21"/>
                <w:szCs w:val="21"/>
              </w:rPr>
            </w:pPr>
            <w:r>
              <w:rPr>
                <w:rFonts w:hint="eastAsia"/>
                <w:b/>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17" w:type="dxa"/>
            <w:vAlign w:val="center"/>
          </w:tcPr>
          <w:p>
            <w:pPr>
              <w:pStyle w:val="29"/>
              <w:ind w:firstLine="0" w:firstLineChars="0"/>
              <w:jc w:val="center"/>
              <w:rPr>
                <w:color w:val="auto"/>
                <w:sz w:val="21"/>
                <w:szCs w:val="21"/>
              </w:rPr>
            </w:pPr>
            <w:r>
              <w:rPr>
                <w:color w:val="auto"/>
                <w:sz w:val="21"/>
                <w:szCs w:val="21"/>
              </w:rPr>
              <w:t>1</w:t>
            </w:r>
          </w:p>
        </w:tc>
        <w:tc>
          <w:tcPr>
            <w:tcW w:w="1985" w:type="dxa"/>
            <w:vAlign w:val="center"/>
          </w:tcPr>
          <w:p>
            <w:pPr>
              <w:pStyle w:val="29"/>
              <w:ind w:firstLine="0" w:firstLineChars="0"/>
              <w:jc w:val="center"/>
              <w:rPr>
                <w:color w:val="auto"/>
                <w:sz w:val="21"/>
                <w:szCs w:val="21"/>
              </w:rPr>
            </w:pPr>
            <w:r>
              <w:rPr>
                <w:rFonts w:hint="eastAsia"/>
                <w:color w:val="auto"/>
                <w:sz w:val="21"/>
                <w:szCs w:val="21"/>
              </w:rPr>
              <w:t>污泥排放泵</w:t>
            </w:r>
          </w:p>
        </w:tc>
        <w:tc>
          <w:tcPr>
            <w:tcW w:w="2126" w:type="dxa"/>
            <w:vAlign w:val="center"/>
          </w:tcPr>
          <w:p>
            <w:pPr>
              <w:pStyle w:val="29"/>
              <w:ind w:firstLine="0" w:firstLineChars="0"/>
              <w:jc w:val="center"/>
              <w:rPr>
                <w:color w:val="auto"/>
                <w:sz w:val="21"/>
                <w:szCs w:val="21"/>
              </w:rPr>
            </w:pPr>
            <w:r>
              <w:rPr>
                <w:rFonts w:hint="eastAsia"/>
                <w:color w:val="auto"/>
                <w:sz w:val="21"/>
                <w:szCs w:val="21"/>
              </w:rPr>
              <w:t>Q=65m³/h，H=</w:t>
            </w:r>
            <w:r>
              <w:rPr>
                <w:color w:val="auto"/>
                <w:sz w:val="21"/>
                <w:szCs w:val="21"/>
              </w:rPr>
              <w:t>0.2MPa</w:t>
            </w:r>
            <w:r>
              <w:rPr>
                <w:rFonts w:hint="eastAsia"/>
                <w:color w:val="auto"/>
                <w:sz w:val="21"/>
                <w:szCs w:val="21"/>
              </w:rPr>
              <w:t>，P=</w:t>
            </w:r>
            <w:r>
              <w:rPr>
                <w:color w:val="auto"/>
                <w:sz w:val="21"/>
                <w:szCs w:val="21"/>
              </w:rPr>
              <w:t>15</w:t>
            </w:r>
            <w:r>
              <w:rPr>
                <w:rFonts w:hint="eastAsia"/>
                <w:color w:val="auto"/>
                <w:sz w:val="21"/>
                <w:szCs w:val="21"/>
              </w:rPr>
              <w:t>kW</w:t>
            </w:r>
          </w:p>
        </w:tc>
        <w:tc>
          <w:tcPr>
            <w:tcW w:w="850" w:type="dxa"/>
            <w:vAlign w:val="center"/>
          </w:tcPr>
          <w:p>
            <w:pPr>
              <w:pStyle w:val="29"/>
              <w:ind w:firstLine="0" w:firstLineChars="0"/>
              <w:jc w:val="center"/>
              <w:rPr>
                <w:color w:val="auto"/>
                <w:sz w:val="21"/>
                <w:szCs w:val="21"/>
              </w:rPr>
            </w:pPr>
            <w:r>
              <w:rPr>
                <w:rFonts w:hint="eastAsia"/>
                <w:color w:val="auto"/>
                <w:sz w:val="21"/>
                <w:szCs w:val="21"/>
              </w:rPr>
              <w:t>2</w:t>
            </w:r>
          </w:p>
        </w:tc>
        <w:tc>
          <w:tcPr>
            <w:tcW w:w="869" w:type="dxa"/>
            <w:vAlign w:val="center"/>
          </w:tcPr>
          <w:p>
            <w:pPr>
              <w:pStyle w:val="29"/>
              <w:ind w:firstLine="0" w:firstLineChars="0"/>
              <w:jc w:val="center"/>
              <w:rPr>
                <w:color w:val="auto"/>
                <w:sz w:val="21"/>
                <w:szCs w:val="21"/>
              </w:rPr>
            </w:pPr>
            <w:r>
              <w:rPr>
                <w:rFonts w:hint="eastAsia"/>
                <w:color w:val="auto"/>
                <w:sz w:val="21"/>
                <w:szCs w:val="21"/>
              </w:rPr>
              <w:t>个</w:t>
            </w:r>
          </w:p>
        </w:tc>
        <w:tc>
          <w:tcPr>
            <w:tcW w:w="2279" w:type="dxa"/>
            <w:vAlign w:val="center"/>
          </w:tcPr>
          <w:p>
            <w:pPr>
              <w:pStyle w:val="29"/>
              <w:ind w:firstLine="0" w:firstLineChars="0"/>
              <w:jc w:val="center"/>
              <w:rPr>
                <w:color w:val="auto"/>
                <w:sz w:val="21"/>
                <w:szCs w:val="21"/>
              </w:rPr>
            </w:pPr>
            <w:r>
              <w:rPr>
                <w:rFonts w:hint="eastAsia"/>
                <w:color w:val="auto"/>
                <w:sz w:val="21"/>
                <w:szCs w:val="21"/>
              </w:rPr>
              <w:t>1用1备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26" w:type="dxa"/>
            <w:gridSpan w:val="6"/>
            <w:vAlign w:val="center"/>
          </w:tcPr>
          <w:p>
            <w:pPr>
              <w:spacing w:line="360" w:lineRule="auto"/>
              <w:ind w:firstLine="422" w:firstLineChars="200"/>
              <w:rPr>
                <w:rFonts w:ascii="宋体" w:hAnsi="宋体" w:cs="宋体"/>
                <w:color w:val="auto"/>
                <w:sz w:val="21"/>
                <w:szCs w:val="21"/>
                <w:lang w:eastAsia="zh-CN"/>
              </w:rPr>
            </w:pPr>
            <w:r>
              <w:rPr>
                <w:rFonts w:ascii="宋体" w:hAnsi="宋体" w:cs="宋体"/>
                <w:b/>
                <w:bCs/>
                <w:color w:val="auto"/>
                <w:sz w:val="21"/>
                <w:szCs w:val="21"/>
                <w:lang w:eastAsia="zh-CN"/>
              </w:rPr>
              <w:t>▲</w:t>
            </w:r>
            <w:r>
              <w:rPr>
                <w:rFonts w:hint="eastAsia" w:ascii="宋体" w:hAnsi="宋体" w:cs="宋体"/>
                <w:color w:val="auto"/>
                <w:sz w:val="21"/>
                <w:szCs w:val="21"/>
                <w:lang w:eastAsia="zh-CN"/>
              </w:rPr>
              <w:t>Q=65m³/h，污泥介质含水率</w:t>
            </w:r>
            <w:r>
              <w:rPr>
                <w:rFonts w:ascii="宋体" w:hAnsi="宋体" w:cs="宋体"/>
                <w:color w:val="auto"/>
                <w:sz w:val="21"/>
                <w:szCs w:val="21"/>
                <w:lang w:eastAsia="zh-CN"/>
              </w:rPr>
              <w:t>98</w:t>
            </w:r>
            <w:r>
              <w:rPr>
                <w:rFonts w:hint="eastAsia" w:ascii="宋体" w:hAnsi="宋体" w:cs="宋体"/>
                <w:color w:val="auto"/>
                <w:sz w:val="21"/>
                <w:szCs w:val="21"/>
                <w:lang w:eastAsia="zh-CN"/>
              </w:rPr>
              <w:t>%，H=0.2MPa，P=15kW。均可变频运行，制造商出具厂家承诺。</w:t>
            </w:r>
          </w:p>
          <w:p>
            <w:pPr>
              <w:spacing w:line="360" w:lineRule="auto"/>
              <w:ind w:firstLine="420" w:firstLineChars="200"/>
              <w:rPr>
                <w:rFonts w:ascii="宋体" w:hAnsi="宋体" w:cs="宋体"/>
                <w:color w:val="auto"/>
                <w:sz w:val="21"/>
                <w:szCs w:val="21"/>
                <w:lang w:eastAsia="zh-CN"/>
              </w:rPr>
            </w:pPr>
            <w:r>
              <w:rPr>
                <w:rFonts w:hint="eastAsia" w:ascii="宋体" w:hAnsi="宋体" w:cs="宋体"/>
                <w:color w:val="auto"/>
                <w:sz w:val="21"/>
                <w:szCs w:val="21"/>
                <w:lang w:eastAsia="zh-CN"/>
              </w:rPr>
              <w:t>型式：容积、单螺杆泵、变频无级调速。</w:t>
            </w:r>
          </w:p>
          <w:p>
            <w:pPr>
              <w:spacing w:line="360" w:lineRule="auto"/>
              <w:ind w:firstLine="420" w:firstLineChars="200"/>
              <w:rPr>
                <w:rFonts w:ascii="宋体" w:hAnsi="宋体" w:cs="宋体"/>
                <w:color w:val="auto"/>
                <w:sz w:val="21"/>
                <w:szCs w:val="21"/>
                <w:lang w:eastAsia="zh-CN"/>
              </w:rPr>
            </w:pPr>
            <w:r>
              <w:rPr>
                <w:rFonts w:hint="eastAsia" w:ascii="宋体" w:hAnsi="宋体" w:cs="宋体"/>
                <w:color w:val="auto"/>
                <w:sz w:val="21"/>
                <w:szCs w:val="21"/>
                <w:lang w:eastAsia="zh-CN"/>
              </w:rPr>
              <w:t>泵吸入和排出口法兰结构尺寸应符合IS0 标准，如不符合卖方应提供对应法兰。</w:t>
            </w:r>
          </w:p>
          <w:p>
            <w:pPr>
              <w:spacing w:line="360" w:lineRule="auto"/>
              <w:ind w:firstLine="420" w:firstLineChars="200"/>
              <w:rPr>
                <w:rFonts w:ascii="宋体" w:hAnsi="宋体" w:cs="宋体"/>
                <w:color w:val="auto"/>
                <w:sz w:val="21"/>
                <w:szCs w:val="21"/>
                <w:lang w:eastAsia="zh-CN"/>
              </w:rPr>
            </w:pPr>
            <w:r>
              <w:rPr>
                <w:rFonts w:hint="eastAsia" w:ascii="宋体" w:hAnsi="宋体" w:cs="宋体"/>
                <w:color w:val="auto"/>
                <w:sz w:val="21"/>
                <w:szCs w:val="21"/>
                <w:lang w:eastAsia="zh-CN"/>
              </w:rPr>
              <w:t>泵应配带干运行保护器，应在橡胶定子上直接安装热电传感器，持续监测定子运行温度，通过温控信号转换器，当工作温度达到设定温度时，让泵自动停止运行以免损坏定子。</w:t>
            </w:r>
          </w:p>
          <w:p>
            <w:pPr>
              <w:spacing w:line="360" w:lineRule="auto"/>
              <w:ind w:firstLine="420" w:firstLineChars="200"/>
              <w:rPr>
                <w:rFonts w:ascii="宋体" w:hAnsi="宋体" w:cs="宋体"/>
                <w:color w:val="auto"/>
                <w:sz w:val="21"/>
                <w:szCs w:val="21"/>
                <w:lang w:eastAsia="zh-CN"/>
              </w:rPr>
            </w:pPr>
            <w:r>
              <w:rPr>
                <w:rFonts w:hint="eastAsia" w:ascii="宋体" w:hAnsi="宋体" w:cs="宋体"/>
                <w:color w:val="auto"/>
                <w:sz w:val="21"/>
                <w:szCs w:val="21"/>
                <w:lang w:eastAsia="zh-CN"/>
              </w:rPr>
              <w:t>泵的万向节由一些质硬、耐磨、易更换的部件造成，每个万向节都应有一个联轴杆衬套、两个万向节衬套和一个联轴杆轴销，外加一个轴销护套固定，万向节的寿命应有不低于8，000 工作小时的保证。</w:t>
            </w:r>
          </w:p>
          <w:p>
            <w:pPr>
              <w:spacing w:line="360" w:lineRule="auto"/>
              <w:ind w:firstLine="420" w:firstLineChars="200"/>
              <w:rPr>
                <w:rFonts w:ascii="宋体" w:hAnsi="宋体" w:cs="宋体"/>
                <w:color w:val="auto"/>
                <w:sz w:val="21"/>
                <w:szCs w:val="21"/>
                <w:lang w:eastAsia="zh-CN"/>
              </w:rPr>
            </w:pPr>
            <w:r>
              <w:rPr>
                <w:rFonts w:hint="eastAsia" w:ascii="宋体" w:hAnsi="宋体" w:cs="宋体"/>
                <w:color w:val="auto"/>
                <w:sz w:val="21"/>
                <w:szCs w:val="21"/>
                <w:lang w:eastAsia="zh-CN"/>
              </w:rPr>
              <w:t>为了</w:t>
            </w:r>
            <w:r>
              <w:rPr>
                <w:rFonts w:ascii="宋体" w:hAnsi="宋体" w:cs="宋体"/>
                <w:color w:val="auto"/>
                <w:sz w:val="21"/>
                <w:szCs w:val="21"/>
                <w:lang w:eastAsia="zh-CN"/>
              </w:rPr>
              <w:t>后期运行方便</w:t>
            </w:r>
            <w:r>
              <w:rPr>
                <w:rFonts w:hint="eastAsia" w:ascii="宋体" w:hAnsi="宋体" w:cs="宋体"/>
                <w:color w:val="auto"/>
                <w:sz w:val="21"/>
                <w:szCs w:val="21"/>
                <w:lang w:eastAsia="zh-CN"/>
              </w:rPr>
              <w:t>，</w:t>
            </w:r>
            <w:r>
              <w:rPr>
                <w:rFonts w:ascii="宋体" w:hAnsi="宋体" w:cs="宋体"/>
                <w:color w:val="auto"/>
                <w:sz w:val="21"/>
                <w:szCs w:val="21"/>
                <w:lang w:eastAsia="zh-CN"/>
              </w:rPr>
              <w:t>螺杆泵的定子应为可拆卸结构，定子应由两半橡胶及四片紧固压盖构成，且可以通过调节压盖上的螺母来调节定转子</w:t>
            </w:r>
            <w:r>
              <w:rPr>
                <w:rFonts w:hint="eastAsia" w:ascii="宋体" w:hAnsi="宋体" w:cs="宋体"/>
                <w:color w:val="auto"/>
                <w:sz w:val="21"/>
                <w:szCs w:val="21"/>
                <w:lang w:eastAsia="zh-CN"/>
              </w:rPr>
              <w:t>之间</w:t>
            </w:r>
            <w:r>
              <w:rPr>
                <w:rFonts w:ascii="宋体" w:hAnsi="宋体" w:cs="宋体"/>
                <w:color w:val="auto"/>
                <w:sz w:val="21"/>
                <w:szCs w:val="21"/>
                <w:lang w:eastAsia="zh-CN"/>
              </w:rPr>
              <w:t>的</w:t>
            </w:r>
            <w:r>
              <w:rPr>
                <w:rFonts w:hint="eastAsia" w:ascii="宋体" w:hAnsi="宋体" w:cs="宋体"/>
                <w:color w:val="auto"/>
                <w:sz w:val="21"/>
                <w:szCs w:val="21"/>
                <w:lang w:eastAsia="zh-CN"/>
              </w:rPr>
              <w:t>过盈量，来</w:t>
            </w:r>
            <w:r>
              <w:rPr>
                <w:rFonts w:ascii="宋体" w:hAnsi="宋体" w:cs="宋体"/>
                <w:color w:val="auto"/>
                <w:sz w:val="21"/>
                <w:szCs w:val="21"/>
                <w:lang w:eastAsia="zh-CN"/>
              </w:rPr>
              <w:t>调整流量。在</w:t>
            </w:r>
            <w:r>
              <w:rPr>
                <w:rFonts w:hint="eastAsia" w:ascii="宋体" w:hAnsi="宋体" w:cs="宋体"/>
                <w:color w:val="auto"/>
                <w:sz w:val="21"/>
                <w:szCs w:val="21"/>
                <w:lang w:eastAsia="zh-CN"/>
              </w:rPr>
              <w:t>拆卸</w:t>
            </w:r>
            <w:r>
              <w:rPr>
                <w:rFonts w:ascii="宋体" w:hAnsi="宋体" w:cs="宋体"/>
                <w:color w:val="auto"/>
                <w:sz w:val="21"/>
                <w:szCs w:val="21"/>
                <w:lang w:eastAsia="zh-CN"/>
              </w:rPr>
              <w:t>转子时，不需要拆卸万向节部分，泵只需留在原地，</w:t>
            </w:r>
            <w:r>
              <w:rPr>
                <w:rFonts w:hint="eastAsia" w:ascii="宋体" w:hAnsi="宋体" w:cs="宋体"/>
                <w:color w:val="auto"/>
                <w:sz w:val="21"/>
                <w:szCs w:val="21"/>
                <w:lang w:eastAsia="zh-CN"/>
              </w:rPr>
              <w:t>不需</w:t>
            </w:r>
            <w:r>
              <w:rPr>
                <w:rFonts w:ascii="宋体" w:hAnsi="宋体" w:cs="宋体"/>
                <w:color w:val="auto"/>
                <w:sz w:val="21"/>
                <w:szCs w:val="21"/>
                <w:lang w:eastAsia="zh-CN"/>
              </w:rPr>
              <w:t>要拆下吸入室，</w:t>
            </w:r>
            <w:r>
              <w:rPr>
                <w:rFonts w:hint="eastAsia" w:ascii="宋体" w:hAnsi="宋体" w:cs="宋体"/>
                <w:color w:val="auto"/>
                <w:sz w:val="21"/>
                <w:szCs w:val="21"/>
                <w:lang w:eastAsia="zh-CN"/>
              </w:rPr>
              <w:t>管道</w:t>
            </w:r>
            <w:r>
              <w:rPr>
                <w:rFonts w:ascii="宋体" w:hAnsi="宋体" w:cs="宋体"/>
                <w:color w:val="auto"/>
                <w:sz w:val="21"/>
                <w:szCs w:val="21"/>
                <w:lang w:eastAsia="zh-CN"/>
              </w:rPr>
              <w:t>和连接件，组装时</w:t>
            </w:r>
            <w:r>
              <w:rPr>
                <w:rFonts w:hint="eastAsia" w:ascii="宋体" w:hAnsi="宋体" w:cs="宋体"/>
                <w:color w:val="auto"/>
                <w:sz w:val="21"/>
                <w:szCs w:val="21"/>
                <w:lang w:eastAsia="zh-CN"/>
              </w:rPr>
              <w:t>达到最大</w:t>
            </w:r>
            <w:r>
              <w:rPr>
                <w:rFonts w:ascii="宋体" w:hAnsi="宋体" w:cs="宋体"/>
                <w:color w:val="auto"/>
                <w:sz w:val="21"/>
                <w:szCs w:val="21"/>
                <w:lang w:eastAsia="zh-CN"/>
              </w:rPr>
              <w:t>便利</w:t>
            </w:r>
            <w:r>
              <w:rPr>
                <w:rFonts w:hint="eastAsia" w:ascii="宋体" w:hAnsi="宋体" w:cs="宋体"/>
                <w:color w:val="auto"/>
                <w:sz w:val="21"/>
                <w:szCs w:val="21"/>
                <w:lang w:eastAsia="zh-CN"/>
              </w:rPr>
              <w:t>，可以</w:t>
            </w:r>
            <w:r>
              <w:rPr>
                <w:rFonts w:ascii="宋体" w:hAnsi="宋体" w:cs="宋体"/>
                <w:color w:val="auto"/>
                <w:sz w:val="21"/>
                <w:szCs w:val="21"/>
                <w:lang w:eastAsia="zh-CN"/>
              </w:rPr>
              <w:t>最大程度的降低业主后期运营和维护成本，在投标时</w:t>
            </w:r>
            <w:r>
              <w:rPr>
                <w:rFonts w:hint="eastAsia" w:ascii="宋体" w:hAnsi="宋体" w:cs="宋体"/>
                <w:color w:val="auto"/>
                <w:sz w:val="21"/>
                <w:szCs w:val="21"/>
                <w:lang w:eastAsia="zh-CN"/>
              </w:rPr>
              <w:t>应</w:t>
            </w:r>
            <w:r>
              <w:rPr>
                <w:rFonts w:ascii="宋体" w:hAnsi="宋体" w:cs="宋体"/>
                <w:color w:val="auto"/>
                <w:sz w:val="21"/>
                <w:szCs w:val="21"/>
                <w:lang w:eastAsia="zh-CN"/>
              </w:rPr>
              <w:t>提供相关产品的</w:t>
            </w:r>
            <w:r>
              <w:rPr>
                <w:rFonts w:hint="eastAsia" w:ascii="宋体" w:hAnsi="宋体" w:cs="宋体"/>
                <w:color w:val="auto"/>
                <w:sz w:val="21"/>
                <w:szCs w:val="21"/>
                <w:lang w:eastAsia="zh-CN"/>
              </w:rPr>
              <w:t>彩色</w:t>
            </w:r>
            <w:r>
              <w:rPr>
                <w:rFonts w:ascii="宋体" w:hAnsi="宋体" w:cs="宋体"/>
                <w:color w:val="auto"/>
                <w:sz w:val="21"/>
                <w:szCs w:val="21"/>
                <w:lang w:eastAsia="zh-CN"/>
              </w:rPr>
              <w:t>资料</w:t>
            </w:r>
            <w:r>
              <w:rPr>
                <w:rFonts w:hint="eastAsia" w:ascii="宋体" w:hAnsi="宋体" w:cs="宋体"/>
                <w:color w:val="auto"/>
                <w:sz w:val="21"/>
                <w:szCs w:val="21"/>
                <w:lang w:eastAsia="zh-CN"/>
              </w:rPr>
              <w:t>及</w:t>
            </w:r>
            <w:r>
              <w:rPr>
                <w:rFonts w:ascii="宋体" w:hAnsi="宋体" w:cs="宋体"/>
                <w:color w:val="auto"/>
                <w:sz w:val="21"/>
                <w:szCs w:val="21"/>
                <w:lang w:eastAsia="zh-CN"/>
              </w:rPr>
              <w:t>相关专利</w:t>
            </w:r>
            <w:r>
              <w:rPr>
                <w:rFonts w:hint="eastAsia" w:ascii="宋体" w:hAnsi="宋体" w:cs="宋体"/>
                <w:color w:val="auto"/>
                <w:sz w:val="21"/>
                <w:szCs w:val="21"/>
                <w:lang w:eastAsia="zh-CN"/>
              </w:rPr>
              <w:t>证书</w:t>
            </w:r>
            <w:r>
              <w:rPr>
                <w:rFonts w:ascii="宋体" w:hAnsi="宋体" w:cs="宋体"/>
                <w:color w:val="auto"/>
                <w:sz w:val="21"/>
                <w:szCs w:val="21"/>
                <w:lang w:eastAsia="zh-CN"/>
              </w:rPr>
              <w:t>并加盖</w:t>
            </w:r>
            <w:r>
              <w:rPr>
                <w:rFonts w:hint="eastAsia" w:ascii="宋体" w:hAnsi="宋体" w:cs="宋体"/>
                <w:color w:val="auto"/>
                <w:sz w:val="21"/>
                <w:szCs w:val="21"/>
                <w:lang w:eastAsia="zh-CN"/>
              </w:rPr>
              <w:t>制造商公章以</w:t>
            </w:r>
            <w:r>
              <w:rPr>
                <w:rFonts w:ascii="宋体" w:hAnsi="宋体" w:cs="宋体"/>
                <w:color w:val="auto"/>
                <w:sz w:val="21"/>
                <w:szCs w:val="21"/>
                <w:lang w:eastAsia="zh-CN"/>
              </w:rPr>
              <w:t>证明其结构。</w:t>
            </w:r>
          </w:p>
          <w:p>
            <w:pPr>
              <w:spacing w:line="360" w:lineRule="auto"/>
              <w:ind w:firstLine="420" w:firstLineChars="200"/>
              <w:rPr>
                <w:rFonts w:ascii="宋体" w:hAnsi="宋体" w:cs="宋体"/>
                <w:color w:val="auto"/>
                <w:sz w:val="21"/>
                <w:szCs w:val="21"/>
                <w:lang w:eastAsia="zh-CN"/>
              </w:rPr>
            </w:pPr>
            <w:r>
              <w:rPr>
                <w:rFonts w:hint="eastAsia" w:ascii="宋体" w:hAnsi="宋体" w:cs="宋体"/>
                <w:color w:val="auto"/>
                <w:sz w:val="21"/>
                <w:szCs w:val="21"/>
                <w:lang w:eastAsia="zh-CN"/>
              </w:rPr>
              <w:t>泵应配带干运行保护器，应在橡胶定子上直接安装热电传感器，持续监测定子运行温度，通过温控信号转换器，当工作温度达到设定温度时，让泵自动停止运行以免损坏定子。</w:t>
            </w:r>
            <w:bookmarkStart w:id="273" w:name="_Toc436752531"/>
          </w:p>
          <w:p>
            <w:pPr>
              <w:spacing w:line="360" w:lineRule="auto"/>
              <w:ind w:firstLine="420" w:firstLineChars="200"/>
              <w:rPr>
                <w:rFonts w:ascii="宋体" w:hAnsi="宋体" w:cs="宋体"/>
                <w:color w:val="auto"/>
                <w:sz w:val="21"/>
                <w:szCs w:val="21"/>
                <w:lang w:eastAsia="zh-CN"/>
              </w:rPr>
            </w:pPr>
            <w:r>
              <w:rPr>
                <w:rFonts w:hint="eastAsia" w:ascii="宋体" w:hAnsi="宋体" w:cs="宋体"/>
                <w:color w:val="auto"/>
                <w:sz w:val="21"/>
                <w:szCs w:val="21"/>
                <w:lang w:eastAsia="zh-CN"/>
              </w:rPr>
              <w:t>电机为鼠笼式交流电机，电机额定功率应超过最大预期工作负荷至10%，电机应具有过电流保护等功能。380VAC/3PH/50HZ；且允许电压的偏差范围为±10％。电机防护等级IP55，绝缘等级为F级。电机和减速机应采用NORD或SEW品牌的产品，应能适用于变频运行，保证长时间连续的正常运行，距离1m处测得的单台设备的噪音值≤70dB(A)。减速机无故障运行时间应不低于50000小时。</w:t>
            </w:r>
            <w:bookmarkEnd w:id="273"/>
          </w:p>
          <w:p>
            <w:pPr>
              <w:spacing w:line="360" w:lineRule="auto"/>
              <w:rPr>
                <w:rFonts w:ascii="宋体" w:hAnsi="宋体" w:cs="宋体"/>
                <w:color w:val="auto"/>
                <w:sz w:val="21"/>
                <w:szCs w:val="21"/>
                <w:lang w:eastAsia="zh-CN"/>
              </w:rPr>
            </w:pPr>
            <w:r>
              <w:rPr>
                <w:rFonts w:hint="eastAsia" w:ascii="宋体" w:hAnsi="宋体" w:cs="宋体"/>
                <w:color w:val="auto"/>
                <w:sz w:val="21"/>
                <w:szCs w:val="21"/>
                <w:lang w:eastAsia="zh-CN"/>
              </w:rPr>
              <w:t>泵的吸入和排出口的法兰结构尺寸应符合IS0 标准，如不符合，供方应提供对应法兰。</w:t>
            </w:r>
          </w:p>
          <w:p>
            <w:pPr>
              <w:spacing w:line="360" w:lineRule="auto"/>
              <w:ind w:firstLine="420" w:firstLineChars="200"/>
              <w:rPr>
                <w:rFonts w:ascii="宋体" w:hAnsi="宋体" w:cs="宋体"/>
                <w:color w:val="auto"/>
                <w:sz w:val="21"/>
                <w:szCs w:val="21"/>
                <w:lang w:eastAsia="zh-CN"/>
              </w:rPr>
            </w:pPr>
            <w:r>
              <w:rPr>
                <w:rFonts w:hint="eastAsia" w:ascii="宋体" w:hAnsi="宋体" w:cs="宋体"/>
                <w:color w:val="auto"/>
                <w:sz w:val="21"/>
                <w:szCs w:val="21"/>
                <w:lang w:eastAsia="zh-CN"/>
              </w:rPr>
              <w:t>主要材质</w:t>
            </w:r>
          </w:p>
          <w:p>
            <w:pPr>
              <w:spacing w:line="360" w:lineRule="auto"/>
              <w:ind w:firstLine="420" w:firstLineChars="200"/>
              <w:rPr>
                <w:rFonts w:ascii="宋体" w:hAnsi="宋体" w:cs="宋体"/>
                <w:color w:val="auto"/>
                <w:sz w:val="21"/>
                <w:szCs w:val="21"/>
                <w:lang w:eastAsia="zh-CN"/>
              </w:rPr>
            </w:pPr>
            <w:r>
              <w:rPr>
                <w:rFonts w:hint="eastAsia" w:ascii="宋体" w:hAnsi="宋体" w:cs="宋体"/>
                <w:color w:val="auto"/>
                <w:sz w:val="21"/>
                <w:szCs w:val="21"/>
                <w:lang w:eastAsia="zh-CN"/>
              </w:rPr>
              <w:t>（1）泵体                 铸铁GG25</w:t>
            </w:r>
          </w:p>
          <w:p>
            <w:pPr>
              <w:spacing w:line="360" w:lineRule="auto"/>
              <w:ind w:firstLine="420" w:firstLineChars="200"/>
              <w:rPr>
                <w:rFonts w:ascii="宋体" w:hAnsi="宋体" w:cs="宋体"/>
                <w:color w:val="auto"/>
                <w:sz w:val="21"/>
                <w:szCs w:val="21"/>
                <w:lang w:eastAsia="zh-CN"/>
              </w:rPr>
            </w:pPr>
            <w:r>
              <w:rPr>
                <w:rFonts w:hint="eastAsia" w:ascii="宋体" w:hAnsi="宋体" w:cs="宋体"/>
                <w:color w:val="auto"/>
                <w:sz w:val="21"/>
                <w:szCs w:val="21"/>
                <w:lang w:eastAsia="zh-CN"/>
              </w:rPr>
              <w:t>（2）转子                C</w:t>
            </w:r>
            <w:r>
              <w:rPr>
                <w:rFonts w:ascii="宋体" w:hAnsi="宋体" w:cs="宋体"/>
                <w:color w:val="auto"/>
                <w:sz w:val="21"/>
                <w:szCs w:val="21"/>
                <w:lang w:eastAsia="zh-CN"/>
              </w:rPr>
              <w:t>45</w:t>
            </w:r>
            <w:r>
              <w:rPr>
                <w:rFonts w:hint="eastAsia" w:ascii="宋体" w:hAnsi="宋体" w:cs="宋体"/>
                <w:color w:val="auto"/>
                <w:sz w:val="21"/>
                <w:szCs w:val="21"/>
                <w:lang w:eastAsia="zh-CN"/>
              </w:rPr>
              <w:t>+铬镀层。</w:t>
            </w:r>
          </w:p>
          <w:p>
            <w:pPr>
              <w:spacing w:line="360" w:lineRule="auto"/>
              <w:ind w:firstLine="420" w:firstLineChars="200"/>
              <w:rPr>
                <w:rFonts w:ascii="宋体" w:hAnsi="宋体" w:cs="宋体"/>
                <w:color w:val="auto"/>
                <w:sz w:val="21"/>
                <w:szCs w:val="21"/>
                <w:lang w:eastAsia="zh-CN"/>
              </w:rPr>
            </w:pPr>
            <w:r>
              <w:rPr>
                <w:rFonts w:hint="eastAsia" w:ascii="宋体" w:hAnsi="宋体" w:cs="宋体"/>
                <w:color w:val="auto"/>
                <w:sz w:val="21"/>
                <w:szCs w:val="21"/>
                <w:lang w:eastAsia="zh-CN"/>
              </w:rPr>
              <w:t>（3）定子                 丁腈橡胶</w:t>
            </w:r>
          </w:p>
          <w:p>
            <w:pPr>
              <w:spacing w:line="360" w:lineRule="auto"/>
              <w:ind w:firstLine="420" w:firstLineChars="200"/>
              <w:rPr>
                <w:rFonts w:ascii="宋体" w:hAnsi="宋体" w:cs="宋体"/>
                <w:color w:val="auto"/>
              </w:rPr>
            </w:pPr>
            <w:r>
              <w:rPr>
                <w:rFonts w:hint="eastAsia" w:ascii="宋体" w:hAnsi="宋体" w:cs="宋体"/>
                <w:color w:val="auto"/>
                <w:sz w:val="21"/>
                <w:szCs w:val="21"/>
              </w:rPr>
              <w:t xml:space="preserve">（4）联轴杆             </w:t>
            </w:r>
            <w:r>
              <w:rPr>
                <w:rFonts w:ascii="宋体" w:hAnsi="宋体" w:cs="宋体"/>
                <w:color w:val="auto"/>
                <w:sz w:val="21"/>
                <w:szCs w:val="21"/>
              </w:rPr>
              <w:t>1.4021</w:t>
            </w:r>
          </w:p>
        </w:tc>
      </w:tr>
    </w:tbl>
    <w:p>
      <w:pPr>
        <w:spacing w:before="3"/>
        <w:rPr>
          <w:rFonts w:ascii="宋体" w:hAnsi="宋体" w:eastAsia="宋体" w:cs="宋体"/>
          <w:b/>
          <w:bCs/>
          <w:color w:val="auto"/>
          <w:sz w:val="19"/>
          <w:szCs w:val="19"/>
          <w:lang w:eastAsia="zh-CN"/>
        </w:rPr>
      </w:pPr>
    </w:p>
    <w:p>
      <w:pPr>
        <w:pStyle w:val="31"/>
        <w:rPr>
          <w:color w:val="auto"/>
        </w:rPr>
      </w:pPr>
      <w:r>
        <w:rPr>
          <w:rFonts w:hint="eastAsia"/>
          <w:color w:val="auto"/>
        </w:rPr>
        <w:t>阀门</w:t>
      </w:r>
    </w:p>
    <w:tbl>
      <w:tblPr>
        <w:tblStyle w:val="23"/>
        <w:tblW w:w="8873"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126"/>
        <w:gridCol w:w="1843"/>
        <w:gridCol w:w="1173"/>
        <w:gridCol w:w="701"/>
        <w:gridCol w:w="2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 w:hRule="atLeast"/>
        </w:trPr>
        <w:tc>
          <w:tcPr>
            <w:tcW w:w="988" w:type="dxa"/>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序号</w:t>
            </w:r>
          </w:p>
        </w:tc>
        <w:tc>
          <w:tcPr>
            <w:tcW w:w="2126"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名称</w:t>
            </w:r>
          </w:p>
        </w:tc>
        <w:tc>
          <w:tcPr>
            <w:tcW w:w="1843"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规格</w:t>
            </w:r>
          </w:p>
        </w:tc>
        <w:tc>
          <w:tcPr>
            <w:tcW w:w="1173"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单位</w:t>
            </w:r>
          </w:p>
        </w:tc>
        <w:tc>
          <w:tcPr>
            <w:tcW w:w="701"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数量</w:t>
            </w:r>
          </w:p>
        </w:tc>
        <w:tc>
          <w:tcPr>
            <w:tcW w:w="2042"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 w:hRule="atLeast"/>
        </w:trPr>
        <w:tc>
          <w:tcPr>
            <w:tcW w:w="988" w:type="dxa"/>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p>
        </w:tc>
        <w:tc>
          <w:tcPr>
            <w:tcW w:w="2126"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放空阀</w:t>
            </w:r>
          </w:p>
        </w:tc>
        <w:tc>
          <w:tcPr>
            <w:tcW w:w="1843"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DN250，1.0MPa</w:t>
            </w:r>
          </w:p>
        </w:tc>
        <w:tc>
          <w:tcPr>
            <w:tcW w:w="1173"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701"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6</w:t>
            </w:r>
          </w:p>
        </w:tc>
        <w:tc>
          <w:tcPr>
            <w:tcW w:w="2042"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用于上清液排出管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 w:hRule="atLeast"/>
        </w:trPr>
        <w:tc>
          <w:tcPr>
            <w:tcW w:w="988" w:type="dxa"/>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p>
        </w:tc>
        <w:tc>
          <w:tcPr>
            <w:tcW w:w="2126"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蝶阀</w:t>
            </w:r>
          </w:p>
        </w:tc>
        <w:tc>
          <w:tcPr>
            <w:tcW w:w="1843"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DN150，1.0MPa</w:t>
            </w:r>
          </w:p>
        </w:tc>
        <w:tc>
          <w:tcPr>
            <w:tcW w:w="1173"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701"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12</w:t>
            </w:r>
          </w:p>
        </w:tc>
        <w:tc>
          <w:tcPr>
            <w:tcW w:w="2042"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用于进出泥管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 w:hRule="atLeast"/>
        </w:trPr>
        <w:tc>
          <w:tcPr>
            <w:tcW w:w="988" w:type="dxa"/>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3</w:t>
            </w:r>
          </w:p>
        </w:tc>
        <w:tc>
          <w:tcPr>
            <w:tcW w:w="2126"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缓闭止回阀</w:t>
            </w:r>
          </w:p>
        </w:tc>
        <w:tc>
          <w:tcPr>
            <w:tcW w:w="1843"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DN150，1.0MPa</w:t>
            </w:r>
          </w:p>
        </w:tc>
        <w:tc>
          <w:tcPr>
            <w:tcW w:w="1173"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套</w:t>
            </w:r>
          </w:p>
        </w:tc>
        <w:tc>
          <w:tcPr>
            <w:tcW w:w="701"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p>
        </w:tc>
        <w:tc>
          <w:tcPr>
            <w:tcW w:w="2042"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底泥排出管，远期增加2个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 w:hRule="atLeast"/>
        </w:trPr>
        <w:tc>
          <w:tcPr>
            <w:tcW w:w="988" w:type="dxa"/>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4</w:t>
            </w:r>
          </w:p>
        </w:tc>
        <w:tc>
          <w:tcPr>
            <w:tcW w:w="2126"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手动闸阀（法兰式）</w:t>
            </w:r>
          </w:p>
        </w:tc>
        <w:tc>
          <w:tcPr>
            <w:tcW w:w="1843"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DN150，1.0MPa</w:t>
            </w:r>
          </w:p>
        </w:tc>
        <w:tc>
          <w:tcPr>
            <w:tcW w:w="1173"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套</w:t>
            </w:r>
          </w:p>
        </w:tc>
        <w:tc>
          <w:tcPr>
            <w:tcW w:w="701"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p>
        </w:tc>
        <w:tc>
          <w:tcPr>
            <w:tcW w:w="2042"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底泥排出管，远期增加2个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 w:hRule="atLeast"/>
        </w:trPr>
        <w:tc>
          <w:tcPr>
            <w:tcW w:w="8873" w:type="dxa"/>
            <w:gridSpan w:val="6"/>
          </w:tcPr>
          <w:p>
            <w:pPr>
              <w:pStyle w:val="29"/>
              <w:ind w:firstLine="0" w:firstLineChars="0"/>
              <w:rPr>
                <w:color w:val="auto"/>
                <w:sz w:val="21"/>
                <w:szCs w:val="20"/>
              </w:rPr>
            </w:pPr>
            <w:r>
              <w:rPr>
                <w:color w:val="auto"/>
                <w:sz w:val="21"/>
                <w:szCs w:val="20"/>
              </w:rPr>
              <w:t>1</w:t>
            </w:r>
            <w:r>
              <w:rPr>
                <w:rFonts w:hint="eastAsia"/>
                <w:color w:val="auto"/>
                <w:sz w:val="21"/>
                <w:szCs w:val="20"/>
              </w:rPr>
              <w:t>、止回阀</w:t>
            </w:r>
          </w:p>
          <w:p>
            <w:pPr>
              <w:pStyle w:val="29"/>
              <w:ind w:firstLine="412"/>
              <w:rPr>
                <w:color w:val="auto"/>
                <w:sz w:val="21"/>
                <w:szCs w:val="20"/>
              </w:rPr>
            </w:pPr>
            <w:r>
              <w:rPr>
                <w:color w:val="auto"/>
                <w:sz w:val="21"/>
                <w:szCs w:val="20"/>
              </w:rPr>
              <w:t>1</w:t>
            </w:r>
            <w:r>
              <w:rPr>
                <w:rFonts w:hint="eastAsia"/>
                <w:color w:val="auto"/>
                <w:sz w:val="21"/>
                <w:szCs w:val="20"/>
              </w:rPr>
              <w:t>.1 设计要求</w:t>
            </w:r>
          </w:p>
          <w:p>
            <w:pPr>
              <w:pStyle w:val="29"/>
              <w:ind w:firstLine="412"/>
              <w:rPr>
                <w:color w:val="auto"/>
                <w:sz w:val="21"/>
                <w:szCs w:val="20"/>
              </w:rPr>
            </w:pPr>
            <w:r>
              <w:rPr>
                <w:rFonts w:hint="eastAsia"/>
                <w:color w:val="auto"/>
                <w:sz w:val="21"/>
                <w:szCs w:val="20"/>
              </w:rPr>
              <w:t>止回阀应安装在泵的出口，靠介质压力推动蝶板开启，靠蝶板自重和重锤以及介质倒流压力 推动蝶板，并利用油缸的阻尼作用，实行快和满二阶段关闭，总的关闭时间应小于 120s（可调）</w:t>
            </w:r>
          </w:p>
          <w:p>
            <w:pPr>
              <w:pStyle w:val="29"/>
              <w:ind w:firstLine="412"/>
              <w:rPr>
                <w:color w:val="auto"/>
                <w:sz w:val="21"/>
                <w:szCs w:val="20"/>
              </w:rPr>
            </w:pPr>
            <w:r>
              <w:rPr>
                <w:color w:val="auto"/>
                <w:sz w:val="21"/>
                <w:szCs w:val="20"/>
              </w:rPr>
              <w:t>1</w:t>
            </w:r>
            <w:r>
              <w:rPr>
                <w:rFonts w:hint="eastAsia"/>
                <w:color w:val="auto"/>
                <w:sz w:val="21"/>
                <w:szCs w:val="20"/>
              </w:rPr>
              <w:t>.2、性能和结构</w:t>
            </w:r>
          </w:p>
          <w:p>
            <w:pPr>
              <w:pStyle w:val="29"/>
              <w:ind w:firstLine="412"/>
              <w:rPr>
                <w:color w:val="auto"/>
                <w:sz w:val="21"/>
                <w:szCs w:val="20"/>
              </w:rPr>
            </w:pPr>
            <w:r>
              <w:rPr>
                <w:rFonts w:hint="eastAsia"/>
                <w:color w:val="auto"/>
                <w:sz w:val="21"/>
                <w:szCs w:val="20"/>
              </w:rPr>
              <w:t>止回阀的结构应符合 CJ/T282-200“蝶形缓闭止回阀”标准，端面法兰按 GB/T17241 PN10（Bar 的规定，结构长度按 GB/T12221-2005 的规定。</w:t>
            </w:r>
          </w:p>
          <w:p>
            <w:pPr>
              <w:pStyle w:val="29"/>
              <w:ind w:firstLine="412"/>
              <w:rPr>
                <w:color w:val="auto"/>
                <w:sz w:val="21"/>
                <w:szCs w:val="20"/>
              </w:rPr>
            </w:pPr>
            <w:r>
              <w:rPr>
                <w:rFonts w:hint="eastAsia"/>
                <w:color w:val="auto"/>
                <w:sz w:val="21"/>
                <w:szCs w:val="20"/>
              </w:rPr>
              <w:t>阀轴采用整体轴，也可采用两个分开的“短轴”式，嵌入轴孔的长度不小于轴径的 1.5 倍， 阀轴与阀板的连接强度应保证阀轴能传递最大扭矩。</w:t>
            </w:r>
          </w:p>
          <w:p>
            <w:pPr>
              <w:pStyle w:val="29"/>
              <w:ind w:firstLine="412"/>
              <w:rPr>
                <w:color w:val="auto"/>
                <w:sz w:val="21"/>
                <w:szCs w:val="20"/>
              </w:rPr>
            </w:pPr>
            <w:r>
              <w:rPr>
                <w:rFonts w:hint="eastAsia"/>
                <w:color w:val="auto"/>
                <w:sz w:val="21"/>
                <w:szCs w:val="20"/>
              </w:rPr>
              <w:t>阀轴的轴套应使用不需要任何外加润滑的自润滑轴承。 阀板的金属密封座为斜置方式，由不锈钢螺母和螺钉紧固在阀板上，阀体密封座可采用铸造</w:t>
            </w:r>
          </w:p>
          <w:p>
            <w:pPr>
              <w:pStyle w:val="29"/>
              <w:ind w:firstLine="412"/>
              <w:rPr>
                <w:color w:val="auto"/>
                <w:sz w:val="21"/>
                <w:szCs w:val="20"/>
              </w:rPr>
            </w:pPr>
            <w:r>
              <w:rPr>
                <w:rFonts w:hint="eastAsia"/>
                <w:color w:val="auto"/>
                <w:sz w:val="21"/>
                <w:szCs w:val="20"/>
              </w:rPr>
              <w:t>不锈钢或堆焊的形式与阀体连成一体，阀板密封座与阀体密封座二者需有硬度差。 阀板必须具有足够的强度和刚度。</w:t>
            </w:r>
          </w:p>
          <w:p>
            <w:pPr>
              <w:pStyle w:val="29"/>
              <w:ind w:firstLine="412"/>
              <w:rPr>
                <w:color w:val="auto"/>
                <w:sz w:val="21"/>
                <w:szCs w:val="20"/>
              </w:rPr>
            </w:pPr>
            <w:r>
              <w:rPr>
                <w:rFonts w:hint="eastAsia"/>
                <w:color w:val="auto"/>
                <w:sz w:val="21"/>
                <w:szCs w:val="20"/>
              </w:rPr>
              <w:t xml:space="preserve">轴伸出穿过阀体外，应提供轴密封装置，密封装置采用 O 型或 V 密封橡胶密封圈，且不少于 2道。 </w:t>
            </w:r>
          </w:p>
          <w:p>
            <w:pPr>
              <w:pStyle w:val="29"/>
              <w:ind w:firstLine="412"/>
              <w:rPr>
                <w:color w:val="auto"/>
                <w:sz w:val="21"/>
                <w:szCs w:val="20"/>
              </w:rPr>
            </w:pPr>
            <w:r>
              <w:rPr>
                <w:color w:val="auto"/>
                <w:sz w:val="21"/>
                <w:szCs w:val="20"/>
              </w:rPr>
              <w:t>1</w:t>
            </w:r>
            <w:r>
              <w:rPr>
                <w:rFonts w:hint="eastAsia"/>
                <w:color w:val="auto"/>
                <w:sz w:val="21"/>
                <w:szCs w:val="20"/>
              </w:rPr>
              <w:t>.3、主要材料：</w:t>
            </w:r>
          </w:p>
          <w:p>
            <w:pPr>
              <w:pStyle w:val="29"/>
              <w:ind w:firstLine="412"/>
              <w:rPr>
                <w:color w:val="auto"/>
                <w:sz w:val="21"/>
                <w:szCs w:val="20"/>
              </w:rPr>
            </w:pPr>
            <w:r>
              <w:rPr>
                <w:rFonts w:hint="eastAsia"/>
                <w:color w:val="auto"/>
                <w:sz w:val="21"/>
                <w:szCs w:val="20"/>
              </w:rPr>
              <w:t>阀体 QT450-10 蝶板 QT450-10</w:t>
            </w:r>
          </w:p>
          <w:p>
            <w:pPr>
              <w:pStyle w:val="29"/>
              <w:ind w:firstLine="412"/>
              <w:rPr>
                <w:color w:val="auto"/>
                <w:sz w:val="21"/>
                <w:szCs w:val="20"/>
              </w:rPr>
            </w:pPr>
            <w:r>
              <w:rPr>
                <w:rFonts w:hint="eastAsia"/>
                <w:color w:val="auto"/>
                <w:sz w:val="21"/>
                <w:szCs w:val="20"/>
              </w:rPr>
              <w:t>阀轴 2Cr13</w:t>
            </w:r>
          </w:p>
          <w:p>
            <w:pPr>
              <w:pStyle w:val="29"/>
              <w:ind w:firstLine="412"/>
              <w:rPr>
                <w:color w:val="auto"/>
                <w:sz w:val="21"/>
                <w:szCs w:val="20"/>
              </w:rPr>
            </w:pPr>
            <w:r>
              <w:rPr>
                <w:rFonts w:hint="eastAsia"/>
                <w:color w:val="auto"/>
                <w:sz w:val="21"/>
                <w:szCs w:val="20"/>
              </w:rPr>
              <w:t>紧固件 06Cr17Ni12Mo2 阀座 06Cr17Ni12Mo2 密封圈 NBR</w:t>
            </w:r>
          </w:p>
          <w:p>
            <w:pPr>
              <w:pStyle w:val="29"/>
              <w:ind w:firstLine="412"/>
              <w:rPr>
                <w:color w:val="auto"/>
                <w:sz w:val="21"/>
                <w:szCs w:val="20"/>
              </w:rPr>
            </w:pPr>
            <w:r>
              <w:rPr>
                <w:rFonts w:hint="eastAsia"/>
                <w:color w:val="auto"/>
                <w:sz w:val="21"/>
                <w:szCs w:val="20"/>
              </w:rPr>
              <w:t>轴承 ZCuAl10Fe3</w:t>
            </w:r>
          </w:p>
          <w:p>
            <w:pPr>
              <w:pStyle w:val="29"/>
              <w:ind w:firstLine="412"/>
              <w:rPr>
                <w:color w:val="auto"/>
                <w:sz w:val="21"/>
                <w:szCs w:val="20"/>
              </w:rPr>
            </w:pPr>
            <w:r>
              <w:rPr>
                <w:color w:val="auto"/>
                <w:sz w:val="21"/>
                <w:szCs w:val="20"/>
              </w:rPr>
              <w:t>2</w:t>
            </w:r>
            <w:r>
              <w:rPr>
                <w:rFonts w:hint="eastAsia"/>
                <w:color w:val="auto"/>
                <w:sz w:val="21"/>
                <w:szCs w:val="20"/>
              </w:rPr>
              <w:t>、手动闸阀</w:t>
            </w:r>
          </w:p>
          <w:p>
            <w:pPr>
              <w:pStyle w:val="29"/>
              <w:ind w:firstLine="412"/>
              <w:rPr>
                <w:color w:val="auto"/>
                <w:sz w:val="21"/>
                <w:szCs w:val="20"/>
              </w:rPr>
            </w:pPr>
            <w:r>
              <w:rPr>
                <w:color w:val="auto"/>
                <w:sz w:val="21"/>
                <w:szCs w:val="20"/>
              </w:rPr>
              <w:t>2</w:t>
            </w:r>
            <w:r>
              <w:rPr>
                <w:rFonts w:hint="eastAsia"/>
                <w:color w:val="auto"/>
                <w:sz w:val="21"/>
                <w:szCs w:val="20"/>
              </w:rPr>
              <w:t>.1 设计要求</w:t>
            </w:r>
          </w:p>
          <w:p>
            <w:pPr>
              <w:pStyle w:val="29"/>
              <w:ind w:firstLine="412"/>
              <w:rPr>
                <w:color w:val="auto"/>
                <w:sz w:val="21"/>
                <w:szCs w:val="20"/>
              </w:rPr>
            </w:pPr>
            <w:r>
              <w:rPr>
                <w:rFonts w:hint="eastAsia"/>
                <w:color w:val="auto"/>
                <w:sz w:val="21"/>
                <w:szCs w:val="20"/>
              </w:rPr>
              <w:t>a.软密封闸阀应采用暗杆式、单阀板、楔形、平底、双法兰式结构，阀板包胶，阀体涂塑的 形式，可安装于二管道之间，与管道的同规格法兰用高强度螺栓连接。</w:t>
            </w:r>
          </w:p>
          <w:p>
            <w:pPr>
              <w:pStyle w:val="29"/>
              <w:ind w:firstLine="412"/>
              <w:rPr>
                <w:color w:val="auto"/>
                <w:sz w:val="21"/>
                <w:szCs w:val="20"/>
              </w:rPr>
            </w:pPr>
            <w:r>
              <w:rPr>
                <w:rFonts w:hint="eastAsia"/>
                <w:color w:val="auto"/>
                <w:sz w:val="21"/>
                <w:szCs w:val="20"/>
              </w:rPr>
              <w:t>b.软密封闸阀及其零部件必须适用于原生污水的特性。闸阀要按照本节所提供的标准及其它 相当的标准，使用的材料及设计构造应保证阀完全适应污水系统的运行条件</w:t>
            </w:r>
          </w:p>
          <w:p>
            <w:pPr>
              <w:pStyle w:val="29"/>
              <w:ind w:firstLine="412"/>
              <w:rPr>
                <w:color w:val="auto"/>
                <w:sz w:val="21"/>
                <w:szCs w:val="20"/>
              </w:rPr>
            </w:pPr>
            <w:r>
              <w:rPr>
                <w:rFonts w:hint="eastAsia"/>
                <w:color w:val="auto"/>
                <w:sz w:val="21"/>
                <w:szCs w:val="20"/>
              </w:rPr>
              <w:t>c.电动操作时，启闭速度应≤2m/min。</w:t>
            </w:r>
          </w:p>
          <w:p>
            <w:pPr>
              <w:pStyle w:val="29"/>
              <w:ind w:firstLine="412"/>
              <w:rPr>
                <w:color w:val="auto"/>
                <w:sz w:val="21"/>
                <w:szCs w:val="20"/>
              </w:rPr>
            </w:pPr>
            <w:r>
              <w:rPr>
                <w:color w:val="auto"/>
                <w:sz w:val="21"/>
                <w:szCs w:val="20"/>
              </w:rPr>
              <w:t>2</w:t>
            </w:r>
            <w:r>
              <w:rPr>
                <w:rFonts w:hint="eastAsia"/>
                <w:color w:val="auto"/>
                <w:sz w:val="21"/>
                <w:szCs w:val="20"/>
              </w:rPr>
              <w:t>.2、性能和结构</w:t>
            </w:r>
          </w:p>
          <w:p>
            <w:pPr>
              <w:pStyle w:val="29"/>
              <w:ind w:firstLine="412"/>
              <w:rPr>
                <w:color w:val="auto"/>
                <w:sz w:val="21"/>
                <w:szCs w:val="20"/>
              </w:rPr>
            </w:pPr>
            <w:r>
              <w:rPr>
                <w:rFonts w:hint="eastAsia"/>
                <w:color w:val="auto"/>
                <w:sz w:val="21"/>
                <w:szCs w:val="20"/>
              </w:rPr>
              <w:t>(1) 阀体</w:t>
            </w:r>
          </w:p>
          <w:p>
            <w:pPr>
              <w:pStyle w:val="29"/>
              <w:ind w:firstLine="412"/>
              <w:rPr>
                <w:color w:val="auto"/>
                <w:sz w:val="21"/>
                <w:szCs w:val="20"/>
              </w:rPr>
            </w:pPr>
            <w:r>
              <w:rPr>
                <w:rFonts w:hint="eastAsia"/>
                <w:color w:val="auto"/>
                <w:sz w:val="21"/>
                <w:szCs w:val="20"/>
              </w:rPr>
              <w:t>a.阀体应有下阀体和阀盖二个部分组成，在结构上，腔体的轴向通道须呈直线状，阀体底部 无凹穴，并按 CJ/T216-2005 标准进行阀体内、外表面的高压静电无毒环氧树脂喷涂。涂层厚度应 在 0.15mm 以上，硬度应达到 GB/T6739 规定德铅笔硬度 2H，涂层附着力应达到 GB/T9286 规定德划 格法 1mm2 不脱落。下阀体的材料为球墨铸铁 400 或更好，阀盖材料为球墨铸铁 500 或更好。阀体 内腔面不切削加工，应靠铸造精度保证密封，在 2.4MPa 压力下泄漏量为 0。</w:t>
            </w:r>
          </w:p>
          <w:p>
            <w:pPr>
              <w:pStyle w:val="29"/>
              <w:ind w:firstLine="412"/>
              <w:rPr>
                <w:color w:val="auto"/>
                <w:sz w:val="21"/>
                <w:szCs w:val="20"/>
              </w:rPr>
            </w:pPr>
            <w:r>
              <w:rPr>
                <w:rFonts w:hint="eastAsia"/>
                <w:color w:val="auto"/>
                <w:sz w:val="21"/>
                <w:szCs w:val="20"/>
              </w:rPr>
              <w:t>b.在下阀体底部要浇铸支承翼座，使闸阀能直立固定。</w:t>
            </w:r>
          </w:p>
          <w:p>
            <w:pPr>
              <w:pStyle w:val="29"/>
              <w:ind w:firstLine="412"/>
              <w:rPr>
                <w:color w:val="auto"/>
                <w:sz w:val="21"/>
                <w:szCs w:val="20"/>
              </w:rPr>
            </w:pPr>
            <w:r>
              <w:rPr>
                <w:rFonts w:hint="eastAsia"/>
                <w:color w:val="auto"/>
                <w:sz w:val="21"/>
                <w:szCs w:val="20"/>
              </w:rPr>
              <w:t>c.下阀体二端的法兰应符合 GB/T12232-1989 铸铁闸阀法兰的规定，额定压力为 1MPa。 d.阀板必须包复橡胶，采用 EPDM 或丁腈橡胶，一次粘复成型，保证在-30℃~80℃的温度范围</w:t>
            </w:r>
          </w:p>
          <w:p>
            <w:pPr>
              <w:pStyle w:val="29"/>
              <w:ind w:firstLine="412"/>
              <w:rPr>
                <w:color w:val="auto"/>
                <w:sz w:val="21"/>
                <w:szCs w:val="20"/>
              </w:rPr>
            </w:pPr>
            <w:r>
              <w:rPr>
                <w:rFonts w:hint="eastAsia"/>
                <w:color w:val="auto"/>
                <w:sz w:val="21"/>
                <w:szCs w:val="20"/>
              </w:rPr>
              <w:t>内安全使用。</w:t>
            </w:r>
          </w:p>
          <w:p>
            <w:pPr>
              <w:pStyle w:val="29"/>
              <w:ind w:firstLine="412"/>
              <w:rPr>
                <w:color w:val="auto"/>
                <w:sz w:val="21"/>
                <w:szCs w:val="20"/>
              </w:rPr>
            </w:pPr>
            <w:r>
              <w:rPr>
                <w:rFonts w:hint="eastAsia"/>
                <w:color w:val="auto"/>
                <w:sz w:val="21"/>
                <w:szCs w:val="20"/>
              </w:rPr>
              <w:t>e.阀盖须设有固定启闭装置的支座，在上阀体和阀杆的相贯处应设置可靠的密封措施，保证 在通水时可更换上部密封件和 O 形圈。</w:t>
            </w:r>
          </w:p>
          <w:p>
            <w:pPr>
              <w:pStyle w:val="29"/>
              <w:ind w:firstLine="412"/>
              <w:rPr>
                <w:color w:val="auto"/>
                <w:sz w:val="21"/>
                <w:szCs w:val="20"/>
              </w:rPr>
            </w:pPr>
            <w:r>
              <w:rPr>
                <w:rFonts w:hint="eastAsia"/>
                <w:color w:val="auto"/>
                <w:sz w:val="21"/>
                <w:szCs w:val="20"/>
              </w:rPr>
              <w:t>f.阀盖应配置吊环用来起吊整个装置。</w:t>
            </w:r>
          </w:p>
          <w:p>
            <w:pPr>
              <w:pStyle w:val="29"/>
              <w:ind w:firstLine="412"/>
              <w:rPr>
                <w:color w:val="auto"/>
                <w:sz w:val="21"/>
                <w:szCs w:val="20"/>
              </w:rPr>
            </w:pPr>
            <w:r>
              <w:rPr>
                <w:rFonts w:hint="eastAsia"/>
                <w:color w:val="auto"/>
                <w:sz w:val="21"/>
                <w:szCs w:val="20"/>
              </w:rPr>
              <w:t>g.包胶的阀板应符合 CJ/T216-2005 的规定，在 1.6MPa 的试验压力下，至少启闭 500 次无泄 漏。</w:t>
            </w:r>
          </w:p>
          <w:p>
            <w:pPr>
              <w:pStyle w:val="29"/>
              <w:ind w:firstLine="412"/>
              <w:rPr>
                <w:color w:val="auto"/>
                <w:sz w:val="21"/>
                <w:szCs w:val="20"/>
              </w:rPr>
            </w:pPr>
            <w:r>
              <w:rPr>
                <w:rFonts w:hint="eastAsia"/>
                <w:color w:val="auto"/>
                <w:sz w:val="21"/>
                <w:szCs w:val="20"/>
              </w:rPr>
              <w:t>h.阀杆材料采用不锈钢 1Cr17Ni2 或更好。</w:t>
            </w:r>
          </w:p>
          <w:p>
            <w:pPr>
              <w:pStyle w:val="27"/>
              <w:spacing w:line="267" w:lineRule="exact"/>
              <w:ind w:left="24"/>
              <w:rPr>
                <w:rFonts w:ascii="宋体" w:hAnsi="宋体" w:eastAsia="宋体" w:cs="宋体"/>
                <w:color w:val="auto"/>
                <w:sz w:val="21"/>
                <w:szCs w:val="21"/>
                <w:lang w:eastAsia="zh-CN"/>
              </w:rPr>
            </w:pPr>
            <w:r>
              <w:rPr>
                <w:rFonts w:ascii="宋体" w:hAnsi="宋体" w:eastAsia="宋体" w:cs="宋体"/>
                <w:color w:val="auto"/>
                <w:sz w:val="21"/>
                <w:szCs w:val="21"/>
                <w:lang w:eastAsia="zh-CN"/>
              </w:rPr>
              <w:t>3、蝶阀</w:t>
            </w:r>
          </w:p>
          <w:p>
            <w:pPr>
              <w:pStyle w:val="27"/>
              <w:spacing w:before="44"/>
              <w:ind w:left="24"/>
              <w:rPr>
                <w:rFonts w:ascii="宋体" w:hAnsi="宋体" w:eastAsia="宋体" w:cs="宋体"/>
                <w:color w:val="auto"/>
                <w:sz w:val="21"/>
                <w:szCs w:val="21"/>
                <w:lang w:eastAsia="zh-CN"/>
              </w:rPr>
            </w:pPr>
            <w:r>
              <w:rPr>
                <w:rFonts w:ascii="宋体" w:hAnsi="宋体" w:eastAsia="宋体" w:cs="宋体"/>
                <w:color w:val="auto"/>
                <w:sz w:val="21"/>
                <w:szCs w:val="21"/>
                <w:lang w:eastAsia="zh-CN"/>
              </w:rPr>
              <w:t>3.1</w:t>
            </w:r>
            <w:r>
              <w:rPr>
                <w:rFonts w:ascii="宋体" w:hAnsi="宋体" w:eastAsia="宋体" w:cs="宋体"/>
                <w:color w:val="auto"/>
                <w:spacing w:val="-53"/>
                <w:sz w:val="21"/>
                <w:szCs w:val="21"/>
                <w:lang w:eastAsia="zh-CN"/>
              </w:rPr>
              <w:t xml:space="preserve"> </w:t>
            </w:r>
            <w:r>
              <w:rPr>
                <w:rFonts w:ascii="宋体" w:hAnsi="宋体" w:eastAsia="宋体" w:cs="宋体"/>
                <w:color w:val="auto"/>
                <w:sz w:val="21"/>
                <w:szCs w:val="21"/>
                <w:lang w:eastAsia="zh-CN"/>
              </w:rPr>
              <w:t>设计要求</w:t>
            </w:r>
          </w:p>
          <w:p>
            <w:pPr>
              <w:pStyle w:val="27"/>
              <w:spacing w:before="42"/>
              <w:ind w:left="338"/>
              <w:rPr>
                <w:rFonts w:ascii="宋体" w:hAnsi="宋体" w:eastAsia="宋体" w:cs="宋体"/>
                <w:color w:val="auto"/>
                <w:sz w:val="21"/>
                <w:szCs w:val="21"/>
                <w:lang w:eastAsia="zh-CN"/>
              </w:rPr>
            </w:pPr>
            <w:r>
              <w:rPr>
                <w:rFonts w:ascii="宋体" w:hAnsi="宋体" w:eastAsia="宋体" w:cs="宋体"/>
                <w:color w:val="auto"/>
                <w:sz w:val="21"/>
                <w:szCs w:val="21"/>
                <w:lang w:eastAsia="zh-CN"/>
              </w:rPr>
              <w:t>蝶阀应采用双（三）偏心式金属密封蝶阀，阀门全开或全关所需的时间应小于</w:t>
            </w:r>
            <w:r>
              <w:rPr>
                <w:rFonts w:ascii="宋体" w:hAnsi="宋体" w:eastAsia="宋体" w:cs="宋体"/>
                <w:color w:val="auto"/>
                <w:spacing w:val="-55"/>
                <w:sz w:val="21"/>
                <w:szCs w:val="21"/>
                <w:lang w:eastAsia="zh-CN"/>
              </w:rPr>
              <w:t xml:space="preserve"> </w:t>
            </w:r>
            <w:r>
              <w:rPr>
                <w:rFonts w:ascii="宋体" w:hAnsi="宋体" w:eastAsia="宋体" w:cs="宋体"/>
                <w:color w:val="auto"/>
                <w:sz w:val="21"/>
                <w:szCs w:val="21"/>
                <w:lang w:eastAsia="zh-CN"/>
              </w:rPr>
              <w:t>2</w:t>
            </w:r>
            <w:r>
              <w:rPr>
                <w:rFonts w:ascii="宋体" w:hAnsi="宋体" w:eastAsia="宋体" w:cs="宋体"/>
                <w:color w:val="auto"/>
                <w:spacing w:val="-54"/>
                <w:sz w:val="21"/>
                <w:szCs w:val="21"/>
                <w:lang w:eastAsia="zh-CN"/>
              </w:rPr>
              <w:t xml:space="preserve"> </w:t>
            </w:r>
            <w:r>
              <w:rPr>
                <w:rFonts w:ascii="宋体" w:hAnsi="宋体" w:eastAsia="宋体" w:cs="宋体"/>
                <w:color w:val="auto"/>
                <w:sz w:val="21"/>
                <w:szCs w:val="21"/>
                <w:lang w:eastAsia="zh-CN"/>
              </w:rPr>
              <w:t>分钟。</w:t>
            </w:r>
          </w:p>
          <w:p>
            <w:pPr>
              <w:pStyle w:val="27"/>
              <w:spacing w:before="45"/>
              <w:ind w:left="24"/>
              <w:rPr>
                <w:rFonts w:ascii="宋体" w:hAnsi="宋体" w:eastAsia="宋体" w:cs="宋体"/>
                <w:color w:val="auto"/>
                <w:sz w:val="21"/>
                <w:szCs w:val="21"/>
                <w:lang w:eastAsia="zh-CN"/>
              </w:rPr>
            </w:pPr>
            <w:r>
              <w:rPr>
                <w:rFonts w:ascii="宋体" w:hAnsi="宋体" w:eastAsia="宋体" w:cs="宋体"/>
                <w:color w:val="auto"/>
                <w:sz w:val="21"/>
                <w:szCs w:val="21"/>
                <w:lang w:eastAsia="zh-CN"/>
              </w:rPr>
              <w:t>3.2</w:t>
            </w:r>
            <w:r>
              <w:rPr>
                <w:rFonts w:ascii="宋体" w:hAnsi="宋体" w:eastAsia="宋体" w:cs="宋体"/>
                <w:color w:val="auto"/>
                <w:spacing w:val="-52"/>
                <w:sz w:val="21"/>
                <w:szCs w:val="21"/>
                <w:lang w:eastAsia="zh-CN"/>
              </w:rPr>
              <w:t xml:space="preserve"> </w:t>
            </w:r>
            <w:r>
              <w:rPr>
                <w:rFonts w:ascii="宋体" w:hAnsi="宋体" w:eastAsia="宋体" w:cs="宋体"/>
                <w:color w:val="auto"/>
                <w:sz w:val="21"/>
                <w:szCs w:val="21"/>
                <w:lang w:eastAsia="zh-CN"/>
              </w:rPr>
              <w:t>结构和材料</w:t>
            </w:r>
          </w:p>
          <w:p>
            <w:pPr>
              <w:pStyle w:val="29"/>
              <w:ind w:firstLine="412"/>
              <w:rPr>
                <w:color w:val="auto"/>
                <w:sz w:val="21"/>
                <w:szCs w:val="20"/>
              </w:rPr>
            </w:pPr>
            <w:r>
              <w:rPr>
                <w:color w:val="auto"/>
                <w:sz w:val="21"/>
                <w:szCs w:val="20"/>
              </w:rPr>
              <w:t>法兰应符合 ISO PN10（Bar）标准，法兰到法兰的尺寸应符合 ISO 或 GB 标准。 阀门的轴应由 1Cr17Ni2 不锈钢或更好材料制作，阀轴采用整体轴，也可采用两个分开的“短</w:t>
            </w:r>
          </w:p>
          <w:p>
            <w:pPr>
              <w:pStyle w:val="29"/>
              <w:ind w:firstLine="412"/>
              <w:rPr>
                <w:color w:val="auto"/>
                <w:sz w:val="21"/>
                <w:szCs w:val="20"/>
              </w:rPr>
            </w:pPr>
            <w:r>
              <w:rPr>
                <w:color w:val="auto"/>
                <w:sz w:val="21"/>
                <w:szCs w:val="20"/>
              </w:rPr>
              <w:t>轴”式，嵌入轴孔的长度不小于轴径的 1.5 倍，阀轴与阀板的连接强度应保证阀轴能传递最大扭 矩。</w:t>
            </w:r>
          </w:p>
          <w:p>
            <w:pPr>
              <w:pStyle w:val="29"/>
              <w:ind w:firstLine="412"/>
              <w:rPr>
                <w:color w:val="auto"/>
                <w:sz w:val="21"/>
                <w:szCs w:val="20"/>
              </w:rPr>
            </w:pPr>
            <w:r>
              <w:rPr>
                <w:color w:val="auto"/>
                <w:sz w:val="21"/>
                <w:szCs w:val="20"/>
              </w:rPr>
              <w:t>阀轴的轴套应使用不需要任何外加润滑的自润滑轴承。 阀板的金属密封座为不锈钢复合体，由不锈钢螺母和螺钉紧固在阀板上，阀体密封座可采用铸造不锈钢或堆焊的形式与阀体连成一体，阀板密封座与阀体密封座二者需有硬度差。 阀板采用球墨铸铁制造，必须具有足够的强度和刚度。 轴伸出穿过阀体外，应提供轴密封装置，密封装置最好设计成标准 O 型密封，O 型环密封应装在一个防腐的可移动凹槽</w:t>
            </w:r>
            <w:r>
              <w:rPr>
                <w:rFonts w:ascii="宋体" w:hAnsi="宋体" w:eastAsia="宋体" w:cs="宋体"/>
                <w:color w:val="auto"/>
                <w:spacing w:val="-2"/>
                <w:sz w:val="21"/>
                <w:szCs w:val="21"/>
              </w:rPr>
              <w:t>内。</w:t>
            </w:r>
          </w:p>
          <w:p>
            <w:pPr>
              <w:spacing w:before="10" w:line="278" w:lineRule="auto"/>
              <w:ind w:left="33" w:right="6248"/>
              <w:rPr>
                <w:rFonts w:ascii="宋体" w:hAnsi="宋体" w:eastAsia="宋体" w:cs="宋体"/>
                <w:color w:val="auto"/>
                <w:sz w:val="21"/>
                <w:szCs w:val="21"/>
                <w:lang w:eastAsia="zh-CN"/>
              </w:rPr>
            </w:pPr>
            <w:r>
              <w:rPr>
                <w:rFonts w:ascii="宋体" w:hAnsi="宋体" w:eastAsia="宋体" w:cs="宋体"/>
                <w:color w:val="auto"/>
                <w:sz w:val="21"/>
                <w:szCs w:val="21"/>
                <w:lang w:eastAsia="zh-CN"/>
              </w:rPr>
              <w:t>3.3</w:t>
            </w:r>
            <w:r>
              <w:rPr>
                <w:rFonts w:ascii="宋体" w:hAnsi="宋体" w:eastAsia="宋体" w:cs="宋体"/>
                <w:color w:val="auto"/>
                <w:spacing w:val="-52"/>
                <w:sz w:val="21"/>
                <w:szCs w:val="21"/>
                <w:lang w:eastAsia="zh-CN"/>
              </w:rPr>
              <w:t xml:space="preserve"> </w:t>
            </w:r>
            <w:r>
              <w:rPr>
                <w:rFonts w:ascii="宋体" w:hAnsi="宋体" w:eastAsia="宋体" w:cs="宋体"/>
                <w:color w:val="auto"/>
                <w:sz w:val="21"/>
                <w:szCs w:val="21"/>
                <w:lang w:eastAsia="zh-CN"/>
              </w:rPr>
              <w:t>蝶阀的电动装置</w:t>
            </w:r>
          </w:p>
          <w:p>
            <w:pPr>
              <w:spacing w:before="10" w:line="276" w:lineRule="auto"/>
              <w:ind w:left="33" w:right="55" w:firstLine="314"/>
              <w:rPr>
                <w:rFonts w:ascii="宋体" w:hAnsi="宋体" w:eastAsia="宋体" w:cs="宋体"/>
                <w:color w:val="auto"/>
                <w:sz w:val="21"/>
                <w:szCs w:val="21"/>
                <w:lang w:eastAsia="zh-CN"/>
              </w:rPr>
            </w:pPr>
            <w:r>
              <w:rPr>
                <w:rFonts w:ascii="宋体" w:hAnsi="宋体" w:eastAsia="宋体" w:cs="宋体"/>
                <w:color w:val="auto"/>
                <w:spacing w:val="-5"/>
                <w:sz w:val="21"/>
                <w:szCs w:val="21"/>
                <w:lang w:eastAsia="zh-CN"/>
              </w:rPr>
              <w:t>电动装置应是户外式防水型的（IP55），电动装置的尺寸应满足当阀二边的压差为</w:t>
            </w:r>
            <w:r>
              <w:rPr>
                <w:rFonts w:ascii="宋体" w:hAnsi="宋体" w:eastAsia="宋体" w:cs="宋体"/>
                <w:color w:val="auto"/>
                <w:sz w:val="21"/>
                <w:szCs w:val="21"/>
                <w:lang w:eastAsia="zh-CN"/>
              </w:rPr>
              <w:t xml:space="preserve"> </w:t>
            </w:r>
            <w:r>
              <w:rPr>
                <w:rFonts w:ascii="宋体" w:hAnsi="宋体" w:eastAsia="宋体" w:cs="宋体"/>
                <w:color w:val="auto"/>
                <w:spacing w:val="-1"/>
                <w:sz w:val="21"/>
                <w:szCs w:val="21"/>
                <w:lang w:eastAsia="zh-CN"/>
              </w:rPr>
              <w:t>0.6MPa</w:t>
            </w:r>
            <w:r>
              <w:rPr>
                <w:rFonts w:ascii="宋体" w:hAnsi="宋体" w:eastAsia="宋体" w:cs="宋体"/>
                <w:color w:val="auto"/>
                <w:spacing w:val="-76"/>
                <w:sz w:val="21"/>
                <w:szCs w:val="21"/>
                <w:lang w:eastAsia="zh-CN"/>
              </w:rPr>
              <w:t xml:space="preserve"> </w:t>
            </w:r>
            <w:r>
              <w:rPr>
                <w:rFonts w:ascii="宋体" w:hAnsi="宋体" w:eastAsia="宋体" w:cs="宋体"/>
                <w:color w:val="auto"/>
                <w:spacing w:val="-3"/>
                <w:sz w:val="21"/>
                <w:szCs w:val="21"/>
                <w:lang w:eastAsia="zh-CN"/>
              </w:rPr>
              <w:t xml:space="preserve">时， </w:t>
            </w:r>
            <w:r>
              <w:rPr>
                <w:rFonts w:ascii="宋体" w:hAnsi="宋体" w:eastAsia="宋体" w:cs="宋体"/>
                <w:color w:val="auto"/>
                <w:sz w:val="21"/>
                <w:szCs w:val="21"/>
                <w:lang w:eastAsia="zh-CN"/>
              </w:rPr>
              <w:t>足以阀门的启闭操作。阀用电动装置为卧式安装。</w:t>
            </w:r>
          </w:p>
          <w:p>
            <w:pPr>
              <w:spacing w:before="13" w:line="278" w:lineRule="auto"/>
              <w:ind w:left="33" w:firstLine="314"/>
              <w:rPr>
                <w:rFonts w:ascii="宋体" w:hAnsi="宋体" w:eastAsia="宋体" w:cs="宋体"/>
                <w:color w:val="auto"/>
                <w:sz w:val="21"/>
                <w:szCs w:val="21"/>
                <w:lang w:eastAsia="zh-CN"/>
              </w:rPr>
            </w:pPr>
            <w:r>
              <w:rPr>
                <w:rFonts w:ascii="宋体" w:hAnsi="宋体" w:eastAsia="宋体" w:cs="宋体"/>
                <w:color w:val="auto"/>
                <w:sz w:val="21"/>
                <w:szCs w:val="21"/>
                <w:lang w:eastAsia="zh-CN"/>
              </w:rPr>
              <w:t>电动装置的齿轮设计应符合</w:t>
            </w:r>
            <w:r>
              <w:rPr>
                <w:rFonts w:ascii="宋体" w:hAnsi="宋体" w:eastAsia="宋体" w:cs="宋体"/>
                <w:color w:val="auto"/>
                <w:spacing w:val="-37"/>
                <w:sz w:val="21"/>
                <w:szCs w:val="21"/>
                <w:lang w:eastAsia="zh-CN"/>
              </w:rPr>
              <w:t xml:space="preserve"> </w:t>
            </w:r>
            <w:r>
              <w:rPr>
                <w:rFonts w:ascii="宋体" w:hAnsi="宋体" w:eastAsia="宋体" w:cs="宋体"/>
                <w:color w:val="auto"/>
                <w:spacing w:val="-11"/>
                <w:sz w:val="21"/>
                <w:szCs w:val="21"/>
                <w:lang w:eastAsia="zh-CN"/>
              </w:rPr>
              <w:t>ISO、DIN</w:t>
            </w:r>
            <w:r>
              <w:rPr>
                <w:rFonts w:ascii="宋体" w:hAnsi="宋体" w:eastAsia="宋体" w:cs="宋体"/>
                <w:color w:val="auto"/>
                <w:spacing w:val="-38"/>
                <w:sz w:val="21"/>
                <w:szCs w:val="21"/>
                <w:lang w:eastAsia="zh-CN"/>
              </w:rPr>
              <w:t xml:space="preserve"> </w:t>
            </w:r>
            <w:r>
              <w:rPr>
                <w:rFonts w:ascii="宋体" w:hAnsi="宋体" w:eastAsia="宋体" w:cs="宋体"/>
                <w:color w:val="auto"/>
                <w:spacing w:val="-7"/>
                <w:sz w:val="21"/>
                <w:szCs w:val="21"/>
                <w:lang w:eastAsia="zh-CN"/>
              </w:rPr>
              <w:t>或等同标准，服务系数不小于</w:t>
            </w:r>
            <w:r>
              <w:rPr>
                <w:rFonts w:ascii="宋体" w:hAnsi="宋体" w:eastAsia="宋体" w:cs="宋体"/>
                <w:color w:val="auto"/>
                <w:spacing w:val="-38"/>
                <w:sz w:val="21"/>
                <w:szCs w:val="21"/>
                <w:lang w:eastAsia="zh-CN"/>
              </w:rPr>
              <w:t xml:space="preserve"> </w:t>
            </w:r>
            <w:r>
              <w:rPr>
                <w:rFonts w:ascii="宋体" w:hAnsi="宋体" w:eastAsia="宋体" w:cs="宋体"/>
                <w:color w:val="auto"/>
                <w:spacing w:val="-7"/>
                <w:sz w:val="21"/>
                <w:szCs w:val="21"/>
                <w:lang w:eastAsia="zh-CN"/>
              </w:rPr>
              <w:t xml:space="preserve">2.0，齿轮材料为低合金钢， </w:t>
            </w:r>
            <w:r>
              <w:rPr>
                <w:rFonts w:ascii="宋体" w:hAnsi="宋体" w:eastAsia="宋体" w:cs="宋体"/>
                <w:color w:val="auto"/>
                <w:spacing w:val="-3"/>
                <w:sz w:val="21"/>
                <w:szCs w:val="21"/>
                <w:lang w:eastAsia="zh-CN"/>
              </w:rPr>
              <w:t xml:space="preserve">渗碳谇火处理，齿面硬度不低于 </w:t>
            </w:r>
            <w:r>
              <w:rPr>
                <w:rFonts w:ascii="宋体" w:hAnsi="宋体" w:eastAsia="宋体" w:cs="宋体"/>
                <w:color w:val="auto"/>
                <w:spacing w:val="-5"/>
                <w:sz w:val="21"/>
                <w:szCs w:val="21"/>
                <w:lang w:eastAsia="zh-CN"/>
              </w:rPr>
              <w:t xml:space="preserve">HRC58。轴承寿命（B10）大于 </w:t>
            </w:r>
            <w:r>
              <w:rPr>
                <w:rFonts w:ascii="宋体" w:hAnsi="宋体" w:eastAsia="宋体" w:cs="宋体"/>
                <w:color w:val="auto"/>
                <w:sz w:val="21"/>
                <w:szCs w:val="21"/>
                <w:lang w:eastAsia="zh-CN"/>
              </w:rPr>
              <w:t xml:space="preserve">10 </w:t>
            </w:r>
            <w:r>
              <w:rPr>
                <w:rFonts w:ascii="宋体" w:hAnsi="宋体" w:eastAsia="宋体" w:cs="宋体"/>
                <w:color w:val="auto"/>
                <w:spacing w:val="-3"/>
                <w:sz w:val="21"/>
                <w:szCs w:val="21"/>
                <w:lang w:eastAsia="zh-CN"/>
              </w:rPr>
              <w:t xml:space="preserve">万小时，适宜于现场供电操作和 </w:t>
            </w:r>
            <w:r>
              <w:rPr>
                <w:rFonts w:ascii="宋体" w:hAnsi="宋体" w:eastAsia="宋体" w:cs="宋体"/>
                <w:color w:val="auto"/>
                <w:spacing w:val="-2"/>
                <w:sz w:val="21"/>
                <w:szCs w:val="21"/>
                <w:lang w:eastAsia="zh-CN"/>
              </w:rPr>
              <w:t>远程控制，当电压降至正常电压的</w:t>
            </w:r>
            <w:r>
              <w:rPr>
                <w:rFonts w:ascii="宋体" w:hAnsi="宋体" w:eastAsia="宋体" w:cs="宋体"/>
                <w:color w:val="auto"/>
                <w:spacing w:val="4"/>
                <w:sz w:val="21"/>
                <w:szCs w:val="21"/>
                <w:lang w:eastAsia="zh-CN"/>
              </w:rPr>
              <w:t xml:space="preserve"> </w:t>
            </w:r>
            <w:r>
              <w:rPr>
                <w:rFonts w:ascii="宋体" w:hAnsi="宋体" w:eastAsia="宋体" w:cs="宋体"/>
                <w:color w:val="auto"/>
                <w:spacing w:val="-2"/>
                <w:sz w:val="21"/>
                <w:szCs w:val="21"/>
                <w:lang w:eastAsia="zh-CN"/>
              </w:rPr>
              <w:t>90%时，仍能保持满意的操作。</w:t>
            </w:r>
          </w:p>
          <w:p>
            <w:pPr>
              <w:spacing w:before="10" w:line="278" w:lineRule="auto"/>
              <w:ind w:left="33" w:right="155" w:firstLine="314"/>
              <w:rPr>
                <w:rFonts w:ascii="宋体" w:hAnsi="宋体" w:eastAsia="宋体" w:cs="宋体"/>
                <w:color w:val="auto"/>
                <w:sz w:val="21"/>
                <w:szCs w:val="21"/>
                <w:lang w:eastAsia="zh-CN"/>
              </w:rPr>
            </w:pPr>
            <w:r>
              <w:rPr>
                <w:rFonts w:ascii="宋体" w:hAnsi="宋体" w:eastAsia="宋体" w:cs="宋体"/>
                <w:color w:val="auto"/>
                <w:sz w:val="21"/>
                <w:szCs w:val="21"/>
                <w:lang w:eastAsia="zh-CN"/>
              </w:rPr>
              <w:t>电动机应符合“电气条款”的要求，电机采用</w:t>
            </w:r>
            <w:r>
              <w:rPr>
                <w:rFonts w:ascii="宋体" w:hAnsi="宋体" w:eastAsia="宋体" w:cs="宋体"/>
                <w:color w:val="auto"/>
                <w:spacing w:val="-55"/>
                <w:sz w:val="21"/>
                <w:szCs w:val="21"/>
                <w:lang w:eastAsia="zh-CN"/>
              </w:rPr>
              <w:t xml:space="preserve"> </w:t>
            </w:r>
            <w:r>
              <w:rPr>
                <w:rFonts w:ascii="宋体" w:hAnsi="宋体" w:eastAsia="宋体" w:cs="宋体"/>
                <w:color w:val="auto"/>
                <w:sz w:val="21"/>
                <w:szCs w:val="21"/>
                <w:lang w:eastAsia="zh-CN"/>
              </w:rPr>
              <w:t>F</w:t>
            </w:r>
            <w:r>
              <w:rPr>
                <w:rFonts w:ascii="宋体" w:hAnsi="宋体" w:eastAsia="宋体" w:cs="宋体"/>
                <w:color w:val="auto"/>
                <w:spacing w:val="-55"/>
                <w:sz w:val="21"/>
                <w:szCs w:val="21"/>
                <w:lang w:eastAsia="zh-CN"/>
              </w:rPr>
              <w:t xml:space="preserve"> </w:t>
            </w:r>
            <w:r>
              <w:rPr>
                <w:rFonts w:ascii="宋体" w:hAnsi="宋体" w:eastAsia="宋体" w:cs="宋体"/>
                <w:color w:val="auto"/>
                <w:sz w:val="21"/>
                <w:szCs w:val="21"/>
                <w:lang w:eastAsia="zh-CN"/>
              </w:rPr>
              <w:t>级绝缘，额定时间为</w:t>
            </w:r>
            <w:r>
              <w:rPr>
                <w:rFonts w:ascii="宋体" w:hAnsi="宋体" w:eastAsia="宋体" w:cs="宋体"/>
                <w:color w:val="auto"/>
                <w:spacing w:val="-55"/>
                <w:sz w:val="21"/>
                <w:szCs w:val="21"/>
                <w:lang w:eastAsia="zh-CN"/>
              </w:rPr>
              <w:t xml:space="preserve"> </w:t>
            </w:r>
            <w:r>
              <w:rPr>
                <w:rFonts w:ascii="宋体" w:hAnsi="宋体" w:eastAsia="宋体" w:cs="宋体"/>
                <w:color w:val="auto"/>
                <w:sz w:val="21"/>
                <w:szCs w:val="21"/>
                <w:lang w:eastAsia="zh-CN"/>
              </w:rPr>
              <w:t>15</w:t>
            </w:r>
            <w:r>
              <w:rPr>
                <w:rFonts w:ascii="宋体" w:hAnsi="宋体" w:eastAsia="宋体" w:cs="宋体"/>
                <w:color w:val="auto"/>
                <w:spacing w:val="-55"/>
                <w:sz w:val="21"/>
                <w:szCs w:val="21"/>
                <w:lang w:eastAsia="zh-CN"/>
              </w:rPr>
              <w:t xml:space="preserve"> </w:t>
            </w:r>
            <w:r>
              <w:rPr>
                <w:rFonts w:ascii="宋体" w:hAnsi="宋体" w:eastAsia="宋体" w:cs="宋体"/>
                <w:color w:val="auto"/>
                <w:sz w:val="21"/>
                <w:szCs w:val="21"/>
                <w:lang w:eastAsia="zh-CN"/>
              </w:rPr>
              <w:t>分钟或成二倍的阀的 行程时间，二者取大值。</w:t>
            </w:r>
          </w:p>
          <w:p>
            <w:pPr>
              <w:spacing w:before="10" w:line="278" w:lineRule="auto"/>
              <w:ind w:left="347" w:right="115"/>
              <w:rPr>
                <w:rFonts w:ascii="宋体" w:hAnsi="宋体" w:eastAsia="宋体" w:cs="宋体"/>
                <w:color w:val="auto"/>
                <w:sz w:val="21"/>
                <w:szCs w:val="21"/>
                <w:lang w:eastAsia="zh-CN"/>
              </w:rPr>
            </w:pPr>
            <w:r>
              <w:rPr>
                <w:rFonts w:ascii="宋体" w:hAnsi="宋体" w:eastAsia="宋体" w:cs="宋体"/>
                <w:color w:val="auto"/>
                <w:sz w:val="21"/>
                <w:szCs w:val="21"/>
                <w:lang w:eastAsia="zh-CN"/>
              </w:rPr>
              <w:t xml:space="preserve">阀用驱动装置的齿轮箱应为全封闭油浴润滑型的。 </w:t>
            </w:r>
            <w:r>
              <w:rPr>
                <w:rFonts w:ascii="宋体" w:hAnsi="宋体" w:eastAsia="宋体" w:cs="宋体"/>
                <w:color w:val="auto"/>
                <w:spacing w:val="-6"/>
                <w:sz w:val="21"/>
                <w:szCs w:val="21"/>
                <w:lang w:eastAsia="zh-CN"/>
              </w:rPr>
              <w:t>应设置手轮操作机构，手动操作时，手轮启闭力（“推拉”力）应不大于</w:t>
            </w:r>
            <w:r>
              <w:rPr>
                <w:rFonts w:ascii="宋体" w:hAnsi="宋体" w:eastAsia="宋体" w:cs="宋体"/>
                <w:color w:val="auto"/>
                <w:spacing w:val="-49"/>
                <w:sz w:val="21"/>
                <w:szCs w:val="21"/>
                <w:lang w:eastAsia="zh-CN"/>
              </w:rPr>
              <w:t xml:space="preserve"> </w:t>
            </w:r>
            <w:r>
              <w:rPr>
                <w:rFonts w:ascii="宋体" w:hAnsi="宋体" w:eastAsia="宋体" w:cs="宋体"/>
                <w:color w:val="auto"/>
                <w:spacing w:val="-3"/>
                <w:sz w:val="21"/>
                <w:szCs w:val="21"/>
                <w:lang w:eastAsia="zh-CN"/>
              </w:rPr>
              <w:t>150N（总共</w:t>
            </w:r>
            <w:r>
              <w:rPr>
                <w:rFonts w:ascii="宋体" w:hAnsi="宋体" w:eastAsia="宋体" w:cs="宋体"/>
                <w:color w:val="auto"/>
                <w:spacing w:val="-48"/>
                <w:sz w:val="21"/>
                <w:szCs w:val="21"/>
                <w:lang w:eastAsia="zh-CN"/>
              </w:rPr>
              <w:t xml:space="preserve"> </w:t>
            </w:r>
            <w:r>
              <w:rPr>
                <w:rFonts w:ascii="宋体" w:hAnsi="宋体" w:eastAsia="宋体" w:cs="宋体"/>
                <w:color w:val="auto"/>
                <w:spacing w:val="-4"/>
                <w:sz w:val="21"/>
                <w:szCs w:val="21"/>
                <w:lang w:eastAsia="zh-CN"/>
              </w:rPr>
              <w:t>300N）应</w:t>
            </w:r>
          </w:p>
          <w:p>
            <w:pPr>
              <w:spacing w:before="10" w:line="278" w:lineRule="auto"/>
              <w:ind w:left="347" w:right="103" w:hanging="315"/>
              <w:rPr>
                <w:rFonts w:ascii="宋体" w:hAnsi="宋体" w:eastAsia="宋体" w:cs="宋体"/>
                <w:color w:val="auto"/>
                <w:sz w:val="21"/>
                <w:szCs w:val="21"/>
                <w:lang w:eastAsia="zh-CN"/>
              </w:rPr>
            </w:pPr>
            <w:r>
              <w:rPr>
                <w:rFonts w:ascii="宋体" w:hAnsi="宋体" w:eastAsia="宋体" w:cs="宋体"/>
                <w:color w:val="auto"/>
                <w:sz w:val="21"/>
                <w:szCs w:val="21"/>
                <w:lang w:eastAsia="zh-CN"/>
              </w:rPr>
              <w:t xml:space="preserve">设置刻度盘来指示阀门的开度，并安装过力矩保护装置及限位开关。 </w:t>
            </w:r>
            <w:r>
              <w:rPr>
                <w:rFonts w:ascii="宋体" w:hAnsi="宋体" w:eastAsia="宋体" w:cs="宋体"/>
                <w:color w:val="auto"/>
                <w:spacing w:val="-3"/>
                <w:sz w:val="21"/>
                <w:szCs w:val="21"/>
                <w:lang w:eastAsia="zh-CN"/>
              </w:rPr>
              <w:t>电动执行机构应具有无错定位，与中央控制室数字通讯，可接受计算机进行现场数据处理和自</w:t>
            </w:r>
          </w:p>
          <w:p>
            <w:pPr>
              <w:spacing w:before="10"/>
              <w:ind w:left="33"/>
              <w:rPr>
                <w:rFonts w:ascii="宋体" w:hAnsi="宋体" w:eastAsia="宋体" w:cs="宋体"/>
                <w:color w:val="auto"/>
                <w:sz w:val="21"/>
                <w:szCs w:val="21"/>
                <w:lang w:eastAsia="zh-CN"/>
              </w:rPr>
            </w:pPr>
            <w:r>
              <w:rPr>
                <w:rFonts w:ascii="宋体" w:hAnsi="宋体" w:eastAsia="宋体" w:cs="宋体"/>
                <w:color w:val="auto"/>
                <w:sz w:val="21"/>
                <w:szCs w:val="21"/>
                <w:lang w:eastAsia="zh-CN"/>
              </w:rPr>
              <w:t>动设定功能等智能性。</w:t>
            </w:r>
          </w:p>
        </w:tc>
      </w:tr>
    </w:tbl>
    <w:p>
      <w:pPr>
        <w:spacing w:before="3"/>
        <w:rPr>
          <w:rFonts w:ascii="宋体" w:hAnsi="宋体" w:eastAsia="宋体" w:cs="宋体"/>
          <w:b/>
          <w:bCs/>
          <w:color w:val="auto"/>
          <w:sz w:val="19"/>
          <w:szCs w:val="19"/>
          <w:lang w:eastAsia="zh-CN"/>
        </w:rPr>
      </w:pPr>
    </w:p>
    <w:p>
      <w:pPr>
        <w:pStyle w:val="30"/>
        <w:spacing w:before="120" w:after="120"/>
        <w:rPr>
          <w:color w:val="auto"/>
        </w:rPr>
      </w:pPr>
      <w:bookmarkStart w:id="274" w:name="_Toc117181378"/>
      <w:r>
        <w:rPr>
          <w:rFonts w:hint="eastAsia"/>
          <w:color w:val="auto"/>
        </w:rPr>
        <w:t>污泥干化、碳化车间</w:t>
      </w:r>
      <w:bookmarkEnd w:id="274"/>
    </w:p>
    <w:tbl>
      <w:tblPr>
        <w:tblStyle w:val="24"/>
        <w:tblW w:w="8636" w:type="dxa"/>
        <w:tblInd w:w="2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pStyle w:val="6"/>
              <w:spacing w:line="360" w:lineRule="auto"/>
              <w:ind w:left="0"/>
              <w:rPr>
                <w:rFonts w:ascii="Times New Roman" w:hAnsi="Times New Roman" w:cs="Times New Roman" w:eastAsiaTheme="minorEastAsia"/>
                <w:b w:val="0"/>
                <w:bCs w:val="0"/>
                <w:color w:val="auto"/>
                <w:lang w:eastAsia="zh-CN"/>
              </w:rPr>
            </w:pPr>
            <w:r>
              <w:rPr>
                <w:color w:val="auto"/>
                <w:lang w:eastAsia="zh-CN"/>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before="174" w:line="360" w:lineRule="auto"/>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1、总体要求</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本项目要求对污水处理运行所产生的污泥进行脱水干化、碳化减量化处理，原泥来自污泥浓缩池，进泥含水率约98%，污泥处置项目规划设计总规模14tds/天，拟分期两期实施，近期土建按照14tds/天设计，设备按照7tds/天处置能力安装，脱水干化碳化至含水率≤5%后资源化利用。</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本项目不得添加对干化污泥后期处置（如：堆肥、填埋、焚烧、建材利用）有较大影响，或增加处置量的添加料，如：石灰、铁盐等，但对常规的絮凝剂、助凝剂（如：聚丙烯酰胺、聚合氯化铝等）不做限制，但其投加量应符合本规范要求，并在投标文件内明确其投加比例。</w:t>
            </w:r>
          </w:p>
          <w:p>
            <w:pPr>
              <w:spacing w:before="174" w:line="360" w:lineRule="auto"/>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2、通用技术要求</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投标人应按照本标书的技术要求供货，包括相关的设备附件、备品备件、技术服务等，同时必须满足相应的工艺过程要求。投标人应在供货清单中详细注明所供设备的生产厂家、国别、产地、型号、工作能力、外形尺寸、材质、重量、功率、效率、防护等级等，卖方应提供完整的、与所供设备相应的、内容翔实的样本和技术文件。</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（2）所有设备的制造、供货、安装和验收必须完全满足标书的要求。安装应严格地按照生产厂家的详细资料和按本技术规范要求批准的设计进行。</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3）所有设备的质量、性能、可靠性及安全性等不能低于本技术规范的要求。设备必须是崭新的，没有因设计、材料或加工等问题引起的缺陷。其设计、制造及材料的选用应是设计先进、工艺安全可靠和结构坚固，并便于检查、操作和维修，尽可能少的维修量。</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（4）安全性要求</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1）投标人从过程的设计、施工、生产的各个环节都必须对装置采取必要的安全技</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具有互换性。</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5）所有设备与土建基础的联接不得使用涨锚螺栓固定的方式，可以采用化学锚栓或预埋钢板。化学锚栓的锚固胶应为环氧类或改性环氧类产品，不得含有苯丙烯。锚栓的金属螺杆应采用A4级不锈钢材质。</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6）设备应在显著位置钉上耐腐蚀的金属铭牌和标牌，内容包括制造厂名称、制造日期、设备名称、设备编号、规格、型号、功率、电压、重量、工作特性等。对于旋转部件应有旋向标牌，对有危险性的部件应有警告标牌，其上应有危险字样。</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（6）材料</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1）所有用于制造设备的材料应是新的，且具备合格的质量，不得有任何损伤和缺</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陷。</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材料的选用应考虑污泥、有害气体及在高温条件下的腐蚀、运行中的磨损以及不同金属之间的电解反应。与污水、污泥或周围空气直接接触的部分应能够完全抵抗此类环境中产生的腐蚀或磨耗。投标人在投标文件中应对系统设备中存在的腐蚀或磨耗部分作出详细说明。</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3）金属材料的断面结构应有足够的强度、柔韧性和刚度和腐蚀裕度。</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4）在规定使用“不锈钢”时，最低材料要求为AISI304（有具体要求的除外）。不锈钢相应环境下的抗腐蚀能力不得低于规范GB1220-92或其它相应标准中对不锈钢的规定。需要焊接的不锈钢应采用不受晶间腐蚀影响的不锈钢类型。</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5）不锈钢部件应经酸洗和钝化处理。所有由不锈钢材料制成的设备、管路等表面不允许有绣斑、划痕、打磨的痕迹等表面缺陷。任何由加工运输或安装造成的表面缺陷应由卖方负责修复。</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6）对于卖方所提供的不锈钢材料，买方有权委托有关部门做材料鉴定，当材料检验合格时，检验费用由买方负担；当材料检验不合格时，包括检验费用在内的所有相关费用将由卖方负担，并对所造成的损失负全责。</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7）非金属材料的选择要考虑其本身的抗潮、阻燃、耐压、抗腐、耐温、抗日晒等因素，应根据设备本身性能和所在的安装区域不同而异。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pStyle w:val="6"/>
              <w:spacing w:line="360" w:lineRule="auto"/>
              <w:ind w:left="0"/>
              <w:rPr>
                <w:rFonts w:ascii="Times New Roman" w:hAnsi="Times New Roman" w:cs="Times New Roman" w:eastAsiaTheme="minorEastAsia"/>
                <w:b w:val="0"/>
                <w:bCs w:val="0"/>
                <w:color w:val="auto"/>
                <w:lang w:eastAsia="zh-CN"/>
              </w:rPr>
            </w:pPr>
            <w:r>
              <w:rPr>
                <w:color w:val="auto"/>
                <w:lang w:eastAsia="zh-CN"/>
              </w:rPr>
              <w:t>处理后污泥执行标准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本工程污泥处理处置应执行以下标准：</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根据住建部和国家发改委编制的《城镇污水处理厂污泥处理处置技术指南》（试行），为保证污泥热解过程能发生，干燥污泥必须在绝氧气氛下被均匀加热到300℃以上（通常热解过程中污泥温度范围为300-500℃），并保持足够的受热停留时间。</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由于水分脱出以及污泥有机物热分解析出，污泥经干化、热解后总量大幅减少。相对于80%含水率污泥，热解后产物的总量不应超过原污泥量的15%。</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为减少过程能耗，污泥具有的热量应该被充分利用，对于污泥在热解过程因有机物热解所产生的热解气所具备的热量，应该以合理可靠的工艺过程及设备予以利用及回收。</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经热解后，污泥产物执行标准需根据产物的处置用途确定。污泥产物用于焚烧时，泥质应满足《城镇污水处理厂污泥焚烧处理工程技术规范》（JB/T11826-2014）要求；污泥产物用于土壤改良时，泥质应满足《城镇污水处理厂污泥处置土地改良用泥质》（GB/T24600-2009）要求；用于园林绿化时，泥质应满足《城镇污水处理厂污泥处置园林绿化用泥质》（GB/T23486-2009）要求；建材利用时，需根据用途如水泥熟料生产用泥质要求、制砖用泥质要求等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line="360" w:lineRule="auto"/>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烟气、臭气排放执行标准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《大气污染物综合排放标准》（GB16297-1996）二级标准</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《生活垃圾焚烧污染控制标准》（GB18485-2014）</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《恶臭污染物排放标准》（GB14554-93）二级标准</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《城镇污水处理厂污染物排放标准》（GB/T18918-2002）中二级标准</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《大气污染物排放限值》（DB44/27-2001）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line="360" w:lineRule="auto"/>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废水排放执行标准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系统产生的废水经管道收集后进入污水处理厂处理。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line="360" w:lineRule="auto"/>
              <w:rPr>
                <w:rFonts w:ascii="Times New Roman" w:hAnsi="Times New Roman" w:cs="Times New Roman"/>
                <w:color w:val="auto"/>
                <w:sz w:val="21"/>
                <w:szCs w:val="21"/>
                <w:lang w:eastAsia="zh-CN"/>
              </w:rPr>
            </w:pPr>
            <w:r>
              <w:rPr>
                <w:rFonts w:ascii="Times New Roman" w:hAnsi="Times New Roman" w:cs="Times New Roman"/>
                <w:b/>
                <w:bCs/>
                <w:color w:val="auto"/>
                <w:sz w:val="21"/>
                <w:szCs w:val="21"/>
                <w:lang w:eastAsia="zh-CN"/>
              </w:rPr>
              <w:t>技术服务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卖方需根据买方提供的设备技术要求、使用条件和施工图纸，进行设备的优化选型、配置，保证设备满足技术要求和使用要求。</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卖方中标后需提供正式的二次设计图纸，得到业主和设计院的书面同意后方可开始设备生产。</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卖方需及时确认设备基础结构形式、尺寸和位置，保证满足设备安装条件，并完成设备安装。</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卖方需派经验丰富的人员到现场对设备使用、保养和维修进行必要的培训，使买方人员具备独立操作能力，并根据买方的要求进行设备调试，直至完成设备性能考核工作。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line="360" w:lineRule="auto"/>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设备及附件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line="360" w:lineRule="auto"/>
              <w:ind w:firstLine="420" w:firstLineChars="200"/>
              <w:jc w:val="both"/>
              <w:rPr>
                <w:rFonts w:ascii="Times New Roman" w:hAnsi="Times New Roman" w:cs="Times New Roman"/>
                <w:b/>
                <w:bCs/>
                <w:color w:val="auto"/>
                <w:sz w:val="21"/>
                <w:szCs w:val="21"/>
                <w:lang w:eastAsia="zh-CN"/>
              </w:rPr>
            </w:pPr>
            <w:r>
              <w:rPr>
                <w:rFonts w:ascii="Times New Roman" w:hAnsi="Times New Roman" w:cs="Times New Roman"/>
                <w:color w:val="auto"/>
                <w:sz w:val="21"/>
                <w:szCs w:val="21"/>
                <w:lang w:eastAsia="zh-CN"/>
              </w:rPr>
              <w:t>提供符合技术要求、规范、数量的整体设备及服务，提供标准化的设备运行维修所需附件及备品备件以及供货商服务。所提供的设备必须是一个制造商的最终产品，无论本要求指定与否，设备正常运转所需的一切附件，设备厂家必须配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8636" w:type="dxa"/>
            <w:vAlign w:val="center"/>
          </w:tcPr>
          <w:p>
            <w:pPr>
              <w:spacing w:before="174" w:line="360" w:lineRule="auto"/>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设备及附件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设备供货范围以调理池污泥出口为界限，出口之后工艺设备属于投标方供货范围。包含污泥干化碳化系统、出料输送存储系统、尾气处理系统（含排气筒）、电气自控系统和电缆。需与界限外系统管线对接时，供货有不清晰时需与招标方及时沟通。</w:t>
            </w:r>
          </w:p>
          <w:p>
            <w:pPr>
              <w:spacing w:line="360" w:lineRule="auto"/>
              <w:ind w:firstLine="420" w:firstLineChars="200"/>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（2）污泥脱水干化碳化系统设备基础由卖方提供土建条件图，买方负责设计、施工。</w:t>
            </w:r>
          </w:p>
          <w:p>
            <w:pPr>
              <w:spacing w:line="360" w:lineRule="auto"/>
              <w:ind w:firstLine="420" w:firstLineChars="200"/>
              <w:jc w:val="both"/>
              <w:rPr>
                <w:rFonts w:ascii="Times New Roman" w:hAnsi="Times New Roman" w:cs="Times New Roman"/>
                <w:b/>
                <w:bCs/>
                <w:color w:val="auto"/>
                <w:sz w:val="21"/>
                <w:szCs w:val="21"/>
                <w:lang w:eastAsia="zh-CN"/>
              </w:rPr>
            </w:pPr>
            <w:r>
              <w:rPr>
                <w:rFonts w:ascii="Times New Roman" w:hAnsi="Times New Roman" w:cs="Times New Roman"/>
                <w:color w:val="auto"/>
                <w:sz w:val="21"/>
                <w:szCs w:val="21"/>
                <w:lang w:eastAsia="zh-CN"/>
              </w:rPr>
              <w:t>（3）无论指定与否，设备正常运转所需的一切附件及备品备件，设备厂家必须配带。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before="174" w:line="360" w:lineRule="auto"/>
              <w:rPr>
                <w:rFonts w:ascii="Times New Roman" w:hAnsi="Times New Roman" w:cs="Times New Roman"/>
                <w:color w:val="auto"/>
                <w:sz w:val="21"/>
                <w:szCs w:val="21"/>
                <w:lang w:eastAsia="zh-CN"/>
              </w:rPr>
            </w:pPr>
            <w:r>
              <w:rPr>
                <w:rFonts w:ascii="Times New Roman" w:hAnsi="Times New Roman" w:cs="Times New Roman"/>
                <w:b/>
                <w:bCs/>
                <w:color w:val="auto"/>
                <w:sz w:val="21"/>
                <w:szCs w:val="21"/>
                <w:lang w:eastAsia="zh-CN"/>
              </w:rPr>
              <w:t>设备要求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line="360" w:lineRule="auto"/>
              <w:ind w:firstLine="422" w:firstLineChars="200"/>
              <w:jc w:val="both"/>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1、基本要求</w:t>
            </w:r>
          </w:p>
          <w:p>
            <w:pPr>
              <w:pStyle w:val="35"/>
              <w:ind w:firstLine="420"/>
              <w:rPr>
                <w:rFonts w:ascii="Times New Roman" w:hAnsi="Times New Roman" w:eastAsiaTheme="minorEastAsia"/>
                <w:color w:val="auto"/>
                <w:sz w:val="21"/>
                <w:szCs w:val="21"/>
              </w:rPr>
            </w:pPr>
            <w:r>
              <w:rPr>
                <w:rFonts w:ascii="Times New Roman" w:hAnsi="Times New Roman" w:eastAsiaTheme="minorEastAsia"/>
                <w:color w:val="auto"/>
                <w:sz w:val="21"/>
                <w:szCs w:val="21"/>
              </w:rPr>
              <w:t>对电气、仪表和控制系统的要求</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业主提供总电源供污泥脱水干化碳化系统，系统内所有设备及仪表均厂家负责配电及控制。</w:t>
            </w:r>
          </w:p>
          <w:p>
            <w:pPr>
              <w:spacing w:line="360" w:lineRule="auto"/>
              <w:ind w:firstLine="422" w:firstLineChars="200"/>
              <w:jc w:val="both"/>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（2）供水及燃料要求</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卖方提供设备所用燃料应为市政天然气。</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卖方所提供设备若需冷却水及其他用途用水，水源应优先使用污水处理厂内尾水。卖方应提供用水水质、水压要求，买方按卖方要求供水，卖方应保证供水满足设备使用安全及寿命要求。若卖方所需水源有其他要求时，在招标前应与卖方及时提出沟通。若招标前未提出，在中标后因水质问题导致的设备改型所增加费用，应由卖方自行承担。</w:t>
            </w:r>
          </w:p>
          <w:p>
            <w:pPr>
              <w:spacing w:line="360" w:lineRule="auto"/>
              <w:ind w:firstLine="422" w:firstLineChars="200"/>
              <w:jc w:val="both"/>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（3）设计配合要求</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卖方应按买方要求及时提供所供货范围内全部设备尺寸、基础及荷载要求等设计条件，配合买方完成与其供货范围相关的施工图设计。</w:t>
            </w:r>
          </w:p>
          <w:p>
            <w:pPr>
              <w:spacing w:line="360" w:lineRule="auto"/>
              <w:ind w:firstLine="422" w:firstLineChars="200"/>
              <w:jc w:val="both"/>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2、处理量及处理方式</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污泥处理量：绝干污泥量7tDS/d，设备能够实现80%～120%设计处理量安全连续运行。运行方式：连续运行，年运行不少于8000h。</w:t>
            </w:r>
          </w:p>
          <w:p>
            <w:pPr>
              <w:spacing w:line="360" w:lineRule="auto"/>
              <w:ind w:firstLine="422" w:firstLineChars="200"/>
              <w:jc w:val="both"/>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3、经济性能指标</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投标方应提供所供的脱水干化碳化设备的处理量、出炭量、吨污泥能耗、药耗等设计值，下表中的设计值供卖方参考，卖方应根据自身工艺包的情况填写下表，不应低于下述设计值，此表数值作为评标得分项。若投标方中标，所供设备在验收时应达到甚至优于自身提供的能耗指标，否则验收不合格。</w:t>
            </w:r>
          </w:p>
          <w:tbl>
            <w:tblPr>
              <w:tblStyle w:val="23"/>
              <w:tblW w:w="809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7"/>
              <w:gridCol w:w="2492"/>
              <w:gridCol w:w="2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rPr>
              <w:tc>
                <w:tcPr>
                  <w:tcW w:w="2747"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项目</w:t>
                  </w:r>
                </w:p>
              </w:tc>
              <w:tc>
                <w:tcPr>
                  <w:tcW w:w="2492"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设计值</w:t>
                  </w:r>
                </w:p>
              </w:tc>
              <w:tc>
                <w:tcPr>
                  <w:tcW w:w="2858"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rPr>
              <w:tc>
                <w:tcPr>
                  <w:tcW w:w="2747"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污泥处理量</w:t>
                  </w:r>
                </w:p>
              </w:tc>
              <w:tc>
                <w:tcPr>
                  <w:tcW w:w="2492"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≥7tds/天</w:t>
                  </w:r>
                </w:p>
              </w:tc>
              <w:tc>
                <w:tcPr>
                  <w:tcW w:w="2858"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rPr>
              <w:tc>
                <w:tcPr>
                  <w:tcW w:w="2747"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碳化机出炭量</w:t>
                  </w:r>
                </w:p>
              </w:tc>
              <w:tc>
                <w:tcPr>
                  <w:tcW w:w="2492"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≤4t/d</w:t>
                  </w:r>
                </w:p>
              </w:tc>
              <w:tc>
                <w:tcPr>
                  <w:tcW w:w="2858"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rPr>
              <w:tc>
                <w:tcPr>
                  <w:tcW w:w="2747"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出炭含水率</w:t>
                  </w:r>
                </w:p>
              </w:tc>
              <w:tc>
                <w:tcPr>
                  <w:tcW w:w="2492"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≤5%</w:t>
                  </w:r>
                </w:p>
              </w:tc>
              <w:tc>
                <w:tcPr>
                  <w:tcW w:w="2858"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rPr>
              <w:tc>
                <w:tcPr>
                  <w:tcW w:w="2747"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出炭温度</w:t>
                  </w:r>
                </w:p>
              </w:tc>
              <w:tc>
                <w:tcPr>
                  <w:tcW w:w="2492"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≤40℃</w:t>
                  </w:r>
                </w:p>
              </w:tc>
              <w:tc>
                <w:tcPr>
                  <w:tcW w:w="2858"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rPr>
              <w:tc>
                <w:tcPr>
                  <w:tcW w:w="2747"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吨电耗</w:t>
                  </w:r>
                </w:p>
              </w:tc>
              <w:tc>
                <w:tcPr>
                  <w:tcW w:w="2492"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≤200kwh/tds</w:t>
                  </w:r>
                </w:p>
              </w:tc>
              <w:tc>
                <w:tcPr>
                  <w:tcW w:w="2858"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rPr>
              <w:tc>
                <w:tcPr>
                  <w:tcW w:w="2747"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吨燃气耗量</w:t>
                  </w:r>
                </w:p>
              </w:tc>
              <w:tc>
                <w:tcPr>
                  <w:tcW w:w="2492"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≤30Nm³/tds</w:t>
                  </w:r>
                </w:p>
              </w:tc>
              <w:tc>
                <w:tcPr>
                  <w:tcW w:w="2858"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rPr>
              <w:tc>
                <w:tcPr>
                  <w:tcW w:w="2747"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吨水耗</w:t>
                  </w:r>
                </w:p>
              </w:tc>
              <w:tc>
                <w:tcPr>
                  <w:tcW w:w="2492"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≤3m³/tds</w:t>
                  </w:r>
                </w:p>
              </w:tc>
              <w:tc>
                <w:tcPr>
                  <w:tcW w:w="2858" w:type="dxa"/>
                  <w:shd w:val="clear" w:color="auto" w:fill="auto"/>
                  <w:vAlign w:val="center"/>
                </w:tcPr>
                <w:p>
                  <w:pPr>
                    <w:spacing w:line="360" w:lineRule="auto"/>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暂定，仅考虑自来水消耗量，不含污水厂尾水消耗量。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rPr>
              <w:tc>
                <w:tcPr>
                  <w:tcW w:w="2747"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药剂费</w:t>
                  </w:r>
                </w:p>
              </w:tc>
              <w:tc>
                <w:tcPr>
                  <w:tcW w:w="2492"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≤250元/tds</w:t>
                  </w:r>
                </w:p>
              </w:tc>
              <w:tc>
                <w:tcPr>
                  <w:tcW w:w="2858" w:type="dxa"/>
                  <w:shd w:val="clear" w:color="auto" w:fill="auto"/>
                  <w:vAlign w:val="center"/>
                </w:tcPr>
                <w:p>
                  <w:pPr>
                    <w:spacing w:line="360" w:lineRule="auto"/>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暂定，药剂费受制于市场情况有一定波动，该项次可酌情考核。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rPr>
              <w:tc>
                <w:tcPr>
                  <w:tcW w:w="2747"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二氧化硫排放浓度</w:t>
                  </w:r>
                </w:p>
              </w:tc>
              <w:tc>
                <w:tcPr>
                  <w:tcW w:w="2492"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w:t>
                  </w:r>
                  <w:r>
                    <w:rPr>
                      <w:rFonts w:ascii="Times New Roman" w:hAnsi="Times New Roman" w:cs="Times New Roman"/>
                      <w:snapToGrid w:val="0"/>
                      <w:color w:val="auto"/>
                      <w:sz w:val="21"/>
                      <w:szCs w:val="21"/>
                    </w:rPr>
                    <w:t>10mg/Nm³</w:t>
                  </w:r>
                </w:p>
              </w:tc>
              <w:tc>
                <w:tcPr>
                  <w:tcW w:w="2858"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lang w:eastAsia="zh-CN"/>
                    </w:rPr>
                    <w:t>暂定，</w:t>
                  </w:r>
                  <w:r>
                    <w:rPr>
                      <w:rFonts w:ascii="Times New Roman" w:hAnsi="Times New Roman" w:cs="Times New Roman"/>
                      <w:color w:val="auto"/>
                      <w:sz w:val="21"/>
                      <w:szCs w:val="21"/>
                    </w:rPr>
                    <w:t>无脱硫设施</w:t>
                  </w:r>
                </w:p>
              </w:tc>
            </w:tr>
          </w:tbl>
          <w:p>
            <w:pPr>
              <w:spacing w:line="360" w:lineRule="auto"/>
              <w:jc w:val="both"/>
              <w:rPr>
                <w:rFonts w:ascii="Times New Roman" w:hAnsi="Times New Roman" w:cs="Times New Roman"/>
                <w:b/>
                <w:bCs/>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pStyle w:val="6"/>
              <w:spacing w:line="360" w:lineRule="auto"/>
              <w:ind w:left="0"/>
              <w:rPr>
                <w:rFonts w:ascii="Times New Roman" w:hAnsi="Times New Roman" w:cs="Times New Roman" w:eastAsiaTheme="minorEastAsia"/>
                <w:b w:val="0"/>
                <w:bCs w:val="0"/>
                <w:color w:val="auto"/>
                <w:lang w:eastAsia="zh-CN"/>
              </w:rPr>
            </w:pPr>
            <w:r>
              <w:rPr>
                <w:color w:val="auto"/>
                <w:lang w:eastAsia="zh-CN"/>
              </w:rPr>
              <w:t>性能要求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1、性能保证</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卖方应保证其所提供的设备是全新的，未使用过的，采用最新设计和合适材料制造的，并满足技术规范中规定的所有质量、规格和性能要求。</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在完成系统指导安装、调试后，将在买方的监督下，按系统要求的程序进行试运转，由卖方的人员指导买方进行操作，并进行有必要的试验来证明其所供设备情况良好，且符合合同中的要求，在试验后，设备即可交付买方作正常运行用。</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2、性能保证值承诺及考核</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卖方须对本项目污泥脱水干化碳化系统内的设备承担性能保证责任，由买方、卖方双方进行性能值检测。</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（1）设备验收</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现场安装后应进行单机设备调试试验，以证明供货设备符合技术要求。</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空运转试验在额定转速下进行，运转时间应不少于4小时。</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负载运转试验在额定工况下进行，运转时间应不少于8小时。</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单机设备调试后，卖方须负责进行系统设备的联机调试，直至系统能够正常运行，并进行至少15天的试运行。</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在试运行期间，应对系统进行现场性能测试，依次记录单位时间污泥处理量、燃气耗量、电耗量、烟气排放数值、并对出炭质量进行检测。根据记录结果判定系统是否达到协议中所承诺的运行性能。</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现场调试及试运行应严格按照本技术条件执行，任何零件损坏、缺少应由卖方无条件提供及更换，不符合本技术条件要求的调试结果，应由卖方解决至买方满意为止。</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（2）性能考核内容及方法</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系统具备调试条件后，由买方通知卖方进场调试。系统调试合格后，由卖方向买方提出性能考核申请。买方负责按照设备设计性能指标、机电设备运行情况等方面进行系统性能考核，考核方法见下表。若在考核期达到相关指标且机电设备运行正常，买方签字验收。</w:t>
            </w:r>
          </w:p>
          <w:tbl>
            <w:tblPr>
              <w:tblStyle w:val="23"/>
              <w:tblW w:w="79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2436"/>
              <w:gridCol w:w="2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jc w:val="center"/>
              </w:trPr>
              <w:tc>
                <w:tcPr>
                  <w:tcW w:w="2686"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项目</w:t>
                  </w:r>
                </w:p>
              </w:tc>
              <w:tc>
                <w:tcPr>
                  <w:tcW w:w="2436"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设计值</w:t>
                  </w:r>
                </w:p>
              </w:tc>
              <w:tc>
                <w:tcPr>
                  <w:tcW w:w="2794"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jc w:val="center"/>
              </w:trPr>
              <w:tc>
                <w:tcPr>
                  <w:tcW w:w="2686"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污泥处理量</w:t>
                  </w:r>
                </w:p>
              </w:tc>
              <w:tc>
                <w:tcPr>
                  <w:tcW w:w="2436" w:type="dxa"/>
                  <w:shd w:val="clear" w:color="auto" w:fill="auto"/>
                  <w:vAlign w:val="center"/>
                </w:tcPr>
                <w:p>
                  <w:pPr>
                    <w:spacing w:line="360" w:lineRule="auto"/>
                    <w:jc w:val="both"/>
                    <w:rPr>
                      <w:rFonts w:ascii="Times New Roman" w:hAnsi="Times New Roman" w:cs="Times New Roman"/>
                      <w:color w:val="auto"/>
                      <w:sz w:val="21"/>
                      <w:szCs w:val="21"/>
                    </w:rPr>
                  </w:pPr>
                </w:p>
              </w:tc>
              <w:tc>
                <w:tcPr>
                  <w:tcW w:w="2794" w:type="dxa"/>
                  <w:shd w:val="clear" w:color="auto" w:fill="auto"/>
                  <w:vAlign w:val="center"/>
                </w:tcPr>
                <w:p>
                  <w:pPr>
                    <w:spacing w:line="360" w:lineRule="auto"/>
                    <w:jc w:val="both"/>
                    <w:rPr>
                      <w:rFonts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jc w:val="center"/>
              </w:trPr>
              <w:tc>
                <w:tcPr>
                  <w:tcW w:w="2686"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碳化机出炭量</w:t>
                  </w:r>
                </w:p>
              </w:tc>
              <w:tc>
                <w:tcPr>
                  <w:tcW w:w="2436" w:type="dxa"/>
                  <w:shd w:val="clear" w:color="auto" w:fill="auto"/>
                  <w:vAlign w:val="center"/>
                </w:tcPr>
                <w:p>
                  <w:pPr>
                    <w:spacing w:line="360" w:lineRule="auto"/>
                    <w:jc w:val="both"/>
                    <w:rPr>
                      <w:rFonts w:ascii="Times New Roman" w:hAnsi="Times New Roman" w:cs="Times New Roman"/>
                      <w:color w:val="auto"/>
                      <w:sz w:val="21"/>
                      <w:szCs w:val="21"/>
                    </w:rPr>
                  </w:pPr>
                </w:p>
              </w:tc>
              <w:tc>
                <w:tcPr>
                  <w:tcW w:w="2794" w:type="dxa"/>
                  <w:shd w:val="clear" w:color="auto" w:fill="auto"/>
                  <w:vAlign w:val="center"/>
                </w:tcPr>
                <w:p>
                  <w:pPr>
                    <w:spacing w:line="360" w:lineRule="auto"/>
                    <w:jc w:val="both"/>
                    <w:rPr>
                      <w:rFonts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jc w:val="center"/>
              </w:trPr>
              <w:tc>
                <w:tcPr>
                  <w:tcW w:w="2686"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出炭含水率</w:t>
                  </w:r>
                </w:p>
              </w:tc>
              <w:tc>
                <w:tcPr>
                  <w:tcW w:w="2436" w:type="dxa"/>
                  <w:shd w:val="clear" w:color="auto" w:fill="auto"/>
                  <w:vAlign w:val="center"/>
                </w:tcPr>
                <w:p>
                  <w:pPr>
                    <w:spacing w:line="360" w:lineRule="auto"/>
                    <w:jc w:val="both"/>
                    <w:rPr>
                      <w:rFonts w:ascii="Times New Roman" w:hAnsi="Times New Roman" w:cs="Times New Roman"/>
                      <w:color w:val="auto"/>
                      <w:sz w:val="21"/>
                      <w:szCs w:val="21"/>
                    </w:rPr>
                  </w:pPr>
                </w:p>
              </w:tc>
              <w:tc>
                <w:tcPr>
                  <w:tcW w:w="2794" w:type="dxa"/>
                  <w:shd w:val="clear" w:color="auto" w:fill="auto"/>
                  <w:vAlign w:val="center"/>
                </w:tcPr>
                <w:p>
                  <w:pPr>
                    <w:spacing w:line="360" w:lineRule="auto"/>
                    <w:jc w:val="both"/>
                    <w:rPr>
                      <w:rFonts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jc w:val="center"/>
              </w:trPr>
              <w:tc>
                <w:tcPr>
                  <w:tcW w:w="2686"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出炭温度</w:t>
                  </w:r>
                </w:p>
              </w:tc>
              <w:tc>
                <w:tcPr>
                  <w:tcW w:w="2436" w:type="dxa"/>
                  <w:shd w:val="clear" w:color="auto" w:fill="auto"/>
                  <w:vAlign w:val="center"/>
                </w:tcPr>
                <w:p>
                  <w:pPr>
                    <w:spacing w:line="360" w:lineRule="auto"/>
                    <w:jc w:val="both"/>
                    <w:rPr>
                      <w:rFonts w:ascii="Times New Roman" w:hAnsi="Times New Roman" w:cs="Times New Roman"/>
                      <w:color w:val="auto"/>
                      <w:sz w:val="21"/>
                      <w:szCs w:val="21"/>
                    </w:rPr>
                  </w:pPr>
                </w:p>
              </w:tc>
              <w:tc>
                <w:tcPr>
                  <w:tcW w:w="2794" w:type="dxa"/>
                  <w:shd w:val="clear" w:color="auto" w:fill="auto"/>
                  <w:vAlign w:val="center"/>
                </w:tcPr>
                <w:p>
                  <w:pPr>
                    <w:spacing w:line="360" w:lineRule="auto"/>
                    <w:jc w:val="both"/>
                    <w:rPr>
                      <w:rFonts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jc w:val="center"/>
              </w:trPr>
              <w:tc>
                <w:tcPr>
                  <w:tcW w:w="2686"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吨电耗</w:t>
                  </w:r>
                </w:p>
              </w:tc>
              <w:tc>
                <w:tcPr>
                  <w:tcW w:w="2436" w:type="dxa"/>
                  <w:shd w:val="clear" w:color="auto" w:fill="auto"/>
                  <w:vAlign w:val="center"/>
                </w:tcPr>
                <w:p>
                  <w:pPr>
                    <w:spacing w:line="360" w:lineRule="auto"/>
                    <w:jc w:val="both"/>
                    <w:rPr>
                      <w:rFonts w:ascii="Times New Roman" w:hAnsi="Times New Roman" w:cs="Times New Roman"/>
                      <w:color w:val="auto"/>
                      <w:sz w:val="21"/>
                      <w:szCs w:val="21"/>
                    </w:rPr>
                  </w:pPr>
                </w:p>
              </w:tc>
              <w:tc>
                <w:tcPr>
                  <w:tcW w:w="2794" w:type="dxa"/>
                  <w:shd w:val="clear" w:color="auto" w:fill="auto"/>
                  <w:vAlign w:val="center"/>
                </w:tcPr>
                <w:p>
                  <w:pPr>
                    <w:spacing w:line="360" w:lineRule="auto"/>
                    <w:jc w:val="both"/>
                    <w:rPr>
                      <w:rFonts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jc w:val="center"/>
              </w:trPr>
              <w:tc>
                <w:tcPr>
                  <w:tcW w:w="2686"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吨燃气耗量</w:t>
                  </w:r>
                </w:p>
              </w:tc>
              <w:tc>
                <w:tcPr>
                  <w:tcW w:w="2436" w:type="dxa"/>
                  <w:shd w:val="clear" w:color="auto" w:fill="auto"/>
                  <w:vAlign w:val="center"/>
                </w:tcPr>
                <w:p>
                  <w:pPr>
                    <w:spacing w:line="360" w:lineRule="auto"/>
                    <w:jc w:val="both"/>
                    <w:rPr>
                      <w:rFonts w:ascii="Times New Roman" w:hAnsi="Times New Roman" w:cs="Times New Roman"/>
                      <w:color w:val="auto"/>
                      <w:sz w:val="21"/>
                      <w:szCs w:val="21"/>
                    </w:rPr>
                  </w:pPr>
                </w:p>
              </w:tc>
              <w:tc>
                <w:tcPr>
                  <w:tcW w:w="2794" w:type="dxa"/>
                  <w:shd w:val="clear" w:color="auto" w:fill="auto"/>
                  <w:vAlign w:val="center"/>
                </w:tcPr>
                <w:p>
                  <w:pPr>
                    <w:spacing w:line="360" w:lineRule="auto"/>
                    <w:jc w:val="both"/>
                    <w:rPr>
                      <w:rFonts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jc w:val="center"/>
              </w:trPr>
              <w:tc>
                <w:tcPr>
                  <w:tcW w:w="2686"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吨水耗</w:t>
                  </w:r>
                </w:p>
              </w:tc>
              <w:tc>
                <w:tcPr>
                  <w:tcW w:w="2436" w:type="dxa"/>
                  <w:shd w:val="clear" w:color="auto" w:fill="auto"/>
                  <w:vAlign w:val="center"/>
                </w:tcPr>
                <w:p>
                  <w:pPr>
                    <w:spacing w:line="360" w:lineRule="auto"/>
                    <w:jc w:val="both"/>
                    <w:rPr>
                      <w:rFonts w:ascii="Times New Roman" w:hAnsi="Times New Roman" w:cs="Times New Roman"/>
                      <w:color w:val="auto"/>
                      <w:sz w:val="21"/>
                      <w:szCs w:val="21"/>
                    </w:rPr>
                  </w:pPr>
                </w:p>
              </w:tc>
              <w:tc>
                <w:tcPr>
                  <w:tcW w:w="2794" w:type="dxa"/>
                  <w:shd w:val="clear" w:color="auto" w:fill="auto"/>
                  <w:vAlign w:val="center"/>
                </w:tcPr>
                <w:p>
                  <w:pPr>
                    <w:spacing w:line="360" w:lineRule="auto"/>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仅考虑自来水消耗量，不含污水厂尾水消耗量。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jc w:val="center"/>
              </w:trPr>
              <w:tc>
                <w:tcPr>
                  <w:tcW w:w="2686" w:type="dxa"/>
                  <w:shd w:val="clear" w:color="auto" w:fill="auto"/>
                  <w:vAlign w:val="center"/>
                </w:tcPr>
                <w:p>
                  <w:pPr>
                    <w:spacing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药剂费</w:t>
                  </w:r>
                </w:p>
              </w:tc>
              <w:tc>
                <w:tcPr>
                  <w:tcW w:w="2436" w:type="dxa"/>
                  <w:shd w:val="clear" w:color="auto" w:fill="auto"/>
                  <w:vAlign w:val="center"/>
                </w:tcPr>
                <w:p>
                  <w:pPr>
                    <w:spacing w:line="360" w:lineRule="auto"/>
                    <w:jc w:val="both"/>
                    <w:rPr>
                      <w:rFonts w:ascii="Times New Roman" w:hAnsi="Times New Roman" w:cs="Times New Roman"/>
                      <w:color w:val="auto"/>
                      <w:sz w:val="21"/>
                      <w:szCs w:val="21"/>
                    </w:rPr>
                  </w:pPr>
                </w:p>
              </w:tc>
              <w:tc>
                <w:tcPr>
                  <w:tcW w:w="2794" w:type="dxa"/>
                  <w:shd w:val="clear" w:color="auto" w:fill="auto"/>
                  <w:vAlign w:val="center"/>
                </w:tcPr>
                <w:p>
                  <w:pPr>
                    <w:spacing w:line="360" w:lineRule="auto"/>
                    <w:jc w:val="both"/>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药剂费受制于市场情况有一定波动，该项次可酌情考核。</w:t>
                  </w:r>
                </w:p>
              </w:tc>
            </w:tr>
          </w:tbl>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在卖方的指导下，按其要求的程序进行试运转，由买方进行操作，并通过污泥处理量、污泥含水率、出炭质量等指标进行性能考核。</w:t>
            </w:r>
          </w:p>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性能考核合格后，买方向卖方出具书面性能考核合格证明。</w:t>
            </w:r>
          </w:p>
          <w:p>
            <w:pPr>
              <w:adjustRightInd w:val="0"/>
              <w:snapToGrid w:val="0"/>
              <w:spacing w:line="360" w:lineRule="auto"/>
              <w:ind w:firstLine="420" w:firstLineChars="200"/>
              <w:jc w:val="both"/>
              <w:rPr>
                <w:rFonts w:ascii="Times New Roman" w:hAnsi="Times New Roman" w:cs="Times New Roman"/>
                <w:b/>
                <w:bCs/>
                <w:color w:val="auto"/>
                <w:sz w:val="21"/>
                <w:szCs w:val="21"/>
                <w:lang w:eastAsia="zh-CN"/>
              </w:rPr>
            </w:pPr>
            <w:r>
              <w:rPr>
                <w:rFonts w:ascii="Times New Roman" w:hAnsi="Times New Roman" w:cs="Times New Roman"/>
                <w:snapToGrid w:val="0"/>
                <w:color w:val="auto"/>
                <w:sz w:val="21"/>
                <w:szCs w:val="21"/>
                <w:lang w:eastAsia="zh-CN"/>
              </w:rPr>
              <w:t>如性能考核不合格，卖方必须免费对设备进行维修、改造或升级，直至达到性能考核要求为止。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pStyle w:val="6"/>
              <w:spacing w:line="360" w:lineRule="auto"/>
              <w:ind w:left="0"/>
              <w:rPr>
                <w:rFonts w:ascii="Times New Roman" w:hAnsi="Times New Roman" w:cs="Times New Roman" w:eastAsiaTheme="minorEastAsia"/>
                <w:snapToGrid w:val="0"/>
                <w:color w:val="auto"/>
                <w:lang w:eastAsia="zh-CN"/>
              </w:rPr>
            </w:pPr>
            <w:r>
              <w:rPr>
                <w:color w:val="auto"/>
                <w:lang w:eastAsia="zh-CN"/>
              </w:rPr>
              <w:t>系统设备清单（厂家提供）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adjustRightInd w:val="0"/>
              <w:snapToGrid w:val="0"/>
              <w:spacing w:line="360" w:lineRule="auto"/>
              <w:ind w:firstLine="420" w:firstLineChars="200"/>
              <w:jc w:val="both"/>
              <w:rPr>
                <w:rFonts w:ascii="Times New Roman" w:hAnsi="Times New Roman" w:cs="Times New Roman"/>
                <w:snapToGrid w:val="0"/>
                <w:color w:val="auto"/>
                <w:sz w:val="21"/>
                <w:szCs w:val="21"/>
                <w:lang w:eastAsia="zh-CN"/>
              </w:rPr>
            </w:pPr>
            <w:r>
              <w:rPr>
                <w:rFonts w:ascii="Times New Roman" w:hAnsi="Times New Roman" w:cs="Times New Roman"/>
                <w:snapToGrid w:val="0"/>
                <w:color w:val="auto"/>
                <w:sz w:val="21"/>
                <w:szCs w:val="21"/>
                <w:lang w:eastAsia="zh-CN"/>
              </w:rPr>
              <w:t>设备清单应按系统分类提供，清单内容包含设备名称、材质、主要参数、设备数量。主要设备应提供品牌名称。</w:t>
            </w:r>
          </w:p>
          <w:tbl>
            <w:tblPr>
              <w:tblStyle w:val="24"/>
              <w:tblW w:w="74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830"/>
              <w:gridCol w:w="1431"/>
              <w:gridCol w:w="1201"/>
              <w:gridCol w:w="1180"/>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 w:hRule="atLeast"/>
                <w:jc w:val="center"/>
              </w:trPr>
              <w:tc>
                <w:tcPr>
                  <w:tcW w:w="1045" w:type="dxa"/>
                </w:tcPr>
                <w:p>
                  <w:pPr>
                    <w:adjustRightInd w:val="0"/>
                    <w:snapToGrid w:val="0"/>
                    <w:spacing w:line="360" w:lineRule="auto"/>
                    <w:jc w:val="both"/>
                    <w:rPr>
                      <w:rFonts w:ascii="Times New Roman" w:hAnsi="Times New Roman" w:cs="Times New Roman"/>
                      <w:snapToGrid w:val="0"/>
                      <w:color w:val="auto"/>
                      <w:sz w:val="21"/>
                      <w:szCs w:val="21"/>
                    </w:rPr>
                  </w:pPr>
                  <w:r>
                    <w:rPr>
                      <w:rFonts w:ascii="Times New Roman" w:hAnsi="Times New Roman" w:cs="Times New Roman"/>
                      <w:snapToGrid w:val="0"/>
                      <w:color w:val="auto"/>
                      <w:sz w:val="21"/>
                      <w:szCs w:val="21"/>
                    </w:rPr>
                    <w:t>系统</w:t>
                  </w:r>
                </w:p>
              </w:tc>
              <w:tc>
                <w:tcPr>
                  <w:tcW w:w="1830" w:type="dxa"/>
                  <w:vAlign w:val="center"/>
                </w:tcPr>
                <w:p>
                  <w:pPr>
                    <w:adjustRightInd w:val="0"/>
                    <w:snapToGrid w:val="0"/>
                    <w:spacing w:line="360" w:lineRule="auto"/>
                    <w:jc w:val="both"/>
                    <w:rPr>
                      <w:rFonts w:ascii="Times New Roman" w:hAnsi="Times New Roman" w:cs="Times New Roman"/>
                      <w:snapToGrid w:val="0"/>
                      <w:color w:val="auto"/>
                      <w:sz w:val="21"/>
                      <w:szCs w:val="21"/>
                    </w:rPr>
                  </w:pPr>
                  <w:r>
                    <w:rPr>
                      <w:rFonts w:ascii="Times New Roman" w:hAnsi="Times New Roman" w:cs="Times New Roman"/>
                      <w:snapToGrid w:val="0"/>
                      <w:color w:val="auto"/>
                      <w:sz w:val="21"/>
                      <w:szCs w:val="21"/>
                    </w:rPr>
                    <w:t>设备名称</w:t>
                  </w:r>
                </w:p>
              </w:tc>
              <w:tc>
                <w:tcPr>
                  <w:tcW w:w="1431" w:type="dxa"/>
                  <w:vAlign w:val="center"/>
                </w:tcPr>
                <w:p>
                  <w:pPr>
                    <w:adjustRightInd w:val="0"/>
                    <w:snapToGrid w:val="0"/>
                    <w:spacing w:line="360" w:lineRule="auto"/>
                    <w:jc w:val="both"/>
                    <w:rPr>
                      <w:rFonts w:ascii="Times New Roman" w:hAnsi="Times New Roman" w:cs="Times New Roman"/>
                      <w:snapToGrid w:val="0"/>
                      <w:color w:val="auto"/>
                      <w:sz w:val="21"/>
                      <w:szCs w:val="21"/>
                    </w:rPr>
                  </w:pPr>
                  <w:r>
                    <w:rPr>
                      <w:rFonts w:ascii="Times New Roman" w:hAnsi="Times New Roman" w:cs="Times New Roman"/>
                      <w:snapToGrid w:val="0"/>
                      <w:color w:val="auto"/>
                      <w:sz w:val="21"/>
                      <w:szCs w:val="21"/>
                    </w:rPr>
                    <w:t>主要参数</w:t>
                  </w:r>
                </w:p>
              </w:tc>
              <w:tc>
                <w:tcPr>
                  <w:tcW w:w="1201" w:type="dxa"/>
                  <w:vAlign w:val="center"/>
                </w:tcPr>
                <w:p>
                  <w:pPr>
                    <w:adjustRightInd w:val="0"/>
                    <w:snapToGrid w:val="0"/>
                    <w:spacing w:line="360" w:lineRule="auto"/>
                    <w:jc w:val="both"/>
                    <w:rPr>
                      <w:rFonts w:ascii="Times New Roman" w:hAnsi="Times New Roman" w:cs="Times New Roman"/>
                      <w:snapToGrid w:val="0"/>
                      <w:color w:val="auto"/>
                      <w:sz w:val="21"/>
                      <w:szCs w:val="21"/>
                    </w:rPr>
                  </w:pPr>
                  <w:r>
                    <w:rPr>
                      <w:rFonts w:ascii="Times New Roman" w:hAnsi="Times New Roman" w:cs="Times New Roman"/>
                      <w:snapToGrid w:val="0"/>
                      <w:color w:val="auto"/>
                      <w:sz w:val="21"/>
                      <w:szCs w:val="21"/>
                    </w:rPr>
                    <w:t>数量</w:t>
                  </w:r>
                </w:p>
              </w:tc>
              <w:tc>
                <w:tcPr>
                  <w:tcW w:w="1180" w:type="dxa"/>
                  <w:vAlign w:val="center"/>
                </w:tcPr>
                <w:p>
                  <w:pPr>
                    <w:adjustRightInd w:val="0"/>
                    <w:snapToGrid w:val="0"/>
                    <w:spacing w:line="360" w:lineRule="auto"/>
                    <w:jc w:val="both"/>
                    <w:rPr>
                      <w:rFonts w:ascii="Times New Roman" w:hAnsi="Times New Roman" w:cs="Times New Roman"/>
                      <w:snapToGrid w:val="0"/>
                      <w:color w:val="auto"/>
                      <w:sz w:val="21"/>
                      <w:szCs w:val="21"/>
                    </w:rPr>
                  </w:pPr>
                  <w:r>
                    <w:rPr>
                      <w:rFonts w:ascii="Times New Roman" w:hAnsi="Times New Roman" w:cs="Times New Roman"/>
                      <w:snapToGrid w:val="0"/>
                      <w:color w:val="auto"/>
                      <w:sz w:val="21"/>
                      <w:szCs w:val="21"/>
                    </w:rPr>
                    <w:t>品牌</w:t>
                  </w:r>
                </w:p>
              </w:tc>
              <w:tc>
                <w:tcPr>
                  <w:tcW w:w="737" w:type="dxa"/>
                  <w:vAlign w:val="center"/>
                </w:tcPr>
                <w:p>
                  <w:pPr>
                    <w:adjustRightInd w:val="0"/>
                    <w:snapToGrid w:val="0"/>
                    <w:spacing w:line="360" w:lineRule="auto"/>
                    <w:jc w:val="both"/>
                    <w:rPr>
                      <w:rFonts w:ascii="Times New Roman" w:hAnsi="Times New Roman" w:cs="Times New Roman"/>
                      <w:snapToGrid w:val="0"/>
                      <w:color w:val="auto"/>
                      <w:sz w:val="21"/>
                      <w:szCs w:val="21"/>
                    </w:rPr>
                  </w:pPr>
                  <w:r>
                    <w:rPr>
                      <w:rFonts w:ascii="Times New Roman" w:hAnsi="Times New Roman" w:cs="Times New Roman"/>
                      <w:snapToGrid w:val="0"/>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 w:hRule="atLeast"/>
                <w:jc w:val="center"/>
              </w:trPr>
              <w:tc>
                <w:tcPr>
                  <w:tcW w:w="1045" w:type="dxa"/>
                  <w:vMerge w:val="restart"/>
                  <w:vAlign w:val="center"/>
                </w:tcPr>
                <w:p>
                  <w:pPr>
                    <w:adjustRightInd w:val="0"/>
                    <w:snapToGrid w:val="0"/>
                    <w:spacing w:line="360" w:lineRule="auto"/>
                    <w:jc w:val="both"/>
                    <w:rPr>
                      <w:rFonts w:ascii="Times New Roman" w:hAnsi="Times New Roman" w:cs="Times New Roman"/>
                      <w:snapToGrid w:val="0"/>
                      <w:color w:val="auto"/>
                      <w:sz w:val="21"/>
                      <w:szCs w:val="21"/>
                    </w:rPr>
                  </w:pPr>
                  <w:r>
                    <w:rPr>
                      <w:rFonts w:ascii="Times New Roman" w:hAnsi="Times New Roman" w:cs="Times New Roman"/>
                      <w:snapToGrid w:val="0"/>
                      <w:color w:val="auto"/>
                      <w:sz w:val="21"/>
                      <w:szCs w:val="21"/>
                    </w:rPr>
                    <w:t>污泥干化碳化系统</w:t>
                  </w:r>
                </w:p>
              </w:tc>
              <w:tc>
                <w:tcPr>
                  <w:tcW w:w="183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43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20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18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737"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 w:hRule="atLeast"/>
                <w:jc w:val="center"/>
              </w:trPr>
              <w:tc>
                <w:tcPr>
                  <w:tcW w:w="1045" w:type="dxa"/>
                  <w:vMerge w:val="continue"/>
                </w:tcPr>
                <w:p>
                  <w:pPr>
                    <w:adjustRightInd w:val="0"/>
                    <w:snapToGrid w:val="0"/>
                    <w:spacing w:line="360" w:lineRule="auto"/>
                    <w:jc w:val="both"/>
                    <w:rPr>
                      <w:rFonts w:ascii="Times New Roman" w:hAnsi="Times New Roman" w:cs="Times New Roman"/>
                      <w:snapToGrid w:val="0"/>
                      <w:color w:val="auto"/>
                      <w:sz w:val="21"/>
                      <w:szCs w:val="21"/>
                    </w:rPr>
                  </w:pPr>
                </w:p>
              </w:tc>
              <w:tc>
                <w:tcPr>
                  <w:tcW w:w="183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43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20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18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737"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 w:hRule="atLeast"/>
                <w:jc w:val="center"/>
              </w:trPr>
              <w:tc>
                <w:tcPr>
                  <w:tcW w:w="1045" w:type="dxa"/>
                  <w:vMerge w:val="continue"/>
                </w:tcPr>
                <w:p>
                  <w:pPr>
                    <w:adjustRightInd w:val="0"/>
                    <w:snapToGrid w:val="0"/>
                    <w:spacing w:line="360" w:lineRule="auto"/>
                    <w:jc w:val="both"/>
                    <w:rPr>
                      <w:rFonts w:ascii="Times New Roman" w:hAnsi="Times New Roman" w:cs="Times New Roman"/>
                      <w:snapToGrid w:val="0"/>
                      <w:color w:val="auto"/>
                      <w:sz w:val="21"/>
                      <w:szCs w:val="21"/>
                    </w:rPr>
                  </w:pPr>
                </w:p>
              </w:tc>
              <w:tc>
                <w:tcPr>
                  <w:tcW w:w="183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43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20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18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737"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 w:hRule="atLeast"/>
                <w:jc w:val="center"/>
              </w:trPr>
              <w:tc>
                <w:tcPr>
                  <w:tcW w:w="1045" w:type="dxa"/>
                  <w:vMerge w:val="restart"/>
                  <w:vAlign w:val="center"/>
                </w:tcPr>
                <w:p>
                  <w:pPr>
                    <w:adjustRightInd w:val="0"/>
                    <w:snapToGrid w:val="0"/>
                    <w:spacing w:line="360" w:lineRule="auto"/>
                    <w:jc w:val="both"/>
                    <w:rPr>
                      <w:rFonts w:ascii="Times New Roman" w:hAnsi="Times New Roman" w:cs="Times New Roman"/>
                      <w:snapToGrid w:val="0"/>
                      <w:color w:val="auto"/>
                      <w:sz w:val="21"/>
                      <w:szCs w:val="21"/>
                    </w:rPr>
                  </w:pPr>
                  <w:r>
                    <w:rPr>
                      <w:rFonts w:ascii="Times New Roman" w:hAnsi="Times New Roman" w:cs="Times New Roman"/>
                      <w:snapToGrid w:val="0"/>
                      <w:color w:val="auto"/>
                      <w:sz w:val="21"/>
                      <w:szCs w:val="21"/>
                    </w:rPr>
                    <w:t>输送存储系统</w:t>
                  </w:r>
                </w:p>
              </w:tc>
              <w:tc>
                <w:tcPr>
                  <w:tcW w:w="183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43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20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18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737"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 w:hRule="atLeast"/>
                <w:jc w:val="center"/>
              </w:trPr>
              <w:tc>
                <w:tcPr>
                  <w:tcW w:w="1045" w:type="dxa"/>
                  <w:vMerge w:val="continue"/>
                </w:tcPr>
                <w:p>
                  <w:pPr>
                    <w:adjustRightInd w:val="0"/>
                    <w:snapToGrid w:val="0"/>
                    <w:spacing w:line="360" w:lineRule="auto"/>
                    <w:jc w:val="both"/>
                    <w:rPr>
                      <w:rFonts w:ascii="Times New Roman" w:hAnsi="Times New Roman" w:cs="Times New Roman"/>
                      <w:snapToGrid w:val="0"/>
                      <w:color w:val="auto"/>
                      <w:sz w:val="21"/>
                      <w:szCs w:val="21"/>
                    </w:rPr>
                  </w:pPr>
                </w:p>
              </w:tc>
              <w:tc>
                <w:tcPr>
                  <w:tcW w:w="183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43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20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18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737"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 w:hRule="atLeast"/>
                <w:jc w:val="center"/>
              </w:trPr>
              <w:tc>
                <w:tcPr>
                  <w:tcW w:w="1045" w:type="dxa"/>
                  <w:vMerge w:val="continue"/>
                </w:tcPr>
                <w:p>
                  <w:pPr>
                    <w:adjustRightInd w:val="0"/>
                    <w:snapToGrid w:val="0"/>
                    <w:spacing w:line="360" w:lineRule="auto"/>
                    <w:jc w:val="both"/>
                    <w:rPr>
                      <w:rFonts w:ascii="Times New Roman" w:hAnsi="Times New Roman" w:cs="Times New Roman"/>
                      <w:snapToGrid w:val="0"/>
                      <w:color w:val="auto"/>
                      <w:sz w:val="21"/>
                      <w:szCs w:val="21"/>
                    </w:rPr>
                  </w:pPr>
                </w:p>
              </w:tc>
              <w:tc>
                <w:tcPr>
                  <w:tcW w:w="183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43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20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18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737"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 w:hRule="atLeast"/>
                <w:jc w:val="center"/>
              </w:trPr>
              <w:tc>
                <w:tcPr>
                  <w:tcW w:w="1045" w:type="dxa"/>
                  <w:vMerge w:val="restart"/>
                  <w:vAlign w:val="center"/>
                </w:tcPr>
                <w:p>
                  <w:pPr>
                    <w:adjustRightInd w:val="0"/>
                    <w:snapToGrid w:val="0"/>
                    <w:spacing w:line="360" w:lineRule="auto"/>
                    <w:jc w:val="both"/>
                    <w:rPr>
                      <w:rFonts w:ascii="Times New Roman" w:hAnsi="Times New Roman" w:cs="Times New Roman"/>
                      <w:snapToGrid w:val="0"/>
                      <w:color w:val="auto"/>
                      <w:sz w:val="21"/>
                      <w:szCs w:val="21"/>
                    </w:rPr>
                  </w:pPr>
                  <w:r>
                    <w:rPr>
                      <w:rFonts w:ascii="Times New Roman" w:hAnsi="Times New Roman" w:cs="Times New Roman"/>
                      <w:snapToGrid w:val="0"/>
                      <w:color w:val="auto"/>
                      <w:sz w:val="21"/>
                      <w:szCs w:val="21"/>
                    </w:rPr>
                    <w:t>尾气处理系统</w:t>
                  </w:r>
                </w:p>
              </w:tc>
              <w:tc>
                <w:tcPr>
                  <w:tcW w:w="183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43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20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18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737"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 w:hRule="atLeast"/>
                <w:jc w:val="center"/>
              </w:trPr>
              <w:tc>
                <w:tcPr>
                  <w:tcW w:w="1045" w:type="dxa"/>
                  <w:vMerge w:val="continue"/>
                </w:tcPr>
                <w:p>
                  <w:pPr>
                    <w:adjustRightInd w:val="0"/>
                    <w:snapToGrid w:val="0"/>
                    <w:spacing w:line="360" w:lineRule="auto"/>
                    <w:jc w:val="both"/>
                    <w:rPr>
                      <w:rFonts w:ascii="Times New Roman" w:hAnsi="Times New Roman" w:cs="Times New Roman"/>
                      <w:snapToGrid w:val="0"/>
                      <w:color w:val="auto"/>
                      <w:sz w:val="21"/>
                      <w:szCs w:val="21"/>
                    </w:rPr>
                  </w:pPr>
                </w:p>
              </w:tc>
              <w:tc>
                <w:tcPr>
                  <w:tcW w:w="183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43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20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18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737"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 w:hRule="atLeast"/>
                <w:jc w:val="center"/>
              </w:trPr>
              <w:tc>
                <w:tcPr>
                  <w:tcW w:w="1045" w:type="dxa"/>
                  <w:vMerge w:val="continue"/>
                </w:tcPr>
                <w:p>
                  <w:pPr>
                    <w:adjustRightInd w:val="0"/>
                    <w:snapToGrid w:val="0"/>
                    <w:spacing w:line="360" w:lineRule="auto"/>
                    <w:jc w:val="both"/>
                    <w:rPr>
                      <w:rFonts w:ascii="Times New Roman" w:hAnsi="Times New Roman" w:cs="Times New Roman"/>
                      <w:snapToGrid w:val="0"/>
                      <w:color w:val="auto"/>
                      <w:sz w:val="21"/>
                      <w:szCs w:val="21"/>
                    </w:rPr>
                  </w:pPr>
                </w:p>
              </w:tc>
              <w:tc>
                <w:tcPr>
                  <w:tcW w:w="183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43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20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18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737"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 w:hRule="atLeast"/>
                <w:jc w:val="center"/>
              </w:trPr>
              <w:tc>
                <w:tcPr>
                  <w:tcW w:w="1045" w:type="dxa"/>
                  <w:vMerge w:val="restart"/>
                </w:tcPr>
                <w:p>
                  <w:pPr>
                    <w:adjustRightInd w:val="0"/>
                    <w:snapToGrid w:val="0"/>
                    <w:spacing w:line="360" w:lineRule="auto"/>
                    <w:jc w:val="both"/>
                    <w:rPr>
                      <w:rFonts w:ascii="Times New Roman" w:hAnsi="Times New Roman" w:cs="Times New Roman"/>
                      <w:snapToGrid w:val="0"/>
                      <w:color w:val="auto"/>
                      <w:sz w:val="21"/>
                      <w:szCs w:val="21"/>
                    </w:rPr>
                  </w:pPr>
                  <w:r>
                    <w:rPr>
                      <w:rFonts w:ascii="Times New Roman" w:hAnsi="Times New Roman" w:cs="Times New Roman"/>
                      <w:snapToGrid w:val="0"/>
                      <w:color w:val="auto"/>
                      <w:sz w:val="21"/>
                      <w:szCs w:val="21"/>
                    </w:rPr>
                    <w:t>电气自控系统和电缆</w:t>
                  </w:r>
                </w:p>
              </w:tc>
              <w:tc>
                <w:tcPr>
                  <w:tcW w:w="183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43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20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18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737"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 w:hRule="atLeast"/>
                <w:jc w:val="center"/>
              </w:trPr>
              <w:tc>
                <w:tcPr>
                  <w:tcW w:w="1045" w:type="dxa"/>
                  <w:vMerge w:val="continue"/>
                </w:tcPr>
                <w:p>
                  <w:pPr>
                    <w:adjustRightInd w:val="0"/>
                    <w:snapToGrid w:val="0"/>
                    <w:spacing w:line="360" w:lineRule="auto"/>
                    <w:jc w:val="both"/>
                    <w:rPr>
                      <w:rFonts w:ascii="Times New Roman" w:hAnsi="Times New Roman" w:cs="Times New Roman"/>
                      <w:snapToGrid w:val="0"/>
                      <w:color w:val="auto"/>
                      <w:sz w:val="21"/>
                      <w:szCs w:val="21"/>
                    </w:rPr>
                  </w:pPr>
                </w:p>
              </w:tc>
              <w:tc>
                <w:tcPr>
                  <w:tcW w:w="183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43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201"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1180"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c>
                <w:tcPr>
                  <w:tcW w:w="737" w:type="dxa"/>
                  <w:vAlign w:val="center"/>
                </w:tcPr>
                <w:p>
                  <w:pPr>
                    <w:adjustRightInd w:val="0"/>
                    <w:snapToGrid w:val="0"/>
                    <w:spacing w:line="360" w:lineRule="auto"/>
                    <w:jc w:val="both"/>
                    <w:rPr>
                      <w:rFonts w:ascii="Times New Roman" w:hAnsi="Times New Roman" w:cs="Times New Roman"/>
                      <w:snapToGrid w:val="0"/>
                      <w:color w:val="auto"/>
                      <w:sz w:val="21"/>
                      <w:szCs w:val="21"/>
                    </w:rPr>
                  </w:pPr>
                </w:p>
              </w:tc>
            </w:tr>
          </w:tbl>
          <w:p>
            <w:pPr>
              <w:adjustRightInd w:val="0"/>
              <w:snapToGrid w:val="0"/>
              <w:spacing w:line="360" w:lineRule="auto"/>
              <w:ind w:firstLine="420" w:firstLineChars="200"/>
              <w:jc w:val="both"/>
              <w:rPr>
                <w:rFonts w:ascii="Times New Roman" w:hAnsi="Times New Roman"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pStyle w:val="6"/>
              <w:spacing w:line="360" w:lineRule="auto"/>
              <w:ind w:left="0"/>
              <w:rPr>
                <w:rFonts w:ascii="Times New Roman" w:hAnsi="Times New Roman" w:cs="Times New Roman"/>
                <w:snapToGrid w:val="0"/>
                <w:color w:val="auto"/>
                <w:lang w:eastAsia="zh-CN"/>
              </w:rPr>
            </w:pPr>
            <w:r>
              <w:rPr>
                <w:color w:val="auto"/>
                <w:lang w:eastAsia="zh-CN"/>
              </w:rPr>
              <w:t>包装及标志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pStyle w:val="11"/>
              <w:spacing w:line="360" w:lineRule="auto"/>
              <w:ind w:left="0"/>
              <w:rPr>
                <w:color w:val="auto"/>
                <w:spacing w:val="-4"/>
                <w:lang w:eastAsia="zh-CN"/>
              </w:rPr>
            </w:pPr>
            <w:r>
              <w:rPr>
                <w:color w:val="auto"/>
                <w:spacing w:val="-4"/>
                <w:lang w:eastAsia="zh-CN"/>
              </w:rPr>
              <w:t>（1）供货设备在工厂验收合格后，应按各单元整体包装成箱，并保证设备在运输、装卸和储存过程中不被腐蚀，不发生变形，防潮、防水、耐剧烈搬运，避免意外损坏。</w:t>
            </w:r>
          </w:p>
          <w:p>
            <w:pPr>
              <w:pStyle w:val="11"/>
              <w:spacing w:line="360" w:lineRule="auto"/>
              <w:ind w:left="0"/>
              <w:rPr>
                <w:color w:val="auto"/>
                <w:spacing w:val="-4"/>
                <w:lang w:eastAsia="zh-CN"/>
              </w:rPr>
            </w:pPr>
            <w:r>
              <w:rPr>
                <w:color w:val="auto"/>
                <w:spacing w:val="-4"/>
                <w:lang w:eastAsia="zh-CN"/>
              </w:rPr>
              <w:t>（2）应在每个包装箱外的显著位置用中文涂写上清晰可见的标记，内容包括合同号、箱号、所装设备的名称及数量等。应在每个包装箱内装有详细的中文装箱清单，内容包括设备名称、规格、数量等。</w:t>
            </w:r>
          </w:p>
          <w:p>
            <w:pPr>
              <w:pStyle w:val="11"/>
              <w:spacing w:line="360" w:lineRule="auto"/>
              <w:ind w:left="0"/>
              <w:rPr>
                <w:color w:val="auto"/>
                <w:spacing w:val="-4"/>
                <w:lang w:eastAsia="zh-CN"/>
              </w:rPr>
            </w:pPr>
            <w:r>
              <w:rPr>
                <w:color w:val="auto"/>
                <w:spacing w:val="-4"/>
                <w:lang w:eastAsia="zh-CN"/>
              </w:rPr>
              <w:t>（3）供货设备应在其显著位置钉上耐腐蚀的金属铭牌，内容包括制造厂名称或厂标、设备名称及型号、设备的技术规格、设备出厂编号及出厂日期等。</w:t>
            </w:r>
          </w:p>
          <w:p>
            <w:pPr>
              <w:pStyle w:val="11"/>
              <w:spacing w:line="360" w:lineRule="auto"/>
              <w:ind w:left="0"/>
              <w:rPr>
                <w:color w:val="auto"/>
                <w:spacing w:val="-4"/>
                <w:lang w:eastAsia="zh-CN"/>
              </w:rPr>
            </w:pPr>
            <w:r>
              <w:rPr>
                <w:color w:val="auto"/>
                <w:spacing w:val="-4"/>
                <w:lang w:eastAsia="zh-CN"/>
              </w:rPr>
              <w:t>（4）投标人应保证铭牌在设备安装和长年运行后清晰可见。</w:t>
            </w:r>
          </w:p>
          <w:p>
            <w:pPr>
              <w:pStyle w:val="11"/>
              <w:spacing w:line="360" w:lineRule="auto"/>
              <w:ind w:left="0"/>
              <w:rPr>
                <w:color w:val="auto"/>
                <w:spacing w:val="-4"/>
                <w:lang w:eastAsia="zh-CN"/>
              </w:rPr>
            </w:pPr>
            <w:r>
              <w:rPr>
                <w:color w:val="auto"/>
                <w:spacing w:val="-4"/>
                <w:lang w:eastAsia="zh-CN"/>
              </w:rPr>
              <w:t>（5）对于有偏重的整体设备或有特殊要求的设备，还应清楚地标明起吊点位置，以免吊装不当造成设备损坏。</w:t>
            </w:r>
          </w:p>
          <w:p>
            <w:pPr>
              <w:pStyle w:val="11"/>
              <w:spacing w:line="360" w:lineRule="auto"/>
              <w:ind w:left="0"/>
              <w:rPr>
                <w:rFonts w:ascii="Times New Roman" w:hAnsi="Times New Roman" w:cs="Times New Roman"/>
                <w:snapToGrid w:val="0"/>
                <w:color w:val="auto"/>
                <w:lang w:eastAsia="zh-CN"/>
              </w:rPr>
            </w:pPr>
            <w:r>
              <w:rPr>
                <w:color w:val="auto"/>
                <w:spacing w:val="-4"/>
                <w:lang w:eastAsia="zh-CN"/>
              </w:rPr>
              <w:t>（6）备品备件应按现场条件进行单独处理和包装，以便长期储存。每种备品备件应在包装外面注明名称、规格、数量等，并放入清单</w:t>
            </w:r>
            <w:r>
              <w:rPr>
                <w:rFonts w:hint="eastAsia"/>
                <w:color w:val="auto"/>
                <w:spacing w:val="-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pStyle w:val="6"/>
              <w:spacing w:line="360" w:lineRule="auto"/>
              <w:ind w:left="0"/>
              <w:rPr>
                <w:b w:val="0"/>
                <w:bCs w:val="0"/>
                <w:color w:val="auto"/>
                <w:lang w:eastAsia="zh-CN"/>
              </w:rPr>
            </w:pPr>
            <w:r>
              <w:rPr>
                <w:color w:val="auto"/>
                <w:lang w:eastAsia="zh-CN"/>
              </w:rPr>
              <w:t>工厂检验、交货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pStyle w:val="11"/>
              <w:spacing w:line="360" w:lineRule="auto"/>
              <w:ind w:left="0"/>
              <w:rPr>
                <w:color w:val="auto"/>
                <w:lang w:eastAsia="zh-CN"/>
              </w:rPr>
            </w:pPr>
            <w:r>
              <w:rPr>
                <w:color w:val="auto"/>
                <w:spacing w:val="-4"/>
                <w:lang w:eastAsia="zh-CN"/>
              </w:rPr>
              <w:t>（</w:t>
            </w:r>
            <w:r>
              <w:rPr>
                <w:rFonts w:cs="宋体"/>
                <w:color w:val="auto"/>
                <w:spacing w:val="-4"/>
                <w:lang w:eastAsia="zh-CN"/>
              </w:rPr>
              <w:t>1</w:t>
            </w:r>
            <w:r>
              <w:rPr>
                <w:color w:val="auto"/>
                <w:spacing w:val="-4"/>
                <w:lang w:eastAsia="zh-CN"/>
              </w:rPr>
              <w:t>）所有设备在出厂前必须进行检查和试验。全部车间检查和试验应严格按照本</w:t>
            </w:r>
            <w:r>
              <w:rPr>
                <w:color w:val="auto"/>
                <w:lang w:eastAsia="zh-CN"/>
              </w:rPr>
              <w:t>标书和</w:t>
            </w:r>
            <w:r>
              <w:rPr>
                <w:rFonts w:cs="宋体"/>
                <w:color w:val="auto"/>
                <w:lang w:eastAsia="zh-CN"/>
              </w:rPr>
              <w:t>ISO</w:t>
            </w:r>
            <w:r>
              <w:rPr>
                <w:color w:val="auto"/>
                <w:lang w:eastAsia="zh-CN"/>
              </w:rPr>
              <w:t>、</w:t>
            </w:r>
            <w:r>
              <w:rPr>
                <w:rFonts w:cs="宋体"/>
                <w:color w:val="auto"/>
                <w:lang w:eastAsia="zh-CN"/>
              </w:rPr>
              <w:t>ICE</w:t>
            </w:r>
            <w:r>
              <w:rPr>
                <w:color w:val="auto"/>
                <w:lang w:eastAsia="zh-CN"/>
              </w:rPr>
              <w:t>、</w:t>
            </w:r>
            <w:r>
              <w:rPr>
                <w:rFonts w:cs="宋体"/>
                <w:color w:val="auto"/>
                <w:lang w:eastAsia="zh-CN"/>
              </w:rPr>
              <w:t>GB</w:t>
            </w:r>
            <w:r>
              <w:rPr>
                <w:color w:val="auto"/>
                <w:lang w:eastAsia="zh-CN"/>
              </w:rPr>
              <w:t>标准进行。</w:t>
            </w:r>
          </w:p>
          <w:p>
            <w:pPr>
              <w:pStyle w:val="11"/>
              <w:spacing w:line="360" w:lineRule="auto"/>
              <w:ind w:left="0"/>
              <w:rPr>
                <w:color w:val="auto"/>
                <w:lang w:eastAsia="zh-CN"/>
              </w:rPr>
            </w:pPr>
            <w:r>
              <w:rPr>
                <w:color w:val="auto"/>
                <w:lang w:eastAsia="zh-CN"/>
              </w:rPr>
              <w:t>（</w:t>
            </w:r>
            <w:r>
              <w:rPr>
                <w:rFonts w:cs="宋体"/>
                <w:color w:val="auto"/>
                <w:lang w:eastAsia="zh-CN"/>
              </w:rPr>
              <w:t>2</w:t>
            </w:r>
            <w:r>
              <w:rPr>
                <w:color w:val="auto"/>
                <w:lang w:eastAsia="zh-CN"/>
              </w:rPr>
              <w:t>）检验应在仪器标定的有效期限内进行，并符合标书有关要求。</w:t>
            </w:r>
          </w:p>
          <w:p>
            <w:pPr>
              <w:pStyle w:val="11"/>
              <w:spacing w:line="360" w:lineRule="auto"/>
              <w:ind w:left="0"/>
              <w:rPr>
                <w:color w:val="auto"/>
                <w:lang w:eastAsia="zh-CN"/>
              </w:rPr>
            </w:pPr>
            <w:r>
              <w:rPr>
                <w:color w:val="auto"/>
                <w:spacing w:val="-4"/>
                <w:lang w:eastAsia="zh-CN"/>
              </w:rPr>
              <w:t>（</w:t>
            </w:r>
            <w:r>
              <w:rPr>
                <w:rFonts w:cs="宋体"/>
                <w:color w:val="auto"/>
                <w:spacing w:val="-4"/>
                <w:lang w:eastAsia="zh-CN"/>
              </w:rPr>
              <w:t>3</w:t>
            </w:r>
            <w:r>
              <w:rPr>
                <w:color w:val="auto"/>
                <w:spacing w:val="-4"/>
                <w:lang w:eastAsia="zh-CN"/>
              </w:rPr>
              <w:t>）投标人应对提供的所有设备和其备件、附件进行性能试验和其它与制造厂及</w:t>
            </w:r>
            <w:r>
              <w:rPr>
                <w:color w:val="auto"/>
                <w:spacing w:val="-2"/>
                <w:lang w:eastAsia="zh-CN"/>
              </w:rPr>
              <w:t>合同规定有关的各种检测试验。承受一定工作压力的设备应在制造厂进行必要的水压试验及密闭性试验。投标人产品合格证、检测记录和检测报告应提交采购人，内容应包括检验内容、检验标准、测试数据、标定数据、相关计算以及最终检验结果。上述产品合格证应由设备制造商确认并签字。所有检测费用由设备制造商或投标人承担。</w:t>
            </w:r>
          </w:p>
          <w:p>
            <w:pPr>
              <w:pStyle w:val="11"/>
              <w:spacing w:line="360" w:lineRule="auto"/>
              <w:ind w:left="0"/>
              <w:jc w:val="both"/>
              <w:rPr>
                <w:color w:val="auto"/>
                <w:lang w:eastAsia="zh-CN"/>
              </w:rPr>
            </w:pPr>
            <w:r>
              <w:rPr>
                <w:color w:val="auto"/>
                <w:spacing w:val="-5"/>
                <w:lang w:eastAsia="zh-CN"/>
              </w:rPr>
              <w:t>（</w:t>
            </w:r>
            <w:r>
              <w:rPr>
                <w:rFonts w:cs="宋体"/>
                <w:color w:val="auto"/>
                <w:spacing w:val="-5"/>
                <w:lang w:eastAsia="zh-CN"/>
              </w:rPr>
              <w:t>4</w:t>
            </w:r>
            <w:r>
              <w:rPr>
                <w:color w:val="auto"/>
                <w:spacing w:val="-5"/>
                <w:lang w:eastAsia="zh-CN"/>
              </w:rPr>
              <w:t>）投标人应在零部件粗加工或精加工后、组装前、减速机组装后以及工厂试验</w:t>
            </w:r>
            <w:r>
              <w:rPr>
                <w:color w:val="auto"/>
                <w:spacing w:val="-2"/>
                <w:lang w:eastAsia="zh-CN"/>
              </w:rPr>
              <w:t>等各阶段对零部件如传动机构、轴、叶片等、成品电机、成品设备（但不限于）进行</w:t>
            </w:r>
            <w:r>
              <w:rPr>
                <w:color w:val="auto"/>
                <w:lang w:eastAsia="zh-CN"/>
              </w:rPr>
              <w:t>包括外观、结构尺寸和联结尺寸的一般性检查。</w:t>
            </w:r>
          </w:p>
          <w:p>
            <w:pPr>
              <w:pStyle w:val="11"/>
              <w:spacing w:line="360" w:lineRule="auto"/>
              <w:ind w:left="0"/>
              <w:jc w:val="both"/>
              <w:rPr>
                <w:color w:val="auto"/>
                <w:lang w:eastAsia="zh-CN"/>
              </w:rPr>
            </w:pPr>
            <w:r>
              <w:rPr>
                <w:color w:val="auto"/>
                <w:spacing w:val="-4"/>
                <w:lang w:eastAsia="zh-CN"/>
              </w:rPr>
              <w:t>（</w:t>
            </w:r>
            <w:r>
              <w:rPr>
                <w:rFonts w:cs="宋体"/>
                <w:color w:val="auto"/>
                <w:spacing w:val="-4"/>
                <w:lang w:eastAsia="zh-CN"/>
              </w:rPr>
              <w:t>5</w:t>
            </w:r>
            <w:r>
              <w:rPr>
                <w:color w:val="auto"/>
                <w:spacing w:val="-4"/>
                <w:lang w:eastAsia="zh-CN"/>
              </w:rPr>
              <w:t>）采购人在设备生产过程中的一切适当时间有权在投标人所在地观察、逐台检</w:t>
            </w:r>
            <w:r>
              <w:rPr>
                <w:color w:val="auto"/>
                <w:spacing w:val="-2"/>
                <w:lang w:eastAsia="zh-CN"/>
              </w:rPr>
              <w:t>验或抽样检验，或者监督用于本合同的材料、工艺、所有设备性能的试验。如设备在其它场所生产，投标人应为采购人取得对试验进行视察、检查及作证的权利，就如在</w:t>
            </w:r>
            <w:r>
              <w:rPr>
                <w:color w:val="auto"/>
                <w:lang w:eastAsia="zh-CN"/>
              </w:rPr>
              <w:t>投标人所在地一样。</w:t>
            </w:r>
          </w:p>
          <w:p>
            <w:pPr>
              <w:pStyle w:val="11"/>
              <w:spacing w:line="360" w:lineRule="auto"/>
              <w:ind w:left="0"/>
              <w:jc w:val="both"/>
              <w:rPr>
                <w:color w:val="auto"/>
                <w:lang w:eastAsia="zh-CN"/>
              </w:rPr>
            </w:pPr>
            <w:r>
              <w:rPr>
                <w:color w:val="auto"/>
                <w:lang w:eastAsia="zh-CN"/>
              </w:rPr>
              <w:t>（</w:t>
            </w:r>
            <w:r>
              <w:rPr>
                <w:rFonts w:cs="宋体"/>
                <w:color w:val="auto"/>
                <w:lang w:eastAsia="zh-CN"/>
              </w:rPr>
              <w:t>6</w:t>
            </w:r>
            <w:r>
              <w:rPr>
                <w:color w:val="auto"/>
                <w:lang w:eastAsia="zh-CN"/>
              </w:rPr>
              <w:t>）如有试验未能通过</w:t>
            </w:r>
            <w:r>
              <w:rPr>
                <w:rFonts w:cs="宋体"/>
                <w:color w:val="auto"/>
                <w:lang w:eastAsia="zh-CN"/>
              </w:rPr>
              <w:t>,</w:t>
            </w:r>
            <w:r>
              <w:rPr>
                <w:color w:val="auto"/>
                <w:lang w:eastAsia="zh-CN"/>
              </w:rPr>
              <w:t>投标人应进行重新试验</w:t>
            </w:r>
            <w:r>
              <w:rPr>
                <w:rFonts w:cs="宋体"/>
                <w:color w:val="auto"/>
                <w:lang w:eastAsia="zh-CN"/>
              </w:rPr>
              <w:t>,</w:t>
            </w:r>
            <w:r>
              <w:rPr>
                <w:color w:val="auto"/>
                <w:lang w:eastAsia="zh-CN"/>
              </w:rPr>
              <w:t>且应在合适的时间内按同样规定和条件进行。</w:t>
            </w:r>
          </w:p>
          <w:p>
            <w:pPr>
              <w:pStyle w:val="11"/>
              <w:spacing w:line="360" w:lineRule="auto"/>
              <w:ind w:left="0"/>
              <w:jc w:val="both"/>
              <w:rPr>
                <w:color w:val="auto"/>
                <w:lang w:eastAsia="zh-CN"/>
              </w:rPr>
            </w:pPr>
            <w:r>
              <w:rPr>
                <w:color w:val="auto"/>
                <w:spacing w:val="-4"/>
                <w:lang w:eastAsia="zh-CN"/>
              </w:rPr>
              <w:t>（</w:t>
            </w:r>
            <w:r>
              <w:rPr>
                <w:rFonts w:cs="宋体"/>
                <w:color w:val="auto"/>
                <w:spacing w:val="-4"/>
                <w:lang w:eastAsia="zh-CN"/>
              </w:rPr>
              <w:t>7</w:t>
            </w:r>
            <w:r>
              <w:rPr>
                <w:color w:val="auto"/>
                <w:spacing w:val="-4"/>
                <w:lang w:eastAsia="zh-CN"/>
              </w:rPr>
              <w:t>）如投标人改变测试时间未预先通知采购人，则所有重新测试的费用由投标人</w:t>
            </w:r>
            <w:r>
              <w:rPr>
                <w:color w:val="auto"/>
                <w:lang w:eastAsia="zh-CN"/>
              </w:rPr>
              <w:t>负担。</w:t>
            </w:r>
          </w:p>
          <w:p>
            <w:pPr>
              <w:pStyle w:val="11"/>
              <w:spacing w:line="360" w:lineRule="auto"/>
              <w:ind w:left="0"/>
              <w:jc w:val="both"/>
              <w:rPr>
                <w:color w:val="auto"/>
                <w:lang w:eastAsia="zh-CN"/>
              </w:rPr>
            </w:pPr>
            <w:r>
              <w:rPr>
                <w:color w:val="auto"/>
                <w:spacing w:val="-4"/>
                <w:lang w:eastAsia="zh-CN"/>
              </w:rPr>
              <w:t>（</w:t>
            </w:r>
            <w:r>
              <w:rPr>
                <w:rFonts w:cs="宋体"/>
                <w:color w:val="auto"/>
                <w:spacing w:val="-4"/>
                <w:lang w:eastAsia="zh-CN"/>
              </w:rPr>
              <w:t>8</w:t>
            </w:r>
            <w:r>
              <w:rPr>
                <w:color w:val="auto"/>
                <w:spacing w:val="-4"/>
                <w:lang w:eastAsia="zh-CN"/>
              </w:rPr>
              <w:t>）工厂检验报告应在设备发货之前提交给投标人，并经采购人审批确认后方可</w:t>
            </w:r>
            <w:r>
              <w:rPr>
                <w:color w:val="auto"/>
                <w:lang w:eastAsia="zh-CN"/>
              </w:rPr>
              <w:t>发货。</w:t>
            </w:r>
          </w:p>
          <w:p>
            <w:pPr>
              <w:pStyle w:val="11"/>
              <w:spacing w:line="360" w:lineRule="auto"/>
              <w:ind w:left="0"/>
              <w:rPr>
                <w:color w:val="auto"/>
                <w:lang w:eastAsia="zh-CN"/>
              </w:rPr>
            </w:pPr>
            <w:r>
              <w:rPr>
                <w:color w:val="auto"/>
                <w:lang w:eastAsia="zh-CN"/>
              </w:rPr>
              <w:t>（</w:t>
            </w:r>
            <w:r>
              <w:rPr>
                <w:rFonts w:cs="宋体"/>
                <w:color w:val="auto"/>
                <w:lang w:eastAsia="zh-CN"/>
              </w:rPr>
              <w:t>9</w:t>
            </w:r>
            <w:r>
              <w:rPr>
                <w:color w:val="auto"/>
                <w:lang w:eastAsia="zh-CN"/>
              </w:rPr>
              <w:t>）设备的工厂检验不能代替货物到现场的最终检验。</w:t>
            </w:r>
          </w:p>
          <w:p>
            <w:pPr>
              <w:pStyle w:val="11"/>
              <w:spacing w:line="360" w:lineRule="auto"/>
              <w:ind w:left="0"/>
              <w:rPr>
                <w:color w:val="auto"/>
                <w:lang w:eastAsia="zh-CN"/>
              </w:rPr>
            </w:pPr>
            <w:r>
              <w:rPr>
                <w:color w:val="auto"/>
                <w:lang w:eastAsia="zh-CN"/>
              </w:rPr>
              <w:t>（</w:t>
            </w:r>
            <w:r>
              <w:rPr>
                <w:rFonts w:cs="宋体"/>
                <w:color w:val="auto"/>
                <w:lang w:eastAsia="zh-CN"/>
              </w:rPr>
              <w:t>10</w:t>
            </w:r>
            <w:r>
              <w:rPr>
                <w:color w:val="auto"/>
                <w:lang w:eastAsia="zh-CN"/>
              </w:rPr>
              <w:t>）所有设备和部件均应采取适当的保护，以避免运输或其它原因造成损坏。</w:t>
            </w:r>
          </w:p>
          <w:p>
            <w:pPr>
              <w:pStyle w:val="11"/>
              <w:spacing w:line="360" w:lineRule="auto"/>
              <w:ind w:left="0"/>
              <w:rPr>
                <w:color w:val="auto"/>
                <w:lang w:eastAsia="zh-CN"/>
              </w:rPr>
            </w:pPr>
            <w:r>
              <w:rPr>
                <w:color w:val="auto"/>
                <w:lang w:eastAsia="zh-CN"/>
              </w:rPr>
              <w:t>（</w:t>
            </w:r>
            <w:r>
              <w:rPr>
                <w:rFonts w:cs="宋体"/>
                <w:color w:val="auto"/>
                <w:lang w:eastAsia="zh-CN"/>
              </w:rPr>
              <w:t>11</w:t>
            </w:r>
            <w:r>
              <w:rPr>
                <w:color w:val="auto"/>
                <w:lang w:eastAsia="zh-CN"/>
              </w:rPr>
              <w:t>）未涂装的铁或钢的表面应采取适当的保护措施以免锈蚀。</w:t>
            </w:r>
          </w:p>
          <w:p>
            <w:pPr>
              <w:pStyle w:val="11"/>
              <w:spacing w:line="360" w:lineRule="auto"/>
              <w:ind w:left="0"/>
              <w:jc w:val="both"/>
              <w:rPr>
                <w:color w:val="auto"/>
                <w:lang w:eastAsia="zh-CN"/>
              </w:rPr>
            </w:pPr>
            <w:r>
              <w:rPr>
                <w:color w:val="auto"/>
                <w:spacing w:val="-2"/>
                <w:lang w:eastAsia="zh-CN"/>
              </w:rPr>
              <w:t>（</w:t>
            </w:r>
            <w:r>
              <w:rPr>
                <w:rFonts w:cs="宋体"/>
                <w:color w:val="auto"/>
                <w:spacing w:val="-2"/>
                <w:lang w:eastAsia="zh-CN"/>
              </w:rPr>
              <w:t>12</w:t>
            </w:r>
            <w:r>
              <w:rPr>
                <w:color w:val="auto"/>
                <w:spacing w:val="-2"/>
                <w:lang w:eastAsia="zh-CN"/>
              </w:rPr>
              <w:t>）投标人应与设备制造商联系安排设备的交付时间，以使设备到达现场后能尽快安装，尽可能的减少在现场的存放时间。在交货前，投标人应提供与货箱内所供</w:t>
            </w:r>
            <w:r>
              <w:rPr>
                <w:color w:val="auto"/>
                <w:lang w:eastAsia="zh-CN"/>
              </w:rPr>
              <w:t>设备一致的设备装箱清单。</w:t>
            </w:r>
          </w:p>
          <w:p>
            <w:pPr>
              <w:pStyle w:val="11"/>
              <w:spacing w:line="360" w:lineRule="auto"/>
              <w:ind w:left="0"/>
              <w:jc w:val="both"/>
              <w:rPr>
                <w:color w:val="auto"/>
                <w:lang w:eastAsia="zh-CN"/>
              </w:rPr>
            </w:pPr>
            <w:r>
              <w:rPr>
                <w:color w:val="auto"/>
                <w:spacing w:val="-2"/>
                <w:lang w:eastAsia="zh-CN"/>
              </w:rPr>
              <w:t>（</w:t>
            </w:r>
            <w:r>
              <w:rPr>
                <w:rFonts w:cs="宋体"/>
                <w:color w:val="auto"/>
                <w:spacing w:val="-2"/>
                <w:lang w:eastAsia="zh-CN"/>
              </w:rPr>
              <w:t>13</w:t>
            </w:r>
            <w:r>
              <w:rPr>
                <w:color w:val="auto"/>
                <w:spacing w:val="-2"/>
                <w:lang w:eastAsia="zh-CN"/>
              </w:rPr>
              <w:t>）运输期间，设备和部件应包装完好以免损坏或泄漏。包装箱外面应标明净重、内容、装箱及卸载的正常步骤。应该使送至现场、检查损坏程度、卸载和存放的</w:t>
            </w:r>
            <w:r>
              <w:rPr>
                <w:color w:val="auto"/>
                <w:lang w:eastAsia="zh-CN"/>
              </w:rPr>
              <w:t>工作尽可能地简单。投标人应迅速更换被损坏和有缺陷的部件。</w:t>
            </w:r>
          </w:p>
          <w:p>
            <w:pPr>
              <w:pStyle w:val="11"/>
              <w:spacing w:line="360" w:lineRule="auto"/>
              <w:ind w:left="0"/>
              <w:rPr>
                <w:color w:val="auto"/>
                <w:lang w:eastAsia="zh-CN"/>
              </w:rPr>
            </w:pPr>
            <w:r>
              <w:rPr>
                <w:color w:val="auto"/>
                <w:lang w:eastAsia="zh-CN"/>
              </w:rPr>
              <w:t>（</w:t>
            </w:r>
            <w:r>
              <w:rPr>
                <w:rFonts w:cs="宋体"/>
                <w:color w:val="auto"/>
                <w:lang w:eastAsia="zh-CN"/>
              </w:rPr>
              <w:t>14</w:t>
            </w:r>
            <w:r>
              <w:rPr>
                <w:color w:val="auto"/>
                <w:lang w:eastAsia="zh-CN"/>
              </w:rPr>
              <w:t>）投标人应提供相关资料，并负责办理一切与其供货内容相关的如压力容器</w:t>
            </w:r>
          </w:p>
          <w:p>
            <w:pPr>
              <w:pStyle w:val="11"/>
              <w:spacing w:line="360" w:lineRule="auto"/>
              <w:ind w:left="0"/>
              <w:jc w:val="both"/>
              <w:rPr>
                <w:color w:val="auto"/>
                <w:lang w:eastAsia="zh-CN"/>
              </w:rPr>
            </w:pPr>
            <w:r>
              <w:rPr>
                <w:color w:val="auto"/>
                <w:lang w:eastAsia="zh-CN"/>
              </w:rPr>
              <w:t>（</w:t>
            </w:r>
            <w:r>
              <w:rPr>
                <w:rFonts w:cs="宋体"/>
                <w:color w:val="auto"/>
                <w:lang w:eastAsia="zh-CN"/>
              </w:rPr>
              <w:t>15</w:t>
            </w:r>
            <w:r>
              <w:rPr>
                <w:color w:val="auto"/>
                <w:lang w:eastAsia="zh-CN"/>
              </w:rPr>
              <w:t>）在安装开始之前</w:t>
            </w:r>
            <w:r>
              <w:rPr>
                <w:rFonts w:cs="宋体"/>
                <w:color w:val="auto"/>
                <w:lang w:eastAsia="zh-CN"/>
              </w:rPr>
              <w:t>4</w:t>
            </w:r>
            <w:r>
              <w:rPr>
                <w:color w:val="auto"/>
                <w:lang w:eastAsia="zh-CN"/>
              </w:rPr>
              <w:t>个星期，投标人应提供详细的安装说明，并负责现场安</w:t>
            </w:r>
            <w:r>
              <w:rPr>
                <w:color w:val="auto"/>
                <w:spacing w:val="-2"/>
                <w:lang w:eastAsia="zh-CN"/>
              </w:rPr>
              <w:t>装工作。采购人的工程技术人员将参与设备交货、安装、试验和启动全过程所有阶段</w:t>
            </w:r>
            <w:r>
              <w:rPr>
                <w:color w:val="auto"/>
                <w:lang w:eastAsia="zh-CN"/>
              </w:rPr>
              <w:t>的工作。</w:t>
            </w:r>
          </w:p>
          <w:p>
            <w:pPr>
              <w:spacing w:line="360" w:lineRule="auto"/>
              <w:ind w:hanging="3"/>
              <w:rPr>
                <w:rFonts w:ascii="宋体" w:hAnsi="宋体" w:eastAsia="宋体" w:cs="宋体"/>
                <w:color w:val="auto"/>
                <w:spacing w:val="-2"/>
                <w:sz w:val="21"/>
                <w:szCs w:val="21"/>
                <w:lang w:eastAsia="zh-CN"/>
              </w:rPr>
            </w:pPr>
            <w:r>
              <w:rPr>
                <w:rFonts w:ascii="宋体" w:hAnsi="宋体" w:eastAsia="宋体" w:cs="宋体"/>
                <w:color w:val="auto"/>
                <w:spacing w:val="-2"/>
                <w:sz w:val="21"/>
                <w:szCs w:val="21"/>
                <w:lang w:eastAsia="zh-CN"/>
              </w:rPr>
              <w:t>（16）完成上述工作所涉及的一切费用均应含在投标报价中。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line="360" w:lineRule="auto"/>
              <w:ind w:hanging="3"/>
              <w:rPr>
                <w:rFonts w:ascii="宋体" w:hAnsi="宋体" w:eastAsia="宋体" w:cs="宋体"/>
                <w:color w:val="auto"/>
                <w:sz w:val="21"/>
                <w:szCs w:val="21"/>
                <w:lang w:eastAsia="zh-CN"/>
              </w:rPr>
            </w:pPr>
            <w:r>
              <w:rPr>
                <w:rFonts w:ascii="宋体" w:hAnsi="宋体" w:eastAsia="宋体" w:cs="宋体"/>
                <w:b/>
                <w:bCs/>
                <w:color w:val="auto"/>
                <w:sz w:val="21"/>
                <w:szCs w:val="21"/>
                <w:lang w:eastAsia="zh-CN"/>
              </w:rPr>
              <w:t>现场指导安装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pStyle w:val="11"/>
              <w:spacing w:line="360" w:lineRule="auto"/>
              <w:ind w:left="0"/>
              <w:rPr>
                <w:color w:val="auto"/>
                <w:lang w:eastAsia="zh-CN"/>
              </w:rPr>
            </w:pPr>
            <w:r>
              <w:rPr>
                <w:color w:val="auto"/>
                <w:lang w:eastAsia="zh-CN"/>
              </w:rPr>
              <w:t>（</w:t>
            </w:r>
            <w:r>
              <w:rPr>
                <w:rFonts w:cs="宋体"/>
                <w:color w:val="auto"/>
                <w:lang w:eastAsia="zh-CN"/>
              </w:rPr>
              <w:t>1</w:t>
            </w:r>
            <w:r>
              <w:rPr>
                <w:color w:val="auto"/>
                <w:spacing w:val="-99"/>
                <w:lang w:eastAsia="zh-CN"/>
              </w:rPr>
              <w:t>）</w:t>
            </w:r>
            <w:r>
              <w:rPr>
                <w:color w:val="auto"/>
                <w:lang w:eastAsia="zh-CN"/>
              </w:rPr>
              <w:t>根</w:t>
            </w:r>
            <w:r>
              <w:rPr>
                <w:color w:val="auto"/>
                <w:spacing w:val="-3"/>
                <w:lang w:eastAsia="zh-CN"/>
              </w:rPr>
              <w:t>据</w:t>
            </w:r>
            <w:r>
              <w:rPr>
                <w:color w:val="auto"/>
                <w:lang w:eastAsia="zh-CN"/>
              </w:rPr>
              <w:t>本</w:t>
            </w:r>
            <w:r>
              <w:rPr>
                <w:color w:val="auto"/>
                <w:spacing w:val="-3"/>
                <w:lang w:eastAsia="zh-CN"/>
              </w:rPr>
              <w:t>合</w:t>
            </w:r>
            <w:r>
              <w:rPr>
                <w:color w:val="auto"/>
                <w:lang w:eastAsia="zh-CN"/>
              </w:rPr>
              <w:t>同</w:t>
            </w:r>
            <w:r>
              <w:rPr>
                <w:color w:val="auto"/>
                <w:spacing w:val="-3"/>
                <w:lang w:eastAsia="zh-CN"/>
              </w:rPr>
              <w:t>的</w:t>
            </w:r>
            <w:r>
              <w:rPr>
                <w:color w:val="auto"/>
                <w:lang w:eastAsia="zh-CN"/>
              </w:rPr>
              <w:t>约</w:t>
            </w:r>
            <w:r>
              <w:rPr>
                <w:color w:val="auto"/>
                <w:spacing w:val="-3"/>
                <w:lang w:eastAsia="zh-CN"/>
              </w:rPr>
              <w:t>定</w:t>
            </w:r>
            <w:r>
              <w:rPr>
                <w:color w:val="auto"/>
                <w:spacing w:val="-97"/>
                <w:lang w:eastAsia="zh-CN"/>
              </w:rPr>
              <w:t>，</w:t>
            </w:r>
            <w:r>
              <w:rPr>
                <w:color w:val="auto"/>
                <w:spacing w:val="-3"/>
                <w:lang w:eastAsia="zh-CN"/>
              </w:rPr>
              <w:t>投</w:t>
            </w:r>
            <w:r>
              <w:rPr>
                <w:color w:val="auto"/>
                <w:lang w:eastAsia="zh-CN"/>
              </w:rPr>
              <w:t>标人</w:t>
            </w:r>
            <w:r>
              <w:rPr>
                <w:color w:val="auto"/>
                <w:spacing w:val="-3"/>
                <w:lang w:eastAsia="zh-CN"/>
              </w:rPr>
              <w:t>所</w:t>
            </w:r>
            <w:r>
              <w:rPr>
                <w:color w:val="auto"/>
                <w:lang w:eastAsia="zh-CN"/>
              </w:rPr>
              <w:t>指</w:t>
            </w:r>
            <w:r>
              <w:rPr>
                <w:color w:val="auto"/>
                <w:spacing w:val="-3"/>
                <w:lang w:eastAsia="zh-CN"/>
              </w:rPr>
              <w:t>导</w:t>
            </w:r>
            <w:r>
              <w:rPr>
                <w:color w:val="auto"/>
                <w:lang w:eastAsia="zh-CN"/>
              </w:rPr>
              <w:t>安</w:t>
            </w:r>
            <w:r>
              <w:rPr>
                <w:color w:val="auto"/>
                <w:spacing w:val="-3"/>
                <w:lang w:eastAsia="zh-CN"/>
              </w:rPr>
              <w:t>装</w:t>
            </w:r>
            <w:r>
              <w:rPr>
                <w:color w:val="auto"/>
                <w:lang w:eastAsia="zh-CN"/>
              </w:rPr>
              <w:t>的</w:t>
            </w:r>
            <w:r>
              <w:rPr>
                <w:color w:val="auto"/>
                <w:spacing w:val="-3"/>
                <w:lang w:eastAsia="zh-CN"/>
              </w:rPr>
              <w:t>工</w:t>
            </w:r>
            <w:r>
              <w:rPr>
                <w:color w:val="auto"/>
                <w:lang w:eastAsia="zh-CN"/>
              </w:rPr>
              <w:t>作</w:t>
            </w:r>
            <w:r>
              <w:rPr>
                <w:color w:val="auto"/>
                <w:spacing w:val="-3"/>
                <w:lang w:eastAsia="zh-CN"/>
              </w:rPr>
              <w:t>应</w:t>
            </w:r>
            <w:r>
              <w:rPr>
                <w:color w:val="auto"/>
                <w:lang w:eastAsia="zh-CN"/>
              </w:rPr>
              <w:t>至少</w:t>
            </w:r>
            <w:r>
              <w:rPr>
                <w:color w:val="auto"/>
                <w:spacing w:val="-3"/>
                <w:lang w:eastAsia="zh-CN"/>
              </w:rPr>
              <w:t>包</w:t>
            </w:r>
            <w:r>
              <w:rPr>
                <w:color w:val="auto"/>
                <w:lang w:eastAsia="zh-CN"/>
              </w:rPr>
              <w:t>括</w:t>
            </w:r>
            <w:r>
              <w:rPr>
                <w:color w:val="auto"/>
                <w:spacing w:val="-3"/>
                <w:lang w:eastAsia="zh-CN"/>
              </w:rPr>
              <w:t>但</w:t>
            </w:r>
            <w:r>
              <w:rPr>
                <w:color w:val="auto"/>
                <w:lang w:eastAsia="zh-CN"/>
              </w:rPr>
              <w:t>不</w:t>
            </w:r>
            <w:r>
              <w:rPr>
                <w:color w:val="auto"/>
                <w:spacing w:val="-3"/>
                <w:lang w:eastAsia="zh-CN"/>
              </w:rPr>
              <w:t>限</w:t>
            </w:r>
            <w:r>
              <w:rPr>
                <w:color w:val="auto"/>
                <w:lang w:eastAsia="zh-CN"/>
              </w:rPr>
              <w:t>于</w:t>
            </w:r>
            <w:r>
              <w:rPr>
                <w:color w:val="auto"/>
                <w:spacing w:val="-3"/>
                <w:lang w:eastAsia="zh-CN"/>
              </w:rPr>
              <w:t>以</w:t>
            </w:r>
            <w:r>
              <w:rPr>
                <w:color w:val="auto"/>
                <w:lang w:eastAsia="zh-CN"/>
              </w:rPr>
              <w:t>下</w:t>
            </w:r>
            <w:r>
              <w:rPr>
                <w:color w:val="auto"/>
                <w:spacing w:val="-3"/>
                <w:lang w:eastAsia="zh-CN"/>
              </w:rPr>
              <w:t>内</w:t>
            </w:r>
            <w:r>
              <w:rPr>
                <w:color w:val="auto"/>
                <w:lang w:eastAsia="zh-CN"/>
              </w:rPr>
              <w:t>容：</w:t>
            </w:r>
          </w:p>
          <w:p>
            <w:pPr>
              <w:pStyle w:val="11"/>
              <w:spacing w:line="360" w:lineRule="auto"/>
              <w:ind w:left="0"/>
              <w:jc w:val="both"/>
              <w:rPr>
                <w:color w:val="auto"/>
                <w:spacing w:val="-2"/>
                <w:lang w:eastAsia="zh-CN"/>
              </w:rPr>
            </w:pPr>
            <w:r>
              <w:rPr>
                <w:color w:val="auto"/>
                <w:spacing w:val="-2"/>
                <w:lang w:eastAsia="zh-CN"/>
              </w:rPr>
              <w:t>（如有技术要求中有矛盾之处，应以严格者为准）：脱水干化一体化设备的安装；所有电气设备及电缆的安装；所有自控、仪表及电缆的安装（所有的仪表设备、盘柜，所有的电缆分盘、敷设与连接，所有的导压管、</w:t>
            </w:r>
            <w:r>
              <w:rPr>
                <w:color w:val="auto"/>
                <w:spacing w:val="-7"/>
                <w:lang w:eastAsia="zh-CN"/>
              </w:rPr>
              <w:t>信号管等安装，所有仪表系统的接地）；钢结构平台及支架的安装；所有管线、管架安</w:t>
            </w:r>
            <w:r>
              <w:rPr>
                <w:color w:val="auto"/>
                <w:spacing w:val="-2"/>
                <w:lang w:eastAsia="zh-CN"/>
              </w:rPr>
              <w:t>装、静电跨接的安装及与外部管线的连接；所有与外部设施、设备、管线、电缆等的连接；所有需要绝热设备、管线、仪表设施等的绝热及保护材料、安装附件的安装。</w:t>
            </w:r>
          </w:p>
          <w:p>
            <w:pPr>
              <w:pStyle w:val="11"/>
              <w:spacing w:line="360" w:lineRule="auto"/>
              <w:ind w:left="0"/>
              <w:rPr>
                <w:color w:val="auto"/>
                <w:lang w:eastAsia="zh-CN"/>
              </w:rPr>
            </w:pPr>
            <w:r>
              <w:rPr>
                <w:color w:val="auto"/>
                <w:lang w:eastAsia="zh-CN"/>
              </w:rPr>
              <w:t>（2）如果设备或平台钢结构件的连接安装和系统安装，需要厂房建筑预留出较大的孔洞用于安装施工，投标人应在厂房结构封闭前至少30天告知采购人。如果由于其未提前告知或其它卖方的原因，造成返工、设备或材料的损坏及报废，投标人将负担全部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line="360" w:lineRule="auto"/>
              <w:rPr>
                <w:rFonts w:ascii="宋体" w:hAnsi="宋体" w:eastAsia="宋体" w:cs="宋体"/>
                <w:color w:val="auto"/>
                <w:sz w:val="21"/>
                <w:szCs w:val="21"/>
                <w:lang w:eastAsia="zh-CN"/>
              </w:rPr>
            </w:pPr>
            <w:r>
              <w:rPr>
                <w:rFonts w:ascii="宋体" w:hAnsi="宋体" w:eastAsia="宋体" w:cs="宋体"/>
                <w:b/>
                <w:bCs/>
                <w:color w:val="auto"/>
                <w:sz w:val="21"/>
                <w:szCs w:val="21"/>
                <w:lang w:eastAsia="zh-CN"/>
              </w:rPr>
              <w:t>指导调试、试运行与最终验收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pStyle w:val="11"/>
              <w:spacing w:line="360" w:lineRule="auto"/>
              <w:ind w:left="0"/>
              <w:rPr>
                <w:color w:val="auto"/>
                <w:lang w:eastAsia="zh-CN"/>
              </w:rPr>
            </w:pPr>
            <w:r>
              <w:rPr>
                <w:color w:val="auto"/>
                <w:lang w:eastAsia="zh-CN"/>
              </w:rPr>
              <w:t>（</w:t>
            </w:r>
            <w:r>
              <w:rPr>
                <w:rFonts w:cs="宋体"/>
                <w:color w:val="auto"/>
                <w:lang w:eastAsia="zh-CN"/>
              </w:rPr>
              <w:t>1</w:t>
            </w:r>
            <w:r>
              <w:rPr>
                <w:color w:val="auto"/>
                <w:lang w:eastAsia="zh-CN"/>
              </w:rPr>
              <w:t>）承包人应负责对采购人工程技术人员的指导和培训。</w:t>
            </w:r>
          </w:p>
          <w:p>
            <w:pPr>
              <w:pStyle w:val="11"/>
              <w:spacing w:line="360" w:lineRule="auto"/>
              <w:ind w:left="0"/>
              <w:rPr>
                <w:color w:val="auto"/>
                <w:lang w:eastAsia="zh-CN"/>
              </w:rPr>
            </w:pPr>
            <w:r>
              <w:rPr>
                <w:color w:val="auto"/>
                <w:spacing w:val="-2"/>
                <w:lang w:eastAsia="zh-CN"/>
              </w:rPr>
              <w:t>（</w:t>
            </w:r>
            <w:r>
              <w:rPr>
                <w:rFonts w:cs="宋体"/>
                <w:color w:val="auto"/>
                <w:spacing w:val="-2"/>
                <w:lang w:eastAsia="zh-CN"/>
              </w:rPr>
              <w:t>2</w:t>
            </w:r>
            <w:r>
              <w:rPr>
                <w:color w:val="auto"/>
                <w:spacing w:val="-2"/>
                <w:lang w:eastAsia="zh-CN"/>
              </w:rPr>
              <w:t>）指导对设备进行单机空载运行测试，检验转速、振动、噪音、轴承升温等。</w:t>
            </w:r>
            <w:r>
              <w:rPr>
                <w:color w:val="auto"/>
                <w:lang w:eastAsia="zh-CN"/>
              </w:rPr>
              <w:t>所有安全保护系统必须经过相关部门验收合格后方可进行系统启动。</w:t>
            </w:r>
          </w:p>
          <w:p>
            <w:pPr>
              <w:pStyle w:val="11"/>
              <w:spacing w:line="360" w:lineRule="auto"/>
              <w:ind w:left="0"/>
              <w:rPr>
                <w:color w:val="auto"/>
                <w:lang w:eastAsia="zh-CN"/>
              </w:rPr>
            </w:pPr>
            <w:r>
              <w:rPr>
                <w:color w:val="auto"/>
                <w:lang w:eastAsia="zh-CN"/>
              </w:rPr>
              <w:t>（</w:t>
            </w:r>
            <w:r>
              <w:rPr>
                <w:rFonts w:cs="宋体"/>
                <w:color w:val="auto"/>
                <w:lang w:eastAsia="zh-CN"/>
              </w:rPr>
              <w:t>3</w:t>
            </w:r>
            <w:r>
              <w:rPr>
                <w:color w:val="auto"/>
                <w:lang w:eastAsia="zh-CN"/>
              </w:rPr>
              <w:t>）指导对设备进行联机试运行测试，检验设备的功率、温度等功能性指标。</w:t>
            </w:r>
          </w:p>
          <w:p>
            <w:pPr>
              <w:pStyle w:val="11"/>
              <w:spacing w:line="360" w:lineRule="auto"/>
              <w:ind w:left="0"/>
              <w:jc w:val="both"/>
              <w:rPr>
                <w:color w:val="auto"/>
                <w:lang w:eastAsia="zh-CN"/>
              </w:rPr>
            </w:pPr>
            <w:r>
              <w:rPr>
                <w:color w:val="auto"/>
                <w:spacing w:val="-4"/>
                <w:lang w:eastAsia="zh-CN"/>
              </w:rPr>
              <w:t>（</w:t>
            </w:r>
            <w:r>
              <w:rPr>
                <w:rFonts w:cs="宋体"/>
                <w:color w:val="auto"/>
                <w:spacing w:val="-4"/>
                <w:lang w:eastAsia="zh-CN"/>
              </w:rPr>
              <w:t>4</w:t>
            </w:r>
            <w:r>
              <w:rPr>
                <w:color w:val="auto"/>
                <w:spacing w:val="-4"/>
                <w:lang w:eastAsia="zh-CN"/>
              </w:rPr>
              <w:t>）测试内容及结果应完全满足设备出厂检验证书的各项指标和技术要求。现场</w:t>
            </w:r>
            <w:r>
              <w:rPr>
                <w:color w:val="auto"/>
                <w:lang w:eastAsia="zh-CN"/>
              </w:rPr>
              <w:t>测试工具由承包人自备。</w:t>
            </w:r>
          </w:p>
          <w:p>
            <w:pPr>
              <w:pStyle w:val="11"/>
              <w:spacing w:line="360" w:lineRule="auto"/>
              <w:ind w:left="0"/>
              <w:jc w:val="both"/>
              <w:rPr>
                <w:color w:val="auto"/>
                <w:lang w:eastAsia="zh-CN"/>
              </w:rPr>
            </w:pPr>
            <w:r>
              <w:rPr>
                <w:color w:val="auto"/>
                <w:spacing w:val="-4"/>
                <w:lang w:eastAsia="zh-CN"/>
              </w:rPr>
              <w:t>（</w:t>
            </w:r>
            <w:r>
              <w:rPr>
                <w:rFonts w:cs="宋体"/>
                <w:color w:val="auto"/>
                <w:spacing w:val="-4"/>
                <w:lang w:eastAsia="zh-CN"/>
              </w:rPr>
              <w:t>5</w:t>
            </w:r>
            <w:r>
              <w:rPr>
                <w:color w:val="auto"/>
                <w:spacing w:val="-4"/>
                <w:lang w:eastAsia="zh-CN"/>
              </w:rPr>
              <w:t>）承包人应根据现场试验条件提出测试程序及步骤，和监理、采购人共同协商</w:t>
            </w:r>
            <w:r>
              <w:rPr>
                <w:color w:val="auto"/>
                <w:lang w:eastAsia="zh-CN"/>
              </w:rPr>
              <w:t>决定</w:t>
            </w:r>
          </w:p>
          <w:p>
            <w:pPr>
              <w:pStyle w:val="11"/>
              <w:spacing w:line="360" w:lineRule="auto"/>
              <w:ind w:left="0"/>
              <w:jc w:val="both"/>
              <w:rPr>
                <w:color w:val="auto"/>
                <w:lang w:eastAsia="zh-CN"/>
              </w:rPr>
            </w:pPr>
            <w:r>
              <w:rPr>
                <w:color w:val="auto"/>
                <w:spacing w:val="-5"/>
                <w:lang w:eastAsia="zh-CN"/>
              </w:rPr>
              <w:t>（</w:t>
            </w:r>
            <w:r>
              <w:rPr>
                <w:rFonts w:cs="宋体"/>
                <w:color w:val="auto"/>
                <w:spacing w:val="-5"/>
                <w:lang w:eastAsia="zh-CN"/>
              </w:rPr>
              <w:t>6</w:t>
            </w:r>
            <w:r>
              <w:rPr>
                <w:color w:val="auto"/>
                <w:spacing w:val="-5"/>
                <w:lang w:eastAsia="zh-CN"/>
              </w:rPr>
              <w:t>）现场调试应由监理工程师主持，在买方工程师在场的情况下进行，直至交验</w:t>
            </w:r>
            <w:r>
              <w:rPr>
                <w:color w:val="auto"/>
                <w:lang w:eastAsia="zh-CN"/>
              </w:rPr>
              <w:t>合格为止。</w:t>
            </w:r>
          </w:p>
          <w:p>
            <w:pPr>
              <w:pStyle w:val="11"/>
              <w:spacing w:before="57" w:line="360" w:lineRule="auto"/>
              <w:ind w:left="0" w:right="3"/>
              <w:rPr>
                <w:color w:val="auto"/>
                <w:lang w:eastAsia="zh-CN"/>
              </w:rPr>
            </w:pPr>
            <w:r>
              <w:rPr>
                <w:color w:val="auto"/>
                <w:spacing w:val="-2"/>
                <w:lang w:eastAsia="zh-CN"/>
              </w:rPr>
              <w:t>（</w:t>
            </w:r>
            <w:r>
              <w:rPr>
                <w:rFonts w:cs="宋体"/>
                <w:color w:val="auto"/>
                <w:spacing w:val="-2"/>
                <w:lang w:eastAsia="zh-CN"/>
              </w:rPr>
              <w:t>7</w:t>
            </w:r>
            <w:r>
              <w:rPr>
                <w:color w:val="auto"/>
                <w:spacing w:val="-2"/>
                <w:lang w:eastAsia="zh-CN"/>
              </w:rPr>
              <w:t>）设备的现场验收将作为最终验收，如果最终验收中发现不符合本标书要求，</w:t>
            </w:r>
            <w:r>
              <w:rPr>
                <w:color w:val="auto"/>
                <w:lang w:eastAsia="zh-CN"/>
              </w:rPr>
              <w:t>承包人应负责更换或退货。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line="360" w:lineRule="auto"/>
              <w:rPr>
                <w:rFonts w:ascii="宋体" w:hAnsi="宋体" w:eastAsia="宋体" w:cs="宋体"/>
                <w:color w:val="auto"/>
                <w:sz w:val="21"/>
                <w:szCs w:val="21"/>
                <w:lang w:eastAsia="zh-CN"/>
              </w:rPr>
            </w:pPr>
            <w:r>
              <w:rPr>
                <w:rFonts w:ascii="宋体" w:hAnsi="宋体" w:eastAsia="宋体" w:cs="宋体"/>
                <w:b/>
                <w:bCs/>
                <w:color w:val="auto"/>
                <w:sz w:val="21"/>
                <w:szCs w:val="21"/>
                <w:lang w:eastAsia="zh-CN"/>
              </w:rPr>
              <w:t>指导试运转测试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before="59" w:line="360" w:lineRule="auto"/>
              <w:ind w:left="523" w:right="106" w:hanging="8"/>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承包人应在其管理人员和采购人项目项经理的监督下，在现场指导整套设备进行</w:t>
            </w:r>
          </w:p>
          <w:p>
            <w:pPr>
              <w:pStyle w:val="11"/>
              <w:spacing w:before="54" w:line="360" w:lineRule="auto"/>
              <w:ind w:left="103" w:right="106"/>
              <w:rPr>
                <w:color w:val="auto"/>
                <w:lang w:eastAsia="zh-CN"/>
              </w:rPr>
            </w:pPr>
            <w:r>
              <w:rPr>
                <w:color w:val="auto"/>
                <w:spacing w:val="-2"/>
                <w:lang w:eastAsia="zh-CN"/>
              </w:rPr>
              <w:t>调试以证明其能按规定要求连续运转。应预先提交一份拟进行试验的详细说明供审查</w:t>
            </w:r>
            <w:r>
              <w:rPr>
                <w:color w:val="auto"/>
                <w:lang w:eastAsia="zh-CN"/>
              </w:rPr>
              <w:t>和批准，其中包括：</w:t>
            </w:r>
          </w:p>
          <w:p>
            <w:pPr>
              <w:pStyle w:val="11"/>
              <w:spacing w:before="57" w:line="360" w:lineRule="auto"/>
              <w:ind w:left="103" w:right="96" w:firstLine="419"/>
              <w:rPr>
                <w:color w:val="auto"/>
                <w:lang w:eastAsia="zh-CN"/>
              </w:rPr>
            </w:pPr>
            <w:r>
              <w:rPr>
                <w:color w:val="auto"/>
                <w:spacing w:val="-4"/>
                <w:lang w:eastAsia="zh-CN"/>
              </w:rPr>
              <w:t>（</w:t>
            </w:r>
            <w:r>
              <w:rPr>
                <w:rFonts w:cs="宋体"/>
                <w:color w:val="auto"/>
                <w:spacing w:val="-4"/>
                <w:lang w:eastAsia="zh-CN"/>
              </w:rPr>
              <w:t>1</w:t>
            </w:r>
            <w:r>
              <w:rPr>
                <w:color w:val="auto"/>
                <w:spacing w:val="-4"/>
                <w:lang w:eastAsia="zh-CN"/>
              </w:rPr>
              <w:t>）所有的装置应进行机械和电气方面试验以表明其每一部件的功能符合设计要</w:t>
            </w:r>
            <w:r>
              <w:rPr>
                <w:color w:val="auto"/>
                <w:lang w:eastAsia="zh-CN"/>
              </w:rPr>
              <w:t>求。</w:t>
            </w:r>
          </w:p>
          <w:p>
            <w:pPr>
              <w:pStyle w:val="11"/>
              <w:spacing w:before="59" w:line="360" w:lineRule="auto"/>
              <w:ind w:left="523"/>
              <w:rPr>
                <w:color w:val="auto"/>
                <w:lang w:eastAsia="zh-CN"/>
              </w:rPr>
            </w:pPr>
            <w:r>
              <w:rPr>
                <w:color w:val="auto"/>
                <w:lang w:eastAsia="zh-CN"/>
              </w:rPr>
              <w:t>（</w:t>
            </w:r>
            <w:r>
              <w:rPr>
                <w:rFonts w:cs="宋体"/>
                <w:color w:val="auto"/>
                <w:lang w:eastAsia="zh-CN"/>
              </w:rPr>
              <w:t>2</w:t>
            </w:r>
            <w:r>
              <w:rPr>
                <w:color w:val="auto"/>
                <w:lang w:eastAsia="zh-CN"/>
              </w:rPr>
              <w:t>）所有装置的操作程序应按控制系统的规定进行试验。</w:t>
            </w:r>
          </w:p>
          <w:p>
            <w:pPr>
              <w:pStyle w:val="11"/>
              <w:spacing w:line="360" w:lineRule="auto"/>
              <w:ind w:left="103" w:right="3" w:firstLine="419"/>
              <w:rPr>
                <w:color w:val="auto"/>
                <w:lang w:eastAsia="zh-CN"/>
              </w:rPr>
            </w:pPr>
            <w:r>
              <w:rPr>
                <w:color w:val="auto"/>
                <w:spacing w:val="-2"/>
                <w:lang w:eastAsia="zh-CN"/>
              </w:rPr>
              <w:t>（</w:t>
            </w:r>
            <w:r>
              <w:rPr>
                <w:rFonts w:cs="宋体"/>
                <w:color w:val="auto"/>
                <w:spacing w:val="-2"/>
                <w:lang w:eastAsia="zh-CN"/>
              </w:rPr>
              <w:t>3</w:t>
            </w:r>
            <w:r>
              <w:rPr>
                <w:color w:val="auto"/>
                <w:spacing w:val="-2"/>
                <w:lang w:eastAsia="zh-CN"/>
              </w:rPr>
              <w:t>）应对所有干化反应器、电机等的转动情况进行检查。所有性能应进行测试，</w:t>
            </w:r>
            <w:r>
              <w:rPr>
                <w:color w:val="auto"/>
                <w:lang w:eastAsia="zh-CN"/>
              </w:rPr>
              <w:t>并将所规定的工况和试验所得到的特性曲线进行比较。</w:t>
            </w:r>
          </w:p>
          <w:p>
            <w:pPr>
              <w:pStyle w:val="11"/>
              <w:spacing w:before="59" w:line="360" w:lineRule="auto"/>
              <w:ind w:left="523"/>
              <w:rPr>
                <w:color w:val="auto"/>
                <w:lang w:eastAsia="zh-CN"/>
              </w:rPr>
            </w:pPr>
            <w:r>
              <w:rPr>
                <w:color w:val="auto"/>
                <w:lang w:eastAsia="zh-CN"/>
              </w:rPr>
              <w:t>（</w:t>
            </w:r>
            <w:r>
              <w:rPr>
                <w:rFonts w:cs="宋体"/>
                <w:color w:val="auto"/>
                <w:lang w:eastAsia="zh-CN"/>
              </w:rPr>
              <w:t>4</w:t>
            </w:r>
            <w:r>
              <w:rPr>
                <w:color w:val="auto"/>
                <w:lang w:eastAsia="zh-CN"/>
              </w:rPr>
              <w:t>）所有管道、阀门、压力容器、储罐等都应进行压力试验。</w:t>
            </w:r>
          </w:p>
          <w:p>
            <w:pPr>
              <w:pStyle w:val="11"/>
              <w:spacing w:line="360" w:lineRule="auto"/>
              <w:ind w:left="523"/>
              <w:rPr>
                <w:color w:val="auto"/>
                <w:lang w:eastAsia="zh-CN"/>
              </w:rPr>
            </w:pPr>
            <w:r>
              <w:rPr>
                <w:color w:val="auto"/>
                <w:lang w:eastAsia="zh-CN"/>
              </w:rPr>
              <w:t>（</w:t>
            </w:r>
            <w:r>
              <w:rPr>
                <w:rFonts w:cs="宋体"/>
                <w:color w:val="auto"/>
                <w:lang w:eastAsia="zh-CN"/>
              </w:rPr>
              <w:t>5</w:t>
            </w:r>
            <w:r>
              <w:rPr>
                <w:color w:val="auto"/>
                <w:lang w:eastAsia="zh-CN"/>
              </w:rPr>
              <w:t>）所有的控制盘应按规定进行试验。</w:t>
            </w:r>
          </w:p>
          <w:p>
            <w:pPr>
              <w:pStyle w:val="11"/>
              <w:spacing w:line="360" w:lineRule="auto"/>
              <w:ind w:left="523"/>
              <w:rPr>
                <w:color w:val="auto"/>
                <w:lang w:eastAsia="zh-CN"/>
              </w:rPr>
            </w:pPr>
            <w:r>
              <w:rPr>
                <w:color w:val="auto"/>
                <w:lang w:eastAsia="zh-CN"/>
              </w:rPr>
              <w:t>（</w:t>
            </w:r>
            <w:r>
              <w:rPr>
                <w:rFonts w:cs="宋体"/>
                <w:color w:val="auto"/>
                <w:lang w:eastAsia="zh-CN"/>
              </w:rPr>
              <w:t>6</w:t>
            </w:r>
            <w:r>
              <w:rPr>
                <w:color w:val="auto"/>
                <w:lang w:eastAsia="zh-CN"/>
              </w:rPr>
              <w:t>）应测试所有电机的绝缘电阻。</w:t>
            </w:r>
          </w:p>
          <w:p>
            <w:pPr>
              <w:pStyle w:val="11"/>
              <w:spacing w:line="360" w:lineRule="auto"/>
              <w:ind w:left="523"/>
              <w:rPr>
                <w:color w:val="auto"/>
                <w:lang w:eastAsia="zh-CN"/>
              </w:rPr>
            </w:pPr>
            <w:r>
              <w:rPr>
                <w:color w:val="auto"/>
                <w:lang w:eastAsia="zh-CN"/>
              </w:rPr>
              <w:t>（</w:t>
            </w:r>
            <w:r>
              <w:rPr>
                <w:rFonts w:cs="宋体"/>
                <w:color w:val="auto"/>
                <w:lang w:eastAsia="zh-CN"/>
              </w:rPr>
              <w:t>7</w:t>
            </w:r>
            <w:r>
              <w:rPr>
                <w:color w:val="auto"/>
                <w:lang w:eastAsia="zh-CN"/>
              </w:rPr>
              <w:t>）应对系统所有的仪器进行校正试验。</w:t>
            </w:r>
          </w:p>
          <w:p>
            <w:pPr>
              <w:pStyle w:val="11"/>
              <w:spacing w:line="360" w:lineRule="auto"/>
              <w:ind w:left="523"/>
              <w:rPr>
                <w:color w:val="auto"/>
                <w:lang w:eastAsia="zh-CN"/>
              </w:rPr>
            </w:pPr>
            <w:r>
              <w:rPr>
                <w:color w:val="auto"/>
                <w:lang w:eastAsia="zh-CN"/>
              </w:rPr>
              <w:t>（</w:t>
            </w:r>
            <w:r>
              <w:rPr>
                <w:rFonts w:cs="宋体"/>
                <w:color w:val="auto"/>
                <w:lang w:eastAsia="zh-CN"/>
              </w:rPr>
              <w:t>8</w:t>
            </w:r>
            <w:r>
              <w:rPr>
                <w:color w:val="auto"/>
                <w:lang w:eastAsia="zh-CN"/>
              </w:rPr>
              <w:t>）应对所有供货装置试验润滑系统。</w:t>
            </w:r>
          </w:p>
          <w:p>
            <w:pPr>
              <w:pStyle w:val="11"/>
              <w:spacing w:line="360" w:lineRule="auto"/>
              <w:ind w:left="523"/>
              <w:rPr>
                <w:color w:val="auto"/>
                <w:lang w:eastAsia="zh-CN"/>
              </w:rPr>
            </w:pPr>
            <w:r>
              <w:rPr>
                <w:color w:val="auto"/>
                <w:lang w:eastAsia="zh-CN"/>
              </w:rPr>
              <w:t>（</w:t>
            </w:r>
            <w:r>
              <w:rPr>
                <w:rFonts w:cs="宋体"/>
                <w:color w:val="auto"/>
                <w:lang w:eastAsia="zh-CN"/>
              </w:rPr>
              <w:t>9</w:t>
            </w:r>
            <w:r>
              <w:rPr>
                <w:color w:val="auto"/>
                <w:lang w:eastAsia="zh-CN"/>
              </w:rPr>
              <w:t>）试验所有的报警系统，超负荷和安全设备。</w:t>
            </w:r>
          </w:p>
          <w:p>
            <w:pPr>
              <w:pStyle w:val="11"/>
              <w:spacing w:line="360" w:lineRule="auto"/>
              <w:ind w:left="103" w:right="106" w:firstLine="419"/>
              <w:rPr>
                <w:color w:val="auto"/>
                <w:lang w:eastAsia="zh-CN"/>
              </w:rPr>
            </w:pPr>
            <w:r>
              <w:rPr>
                <w:color w:val="auto"/>
                <w:spacing w:val="-2"/>
                <w:lang w:eastAsia="zh-CN"/>
              </w:rPr>
              <w:t>（</w:t>
            </w:r>
            <w:r>
              <w:rPr>
                <w:rFonts w:cs="宋体"/>
                <w:color w:val="auto"/>
                <w:spacing w:val="-2"/>
                <w:lang w:eastAsia="zh-CN"/>
              </w:rPr>
              <w:t>10</w:t>
            </w:r>
            <w:r>
              <w:rPr>
                <w:color w:val="auto"/>
                <w:spacing w:val="-2"/>
                <w:lang w:eastAsia="zh-CN"/>
              </w:rPr>
              <w:t>）应对每个基本控制系统进行试验以证实所有的联锁和操作程序能符合技术</w:t>
            </w:r>
            <w:r>
              <w:rPr>
                <w:color w:val="auto"/>
                <w:lang w:eastAsia="zh-CN"/>
              </w:rPr>
              <w:t>规定和起到保护主要设备的作用。</w:t>
            </w:r>
          </w:p>
          <w:p>
            <w:pPr>
              <w:pStyle w:val="11"/>
              <w:spacing w:before="54" w:line="360" w:lineRule="auto"/>
              <w:ind w:left="523"/>
              <w:rPr>
                <w:color w:val="auto"/>
                <w:lang w:eastAsia="zh-CN"/>
              </w:rPr>
            </w:pPr>
            <w:r>
              <w:rPr>
                <w:color w:val="auto"/>
                <w:lang w:eastAsia="zh-CN"/>
              </w:rPr>
              <w:t>（</w:t>
            </w:r>
            <w:r>
              <w:rPr>
                <w:rFonts w:cs="宋体"/>
                <w:color w:val="auto"/>
                <w:lang w:eastAsia="zh-CN"/>
              </w:rPr>
              <w:t>11</w:t>
            </w:r>
            <w:r>
              <w:rPr>
                <w:color w:val="auto"/>
                <w:lang w:eastAsia="zh-CN"/>
              </w:rPr>
              <w:t>）应对就地控制系统进行试验以保证它们能安全控制污泥干燥系统设备。</w:t>
            </w:r>
          </w:p>
          <w:p>
            <w:pPr>
              <w:pStyle w:val="11"/>
              <w:spacing w:line="360" w:lineRule="auto"/>
              <w:ind w:left="523"/>
              <w:rPr>
                <w:color w:val="auto"/>
                <w:lang w:eastAsia="zh-CN"/>
              </w:rPr>
            </w:pPr>
            <w:r>
              <w:rPr>
                <w:color w:val="auto"/>
                <w:lang w:eastAsia="zh-CN"/>
              </w:rPr>
              <w:t>（</w:t>
            </w:r>
            <w:r>
              <w:rPr>
                <w:rFonts w:cs="宋体"/>
                <w:color w:val="auto"/>
                <w:lang w:eastAsia="zh-CN"/>
              </w:rPr>
              <w:t>12</w:t>
            </w:r>
            <w:r>
              <w:rPr>
                <w:color w:val="auto"/>
                <w:lang w:eastAsia="zh-CN"/>
              </w:rPr>
              <w:t>）应进行能表明装置可以完成规定功能所必需的其它试验。</w:t>
            </w:r>
          </w:p>
          <w:p>
            <w:pPr>
              <w:pStyle w:val="11"/>
              <w:spacing w:line="360" w:lineRule="auto"/>
              <w:ind w:left="523"/>
              <w:rPr>
                <w:color w:val="auto"/>
                <w:lang w:eastAsia="zh-CN"/>
              </w:rPr>
            </w:pPr>
            <w:r>
              <w:rPr>
                <w:color w:val="auto"/>
                <w:lang w:eastAsia="zh-CN"/>
              </w:rPr>
              <w:t>（</w:t>
            </w:r>
            <w:r>
              <w:rPr>
                <w:rFonts w:cs="宋体"/>
                <w:color w:val="auto"/>
                <w:lang w:eastAsia="zh-CN"/>
              </w:rPr>
              <w:t>13</w:t>
            </w:r>
            <w:r>
              <w:rPr>
                <w:color w:val="auto"/>
                <w:lang w:eastAsia="zh-CN"/>
              </w:rPr>
              <w:t>）在试运转试验完成之前不能进行最终运行测试。</w:t>
            </w:r>
          </w:p>
          <w:p>
            <w:pPr>
              <w:pStyle w:val="11"/>
              <w:spacing w:line="360" w:lineRule="auto"/>
              <w:ind w:left="523"/>
              <w:rPr>
                <w:color w:val="auto"/>
                <w:lang w:eastAsia="zh-CN"/>
              </w:rPr>
            </w:pPr>
            <w:r>
              <w:rPr>
                <w:rFonts w:cs="宋体"/>
                <w:color w:val="auto"/>
                <w:spacing w:val="-2"/>
                <w:lang w:eastAsia="zh-CN"/>
              </w:rPr>
              <w:t>（14）在启动测试完成前不可进行最终运行测试。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line="360" w:lineRule="auto"/>
              <w:rPr>
                <w:rFonts w:ascii="宋体" w:hAnsi="宋体" w:eastAsia="宋体" w:cs="宋体"/>
                <w:color w:val="auto"/>
                <w:spacing w:val="-2"/>
                <w:sz w:val="21"/>
                <w:szCs w:val="21"/>
                <w:lang w:eastAsia="zh-CN"/>
              </w:rPr>
            </w:pPr>
            <w:r>
              <w:rPr>
                <w:rFonts w:hint="eastAsia" w:ascii="宋体" w:hAnsi="宋体" w:eastAsia="宋体" w:cs="宋体"/>
                <w:b/>
                <w:bCs/>
                <w:color w:val="auto"/>
                <w:sz w:val="21"/>
                <w:szCs w:val="21"/>
                <w:lang w:eastAsia="zh-CN"/>
              </w:rPr>
              <w:t>指导总调试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pStyle w:val="11"/>
              <w:spacing w:before="170" w:line="360" w:lineRule="auto"/>
              <w:ind w:left="103" w:right="97" w:firstLine="419"/>
              <w:jc w:val="both"/>
              <w:rPr>
                <w:color w:val="auto"/>
                <w:lang w:eastAsia="zh-CN"/>
              </w:rPr>
            </w:pPr>
            <w:r>
              <w:rPr>
                <w:color w:val="auto"/>
                <w:spacing w:val="-4"/>
                <w:lang w:eastAsia="zh-CN"/>
              </w:rPr>
              <w:t>（</w:t>
            </w:r>
            <w:r>
              <w:rPr>
                <w:rFonts w:cs="宋体"/>
                <w:color w:val="auto"/>
                <w:spacing w:val="-4"/>
                <w:lang w:eastAsia="zh-CN"/>
              </w:rPr>
              <w:t>1</w:t>
            </w:r>
            <w:r>
              <w:rPr>
                <w:color w:val="auto"/>
                <w:spacing w:val="-4"/>
                <w:lang w:eastAsia="zh-CN"/>
              </w:rPr>
              <w:t>）最终调试必须在采购人批准最终调试计划之后进行。如试验证明设备机械性</w:t>
            </w:r>
            <w:r>
              <w:rPr>
                <w:color w:val="auto"/>
                <w:lang w:eastAsia="zh-CN"/>
              </w:rPr>
              <w:t>能满足要求，采购人在</w:t>
            </w:r>
            <w:r>
              <w:rPr>
                <w:rFonts w:cs="宋体"/>
                <w:color w:val="auto"/>
                <w:lang w:eastAsia="zh-CN"/>
              </w:rPr>
              <w:t>3</w:t>
            </w:r>
            <w:r>
              <w:rPr>
                <w:color w:val="auto"/>
                <w:lang w:eastAsia="zh-CN"/>
              </w:rPr>
              <w:t>日之前通知承包人在正常条件下指导设备进行试验。承包人应该做到：</w:t>
            </w:r>
          </w:p>
          <w:p>
            <w:pPr>
              <w:pStyle w:val="11"/>
              <w:spacing w:before="54" w:line="360" w:lineRule="auto"/>
              <w:ind w:left="103" w:right="96" w:firstLine="419"/>
              <w:rPr>
                <w:color w:val="auto"/>
                <w:lang w:eastAsia="zh-CN"/>
              </w:rPr>
            </w:pPr>
            <w:r>
              <w:rPr>
                <w:rFonts w:cs="宋体"/>
                <w:color w:val="auto"/>
                <w:spacing w:val="-4"/>
                <w:lang w:eastAsia="zh-CN"/>
              </w:rPr>
              <w:t>1</w:t>
            </w:r>
            <w:r>
              <w:rPr>
                <w:color w:val="auto"/>
                <w:spacing w:val="-4"/>
                <w:lang w:eastAsia="zh-CN"/>
              </w:rPr>
              <w:t>）与采购人和为同一目的的工作的其它供货商就设备试验和交付有关事宜进行各</w:t>
            </w:r>
            <w:r>
              <w:rPr>
                <w:color w:val="auto"/>
                <w:lang w:eastAsia="zh-CN"/>
              </w:rPr>
              <w:t>方面的合作。</w:t>
            </w:r>
          </w:p>
          <w:p>
            <w:pPr>
              <w:pStyle w:val="11"/>
              <w:spacing w:before="57" w:line="360" w:lineRule="auto"/>
              <w:ind w:left="523"/>
              <w:rPr>
                <w:color w:val="auto"/>
                <w:lang w:eastAsia="zh-CN"/>
              </w:rPr>
            </w:pPr>
            <w:r>
              <w:rPr>
                <w:rFonts w:cs="宋体"/>
                <w:color w:val="auto"/>
                <w:lang w:eastAsia="zh-CN"/>
              </w:rPr>
              <w:t>2)</w:t>
            </w:r>
            <w:r>
              <w:rPr>
                <w:color w:val="auto"/>
                <w:lang w:eastAsia="zh-CN"/>
              </w:rPr>
              <w:t>对装置的运转和安全负完全责任。</w:t>
            </w:r>
          </w:p>
          <w:p>
            <w:pPr>
              <w:pStyle w:val="11"/>
              <w:spacing w:line="360" w:lineRule="auto"/>
              <w:ind w:left="523"/>
              <w:rPr>
                <w:color w:val="auto"/>
                <w:lang w:eastAsia="zh-CN"/>
              </w:rPr>
            </w:pPr>
            <w:r>
              <w:rPr>
                <w:rFonts w:cs="宋体"/>
                <w:color w:val="auto"/>
                <w:lang w:eastAsia="zh-CN"/>
              </w:rPr>
              <w:t>3)</w:t>
            </w:r>
            <w:r>
              <w:rPr>
                <w:color w:val="auto"/>
                <w:lang w:eastAsia="zh-CN"/>
              </w:rPr>
              <w:t>确保所有的装置在投入运行前处于安全和正常的工作状态。</w:t>
            </w:r>
          </w:p>
          <w:p>
            <w:pPr>
              <w:pStyle w:val="11"/>
              <w:spacing w:line="360" w:lineRule="auto"/>
              <w:ind w:left="103" w:right="106" w:firstLine="314"/>
              <w:jc w:val="both"/>
              <w:rPr>
                <w:color w:val="auto"/>
                <w:lang w:eastAsia="zh-CN"/>
              </w:rPr>
            </w:pPr>
            <w:r>
              <w:rPr>
                <w:color w:val="auto"/>
                <w:spacing w:val="-2"/>
                <w:lang w:eastAsia="zh-CN"/>
              </w:rPr>
              <w:t>（</w:t>
            </w:r>
            <w:r>
              <w:rPr>
                <w:rFonts w:cs="宋体"/>
                <w:color w:val="auto"/>
                <w:spacing w:val="-2"/>
                <w:lang w:eastAsia="zh-CN"/>
              </w:rPr>
              <w:t>2</w:t>
            </w:r>
            <w:r>
              <w:rPr>
                <w:color w:val="auto"/>
                <w:spacing w:val="-2"/>
                <w:lang w:eastAsia="zh-CN"/>
              </w:rPr>
              <w:t>）所有装置和设备的调试均应按照合同中所规定的有关要求及采购人批准的调试计划和制造厂商的要求进行。合同中的每一装置只有在完全安装好，并通过调试证</w:t>
            </w:r>
            <w:r>
              <w:rPr>
                <w:color w:val="auto"/>
                <w:lang w:eastAsia="zh-CN"/>
              </w:rPr>
              <w:t>明已满足技术规范和图纸的要求后，采购人才能接收。</w:t>
            </w:r>
          </w:p>
          <w:p>
            <w:pPr>
              <w:pStyle w:val="11"/>
              <w:spacing w:before="59" w:line="360" w:lineRule="auto"/>
              <w:ind w:left="417"/>
              <w:rPr>
                <w:color w:val="auto"/>
                <w:lang w:eastAsia="zh-CN"/>
              </w:rPr>
            </w:pPr>
            <w:r>
              <w:rPr>
                <w:color w:val="auto"/>
                <w:lang w:eastAsia="zh-CN"/>
              </w:rPr>
              <w:t>（</w:t>
            </w:r>
            <w:r>
              <w:rPr>
                <w:rFonts w:cs="宋体"/>
                <w:color w:val="auto"/>
                <w:lang w:eastAsia="zh-CN"/>
              </w:rPr>
              <w:t>3</w:t>
            </w:r>
            <w:r>
              <w:rPr>
                <w:color w:val="auto"/>
                <w:lang w:eastAsia="zh-CN"/>
              </w:rPr>
              <w:t>）为采购人提供所有性能试验数据和结果。</w:t>
            </w:r>
          </w:p>
          <w:p>
            <w:pPr>
              <w:pStyle w:val="11"/>
              <w:spacing w:line="360" w:lineRule="auto"/>
              <w:ind w:left="103" w:right="99" w:firstLine="314"/>
              <w:jc w:val="both"/>
              <w:rPr>
                <w:color w:val="auto"/>
                <w:lang w:eastAsia="zh-CN"/>
              </w:rPr>
            </w:pPr>
            <w:r>
              <w:rPr>
                <w:color w:val="auto"/>
                <w:spacing w:val="-2"/>
                <w:lang w:eastAsia="zh-CN"/>
              </w:rPr>
              <w:t>（</w:t>
            </w:r>
            <w:r>
              <w:rPr>
                <w:rFonts w:cs="宋体"/>
                <w:color w:val="auto"/>
                <w:spacing w:val="-2"/>
                <w:lang w:eastAsia="zh-CN"/>
              </w:rPr>
              <w:t>4</w:t>
            </w:r>
            <w:r>
              <w:rPr>
                <w:color w:val="auto"/>
                <w:spacing w:val="-2"/>
                <w:lang w:eastAsia="zh-CN"/>
              </w:rPr>
              <w:t>）承包人应负责为符合每个合同规定的性能参数而可能采取任何合同装置或设</w:t>
            </w:r>
            <w:r>
              <w:rPr>
                <w:color w:val="auto"/>
                <w:lang w:eastAsia="zh-CN"/>
              </w:rPr>
              <w:t>备进行改变或变更的费用。应负责对设计图纸和操作手册进行修正。</w:t>
            </w:r>
          </w:p>
          <w:p>
            <w:pPr>
              <w:pStyle w:val="11"/>
              <w:spacing w:before="59" w:line="360" w:lineRule="auto"/>
              <w:ind w:left="103" w:right="108" w:firstLine="314"/>
              <w:jc w:val="both"/>
              <w:rPr>
                <w:color w:val="auto"/>
                <w:lang w:eastAsia="zh-CN"/>
              </w:rPr>
            </w:pPr>
            <w:r>
              <w:rPr>
                <w:color w:val="auto"/>
                <w:lang w:eastAsia="zh-CN"/>
              </w:rPr>
              <w:t>（</w:t>
            </w:r>
            <w:r>
              <w:rPr>
                <w:rFonts w:cs="宋体"/>
                <w:color w:val="auto"/>
                <w:lang w:eastAsia="zh-CN"/>
              </w:rPr>
              <w:t>5</w:t>
            </w:r>
            <w:r>
              <w:rPr>
                <w:color w:val="auto"/>
                <w:lang w:eastAsia="zh-CN"/>
              </w:rPr>
              <w:t>）应为污泥干化车间运行的</w:t>
            </w:r>
            <w:r>
              <w:rPr>
                <w:rFonts w:cs="宋体"/>
                <w:color w:val="auto"/>
                <w:lang w:eastAsia="zh-CN"/>
              </w:rPr>
              <w:t>PLC</w:t>
            </w:r>
            <w:r>
              <w:rPr>
                <w:color w:val="auto"/>
                <w:lang w:eastAsia="zh-CN"/>
              </w:rPr>
              <w:t>提供软件。如果需要，还必须提供试运转所需的其它特殊软件。</w:t>
            </w:r>
          </w:p>
          <w:p>
            <w:pPr>
              <w:pStyle w:val="11"/>
              <w:spacing w:before="55" w:line="360" w:lineRule="auto"/>
              <w:ind w:left="103" w:right="108" w:firstLine="314"/>
              <w:jc w:val="both"/>
              <w:rPr>
                <w:color w:val="auto"/>
                <w:lang w:eastAsia="zh-CN"/>
              </w:rPr>
            </w:pPr>
            <w:r>
              <w:rPr>
                <w:color w:val="auto"/>
                <w:spacing w:val="-2"/>
                <w:lang w:eastAsia="zh-CN"/>
              </w:rPr>
              <w:t>（</w:t>
            </w:r>
            <w:r>
              <w:rPr>
                <w:rFonts w:cs="宋体"/>
                <w:color w:val="auto"/>
                <w:spacing w:val="-2"/>
                <w:lang w:eastAsia="zh-CN"/>
              </w:rPr>
              <w:t>6</w:t>
            </w:r>
            <w:r>
              <w:rPr>
                <w:color w:val="auto"/>
                <w:spacing w:val="-2"/>
                <w:lang w:eastAsia="zh-CN"/>
              </w:rPr>
              <w:t>）应向采购人提交一份在交付和试运行中拟采用的计量措施一览表。应包括计</w:t>
            </w:r>
            <w:r>
              <w:rPr>
                <w:color w:val="auto"/>
                <w:lang w:eastAsia="zh-CN"/>
              </w:rPr>
              <w:t>量方法、建议采用的仪器及其精确等级。</w:t>
            </w:r>
          </w:p>
          <w:p>
            <w:pPr>
              <w:pStyle w:val="11"/>
              <w:spacing w:before="57" w:line="360" w:lineRule="auto"/>
              <w:ind w:left="103" w:right="108" w:firstLine="314"/>
              <w:jc w:val="both"/>
              <w:rPr>
                <w:color w:val="auto"/>
                <w:lang w:eastAsia="zh-CN"/>
              </w:rPr>
            </w:pPr>
            <w:r>
              <w:rPr>
                <w:color w:val="auto"/>
                <w:spacing w:val="-2"/>
                <w:lang w:eastAsia="zh-CN"/>
              </w:rPr>
              <w:t>（</w:t>
            </w:r>
            <w:r>
              <w:rPr>
                <w:rFonts w:cs="宋体"/>
                <w:color w:val="auto"/>
                <w:spacing w:val="-2"/>
                <w:lang w:eastAsia="zh-CN"/>
              </w:rPr>
              <w:t>7</w:t>
            </w:r>
            <w:r>
              <w:rPr>
                <w:color w:val="auto"/>
                <w:spacing w:val="-2"/>
                <w:lang w:eastAsia="zh-CN"/>
              </w:rPr>
              <w:t>）验收试验最多进行三次，如系统满足技术规范的要求，采购人将以书面形式</w:t>
            </w:r>
            <w:r>
              <w:rPr>
                <w:color w:val="auto"/>
                <w:lang w:eastAsia="zh-CN"/>
              </w:rPr>
              <w:t>建议正式接收设备或系统。</w:t>
            </w:r>
          </w:p>
          <w:p>
            <w:pPr>
              <w:pStyle w:val="11"/>
              <w:spacing w:before="59" w:line="360" w:lineRule="auto"/>
              <w:ind w:left="523" w:right="843" w:hanging="106"/>
              <w:rPr>
                <w:color w:val="auto"/>
                <w:lang w:eastAsia="zh-CN"/>
              </w:rPr>
            </w:pPr>
            <w:r>
              <w:rPr>
                <w:color w:val="auto"/>
                <w:lang w:eastAsia="zh-CN"/>
              </w:rPr>
              <w:t>（</w:t>
            </w:r>
            <w:r>
              <w:rPr>
                <w:rFonts w:cs="宋体"/>
                <w:color w:val="auto"/>
                <w:lang w:eastAsia="zh-CN"/>
              </w:rPr>
              <w:t>8</w:t>
            </w:r>
            <w:r>
              <w:rPr>
                <w:color w:val="auto"/>
                <w:lang w:eastAsia="zh-CN"/>
              </w:rPr>
              <w:t>）性能测试应至少包括如下内容：</w:t>
            </w:r>
          </w:p>
          <w:p>
            <w:pPr>
              <w:pStyle w:val="11"/>
              <w:spacing w:before="59" w:line="360" w:lineRule="auto"/>
              <w:ind w:left="523" w:right="843"/>
              <w:rPr>
                <w:rFonts w:cs="宋体"/>
                <w:color w:val="auto"/>
                <w:lang w:eastAsia="zh-CN"/>
              </w:rPr>
            </w:pPr>
            <w:r>
              <w:rPr>
                <w:rFonts w:cs="宋体"/>
                <w:color w:val="auto"/>
                <w:lang w:eastAsia="zh-CN"/>
              </w:rPr>
              <w:t>1</w:t>
            </w:r>
            <w:r>
              <w:rPr>
                <w:color w:val="auto"/>
                <w:lang w:eastAsia="zh-CN"/>
              </w:rPr>
              <w:t>）测试轴承温度和温升</w:t>
            </w:r>
            <w:r>
              <w:rPr>
                <w:rFonts w:cs="宋体"/>
                <w:color w:val="auto"/>
                <w:lang w:eastAsia="zh-CN"/>
              </w:rPr>
              <w:t>(</w:t>
            </w:r>
            <w:r>
              <w:rPr>
                <w:color w:val="auto"/>
                <w:lang w:eastAsia="zh-CN"/>
              </w:rPr>
              <w:t>在设备运行</w:t>
            </w:r>
            <w:r>
              <w:rPr>
                <w:rFonts w:cs="宋体"/>
                <w:color w:val="auto"/>
                <w:lang w:eastAsia="zh-CN"/>
              </w:rPr>
              <w:t>8</w:t>
            </w:r>
            <w:r>
              <w:rPr>
                <w:color w:val="auto"/>
                <w:lang w:eastAsia="zh-CN"/>
              </w:rPr>
              <w:t>小时后直接测量轴承外圈的温度</w:t>
            </w:r>
            <w:r>
              <w:rPr>
                <w:rFonts w:cs="宋体"/>
                <w:color w:val="auto"/>
                <w:lang w:eastAsia="zh-CN"/>
              </w:rPr>
              <w:t>)</w:t>
            </w:r>
          </w:p>
          <w:p>
            <w:pPr>
              <w:pStyle w:val="11"/>
              <w:spacing w:before="54" w:line="360" w:lineRule="auto"/>
              <w:ind w:left="523"/>
              <w:rPr>
                <w:color w:val="auto"/>
                <w:lang w:eastAsia="zh-CN"/>
              </w:rPr>
            </w:pPr>
            <w:r>
              <w:rPr>
                <w:rFonts w:cs="宋体"/>
                <w:color w:val="auto"/>
                <w:lang w:eastAsia="zh-CN"/>
              </w:rPr>
              <w:t>2</w:t>
            </w:r>
            <w:r>
              <w:rPr>
                <w:color w:val="auto"/>
                <w:lang w:eastAsia="zh-CN"/>
              </w:rPr>
              <w:t>）混合性能均匀性</w:t>
            </w:r>
          </w:p>
          <w:p>
            <w:pPr>
              <w:pStyle w:val="11"/>
              <w:spacing w:line="360" w:lineRule="auto"/>
              <w:ind w:left="523"/>
              <w:rPr>
                <w:color w:val="auto"/>
                <w:lang w:eastAsia="zh-CN"/>
              </w:rPr>
            </w:pPr>
            <w:r>
              <w:rPr>
                <w:rFonts w:cs="宋体"/>
                <w:color w:val="auto"/>
                <w:lang w:eastAsia="zh-CN"/>
              </w:rPr>
              <w:t>3</w:t>
            </w:r>
            <w:r>
              <w:rPr>
                <w:color w:val="auto"/>
                <w:lang w:eastAsia="zh-CN"/>
              </w:rPr>
              <w:t>）干化后的污泥含固率</w:t>
            </w:r>
          </w:p>
          <w:p>
            <w:pPr>
              <w:pStyle w:val="11"/>
              <w:spacing w:line="360" w:lineRule="auto"/>
              <w:ind w:left="523"/>
              <w:rPr>
                <w:color w:val="auto"/>
                <w:lang w:eastAsia="zh-CN"/>
              </w:rPr>
            </w:pPr>
            <w:r>
              <w:rPr>
                <w:rFonts w:cs="宋体"/>
                <w:color w:val="auto"/>
                <w:lang w:eastAsia="zh-CN"/>
              </w:rPr>
              <w:t>4</w:t>
            </w:r>
            <w:r>
              <w:rPr>
                <w:color w:val="auto"/>
                <w:lang w:eastAsia="zh-CN"/>
              </w:rPr>
              <w:t>）设备的生产能力（变化范围）</w:t>
            </w:r>
          </w:p>
          <w:p>
            <w:pPr>
              <w:pStyle w:val="11"/>
              <w:spacing w:line="360" w:lineRule="auto"/>
              <w:ind w:left="523"/>
              <w:rPr>
                <w:color w:val="auto"/>
                <w:lang w:eastAsia="zh-CN"/>
              </w:rPr>
            </w:pPr>
            <w:r>
              <w:rPr>
                <w:rFonts w:cs="宋体"/>
                <w:color w:val="auto"/>
                <w:lang w:eastAsia="zh-CN"/>
              </w:rPr>
              <w:t>5</w:t>
            </w:r>
            <w:r>
              <w:rPr>
                <w:color w:val="auto"/>
                <w:lang w:eastAsia="zh-CN"/>
              </w:rPr>
              <w:t>）绝缘电阻</w:t>
            </w:r>
          </w:p>
          <w:p>
            <w:pPr>
              <w:pStyle w:val="11"/>
              <w:spacing w:line="360" w:lineRule="auto"/>
              <w:ind w:left="523"/>
              <w:rPr>
                <w:color w:val="auto"/>
                <w:lang w:eastAsia="zh-CN"/>
              </w:rPr>
            </w:pPr>
            <w:r>
              <w:rPr>
                <w:rFonts w:cs="宋体"/>
                <w:color w:val="auto"/>
                <w:lang w:eastAsia="zh-CN"/>
              </w:rPr>
              <w:t>6</w:t>
            </w:r>
            <w:r>
              <w:rPr>
                <w:color w:val="auto"/>
                <w:lang w:eastAsia="zh-CN"/>
              </w:rPr>
              <w:t>）系统的密封性</w:t>
            </w:r>
          </w:p>
          <w:p>
            <w:pPr>
              <w:pStyle w:val="11"/>
              <w:spacing w:line="360" w:lineRule="auto"/>
              <w:ind w:left="523"/>
              <w:rPr>
                <w:color w:val="auto"/>
                <w:lang w:eastAsia="zh-CN"/>
              </w:rPr>
            </w:pPr>
            <w:r>
              <w:rPr>
                <w:rFonts w:cs="宋体"/>
                <w:color w:val="auto"/>
                <w:lang w:eastAsia="zh-CN"/>
              </w:rPr>
              <w:t>7</w:t>
            </w:r>
            <w:r>
              <w:rPr>
                <w:color w:val="auto"/>
                <w:lang w:eastAsia="zh-CN"/>
              </w:rPr>
              <w:t>）各个排放指标是否满足标准规范要求</w:t>
            </w:r>
          </w:p>
          <w:p>
            <w:pPr>
              <w:pStyle w:val="11"/>
              <w:spacing w:line="360" w:lineRule="auto"/>
              <w:ind w:left="523"/>
              <w:rPr>
                <w:color w:val="auto"/>
                <w:lang w:eastAsia="zh-CN"/>
              </w:rPr>
            </w:pPr>
            <w:r>
              <w:rPr>
                <w:rFonts w:cs="宋体"/>
                <w:color w:val="auto"/>
                <w:lang w:eastAsia="zh-CN"/>
              </w:rPr>
              <w:t>8</w:t>
            </w:r>
            <w:r>
              <w:rPr>
                <w:color w:val="auto"/>
                <w:lang w:eastAsia="zh-CN"/>
              </w:rPr>
              <w:t>）药剂消耗量</w:t>
            </w:r>
          </w:p>
          <w:p>
            <w:pPr>
              <w:pStyle w:val="11"/>
              <w:spacing w:line="360" w:lineRule="auto"/>
              <w:ind w:left="523"/>
              <w:rPr>
                <w:color w:val="auto"/>
                <w:lang w:eastAsia="zh-CN"/>
              </w:rPr>
            </w:pPr>
            <w:r>
              <w:rPr>
                <w:rFonts w:cs="宋体"/>
                <w:color w:val="auto"/>
                <w:lang w:eastAsia="zh-CN"/>
              </w:rPr>
              <w:t>9</w:t>
            </w:r>
            <w:r>
              <w:rPr>
                <w:color w:val="auto"/>
                <w:lang w:eastAsia="zh-CN"/>
              </w:rPr>
              <w:t>）耗电量</w:t>
            </w:r>
          </w:p>
          <w:p>
            <w:pPr>
              <w:pStyle w:val="11"/>
              <w:spacing w:line="360" w:lineRule="auto"/>
              <w:ind w:left="523"/>
              <w:rPr>
                <w:color w:val="auto"/>
                <w:lang w:eastAsia="zh-CN"/>
              </w:rPr>
            </w:pPr>
            <w:r>
              <w:rPr>
                <w:rFonts w:cs="宋体"/>
                <w:color w:val="auto"/>
                <w:lang w:eastAsia="zh-CN"/>
              </w:rPr>
              <w:t>10</w:t>
            </w:r>
            <w:r>
              <w:rPr>
                <w:color w:val="auto"/>
                <w:lang w:eastAsia="zh-CN"/>
              </w:rPr>
              <w:t>）耗水量</w:t>
            </w:r>
          </w:p>
          <w:p>
            <w:pPr>
              <w:pStyle w:val="11"/>
              <w:spacing w:line="360" w:lineRule="auto"/>
              <w:ind w:left="523"/>
              <w:rPr>
                <w:color w:val="auto"/>
                <w:lang w:eastAsia="zh-CN"/>
              </w:rPr>
            </w:pPr>
            <w:r>
              <w:rPr>
                <w:rFonts w:cs="宋体"/>
                <w:color w:val="auto"/>
                <w:lang w:eastAsia="zh-CN"/>
              </w:rPr>
              <w:t>11</w:t>
            </w:r>
            <w:r>
              <w:rPr>
                <w:color w:val="auto"/>
                <w:lang w:eastAsia="zh-CN"/>
              </w:rPr>
              <w:t>）控制和监测仪表的准确性</w:t>
            </w:r>
          </w:p>
          <w:p>
            <w:pPr>
              <w:pStyle w:val="11"/>
              <w:spacing w:line="360" w:lineRule="auto"/>
              <w:ind w:left="523"/>
              <w:rPr>
                <w:color w:val="auto"/>
                <w:lang w:eastAsia="zh-CN"/>
              </w:rPr>
            </w:pPr>
            <w:r>
              <w:rPr>
                <w:rFonts w:cs="宋体"/>
                <w:color w:val="auto"/>
                <w:lang w:eastAsia="zh-CN"/>
              </w:rPr>
              <w:t>12</w:t>
            </w:r>
            <w:r>
              <w:rPr>
                <w:color w:val="auto"/>
                <w:lang w:eastAsia="zh-CN"/>
              </w:rPr>
              <w:t>）系统控制的连锁性</w:t>
            </w:r>
          </w:p>
          <w:p>
            <w:pPr>
              <w:pStyle w:val="11"/>
              <w:spacing w:line="360" w:lineRule="auto"/>
              <w:ind w:left="523"/>
              <w:rPr>
                <w:color w:val="auto"/>
                <w:lang w:eastAsia="zh-CN"/>
              </w:rPr>
            </w:pPr>
            <w:r>
              <w:rPr>
                <w:rFonts w:cs="宋体"/>
                <w:color w:val="auto"/>
                <w:lang w:eastAsia="zh-CN"/>
              </w:rPr>
              <w:t>13</w:t>
            </w:r>
            <w:r>
              <w:rPr>
                <w:color w:val="auto"/>
                <w:lang w:eastAsia="zh-CN"/>
              </w:rPr>
              <w:t>）系统的安全性及卫生状况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line="360" w:lineRule="auto"/>
              <w:rPr>
                <w:rFonts w:ascii="宋体" w:hAnsi="宋体" w:eastAsia="宋体" w:cs="宋体"/>
                <w:color w:val="auto"/>
                <w:sz w:val="21"/>
                <w:szCs w:val="21"/>
                <w:lang w:eastAsia="zh-CN"/>
              </w:rPr>
            </w:pPr>
            <w:r>
              <w:rPr>
                <w:rFonts w:ascii="宋体" w:hAnsi="宋体" w:eastAsia="宋体" w:cs="宋体"/>
                <w:b/>
                <w:bCs/>
                <w:color w:val="auto"/>
                <w:sz w:val="21"/>
                <w:szCs w:val="21"/>
                <w:lang w:eastAsia="zh-CN"/>
              </w:rPr>
              <w:t>最终运行试验未通过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pStyle w:val="11"/>
              <w:spacing w:line="360" w:lineRule="auto"/>
              <w:ind w:left="103" w:right="106" w:firstLine="419"/>
              <w:rPr>
                <w:color w:val="auto"/>
                <w:lang w:eastAsia="zh-CN"/>
              </w:rPr>
            </w:pPr>
            <w:r>
              <w:rPr>
                <w:color w:val="auto"/>
                <w:spacing w:val="-2"/>
                <w:lang w:eastAsia="zh-CN"/>
              </w:rPr>
              <w:t>（</w:t>
            </w:r>
            <w:r>
              <w:rPr>
                <w:rFonts w:cs="宋体"/>
                <w:color w:val="auto"/>
                <w:spacing w:val="-2"/>
                <w:lang w:eastAsia="zh-CN"/>
              </w:rPr>
              <w:t>1)</w:t>
            </w:r>
            <w:r>
              <w:rPr>
                <w:color w:val="auto"/>
                <w:spacing w:val="-2"/>
                <w:lang w:eastAsia="zh-CN"/>
              </w:rPr>
              <w:t>如果采购人确定性能试验的结果不能满足给定的要求，采购人将通知投标人</w:t>
            </w:r>
            <w:r>
              <w:rPr>
                <w:color w:val="auto"/>
                <w:lang w:eastAsia="zh-CN"/>
              </w:rPr>
              <w:t>性能不予接收。</w:t>
            </w:r>
          </w:p>
          <w:p>
            <w:pPr>
              <w:pStyle w:val="11"/>
              <w:spacing w:before="57" w:line="360" w:lineRule="auto"/>
              <w:ind w:left="103" w:right="-5" w:firstLine="419"/>
              <w:rPr>
                <w:color w:val="auto"/>
                <w:lang w:eastAsia="zh-CN"/>
              </w:rPr>
            </w:pPr>
            <w:r>
              <w:rPr>
                <w:color w:val="auto"/>
                <w:spacing w:val="-5"/>
                <w:lang w:eastAsia="zh-CN"/>
              </w:rPr>
              <w:t>（</w:t>
            </w:r>
            <w:r>
              <w:rPr>
                <w:rFonts w:cs="宋体"/>
                <w:color w:val="auto"/>
                <w:spacing w:val="-5"/>
                <w:lang w:eastAsia="zh-CN"/>
              </w:rPr>
              <w:t>2)</w:t>
            </w:r>
            <w:r>
              <w:rPr>
                <w:color w:val="auto"/>
                <w:spacing w:val="-5"/>
                <w:lang w:eastAsia="zh-CN"/>
              </w:rPr>
              <w:t>如性能不被接受，承包人应在</w:t>
            </w:r>
            <w:r>
              <w:rPr>
                <w:rFonts w:cs="宋体"/>
                <w:color w:val="auto"/>
                <w:lang w:eastAsia="zh-CN"/>
              </w:rPr>
              <w:t>30</w:t>
            </w:r>
            <w:r>
              <w:rPr>
                <w:color w:val="auto"/>
                <w:spacing w:val="-9"/>
                <w:lang w:eastAsia="zh-CN"/>
              </w:rPr>
              <w:t>天内进行附加试验，调整、改动、增添设备，</w:t>
            </w:r>
            <w:r>
              <w:rPr>
                <w:color w:val="auto"/>
                <w:lang w:eastAsia="zh-CN"/>
              </w:rPr>
              <w:t>并请求对未接受设备进行重新试验。</w:t>
            </w:r>
          </w:p>
          <w:p>
            <w:pPr>
              <w:pStyle w:val="11"/>
              <w:spacing w:before="59" w:line="360" w:lineRule="auto"/>
              <w:ind w:left="103" w:right="106" w:firstLine="419"/>
              <w:rPr>
                <w:color w:val="auto"/>
                <w:lang w:eastAsia="zh-CN"/>
              </w:rPr>
            </w:pPr>
            <w:r>
              <w:rPr>
                <w:color w:val="auto"/>
                <w:spacing w:val="-2"/>
                <w:lang w:eastAsia="zh-CN"/>
              </w:rPr>
              <w:t>（</w:t>
            </w:r>
            <w:r>
              <w:rPr>
                <w:rFonts w:cs="宋体"/>
                <w:color w:val="auto"/>
                <w:spacing w:val="-2"/>
                <w:lang w:eastAsia="zh-CN"/>
              </w:rPr>
              <w:t>3)</w:t>
            </w:r>
            <w:r>
              <w:rPr>
                <w:color w:val="auto"/>
                <w:spacing w:val="-2"/>
                <w:lang w:eastAsia="zh-CN"/>
              </w:rPr>
              <w:t>如果经修改设备仍不能满足设计和技术规范的性能要求，承包人应根据双方</w:t>
            </w:r>
            <w:r>
              <w:rPr>
                <w:color w:val="auto"/>
                <w:lang w:eastAsia="zh-CN"/>
              </w:rPr>
              <w:t>商定的时间内，更换一个满足要求的设备，为此采购人不支付任何费用。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spacing w:line="360" w:lineRule="auto"/>
              <w:rPr>
                <w:color w:val="auto"/>
                <w:spacing w:val="-2"/>
                <w:sz w:val="21"/>
                <w:szCs w:val="21"/>
                <w:lang w:eastAsia="zh-CN"/>
              </w:rPr>
            </w:pPr>
            <w:r>
              <w:rPr>
                <w:rFonts w:hint="eastAsia" w:ascii="宋体" w:hAnsi="宋体" w:eastAsia="宋体" w:cs="宋体"/>
                <w:b/>
                <w:bCs/>
                <w:color w:val="auto"/>
                <w:sz w:val="21"/>
                <w:szCs w:val="21"/>
                <w:lang w:eastAsia="zh-CN"/>
              </w:rPr>
              <w:t>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pStyle w:val="11"/>
              <w:spacing w:before="55" w:line="360" w:lineRule="auto"/>
              <w:ind w:left="523" w:right="-3" w:hanging="8"/>
              <w:rPr>
                <w:color w:val="auto"/>
                <w:lang w:eastAsia="zh-CN"/>
              </w:rPr>
            </w:pPr>
            <w:r>
              <w:rPr>
                <w:color w:val="auto"/>
                <w:spacing w:val="-5"/>
                <w:lang w:eastAsia="zh-CN"/>
              </w:rPr>
              <w:t>在验收期间，试验最多进行三次，功能保证试验成功完成，并满足各项指标要求，</w:t>
            </w:r>
          </w:p>
          <w:p>
            <w:pPr>
              <w:pStyle w:val="11"/>
              <w:spacing w:line="360" w:lineRule="auto"/>
              <w:ind w:left="103" w:right="106" w:firstLine="419"/>
              <w:rPr>
                <w:color w:val="auto"/>
                <w:spacing w:val="-2"/>
                <w:lang w:eastAsia="zh-CN"/>
              </w:rPr>
            </w:pPr>
            <w:r>
              <w:rPr>
                <w:color w:val="auto"/>
                <w:spacing w:val="-2"/>
                <w:lang w:eastAsia="zh-CN"/>
              </w:rPr>
              <w:t>采购人将发给承包人验收合格证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pStyle w:val="11"/>
              <w:spacing w:before="55" w:line="360" w:lineRule="auto"/>
              <w:ind w:left="0" w:right="-3"/>
              <w:jc w:val="both"/>
              <w:rPr>
                <w:color w:val="auto"/>
                <w:spacing w:val="-5"/>
                <w:lang w:eastAsia="zh-CN"/>
              </w:rPr>
            </w:pPr>
            <w:r>
              <w:rPr>
                <w:rFonts w:cs="宋体"/>
                <w:b/>
                <w:bCs/>
                <w:color w:val="auto"/>
                <w:lang w:eastAsia="zh-CN"/>
              </w:rPr>
              <w:t>备品备件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36" w:type="dxa"/>
            <w:vAlign w:val="center"/>
          </w:tcPr>
          <w:p>
            <w:pPr>
              <w:pStyle w:val="11"/>
              <w:spacing w:before="59" w:line="360" w:lineRule="auto"/>
              <w:ind w:left="103" w:right="96" w:firstLine="419"/>
              <w:jc w:val="both"/>
              <w:rPr>
                <w:color w:val="auto"/>
                <w:lang w:eastAsia="zh-CN"/>
              </w:rPr>
            </w:pPr>
            <w:r>
              <w:rPr>
                <w:rFonts w:cs="宋体"/>
                <w:color w:val="auto"/>
                <w:spacing w:val="-4"/>
                <w:lang w:eastAsia="zh-CN"/>
              </w:rPr>
              <w:t>1</w:t>
            </w:r>
            <w:r>
              <w:rPr>
                <w:color w:val="auto"/>
                <w:spacing w:val="-4"/>
                <w:lang w:eastAsia="zh-CN"/>
              </w:rPr>
              <w:t>、承包人应提供全套用于保证污泥干化系统及其所有辅助系统设备一年正常运行</w:t>
            </w:r>
            <w:r>
              <w:rPr>
                <w:color w:val="auto"/>
                <w:spacing w:val="-7"/>
                <w:lang w:eastAsia="zh-CN"/>
              </w:rPr>
              <w:t>的维护保养及修理的工具（含设备安装所需要的特殊工具）、易损件及备件、附件，在</w:t>
            </w:r>
            <w:r>
              <w:rPr>
                <w:color w:val="auto"/>
                <w:spacing w:val="-2"/>
                <w:lang w:eastAsia="zh-CN"/>
              </w:rPr>
              <w:t>投标文件中提交详细列明品种、规格、数量和材料的备品备件清单，并保证备品备件具有互换性，供采购人选择确认。在投标报价表中单独列出清单，并单独报价。备件及工具价格计入投标总价。备品备件应满足设备安装验收后三年之内连续正常运转所必需数量。招标人有权在不改变投标单价的情况下，决定所购买的工具、备件和附件</w:t>
            </w:r>
          </w:p>
          <w:p>
            <w:pPr>
              <w:pStyle w:val="11"/>
              <w:spacing w:before="59" w:line="360" w:lineRule="auto"/>
              <w:ind w:left="103"/>
              <w:rPr>
                <w:color w:val="auto"/>
                <w:lang w:eastAsia="zh-CN"/>
              </w:rPr>
            </w:pPr>
            <w:r>
              <w:rPr>
                <w:color w:val="auto"/>
                <w:lang w:eastAsia="zh-CN"/>
              </w:rPr>
              <w:t>的品种和数量。</w:t>
            </w:r>
          </w:p>
          <w:p>
            <w:pPr>
              <w:pStyle w:val="11"/>
              <w:spacing w:before="170" w:line="360" w:lineRule="auto"/>
              <w:ind w:left="103" w:right="101" w:firstLine="419"/>
              <w:jc w:val="both"/>
              <w:rPr>
                <w:color w:val="auto"/>
                <w:lang w:eastAsia="zh-CN"/>
              </w:rPr>
            </w:pPr>
            <w:r>
              <w:rPr>
                <w:rFonts w:cs="宋体"/>
                <w:color w:val="auto"/>
                <w:spacing w:val="-5"/>
                <w:lang w:eastAsia="zh-CN"/>
              </w:rPr>
              <w:t>2</w:t>
            </w:r>
            <w:r>
              <w:rPr>
                <w:color w:val="auto"/>
                <w:spacing w:val="-5"/>
                <w:lang w:eastAsia="zh-CN"/>
              </w:rPr>
              <w:t>、如设备维修和保养需要特殊专用工具，则需提供至少两套工具；另根据工作需</w:t>
            </w:r>
            <w:r>
              <w:rPr>
                <w:color w:val="auto"/>
                <w:spacing w:val="-2"/>
                <w:lang w:eastAsia="zh-CN"/>
              </w:rPr>
              <w:t>要提供至少一套通用维修工具。维修工具应放置在专用工具包内。维修工具的价格计</w:t>
            </w:r>
            <w:r>
              <w:rPr>
                <w:color w:val="auto"/>
                <w:lang w:eastAsia="zh-CN"/>
              </w:rPr>
              <w:t>入投标报价。</w:t>
            </w:r>
          </w:p>
          <w:p>
            <w:pPr>
              <w:pStyle w:val="11"/>
              <w:spacing w:before="54" w:line="360" w:lineRule="auto"/>
              <w:ind w:left="103" w:right="99" w:firstLine="419"/>
              <w:jc w:val="both"/>
              <w:rPr>
                <w:color w:val="auto"/>
                <w:lang w:eastAsia="zh-CN"/>
              </w:rPr>
            </w:pPr>
            <w:r>
              <w:rPr>
                <w:rFonts w:cs="宋体"/>
                <w:color w:val="auto"/>
                <w:spacing w:val="-5"/>
                <w:lang w:eastAsia="zh-CN"/>
              </w:rPr>
              <w:t>3</w:t>
            </w:r>
            <w:r>
              <w:rPr>
                <w:color w:val="auto"/>
                <w:spacing w:val="-5"/>
                <w:lang w:eastAsia="zh-CN"/>
              </w:rPr>
              <w:t>、附件、备件和工具应是新的、从未使用过，并应与设备同时交付给采购人，除</w:t>
            </w:r>
            <w:r>
              <w:rPr>
                <w:color w:val="auto"/>
                <w:spacing w:val="-2"/>
                <w:lang w:eastAsia="zh-CN"/>
              </w:rPr>
              <w:t>非采购人特殊要求，投标人应示范工具与附件的使用方法。执行合同所需的附件、工</w:t>
            </w:r>
            <w:r>
              <w:rPr>
                <w:color w:val="auto"/>
                <w:lang w:eastAsia="zh-CN"/>
              </w:rPr>
              <w:t>具和备件由承包人提供。</w:t>
            </w:r>
          </w:p>
          <w:p>
            <w:pPr>
              <w:pStyle w:val="11"/>
              <w:spacing w:before="54" w:line="360" w:lineRule="auto"/>
              <w:ind w:left="103" w:right="96" w:firstLine="419"/>
              <w:jc w:val="both"/>
              <w:rPr>
                <w:color w:val="auto"/>
                <w:lang w:eastAsia="zh-CN"/>
              </w:rPr>
            </w:pPr>
            <w:r>
              <w:rPr>
                <w:rFonts w:cs="宋体"/>
                <w:color w:val="auto"/>
                <w:spacing w:val="-4"/>
                <w:lang w:eastAsia="zh-CN"/>
              </w:rPr>
              <w:t>4</w:t>
            </w:r>
            <w:r>
              <w:rPr>
                <w:color w:val="auto"/>
                <w:spacing w:val="-4"/>
                <w:lang w:eastAsia="zh-CN"/>
              </w:rPr>
              <w:t>、在取得验收证书之前，承包人应更换或修理好由于投标人原因造成的磨损或损</w:t>
            </w:r>
            <w:r>
              <w:rPr>
                <w:color w:val="auto"/>
                <w:lang w:eastAsia="zh-CN"/>
              </w:rPr>
              <w:t>坏的部件。</w:t>
            </w:r>
          </w:p>
          <w:p>
            <w:pPr>
              <w:pStyle w:val="11"/>
              <w:spacing w:before="57" w:line="360" w:lineRule="auto"/>
              <w:ind w:left="103" w:right="96" w:firstLine="419"/>
              <w:jc w:val="both"/>
              <w:rPr>
                <w:color w:val="auto"/>
                <w:lang w:eastAsia="zh-CN"/>
              </w:rPr>
            </w:pPr>
            <w:r>
              <w:rPr>
                <w:rFonts w:cs="宋体"/>
                <w:color w:val="auto"/>
                <w:spacing w:val="-4"/>
                <w:lang w:eastAsia="zh-CN"/>
              </w:rPr>
              <w:t>5</w:t>
            </w:r>
            <w:r>
              <w:rPr>
                <w:color w:val="auto"/>
                <w:spacing w:val="-4"/>
                <w:lang w:eastAsia="zh-CN"/>
              </w:rPr>
              <w:t>、备件和附件应与主要设备分开包装，或置于设计为在规定的环境条件下能保存</w:t>
            </w:r>
            <w:r>
              <w:rPr>
                <w:color w:val="auto"/>
                <w:spacing w:val="-2"/>
                <w:lang w:eastAsia="zh-CN"/>
              </w:rPr>
              <w:t>很长时间的箱子内。任何不能按照以上方式包装的部件则应涂装临时保护层以防腐，并避免机械损害。备品备件的包装和保护应能保证其长期存放而不变质，并应有简要</w:t>
            </w:r>
            <w:r>
              <w:rPr>
                <w:color w:val="auto"/>
                <w:lang w:eastAsia="zh-CN"/>
              </w:rPr>
              <w:t>的描述和明显的标志，易于识别。</w:t>
            </w:r>
          </w:p>
          <w:p>
            <w:pPr>
              <w:pStyle w:val="11"/>
              <w:spacing w:before="56" w:line="360" w:lineRule="auto"/>
              <w:ind w:left="103" w:right="99" w:firstLine="419"/>
              <w:jc w:val="both"/>
              <w:rPr>
                <w:color w:val="auto"/>
                <w:lang w:eastAsia="zh-CN"/>
              </w:rPr>
            </w:pPr>
            <w:r>
              <w:rPr>
                <w:rFonts w:cs="宋体"/>
                <w:color w:val="auto"/>
                <w:spacing w:val="-4"/>
                <w:lang w:eastAsia="zh-CN"/>
              </w:rPr>
              <w:t>6</w:t>
            </w:r>
            <w:r>
              <w:rPr>
                <w:color w:val="auto"/>
                <w:spacing w:val="-4"/>
                <w:lang w:eastAsia="zh-CN"/>
              </w:rPr>
              <w:t>、法兰、密封垫、管接头、螺栓和螺母、电缆接头、接线箱等所有附件均包括在</w:t>
            </w:r>
            <w:r>
              <w:rPr>
                <w:color w:val="auto"/>
                <w:lang w:eastAsia="zh-CN"/>
              </w:rPr>
              <w:t>供货范围内。所有连接件应按</w:t>
            </w:r>
            <w:r>
              <w:rPr>
                <w:rFonts w:cs="宋体"/>
                <w:color w:val="auto"/>
                <w:lang w:eastAsia="zh-CN"/>
              </w:rPr>
              <w:t>ISO</w:t>
            </w:r>
            <w:r>
              <w:rPr>
                <w:color w:val="auto"/>
                <w:lang w:eastAsia="zh-CN"/>
              </w:rPr>
              <w:t>标准制造，所有附件的材料、密封垫片的厚度应确保其密封性、耐用性、耐腐蚀和抗老化。密封垫应适当剪切，无多余边露出法兰。</w:t>
            </w:r>
          </w:p>
          <w:p>
            <w:pPr>
              <w:pStyle w:val="11"/>
              <w:spacing w:before="55" w:line="360" w:lineRule="auto"/>
              <w:ind w:left="103" w:right="96" w:firstLine="419"/>
              <w:jc w:val="both"/>
              <w:rPr>
                <w:color w:val="auto"/>
                <w:lang w:eastAsia="zh-CN"/>
              </w:rPr>
            </w:pPr>
            <w:r>
              <w:rPr>
                <w:rFonts w:cs="宋体"/>
                <w:color w:val="auto"/>
                <w:spacing w:val="-4"/>
                <w:lang w:eastAsia="zh-CN"/>
              </w:rPr>
              <w:t>7</w:t>
            </w:r>
            <w:r>
              <w:rPr>
                <w:color w:val="auto"/>
                <w:spacing w:val="-4"/>
                <w:lang w:eastAsia="zh-CN"/>
              </w:rPr>
              <w:t>、在设备调试、试运行期间及质量保证期内如果由于设备缺陷或卖方原因造成设</w:t>
            </w:r>
            <w:r>
              <w:rPr>
                <w:color w:val="auto"/>
                <w:spacing w:val="-2"/>
                <w:lang w:eastAsia="zh-CN"/>
              </w:rPr>
              <w:t>备零部件磨损和损坏，承包人应免费负责更换。如果所提供备件数量和品种不能满足</w:t>
            </w:r>
            <w:r>
              <w:rPr>
                <w:color w:val="auto"/>
                <w:lang w:eastAsia="zh-CN"/>
              </w:rPr>
              <w:t>系统设备一年正常运行所需，则应免费补充齐全。</w:t>
            </w:r>
          </w:p>
        </w:tc>
      </w:tr>
    </w:tbl>
    <w:p>
      <w:pPr>
        <w:pStyle w:val="30"/>
        <w:spacing w:before="120" w:after="120"/>
        <w:rPr>
          <w:color w:val="auto"/>
        </w:rPr>
      </w:pPr>
      <w:bookmarkStart w:id="275" w:name="_Toc117181379"/>
      <w:r>
        <w:rPr>
          <w:rFonts w:hint="eastAsia"/>
          <w:color w:val="auto"/>
        </w:rPr>
        <w:t>加药间及仓库</w:t>
      </w:r>
      <w:bookmarkEnd w:id="275"/>
    </w:p>
    <w:tbl>
      <w:tblPr>
        <w:tblStyle w:val="23"/>
        <w:tblW w:w="8733"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2067"/>
        <w:gridCol w:w="2321"/>
        <w:gridCol w:w="522"/>
        <w:gridCol w:w="737"/>
        <w:gridCol w:w="2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72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序号</w:t>
            </w:r>
          </w:p>
        </w:tc>
        <w:tc>
          <w:tcPr>
            <w:tcW w:w="2067"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名称</w:t>
            </w:r>
          </w:p>
        </w:tc>
        <w:tc>
          <w:tcPr>
            <w:tcW w:w="2321"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规格</w:t>
            </w:r>
          </w:p>
        </w:tc>
        <w:tc>
          <w:tcPr>
            <w:tcW w:w="52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单位</w:t>
            </w:r>
          </w:p>
        </w:tc>
        <w:tc>
          <w:tcPr>
            <w:tcW w:w="737"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数量</w:t>
            </w:r>
          </w:p>
        </w:tc>
        <w:tc>
          <w:tcPr>
            <w:tcW w:w="236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72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2067"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次氯酸钠计量泵</w:t>
            </w:r>
          </w:p>
        </w:tc>
        <w:tc>
          <w:tcPr>
            <w:tcW w:w="2321"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Q=400L/h，H=0.4MPa，P=0.55kW，手调流量范围：10～100％</w:t>
            </w:r>
          </w:p>
        </w:tc>
        <w:tc>
          <w:tcPr>
            <w:tcW w:w="52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台</w:t>
            </w:r>
          </w:p>
        </w:tc>
        <w:tc>
          <w:tcPr>
            <w:tcW w:w="737"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236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1用1备，消毒池消毒，加药间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72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2067"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次氯酸钠计量泵</w:t>
            </w:r>
          </w:p>
        </w:tc>
        <w:tc>
          <w:tcPr>
            <w:tcW w:w="2321"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Q=100L/h，H=0.4MPa，P=0.55kW，手调流量范围：10～100％</w:t>
            </w:r>
          </w:p>
        </w:tc>
        <w:tc>
          <w:tcPr>
            <w:tcW w:w="52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台</w:t>
            </w:r>
          </w:p>
        </w:tc>
        <w:tc>
          <w:tcPr>
            <w:tcW w:w="737"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236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1用1备，再生水补，，加药间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72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rPr>
              <w:t>1</w:t>
            </w:r>
          </w:p>
        </w:tc>
        <w:tc>
          <w:tcPr>
            <w:tcW w:w="2067"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rPr>
              <w:t>乙酸钠计量泵</w:t>
            </w:r>
          </w:p>
        </w:tc>
        <w:tc>
          <w:tcPr>
            <w:tcW w:w="2321"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rPr>
              <w:t>Q=500L/h</w:t>
            </w:r>
            <w:r>
              <w:rPr>
                <w:rFonts w:ascii="Times New Roman" w:hAnsi="Times New Roman" w:cs="Times New Roman"/>
                <w:color w:val="auto"/>
                <w:sz w:val="21"/>
                <w:szCs w:val="21"/>
                <w:lang w:eastAsia="zh-CN"/>
              </w:rPr>
              <w:t>，</w:t>
            </w:r>
            <w:r>
              <w:rPr>
                <w:rFonts w:ascii="Times New Roman" w:hAnsi="Times New Roman" w:cs="Times New Roman"/>
                <w:color w:val="auto"/>
                <w:sz w:val="21"/>
                <w:szCs w:val="21"/>
              </w:rPr>
              <w:t>H=0.4MPa，P=0.55kW，手调流量范围：10～100％</w:t>
            </w:r>
          </w:p>
        </w:tc>
        <w:tc>
          <w:tcPr>
            <w:tcW w:w="52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rPr>
              <w:t>台</w:t>
            </w:r>
          </w:p>
        </w:tc>
        <w:tc>
          <w:tcPr>
            <w:tcW w:w="737"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rPr>
              <w:t>2</w:t>
            </w:r>
          </w:p>
        </w:tc>
        <w:tc>
          <w:tcPr>
            <w:tcW w:w="236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1用1备，生化池补充碳源，加药间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72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rPr>
              <w:t>2</w:t>
            </w:r>
          </w:p>
        </w:tc>
        <w:tc>
          <w:tcPr>
            <w:tcW w:w="2067"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rPr>
              <w:t>混凝剂隔膜计量泵</w:t>
            </w:r>
          </w:p>
        </w:tc>
        <w:tc>
          <w:tcPr>
            <w:tcW w:w="2321"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rPr>
              <w:t>Q=600L/h，H=60m，P=4kw</w:t>
            </w:r>
          </w:p>
        </w:tc>
        <w:tc>
          <w:tcPr>
            <w:tcW w:w="52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rPr>
              <w:t>台</w:t>
            </w:r>
          </w:p>
        </w:tc>
        <w:tc>
          <w:tcPr>
            <w:tcW w:w="737"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rPr>
              <w:t>3</w:t>
            </w:r>
          </w:p>
        </w:tc>
        <w:tc>
          <w:tcPr>
            <w:tcW w:w="236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2用1备，生化池补充混凝剂，加药间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72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rPr>
              <w:t>3</w:t>
            </w:r>
          </w:p>
        </w:tc>
        <w:tc>
          <w:tcPr>
            <w:tcW w:w="2067"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rPr>
              <w:t>混凝剂隔膜计量泵</w:t>
            </w:r>
          </w:p>
        </w:tc>
        <w:tc>
          <w:tcPr>
            <w:tcW w:w="2321"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rPr>
              <w:t>Q=200L/h，H=60m，P=4kw</w:t>
            </w:r>
          </w:p>
        </w:tc>
        <w:tc>
          <w:tcPr>
            <w:tcW w:w="52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rPr>
              <w:t>台</w:t>
            </w:r>
          </w:p>
        </w:tc>
        <w:tc>
          <w:tcPr>
            <w:tcW w:w="737"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rPr>
              <w:t>2</w:t>
            </w:r>
          </w:p>
        </w:tc>
        <w:tc>
          <w:tcPr>
            <w:tcW w:w="236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1用1备，污泥干化，加药间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72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4</w:t>
            </w:r>
          </w:p>
        </w:tc>
        <w:tc>
          <w:tcPr>
            <w:tcW w:w="2067" w:type="dxa"/>
            <w:shd w:val="clear" w:color="auto" w:fill="auto"/>
            <w:vAlign w:val="center"/>
          </w:tcPr>
          <w:p>
            <w:pPr>
              <w:widowControl/>
              <w:jc w:val="center"/>
              <w:rPr>
                <w:rFonts w:ascii="Times New Roman" w:hAnsi="Times New Roman" w:cs="Times New Roman"/>
                <w:color w:val="auto"/>
                <w:sz w:val="21"/>
                <w:szCs w:val="21"/>
              </w:rPr>
            </w:pPr>
            <w:r>
              <w:rPr>
                <w:rFonts w:ascii="Times New Roman" w:hAnsi="Times New Roman" w:cs="Times New Roman"/>
                <w:color w:val="auto"/>
                <w:sz w:val="21"/>
                <w:szCs w:val="21"/>
              </w:rPr>
              <w:t>次氯酸钠计量泵</w:t>
            </w:r>
          </w:p>
        </w:tc>
        <w:tc>
          <w:tcPr>
            <w:tcW w:w="2321" w:type="dxa"/>
            <w:shd w:val="clear" w:color="auto" w:fill="auto"/>
            <w:vAlign w:val="center"/>
          </w:tcPr>
          <w:p>
            <w:pPr>
              <w:widowControl/>
              <w:jc w:val="center"/>
              <w:rPr>
                <w:rFonts w:ascii="Times New Roman" w:hAnsi="Times New Roman" w:cs="Times New Roman"/>
                <w:color w:val="auto"/>
                <w:sz w:val="21"/>
                <w:szCs w:val="21"/>
              </w:rPr>
            </w:pPr>
            <w:r>
              <w:rPr>
                <w:rFonts w:ascii="Times New Roman" w:hAnsi="Times New Roman" w:cs="Times New Roman"/>
                <w:color w:val="auto"/>
                <w:sz w:val="21"/>
                <w:szCs w:val="21"/>
              </w:rPr>
              <w:t>Q=400L/h，H=0.4MPa，P=0.55kW，手调流量范围：10～100％</w:t>
            </w:r>
          </w:p>
        </w:tc>
        <w:tc>
          <w:tcPr>
            <w:tcW w:w="522" w:type="dxa"/>
            <w:shd w:val="clear" w:color="auto" w:fill="auto"/>
            <w:vAlign w:val="center"/>
          </w:tcPr>
          <w:p>
            <w:pPr>
              <w:widowControl/>
              <w:jc w:val="center"/>
              <w:rPr>
                <w:rFonts w:ascii="Times New Roman" w:hAnsi="Times New Roman" w:cs="Times New Roman"/>
                <w:color w:val="auto"/>
                <w:sz w:val="21"/>
                <w:szCs w:val="21"/>
              </w:rPr>
            </w:pPr>
            <w:r>
              <w:rPr>
                <w:rFonts w:ascii="Times New Roman" w:hAnsi="Times New Roman" w:cs="Times New Roman"/>
                <w:color w:val="auto"/>
                <w:sz w:val="21"/>
                <w:szCs w:val="21"/>
              </w:rPr>
              <w:t>台</w:t>
            </w:r>
          </w:p>
        </w:tc>
        <w:tc>
          <w:tcPr>
            <w:tcW w:w="737" w:type="dxa"/>
            <w:shd w:val="clear" w:color="auto" w:fill="auto"/>
            <w:vAlign w:val="center"/>
          </w:tcPr>
          <w:p>
            <w:pPr>
              <w:widowControl/>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236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1用1备，消毒池消毒，仓库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72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5</w:t>
            </w:r>
          </w:p>
        </w:tc>
        <w:tc>
          <w:tcPr>
            <w:tcW w:w="2067" w:type="dxa"/>
            <w:shd w:val="clear" w:color="auto" w:fill="auto"/>
            <w:vAlign w:val="center"/>
          </w:tcPr>
          <w:p>
            <w:pPr>
              <w:widowControl/>
              <w:jc w:val="center"/>
              <w:rPr>
                <w:rFonts w:ascii="Times New Roman" w:hAnsi="Times New Roman" w:cs="Times New Roman"/>
                <w:color w:val="auto"/>
                <w:sz w:val="21"/>
                <w:szCs w:val="21"/>
              </w:rPr>
            </w:pPr>
            <w:r>
              <w:rPr>
                <w:rFonts w:ascii="Times New Roman" w:hAnsi="Times New Roman" w:cs="Times New Roman"/>
                <w:color w:val="auto"/>
                <w:sz w:val="21"/>
                <w:szCs w:val="21"/>
              </w:rPr>
              <w:t>次氯酸钠计量泵</w:t>
            </w:r>
          </w:p>
        </w:tc>
        <w:tc>
          <w:tcPr>
            <w:tcW w:w="2321" w:type="dxa"/>
            <w:shd w:val="clear" w:color="auto" w:fill="auto"/>
            <w:vAlign w:val="center"/>
          </w:tcPr>
          <w:p>
            <w:pPr>
              <w:widowControl/>
              <w:jc w:val="center"/>
              <w:rPr>
                <w:rFonts w:ascii="Times New Roman" w:hAnsi="Times New Roman" w:cs="Times New Roman"/>
                <w:color w:val="auto"/>
                <w:sz w:val="21"/>
                <w:szCs w:val="21"/>
              </w:rPr>
            </w:pPr>
            <w:r>
              <w:rPr>
                <w:rFonts w:ascii="Times New Roman" w:hAnsi="Times New Roman" w:cs="Times New Roman"/>
                <w:color w:val="auto"/>
                <w:sz w:val="21"/>
                <w:szCs w:val="21"/>
              </w:rPr>
              <w:t>Q=100L/h，H=0.4MPa，P=0.55kW，手调流量范围：10～100％</w:t>
            </w:r>
          </w:p>
        </w:tc>
        <w:tc>
          <w:tcPr>
            <w:tcW w:w="522" w:type="dxa"/>
            <w:shd w:val="clear" w:color="auto" w:fill="auto"/>
            <w:vAlign w:val="center"/>
          </w:tcPr>
          <w:p>
            <w:pPr>
              <w:widowControl/>
              <w:jc w:val="center"/>
              <w:rPr>
                <w:rFonts w:ascii="Times New Roman" w:hAnsi="Times New Roman" w:cs="Times New Roman"/>
                <w:color w:val="auto"/>
                <w:sz w:val="21"/>
                <w:szCs w:val="21"/>
              </w:rPr>
            </w:pPr>
            <w:r>
              <w:rPr>
                <w:rFonts w:ascii="Times New Roman" w:hAnsi="Times New Roman" w:cs="Times New Roman"/>
                <w:color w:val="auto"/>
                <w:sz w:val="21"/>
                <w:szCs w:val="21"/>
              </w:rPr>
              <w:t>台</w:t>
            </w:r>
          </w:p>
        </w:tc>
        <w:tc>
          <w:tcPr>
            <w:tcW w:w="737" w:type="dxa"/>
            <w:shd w:val="clear" w:color="auto" w:fill="auto"/>
            <w:vAlign w:val="center"/>
          </w:tcPr>
          <w:p>
            <w:pPr>
              <w:widowControl/>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236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1用1备，再生水补氯，仓库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8733" w:type="dxa"/>
            <w:gridSpan w:val="6"/>
            <w:shd w:val="clear" w:color="auto" w:fill="auto"/>
            <w:vAlign w:val="center"/>
          </w:tcPr>
          <w:p>
            <w:pPr>
              <w:pStyle w:val="29"/>
              <w:ind w:firstLine="0" w:firstLineChars="0"/>
              <w:rPr>
                <w:b/>
                <w:bCs/>
                <w:color w:val="auto"/>
                <w:sz w:val="21"/>
                <w:szCs w:val="20"/>
              </w:rPr>
            </w:pPr>
            <w:r>
              <w:rPr>
                <w:rFonts w:hint="eastAsia"/>
                <w:b/>
                <w:bCs/>
                <w:color w:val="auto"/>
                <w:sz w:val="21"/>
                <w:szCs w:val="20"/>
              </w:rPr>
              <w:t>设备描述及技术要求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8733" w:type="dxa"/>
            <w:gridSpan w:val="6"/>
            <w:shd w:val="clear" w:color="auto" w:fill="auto"/>
            <w:vAlign w:val="center"/>
          </w:tcPr>
          <w:p>
            <w:pPr>
              <w:pStyle w:val="29"/>
              <w:ind w:firstLine="412"/>
              <w:rPr>
                <w:color w:val="auto"/>
                <w:sz w:val="21"/>
                <w:szCs w:val="20"/>
              </w:rPr>
            </w:pPr>
            <w:r>
              <w:rPr>
                <w:rFonts w:hint="eastAsia"/>
                <w:color w:val="auto"/>
                <w:sz w:val="21"/>
                <w:szCs w:val="20"/>
              </w:rPr>
              <w:t>1)</w:t>
            </w:r>
            <w:r>
              <w:rPr>
                <w:rFonts w:hint="eastAsia"/>
                <w:color w:val="auto"/>
                <w:sz w:val="21"/>
                <w:szCs w:val="20"/>
              </w:rPr>
              <w:tab/>
            </w:r>
            <w:r>
              <w:rPr>
                <w:rFonts w:hint="eastAsia"/>
                <w:color w:val="auto"/>
                <w:sz w:val="21"/>
                <w:szCs w:val="20"/>
              </w:rPr>
              <w:t>★数字隔膜计量泵为流量可调型隔膜计量泵，泵的流量可在0-100%范围内实现在运行时连续调节，计量精度应达±1%及以上。</w:t>
            </w:r>
          </w:p>
          <w:p>
            <w:pPr>
              <w:pStyle w:val="29"/>
              <w:ind w:firstLine="412"/>
              <w:rPr>
                <w:color w:val="auto"/>
                <w:sz w:val="21"/>
                <w:szCs w:val="20"/>
              </w:rPr>
            </w:pPr>
            <w:r>
              <w:rPr>
                <w:rFonts w:hint="eastAsia"/>
                <w:color w:val="auto"/>
                <w:sz w:val="21"/>
                <w:szCs w:val="20"/>
              </w:rPr>
              <w:t>2)</w:t>
            </w:r>
            <w:r>
              <w:rPr>
                <w:rFonts w:hint="eastAsia"/>
                <w:color w:val="auto"/>
                <w:sz w:val="21"/>
                <w:szCs w:val="20"/>
              </w:rPr>
              <w:tab/>
            </w:r>
            <w:r>
              <w:rPr>
                <w:rFonts w:hint="eastAsia"/>
                <w:color w:val="auto"/>
                <w:sz w:val="21"/>
                <w:szCs w:val="20"/>
              </w:rPr>
              <w:t>★数字隔膜计量泵配置一个步进电机作为驱动器，内置控制系统，可实现远程和就地控制，无需外接变频器/伺服马达。通过自动调节步进电机的转速来调节排出速度。泵始终在满冲程长度下运行，不论设定流量的大小都能提供最佳的计量精度，调节比率1:800及以上。</w:t>
            </w:r>
          </w:p>
          <w:p>
            <w:pPr>
              <w:pStyle w:val="29"/>
              <w:ind w:firstLine="412"/>
              <w:rPr>
                <w:color w:val="auto"/>
                <w:sz w:val="21"/>
                <w:szCs w:val="20"/>
              </w:rPr>
            </w:pPr>
            <w:r>
              <w:rPr>
                <w:rFonts w:hint="eastAsia"/>
                <w:color w:val="auto"/>
                <w:sz w:val="21"/>
                <w:szCs w:val="20"/>
              </w:rPr>
              <w:t>3)</w:t>
            </w:r>
            <w:r>
              <w:rPr>
                <w:rFonts w:hint="eastAsia"/>
                <w:color w:val="auto"/>
                <w:sz w:val="21"/>
                <w:szCs w:val="20"/>
              </w:rPr>
              <w:tab/>
            </w:r>
            <w:r>
              <w:rPr>
                <w:rFonts w:hint="eastAsia"/>
                <w:color w:val="auto"/>
                <w:sz w:val="21"/>
                <w:szCs w:val="20"/>
              </w:rPr>
              <w:t>▲计量泵的过液端由隔膜、单向球阀、泵头外壳等组成。泵头材料为PP/ PVDF；外壳材料：PPE/PS 20 % gf（聚丙乙烯/苯乙烯）；密封垫材质：FKM；单向球阀材料为：陶瓷；隔膜：双层全PTFE隔膜。</w:t>
            </w:r>
          </w:p>
          <w:p>
            <w:pPr>
              <w:pStyle w:val="29"/>
              <w:ind w:firstLine="412"/>
              <w:rPr>
                <w:color w:val="auto"/>
                <w:sz w:val="21"/>
                <w:szCs w:val="20"/>
              </w:rPr>
            </w:pPr>
            <w:r>
              <w:rPr>
                <w:rFonts w:hint="eastAsia"/>
                <w:color w:val="auto"/>
                <w:sz w:val="21"/>
                <w:szCs w:val="20"/>
              </w:rPr>
              <w:t>4)</w:t>
            </w:r>
            <w:r>
              <w:rPr>
                <w:rFonts w:hint="eastAsia"/>
                <w:color w:val="auto"/>
                <w:sz w:val="21"/>
                <w:szCs w:val="20"/>
              </w:rPr>
              <w:tab/>
            </w:r>
            <w:r>
              <w:rPr>
                <w:rFonts w:hint="eastAsia"/>
                <w:color w:val="auto"/>
                <w:sz w:val="21"/>
                <w:szCs w:val="20"/>
              </w:rPr>
              <w:t>▲隔膜泵的泵头配置排气阀、进、出口球阀组件；采用易拆装的进出口单向阀组件设计，在进行检修时,无需拆除进出口管道即可将阀导、阀球、阀座取出，便于对阀组件进行清洗及维护。</w:t>
            </w:r>
          </w:p>
          <w:p>
            <w:pPr>
              <w:pStyle w:val="29"/>
              <w:ind w:firstLine="412"/>
              <w:rPr>
                <w:color w:val="auto"/>
                <w:sz w:val="21"/>
                <w:szCs w:val="20"/>
              </w:rPr>
            </w:pPr>
            <w:r>
              <w:rPr>
                <w:rFonts w:hint="eastAsia"/>
                <w:color w:val="auto"/>
                <w:sz w:val="21"/>
                <w:szCs w:val="20"/>
              </w:rPr>
              <w:t>5)</w:t>
            </w:r>
            <w:r>
              <w:rPr>
                <w:rFonts w:hint="eastAsia"/>
                <w:color w:val="auto"/>
                <w:sz w:val="21"/>
                <w:szCs w:val="20"/>
              </w:rPr>
              <w:tab/>
            </w:r>
            <w:r>
              <w:rPr>
                <w:rFonts w:hint="eastAsia"/>
                <w:color w:val="auto"/>
                <w:sz w:val="21"/>
                <w:szCs w:val="20"/>
              </w:rPr>
              <w:t>▲抗气蚀功能：计量泵应具备吸入慢速模式功能。选择慢速的时候，泵应延长吸入冲程并平缓吸入冲程，使得吸入冲程更加柔缓，满足药剂含气情况。</w:t>
            </w:r>
          </w:p>
          <w:p>
            <w:pPr>
              <w:pStyle w:val="29"/>
              <w:ind w:firstLine="412"/>
              <w:rPr>
                <w:b/>
                <w:bCs/>
                <w:color w:val="auto"/>
                <w:sz w:val="21"/>
                <w:szCs w:val="20"/>
              </w:rPr>
            </w:pPr>
            <w:r>
              <w:rPr>
                <w:rFonts w:hint="eastAsia"/>
                <w:color w:val="auto"/>
                <w:sz w:val="21"/>
                <w:szCs w:val="20"/>
              </w:rPr>
              <w:t>6)</w:t>
            </w:r>
            <w:r>
              <w:rPr>
                <w:rFonts w:hint="eastAsia"/>
                <w:color w:val="auto"/>
                <w:sz w:val="21"/>
                <w:szCs w:val="20"/>
              </w:rPr>
              <w:tab/>
            </w:r>
            <w:r>
              <w:rPr>
                <w:rFonts w:hint="eastAsia"/>
                <w:color w:val="auto"/>
                <w:sz w:val="21"/>
                <w:szCs w:val="20"/>
              </w:rPr>
              <w:t>▲隔膜计量泵运行时，泵的噪音不高于80 dB(A)，轴承温度不高于65℃，无异常振动，各密封处没有泄漏。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8733" w:type="dxa"/>
            <w:gridSpan w:val="6"/>
            <w:shd w:val="clear" w:color="auto" w:fill="auto"/>
            <w:vAlign w:val="center"/>
          </w:tcPr>
          <w:p>
            <w:pPr>
              <w:pStyle w:val="29"/>
              <w:ind w:firstLine="0" w:firstLineChars="0"/>
              <w:rPr>
                <w:b/>
                <w:bCs/>
                <w:color w:val="auto"/>
                <w:sz w:val="21"/>
                <w:szCs w:val="20"/>
              </w:rPr>
            </w:pPr>
            <w:r>
              <w:rPr>
                <w:rFonts w:hint="eastAsia"/>
                <w:b/>
                <w:bCs/>
                <w:color w:val="auto"/>
                <w:sz w:val="21"/>
                <w:szCs w:val="20"/>
              </w:rPr>
              <w:t>系统附件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8733" w:type="dxa"/>
            <w:gridSpan w:val="6"/>
            <w:shd w:val="clear" w:color="auto" w:fill="auto"/>
            <w:vAlign w:val="center"/>
          </w:tcPr>
          <w:p>
            <w:pPr>
              <w:pStyle w:val="29"/>
              <w:ind w:firstLine="414"/>
              <w:rPr>
                <w:b/>
                <w:bCs/>
                <w:color w:val="auto"/>
                <w:sz w:val="21"/>
                <w:szCs w:val="20"/>
              </w:rPr>
            </w:pPr>
            <w:r>
              <w:rPr>
                <w:rFonts w:hint="eastAsia"/>
                <w:b/>
                <w:bCs/>
                <w:color w:val="auto"/>
                <w:sz w:val="21"/>
                <w:szCs w:val="20"/>
              </w:rPr>
              <w:t>1)</w:t>
            </w:r>
            <w:r>
              <w:rPr>
                <w:rFonts w:hint="eastAsia"/>
                <w:b/>
                <w:bCs/>
                <w:color w:val="auto"/>
                <w:sz w:val="21"/>
                <w:szCs w:val="20"/>
              </w:rPr>
              <w:tab/>
            </w:r>
            <w:r>
              <w:rPr>
                <w:rFonts w:hint="eastAsia"/>
                <w:b/>
                <w:bCs/>
                <w:color w:val="auto"/>
                <w:sz w:val="21"/>
                <w:szCs w:val="20"/>
              </w:rPr>
              <w:t>脉冲阻尼器</w:t>
            </w:r>
          </w:p>
          <w:p>
            <w:pPr>
              <w:pStyle w:val="29"/>
              <w:ind w:firstLine="412"/>
              <w:rPr>
                <w:color w:val="auto"/>
                <w:sz w:val="21"/>
                <w:szCs w:val="20"/>
              </w:rPr>
            </w:pPr>
            <w:r>
              <w:rPr>
                <w:rFonts w:hint="eastAsia"/>
                <w:color w:val="auto"/>
                <w:sz w:val="21"/>
                <w:szCs w:val="20"/>
              </w:rPr>
              <w:t>脉冲阻尼器采用PVC外壳，圆柱外形，螺纹连接。气囊上室预充压缩空气，标准预充压力为计量泵工作压力的60%。经脉冲阻尼器平滑后，可实现5%~10%的阻尼缓冲。形成近似线性的流体特性，增加进料的平稳性，并消除因脉冲可能引起的振动对计量泵和系统造成的伤害。</w:t>
            </w:r>
          </w:p>
          <w:p>
            <w:pPr>
              <w:pStyle w:val="29"/>
              <w:ind w:firstLine="412"/>
              <w:rPr>
                <w:color w:val="auto"/>
                <w:sz w:val="21"/>
                <w:szCs w:val="20"/>
              </w:rPr>
            </w:pPr>
            <w:r>
              <w:rPr>
                <w:rFonts w:hint="eastAsia"/>
                <w:color w:val="auto"/>
                <w:sz w:val="21"/>
                <w:szCs w:val="20"/>
              </w:rPr>
              <w:t>最大使用压力：10bar</w:t>
            </w:r>
          </w:p>
          <w:p>
            <w:pPr>
              <w:pStyle w:val="29"/>
              <w:ind w:firstLine="414"/>
              <w:rPr>
                <w:b/>
                <w:bCs/>
                <w:color w:val="auto"/>
                <w:sz w:val="21"/>
                <w:szCs w:val="20"/>
              </w:rPr>
            </w:pPr>
            <w:r>
              <w:rPr>
                <w:rFonts w:hint="eastAsia"/>
                <w:b/>
                <w:bCs/>
                <w:color w:val="auto"/>
                <w:sz w:val="21"/>
                <w:szCs w:val="20"/>
              </w:rPr>
              <w:t>2)</w:t>
            </w:r>
            <w:r>
              <w:rPr>
                <w:rFonts w:hint="eastAsia"/>
                <w:b/>
                <w:bCs/>
                <w:color w:val="auto"/>
                <w:sz w:val="21"/>
                <w:szCs w:val="20"/>
              </w:rPr>
              <w:tab/>
            </w:r>
            <w:r>
              <w:rPr>
                <w:rFonts w:hint="eastAsia"/>
                <w:b/>
                <w:bCs/>
                <w:color w:val="auto"/>
                <w:sz w:val="21"/>
                <w:szCs w:val="20"/>
              </w:rPr>
              <w:t>背压阀</w:t>
            </w:r>
          </w:p>
          <w:p>
            <w:pPr>
              <w:pStyle w:val="29"/>
              <w:ind w:firstLine="412"/>
              <w:rPr>
                <w:color w:val="auto"/>
                <w:sz w:val="21"/>
                <w:szCs w:val="20"/>
              </w:rPr>
            </w:pPr>
            <w:r>
              <w:rPr>
                <w:rFonts w:hint="eastAsia"/>
                <w:color w:val="auto"/>
                <w:sz w:val="21"/>
                <w:szCs w:val="20"/>
              </w:rPr>
              <w:t>在泵的出口侧安装背压阀可对泵产生恒定的背压，保证计量泵加药系统进料量的准确性，防止超压；同脉冲阻尼器一同使用可消除进料液的脉冲，增加进料的平稳性。</w:t>
            </w:r>
          </w:p>
          <w:p>
            <w:pPr>
              <w:pStyle w:val="29"/>
              <w:ind w:firstLine="412"/>
              <w:rPr>
                <w:color w:val="auto"/>
                <w:sz w:val="21"/>
                <w:szCs w:val="20"/>
              </w:rPr>
            </w:pPr>
            <w:r>
              <w:rPr>
                <w:rFonts w:hint="eastAsia"/>
                <w:color w:val="auto"/>
                <w:sz w:val="21"/>
                <w:szCs w:val="20"/>
              </w:rPr>
              <w:t>压力调整范围：0~10bar</w:t>
            </w:r>
          </w:p>
          <w:p>
            <w:pPr>
              <w:pStyle w:val="29"/>
              <w:ind w:firstLine="412"/>
              <w:rPr>
                <w:color w:val="auto"/>
                <w:sz w:val="21"/>
                <w:szCs w:val="20"/>
              </w:rPr>
            </w:pPr>
            <w:r>
              <w:rPr>
                <w:rFonts w:hint="eastAsia"/>
                <w:color w:val="auto"/>
                <w:sz w:val="21"/>
                <w:szCs w:val="20"/>
              </w:rPr>
              <w:t>特点：壳体采用PVC材料，隔膜采用PTFE隔膜。密封件满足强度和耐腐蚀要求。阀前背压可通过调整螺丝在调节范围内任意设定。</w:t>
            </w:r>
          </w:p>
          <w:p>
            <w:pPr>
              <w:pStyle w:val="29"/>
              <w:ind w:firstLine="414"/>
              <w:rPr>
                <w:b/>
                <w:bCs/>
                <w:color w:val="auto"/>
                <w:sz w:val="21"/>
                <w:szCs w:val="20"/>
              </w:rPr>
            </w:pPr>
            <w:r>
              <w:rPr>
                <w:rFonts w:hint="eastAsia"/>
                <w:b/>
                <w:bCs/>
                <w:color w:val="auto"/>
                <w:sz w:val="21"/>
                <w:szCs w:val="20"/>
              </w:rPr>
              <w:t>3)</w:t>
            </w:r>
            <w:r>
              <w:rPr>
                <w:rFonts w:hint="eastAsia"/>
                <w:b/>
                <w:bCs/>
                <w:color w:val="auto"/>
                <w:sz w:val="21"/>
                <w:szCs w:val="20"/>
              </w:rPr>
              <w:tab/>
            </w:r>
            <w:r>
              <w:rPr>
                <w:rFonts w:hint="eastAsia"/>
                <w:b/>
                <w:bCs/>
                <w:color w:val="auto"/>
                <w:sz w:val="21"/>
                <w:szCs w:val="20"/>
              </w:rPr>
              <w:t>安全阀</w:t>
            </w:r>
          </w:p>
          <w:p>
            <w:pPr>
              <w:pStyle w:val="29"/>
              <w:ind w:firstLine="412"/>
              <w:rPr>
                <w:color w:val="auto"/>
                <w:sz w:val="21"/>
                <w:szCs w:val="20"/>
              </w:rPr>
            </w:pPr>
            <w:r>
              <w:rPr>
                <w:rFonts w:hint="eastAsia"/>
                <w:color w:val="auto"/>
                <w:sz w:val="21"/>
                <w:szCs w:val="20"/>
              </w:rPr>
              <w:t>在泵的出口侧安装安全阀，可有效防止因泵和其它原因产生的过压对管路系统造成的伤害。保证系统安全运行。结构型式与背压阀相同。</w:t>
            </w:r>
          </w:p>
          <w:p>
            <w:pPr>
              <w:pStyle w:val="29"/>
              <w:ind w:firstLine="412"/>
              <w:rPr>
                <w:color w:val="auto"/>
                <w:sz w:val="21"/>
                <w:szCs w:val="20"/>
              </w:rPr>
            </w:pPr>
            <w:r>
              <w:rPr>
                <w:rFonts w:hint="eastAsia"/>
                <w:color w:val="auto"/>
                <w:sz w:val="21"/>
                <w:szCs w:val="20"/>
              </w:rPr>
              <w:t xml:space="preserve">压力调整范围：0~10bar </w:t>
            </w:r>
          </w:p>
          <w:p>
            <w:pPr>
              <w:pStyle w:val="29"/>
              <w:ind w:firstLine="412"/>
              <w:rPr>
                <w:color w:val="auto"/>
                <w:sz w:val="21"/>
                <w:szCs w:val="20"/>
              </w:rPr>
            </w:pPr>
            <w:r>
              <w:rPr>
                <w:rFonts w:hint="eastAsia"/>
                <w:color w:val="auto"/>
                <w:sz w:val="21"/>
                <w:szCs w:val="20"/>
              </w:rPr>
              <w:t>特点：壳体采用PVC材料，密封件满足强度和耐腐蚀要求。阀前背压可通过调整螺丝在在调节范围内任意设定。</w:t>
            </w:r>
          </w:p>
          <w:p>
            <w:pPr>
              <w:pStyle w:val="29"/>
              <w:ind w:firstLine="414"/>
              <w:rPr>
                <w:b/>
                <w:bCs/>
                <w:color w:val="auto"/>
                <w:sz w:val="21"/>
                <w:szCs w:val="20"/>
              </w:rPr>
            </w:pPr>
            <w:r>
              <w:rPr>
                <w:rFonts w:hint="eastAsia"/>
                <w:b/>
                <w:bCs/>
                <w:color w:val="auto"/>
                <w:sz w:val="21"/>
                <w:szCs w:val="20"/>
              </w:rPr>
              <w:t>4)</w:t>
            </w:r>
            <w:r>
              <w:rPr>
                <w:rFonts w:hint="eastAsia"/>
                <w:b/>
                <w:bCs/>
                <w:color w:val="auto"/>
                <w:sz w:val="21"/>
                <w:szCs w:val="20"/>
              </w:rPr>
              <w:tab/>
            </w:r>
            <w:r>
              <w:rPr>
                <w:rFonts w:hint="eastAsia"/>
                <w:b/>
                <w:bCs/>
                <w:color w:val="auto"/>
                <w:sz w:val="21"/>
                <w:szCs w:val="20"/>
              </w:rPr>
              <w:t>Y型过滤器</w:t>
            </w:r>
          </w:p>
          <w:p>
            <w:pPr>
              <w:pStyle w:val="29"/>
              <w:ind w:firstLine="412"/>
              <w:rPr>
                <w:color w:val="auto"/>
                <w:sz w:val="21"/>
                <w:szCs w:val="20"/>
              </w:rPr>
            </w:pPr>
            <w:r>
              <w:rPr>
                <w:rFonts w:hint="eastAsia"/>
                <w:color w:val="auto"/>
                <w:sz w:val="21"/>
                <w:szCs w:val="20"/>
              </w:rPr>
              <w:t>将物料中杂质滤除，保护投药系统正常运行。过滤器为可拆卸网栏型，带法兰连接。</w:t>
            </w:r>
          </w:p>
          <w:p>
            <w:pPr>
              <w:pStyle w:val="29"/>
              <w:ind w:firstLine="412"/>
              <w:rPr>
                <w:color w:val="auto"/>
                <w:sz w:val="21"/>
                <w:szCs w:val="20"/>
              </w:rPr>
            </w:pPr>
            <w:r>
              <w:rPr>
                <w:rFonts w:hint="eastAsia"/>
                <w:color w:val="auto"/>
                <w:sz w:val="21"/>
                <w:szCs w:val="20"/>
              </w:rPr>
              <w:t>材质：透明PVC，滤芯应易于检查和拆卸清除杂质。</w:t>
            </w:r>
          </w:p>
          <w:p>
            <w:pPr>
              <w:pStyle w:val="29"/>
              <w:ind w:firstLine="412"/>
              <w:rPr>
                <w:color w:val="auto"/>
                <w:sz w:val="21"/>
                <w:szCs w:val="20"/>
              </w:rPr>
            </w:pPr>
            <w:r>
              <w:rPr>
                <w:rFonts w:hint="eastAsia"/>
                <w:color w:val="auto"/>
                <w:sz w:val="21"/>
                <w:szCs w:val="20"/>
              </w:rPr>
              <w:t>公称压力：0.6MPa</w:t>
            </w:r>
          </w:p>
          <w:p>
            <w:pPr>
              <w:pStyle w:val="29"/>
              <w:ind w:firstLine="412"/>
              <w:rPr>
                <w:color w:val="auto"/>
                <w:sz w:val="21"/>
                <w:szCs w:val="20"/>
              </w:rPr>
            </w:pPr>
            <w:r>
              <w:rPr>
                <w:rFonts w:hint="eastAsia"/>
                <w:color w:val="auto"/>
                <w:sz w:val="21"/>
                <w:szCs w:val="20"/>
              </w:rPr>
              <w:t>特点：免拆卸可随时检查过滤器内存污情况。</w:t>
            </w:r>
          </w:p>
          <w:p>
            <w:pPr>
              <w:pStyle w:val="29"/>
              <w:ind w:firstLine="414"/>
              <w:rPr>
                <w:b/>
                <w:bCs/>
                <w:color w:val="auto"/>
                <w:sz w:val="21"/>
                <w:szCs w:val="20"/>
              </w:rPr>
            </w:pPr>
            <w:r>
              <w:rPr>
                <w:rFonts w:hint="eastAsia"/>
                <w:b/>
                <w:bCs/>
                <w:color w:val="auto"/>
                <w:sz w:val="21"/>
                <w:szCs w:val="20"/>
              </w:rPr>
              <w:t>5)</w:t>
            </w:r>
            <w:r>
              <w:rPr>
                <w:rFonts w:hint="eastAsia"/>
                <w:b/>
                <w:bCs/>
                <w:color w:val="auto"/>
                <w:sz w:val="21"/>
                <w:szCs w:val="20"/>
              </w:rPr>
              <w:tab/>
            </w:r>
            <w:r>
              <w:rPr>
                <w:rFonts w:hint="eastAsia"/>
                <w:b/>
                <w:bCs/>
                <w:color w:val="auto"/>
                <w:sz w:val="21"/>
                <w:szCs w:val="20"/>
              </w:rPr>
              <w:t>隔膜压力表</w:t>
            </w:r>
          </w:p>
          <w:p>
            <w:pPr>
              <w:pStyle w:val="29"/>
              <w:ind w:firstLine="412"/>
              <w:rPr>
                <w:color w:val="auto"/>
                <w:sz w:val="21"/>
                <w:szCs w:val="20"/>
              </w:rPr>
            </w:pPr>
            <w:r>
              <w:rPr>
                <w:rFonts w:hint="eastAsia"/>
                <w:color w:val="auto"/>
                <w:sz w:val="21"/>
                <w:szCs w:val="20"/>
              </w:rPr>
              <w:t xml:space="preserve">用于测量计量泵出口压力，便于调整背压阀压力，采用耐腐蚀隔膜压力表。 </w:t>
            </w:r>
          </w:p>
          <w:p>
            <w:pPr>
              <w:pStyle w:val="29"/>
              <w:ind w:firstLine="412"/>
              <w:rPr>
                <w:color w:val="auto"/>
                <w:sz w:val="21"/>
                <w:szCs w:val="20"/>
              </w:rPr>
            </w:pPr>
            <w:r>
              <w:rPr>
                <w:rFonts w:hint="eastAsia"/>
                <w:color w:val="auto"/>
                <w:sz w:val="21"/>
                <w:szCs w:val="20"/>
              </w:rPr>
              <w:t>外壳材质： PP</w:t>
            </w:r>
          </w:p>
          <w:p>
            <w:pPr>
              <w:pStyle w:val="29"/>
              <w:ind w:firstLine="0" w:firstLineChars="0"/>
              <w:rPr>
                <w:b/>
                <w:bCs/>
                <w:color w:val="auto"/>
                <w:sz w:val="21"/>
                <w:szCs w:val="20"/>
              </w:rPr>
            </w:pPr>
            <w:r>
              <w:rPr>
                <w:rFonts w:hint="eastAsia"/>
                <w:color w:val="auto"/>
                <w:sz w:val="21"/>
                <w:szCs w:val="20"/>
              </w:rPr>
              <w:t>量    程： 0-</w:t>
            </w:r>
            <w:r>
              <w:rPr>
                <w:color w:val="auto"/>
                <w:sz w:val="21"/>
                <w:szCs w:val="20"/>
              </w:rPr>
              <w:t>6</w:t>
            </w:r>
            <w:r>
              <w:rPr>
                <w:rFonts w:hint="eastAsia"/>
                <w:color w:val="auto"/>
                <w:sz w:val="21"/>
                <w:szCs w:val="20"/>
              </w:rPr>
              <w:t>bar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8733" w:type="dxa"/>
            <w:gridSpan w:val="6"/>
            <w:shd w:val="clear" w:color="auto" w:fill="auto"/>
            <w:vAlign w:val="center"/>
          </w:tcPr>
          <w:p>
            <w:pPr>
              <w:pStyle w:val="29"/>
              <w:ind w:firstLine="0" w:firstLineChars="0"/>
              <w:rPr>
                <w:b/>
                <w:bCs/>
                <w:color w:val="auto"/>
                <w:sz w:val="21"/>
                <w:szCs w:val="20"/>
              </w:rPr>
            </w:pPr>
            <w:r>
              <w:rPr>
                <w:rFonts w:hint="eastAsia"/>
                <w:b/>
                <w:bCs/>
                <w:color w:val="auto"/>
                <w:sz w:val="21"/>
                <w:szCs w:val="20"/>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8733" w:type="dxa"/>
            <w:gridSpan w:val="6"/>
            <w:shd w:val="clear" w:color="auto" w:fill="auto"/>
            <w:vAlign w:val="center"/>
          </w:tcPr>
          <w:tbl>
            <w:tblPr>
              <w:tblStyle w:val="23"/>
              <w:tblW w:w="73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5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527" w:type="dxa"/>
                  <w:vAlign w:val="center"/>
                </w:tcPr>
                <w:p>
                  <w:pPr>
                    <w:tabs>
                      <w:tab w:val="left" w:pos="992"/>
                      <w:tab w:val="left" w:pos="1247"/>
                    </w:tabs>
                    <w:rPr>
                      <w:color w:val="auto"/>
                      <w:spacing w:val="4"/>
                    </w:rPr>
                  </w:pPr>
                  <w:r>
                    <w:rPr>
                      <w:rFonts w:hAnsi="宋体"/>
                      <w:color w:val="auto"/>
                      <w:spacing w:val="4"/>
                    </w:rPr>
                    <w:t>流量范围</w:t>
                  </w:r>
                </w:p>
              </w:tc>
              <w:tc>
                <w:tcPr>
                  <w:tcW w:w="5857" w:type="dxa"/>
                  <w:vAlign w:val="center"/>
                </w:tcPr>
                <w:p>
                  <w:pPr>
                    <w:tabs>
                      <w:tab w:val="left" w:pos="992"/>
                      <w:tab w:val="left" w:pos="1247"/>
                    </w:tabs>
                    <w:rPr>
                      <w:color w:val="auto"/>
                      <w:spacing w:val="4"/>
                    </w:rPr>
                  </w:pPr>
                  <w:r>
                    <w:rPr>
                      <w:color w:val="auto"/>
                      <w:spacing w:val="4"/>
                    </w:rPr>
                    <w:t>0</w:t>
                  </w:r>
                  <w:r>
                    <w:rPr>
                      <w:rFonts w:hint="eastAsia"/>
                      <w:color w:val="auto"/>
                      <w:spacing w:val="4"/>
                    </w:rPr>
                    <w:t>~940</w:t>
                  </w:r>
                  <w:r>
                    <w:rPr>
                      <w:color w:val="auto"/>
                      <w:spacing w:val="4"/>
                    </w:rPr>
                    <w:t>L/h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527" w:type="dxa"/>
                  <w:vAlign w:val="center"/>
                </w:tcPr>
                <w:p>
                  <w:pPr>
                    <w:tabs>
                      <w:tab w:val="left" w:pos="992"/>
                      <w:tab w:val="left" w:pos="1247"/>
                    </w:tabs>
                    <w:rPr>
                      <w:color w:val="auto"/>
                      <w:spacing w:val="4"/>
                    </w:rPr>
                  </w:pPr>
                  <w:r>
                    <w:rPr>
                      <w:rFonts w:hAnsi="宋体"/>
                      <w:color w:val="auto"/>
                      <w:spacing w:val="4"/>
                    </w:rPr>
                    <w:t>压力范围</w:t>
                  </w:r>
                </w:p>
              </w:tc>
              <w:tc>
                <w:tcPr>
                  <w:tcW w:w="5857" w:type="dxa"/>
                  <w:vAlign w:val="center"/>
                </w:tcPr>
                <w:p>
                  <w:pPr>
                    <w:tabs>
                      <w:tab w:val="left" w:pos="992"/>
                      <w:tab w:val="left" w:pos="1247"/>
                    </w:tabs>
                    <w:rPr>
                      <w:color w:val="auto"/>
                      <w:spacing w:val="4"/>
                    </w:rPr>
                  </w:pPr>
                  <w:r>
                    <w:rPr>
                      <w:rFonts w:hint="eastAsia"/>
                      <w:color w:val="auto"/>
                      <w:spacing w:val="4"/>
                    </w:rPr>
                    <w:t>4</w:t>
                  </w:r>
                  <w:r>
                    <w:rPr>
                      <w:color w:val="auto"/>
                      <w:spacing w:val="4"/>
                    </w:rPr>
                    <w:t>bar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527" w:type="dxa"/>
                  <w:vAlign w:val="center"/>
                </w:tcPr>
                <w:p>
                  <w:pPr>
                    <w:tabs>
                      <w:tab w:val="left" w:pos="992"/>
                      <w:tab w:val="left" w:pos="1247"/>
                    </w:tabs>
                    <w:rPr>
                      <w:rFonts w:hAnsi="宋体"/>
                      <w:color w:val="auto"/>
                      <w:spacing w:val="4"/>
                    </w:rPr>
                  </w:pPr>
                  <w:r>
                    <w:rPr>
                      <w:rFonts w:hint="eastAsia" w:hAnsi="宋体"/>
                      <w:color w:val="auto"/>
                      <w:spacing w:val="4"/>
                    </w:rPr>
                    <w:t>泵头材质</w:t>
                  </w:r>
                </w:p>
              </w:tc>
              <w:tc>
                <w:tcPr>
                  <w:tcW w:w="5857" w:type="dxa"/>
                  <w:vAlign w:val="center"/>
                </w:tcPr>
                <w:p>
                  <w:pPr>
                    <w:tabs>
                      <w:tab w:val="left" w:pos="992"/>
                      <w:tab w:val="left" w:pos="1247"/>
                    </w:tabs>
                    <w:rPr>
                      <w:color w:val="auto"/>
                      <w:spacing w:val="4"/>
                    </w:rPr>
                  </w:pPr>
                  <w:r>
                    <w:rPr>
                      <w:rFonts w:hint="eastAsia"/>
                      <w:color w:val="auto"/>
                    </w:rPr>
                    <w:t>PP</w:t>
                  </w:r>
                  <w:r>
                    <w:rPr>
                      <w:color w:val="auto"/>
                    </w:rPr>
                    <w:t>/</w:t>
                  </w:r>
                  <w:r>
                    <w:rPr>
                      <w:rFonts w:hint="eastAsia"/>
                      <w:color w:val="auto"/>
                      <w:spacing w:val="4"/>
                    </w:rPr>
                    <w:t xml:space="preserve"> P</w:t>
                  </w:r>
                  <w:r>
                    <w:rPr>
                      <w:color w:val="auto"/>
                      <w:spacing w:val="4"/>
                    </w:rPr>
                    <w:t>VDF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527" w:type="dxa"/>
                  <w:vAlign w:val="center"/>
                </w:tcPr>
                <w:p>
                  <w:pPr>
                    <w:tabs>
                      <w:tab w:val="left" w:pos="992"/>
                      <w:tab w:val="left" w:pos="1247"/>
                    </w:tabs>
                    <w:rPr>
                      <w:color w:val="auto"/>
                      <w:spacing w:val="4"/>
                    </w:rPr>
                  </w:pPr>
                  <w:r>
                    <w:rPr>
                      <w:rFonts w:hAnsi="宋体"/>
                      <w:color w:val="auto"/>
                      <w:spacing w:val="4"/>
                    </w:rPr>
                    <w:t>吸程</w:t>
                  </w:r>
                </w:p>
              </w:tc>
              <w:tc>
                <w:tcPr>
                  <w:tcW w:w="5857" w:type="dxa"/>
                  <w:vAlign w:val="center"/>
                </w:tcPr>
                <w:p>
                  <w:pPr>
                    <w:tabs>
                      <w:tab w:val="left" w:pos="992"/>
                      <w:tab w:val="left" w:pos="1247"/>
                    </w:tabs>
                    <w:rPr>
                      <w:color w:val="auto"/>
                      <w:spacing w:val="4"/>
                      <w:lang w:eastAsia="zh-CN"/>
                    </w:rPr>
                  </w:pPr>
                  <w:r>
                    <w:rPr>
                      <w:rFonts w:hAnsi="宋体"/>
                      <w:color w:val="auto"/>
                      <w:spacing w:val="4"/>
                      <w:lang w:eastAsia="zh-CN"/>
                    </w:rPr>
                    <w:t>运行时最大吸程</w:t>
                  </w:r>
                  <w:r>
                    <w:rPr>
                      <w:color w:val="auto"/>
                      <w:spacing w:val="4"/>
                      <w:lang w:eastAsia="zh-CN"/>
                    </w:rPr>
                    <w:t>:6m</w:t>
                  </w:r>
                </w:p>
                <w:p>
                  <w:pPr>
                    <w:tabs>
                      <w:tab w:val="left" w:pos="992"/>
                      <w:tab w:val="left" w:pos="1247"/>
                    </w:tabs>
                    <w:rPr>
                      <w:color w:val="auto"/>
                      <w:spacing w:val="4"/>
                      <w:lang w:eastAsia="zh-CN"/>
                    </w:rPr>
                  </w:pPr>
                  <w:r>
                    <w:rPr>
                      <w:rFonts w:hAnsi="宋体"/>
                      <w:color w:val="auto"/>
                      <w:spacing w:val="4"/>
                      <w:lang w:eastAsia="zh-CN"/>
                    </w:rPr>
                    <w:t>自吸时最大吸程</w:t>
                  </w:r>
                  <w:r>
                    <w:rPr>
                      <w:color w:val="auto"/>
                      <w:spacing w:val="4"/>
                      <w:lang w:eastAsia="zh-CN"/>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527" w:type="dxa"/>
                  <w:vAlign w:val="center"/>
                </w:tcPr>
                <w:p>
                  <w:pPr>
                    <w:tabs>
                      <w:tab w:val="left" w:pos="992"/>
                      <w:tab w:val="left" w:pos="1247"/>
                    </w:tabs>
                    <w:rPr>
                      <w:color w:val="auto"/>
                      <w:spacing w:val="4"/>
                    </w:rPr>
                  </w:pPr>
                  <w:r>
                    <w:rPr>
                      <w:rFonts w:hAnsi="宋体"/>
                      <w:color w:val="auto"/>
                      <w:spacing w:val="4"/>
                    </w:rPr>
                    <w:t>粘度</w:t>
                  </w:r>
                </w:p>
              </w:tc>
              <w:tc>
                <w:tcPr>
                  <w:tcW w:w="5857" w:type="dxa"/>
                  <w:vAlign w:val="center"/>
                </w:tcPr>
                <w:p>
                  <w:pPr>
                    <w:tabs>
                      <w:tab w:val="left" w:pos="992"/>
                      <w:tab w:val="left" w:pos="1247"/>
                    </w:tabs>
                    <w:rPr>
                      <w:color w:val="auto"/>
                      <w:spacing w:val="4"/>
                      <w:lang w:eastAsia="zh-CN"/>
                    </w:rPr>
                  </w:pPr>
                  <w:r>
                    <w:rPr>
                      <w:rFonts w:hAnsi="宋体"/>
                      <w:color w:val="auto"/>
                      <w:spacing w:val="4"/>
                      <w:lang w:eastAsia="zh-CN"/>
                    </w:rPr>
                    <w:t>配弹簧阀组件时最大粘度</w:t>
                  </w:r>
                  <w:r>
                    <w:rPr>
                      <w:color w:val="auto"/>
                      <w:spacing w:val="4"/>
                      <w:lang w:eastAsia="zh-CN"/>
                    </w:rPr>
                    <w:t>:50%</w:t>
                  </w:r>
                  <w:r>
                    <w:rPr>
                      <w:rFonts w:hAnsi="宋体"/>
                      <w:color w:val="auto"/>
                      <w:spacing w:val="4"/>
                      <w:lang w:eastAsia="zh-CN"/>
                    </w:rPr>
                    <w:t>流量时可达</w:t>
                  </w:r>
                  <w:r>
                    <w:rPr>
                      <w:color w:val="auto"/>
                      <w:spacing w:val="4"/>
                      <w:lang w:eastAsia="zh-CN"/>
                    </w:rPr>
                    <w:t>3000mpas</w:t>
                  </w:r>
                </w:p>
                <w:p>
                  <w:pPr>
                    <w:tabs>
                      <w:tab w:val="left" w:pos="992"/>
                      <w:tab w:val="left" w:pos="1247"/>
                    </w:tabs>
                    <w:rPr>
                      <w:color w:val="auto"/>
                      <w:spacing w:val="4"/>
                      <w:lang w:eastAsia="zh-CN"/>
                    </w:rPr>
                  </w:pPr>
                  <w:r>
                    <w:rPr>
                      <w:rFonts w:hAnsi="宋体"/>
                      <w:color w:val="auto"/>
                      <w:spacing w:val="4"/>
                      <w:lang w:eastAsia="zh-CN"/>
                    </w:rPr>
                    <w:t>无配弹簧阀组件时最大粘度</w:t>
                  </w:r>
                  <w:r>
                    <w:rPr>
                      <w:color w:val="auto"/>
                      <w:spacing w:val="4"/>
                      <w:lang w:eastAsia="zh-CN"/>
                    </w:rPr>
                    <w:t>:100mpas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527" w:type="dxa"/>
                  <w:vAlign w:val="center"/>
                </w:tcPr>
                <w:p>
                  <w:pPr>
                    <w:tabs>
                      <w:tab w:val="left" w:pos="992"/>
                      <w:tab w:val="left" w:pos="1247"/>
                    </w:tabs>
                    <w:rPr>
                      <w:color w:val="auto"/>
                      <w:spacing w:val="4"/>
                    </w:rPr>
                  </w:pPr>
                  <w:r>
                    <w:rPr>
                      <w:rFonts w:hAnsi="宋体"/>
                      <w:color w:val="auto"/>
                      <w:spacing w:val="4"/>
                    </w:rPr>
                    <w:t>温度</w:t>
                  </w:r>
                </w:p>
              </w:tc>
              <w:tc>
                <w:tcPr>
                  <w:tcW w:w="5857" w:type="dxa"/>
                  <w:vAlign w:val="center"/>
                </w:tcPr>
                <w:p>
                  <w:pPr>
                    <w:tabs>
                      <w:tab w:val="left" w:pos="992"/>
                      <w:tab w:val="left" w:pos="1247"/>
                    </w:tabs>
                    <w:rPr>
                      <w:color w:val="auto"/>
                      <w:spacing w:val="4"/>
                      <w:lang w:eastAsia="zh-CN"/>
                    </w:rPr>
                  </w:pPr>
                  <w:r>
                    <w:rPr>
                      <w:rFonts w:hAnsi="宋体"/>
                      <w:color w:val="auto"/>
                      <w:spacing w:val="4"/>
                      <w:lang w:eastAsia="zh-CN"/>
                    </w:rPr>
                    <w:t>液体温度：</w:t>
                  </w:r>
                  <w:r>
                    <w:rPr>
                      <w:color w:val="auto"/>
                      <w:spacing w:val="4"/>
                      <w:lang w:eastAsia="zh-CN"/>
                    </w:rPr>
                    <w:t>0-50</w:t>
                  </w:r>
                  <w:r>
                    <w:rPr>
                      <w:rFonts w:hAnsi="宋体" w:cs="宋体"/>
                      <w:color w:val="auto"/>
                      <w:spacing w:val="4"/>
                      <w:lang w:eastAsia="zh-CN"/>
                    </w:rPr>
                    <w:t>℃</w:t>
                  </w:r>
                </w:p>
                <w:p>
                  <w:pPr>
                    <w:tabs>
                      <w:tab w:val="left" w:pos="992"/>
                      <w:tab w:val="left" w:pos="1247"/>
                    </w:tabs>
                    <w:rPr>
                      <w:color w:val="auto"/>
                      <w:spacing w:val="4"/>
                      <w:lang w:eastAsia="zh-CN"/>
                    </w:rPr>
                  </w:pPr>
                  <w:r>
                    <w:rPr>
                      <w:rFonts w:hAnsi="宋体"/>
                      <w:color w:val="auto"/>
                      <w:spacing w:val="4"/>
                      <w:lang w:eastAsia="zh-CN"/>
                    </w:rPr>
                    <w:t>环境温度：</w:t>
                  </w:r>
                  <w:r>
                    <w:rPr>
                      <w:color w:val="auto"/>
                      <w:spacing w:val="4"/>
                      <w:lang w:eastAsia="zh-CN"/>
                    </w:rPr>
                    <w:t>-10-45</w:t>
                  </w:r>
                  <w:r>
                    <w:rPr>
                      <w:rFonts w:hAnsi="宋体" w:cs="宋体"/>
                      <w:color w:val="auto"/>
                      <w:spacing w:val="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527" w:type="dxa"/>
                  <w:vAlign w:val="center"/>
                </w:tcPr>
                <w:p>
                  <w:pPr>
                    <w:tabs>
                      <w:tab w:val="left" w:pos="992"/>
                      <w:tab w:val="left" w:pos="1247"/>
                    </w:tabs>
                    <w:rPr>
                      <w:color w:val="auto"/>
                      <w:spacing w:val="4"/>
                    </w:rPr>
                  </w:pPr>
                  <w:r>
                    <w:rPr>
                      <w:rFonts w:hAnsi="宋体"/>
                      <w:color w:val="auto"/>
                      <w:spacing w:val="4"/>
                    </w:rPr>
                    <w:t>精度</w:t>
                  </w:r>
                </w:p>
              </w:tc>
              <w:tc>
                <w:tcPr>
                  <w:tcW w:w="5857" w:type="dxa"/>
                  <w:vAlign w:val="center"/>
                </w:tcPr>
                <w:p>
                  <w:pPr>
                    <w:tabs>
                      <w:tab w:val="left" w:pos="992"/>
                      <w:tab w:val="left" w:pos="1247"/>
                    </w:tabs>
                    <w:rPr>
                      <w:color w:val="auto"/>
                      <w:spacing w:val="4"/>
                    </w:rPr>
                  </w:pPr>
                  <w:r>
                    <w:rPr>
                      <w:color w:val="auto"/>
                      <w:spacing w:val="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527" w:type="dxa"/>
                  <w:vAlign w:val="center"/>
                </w:tcPr>
                <w:p>
                  <w:pPr>
                    <w:tabs>
                      <w:tab w:val="left" w:pos="992"/>
                      <w:tab w:val="left" w:pos="1247"/>
                    </w:tabs>
                    <w:rPr>
                      <w:color w:val="auto"/>
                      <w:spacing w:val="4"/>
                    </w:rPr>
                  </w:pPr>
                  <w:r>
                    <w:rPr>
                      <w:rFonts w:hAnsi="宋体"/>
                      <w:color w:val="auto"/>
                      <w:spacing w:val="4"/>
                    </w:rPr>
                    <w:t>电器数据</w:t>
                  </w:r>
                </w:p>
              </w:tc>
              <w:tc>
                <w:tcPr>
                  <w:tcW w:w="5857" w:type="dxa"/>
                  <w:vAlign w:val="center"/>
                </w:tcPr>
                <w:p>
                  <w:pPr>
                    <w:tabs>
                      <w:tab w:val="left" w:pos="992"/>
                      <w:tab w:val="left" w:pos="1247"/>
                    </w:tabs>
                    <w:rPr>
                      <w:color w:val="auto"/>
                      <w:spacing w:val="4"/>
                      <w:lang w:eastAsia="zh-CN"/>
                    </w:rPr>
                  </w:pPr>
                  <w:r>
                    <w:rPr>
                      <w:rFonts w:hAnsi="宋体"/>
                      <w:color w:val="auto"/>
                      <w:spacing w:val="4"/>
                      <w:lang w:eastAsia="zh-CN"/>
                    </w:rPr>
                    <w:t>电压：</w:t>
                  </w:r>
                  <w:r>
                    <w:rPr>
                      <w:rFonts w:hint="eastAsia" w:hAnsi="宋体"/>
                      <w:color w:val="auto"/>
                      <w:spacing w:val="4"/>
                      <w:lang w:eastAsia="zh-CN"/>
                    </w:rPr>
                    <w:t>单相100-</w:t>
                  </w:r>
                  <w:r>
                    <w:rPr>
                      <w:color w:val="auto"/>
                      <w:spacing w:val="4"/>
                      <w:lang w:eastAsia="zh-CN"/>
                    </w:rPr>
                    <w:t>240VAC</w:t>
                  </w:r>
                  <w:r>
                    <w:rPr>
                      <w:rFonts w:hAnsi="宋体"/>
                      <w:color w:val="auto"/>
                      <w:spacing w:val="4"/>
                      <w:lang w:eastAsia="zh-CN"/>
                    </w:rPr>
                    <w:t>，</w:t>
                  </w:r>
                  <w:r>
                    <w:rPr>
                      <w:color w:val="auto"/>
                      <w:spacing w:val="4"/>
                      <w:lang w:eastAsia="zh-CN"/>
                    </w:rPr>
                    <w:t>50/60Hz</w:t>
                  </w:r>
                </w:p>
                <w:p>
                  <w:pPr>
                    <w:tabs>
                      <w:tab w:val="left" w:pos="992"/>
                      <w:tab w:val="left" w:pos="1247"/>
                    </w:tabs>
                    <w:rPr>
                      <w:color w:val="auto"/>
                      <w:spacing w:val="4"/>
                      <w:lang w:eastAsia="zh-CN"/>
                    </w:rPr>
                  </w:pPr>
                  <w:r>
                    <w:rPr>
                      <w:rFonts w:hAnsi="宋体"/>
                      <w:color w:val="auto"/>
                      <w:spacing w:val="4"/>
                      <w:lang w:eastAsia="zh-CN"/>
                    </w:rPr>
                    <w:t>最大电流：</w:t>
                  </w:r>
                  <w:r>
                    <w:rPr>
                      <w:color w:val="auto"/>
                      <w:spacing w:val="4"/>
                      <w:lang w:eastAsia="zh-CN"/>
                    </w:rPr>
                    <w:t>1.0A</w:t>
                  </w:r>
                </w:p>
                <w:p>
                  <w:pPr>
                    <w:tabs>
                      <w:tab w:val="left" w:pos="992"/>
                      <w:tab w:val="left" w:pos="1247"/>
                    </w:tabs>
                    <w:rPr>
                      <w:color w:val="auto"/>
                      <w:spacing w:val="4"/>
                      <w:lang w:eastAsia="zh-CN"/>
                    </w:rPr>
                  </w:pPr>
                  <w:r>
                    <w:rPr>
                      <w:rFonts w:hAnsi="宋体"/>
                      <w:color w:val="auto"/>
                      <w:spacing w:val="4"/>
                      <w:lang w:eastAsia="zh-CN"/>
                    </w:rPr>
                    <w:t>最大功率：</w:t>
                  </w:r>
                  <w:r>
                    <w:rPr>
                      <w:color w:val="auto"/>
                      <w:spacing w:val="4"/>
                      <w:lang w:eastAsia="zh-CN"/>
                    </w:rPr>
                    <w:t>240W</w:t>
                  </w:r>
                </w:p>
                <w:p>
                  <w:pPr>
                    <w:tabs>
                      <w:tab w:val="left" w:pos="992"/>
                      <w:tab w:val="left" w:pos="1247"/>
                    </w:tabs>
                    <w:rPr>
                      <w:color w:val="auto"/>
                      <w:spacing w:val="4"/>
                      <w:lang w:eastAsia="zh-CN"/>
                    </w:rPr>
                  </w:pPr>
                  <w:r>
                    <w:rPr>
                      <w:rFonts w:hAnsi="宋体"/>
                      <w:color w:val="auto"/>
                      <w:spacing w:val="4"/>
                      <w:lang w:eastAsia="zh-CN"/>
                    </w:rPr>
                    <w:t>防护等级：</w:t>
                  </w:r>
                  <w:r>
                    <w:rPr>
                      <w:color w:val="auto"/>
                      <w:spacing w:val="4"/>
                      <w:lang w:eastAsia="zh-CN"/>
                    </w:rPr>
                    <w:t>IP65</w:t>
                  </w:r>
                </w:p>
                <w:p>
                  <w:pPr>
                    <w:tabs>
                      <w:tab w:val="left" w:pos="992"/>
                      <w:tab w:val="left" w:pos="1247"/>
                    </w:tabs>
                    <w:rPr>
                      <w:color w:val="auto"/>
                      <w:spacing w:val="4"/>
                      <w:lang w:eastAsia="zh-CN"/>
                    </w:rPr>
                  </w:pPr>
                  <w:r>
                    <w:rPr>
                      <w:rFonts w:hAnsi="宋体"/>
                      <w:color w:val="auto"/>
                      <w:spacing w:val="4"/>
                      <w:lang w:eastAsia="zh-CN"/>
                    </w:rPr>
                    <w:t>绝缘等级：</w:t>
                  </w:r>
                  <w:r>
                    <w:rPr>
                      <w:color w:val="auto"/>
                      <w:spacing w:val="4"/>
                      <w:lang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527" w:type="dxa"/>
                  <w:vAlign w:val="center"/>
                </w:tcPr>
                <w:p>
                  <w:pPr>
                    <w:tabs>
                      <w:tab w:val="left" w:pos="992"/>
                      <w:tab w:val="left" w:pos="1247"/>
                    </w:tabs>
                    <w:rPr>
                      <w:color w:val="auto"/>
                      <w:spacing w:val="4"/>
                    </w:rPr>
                  </w:pPr>
                  <w:r>
                    <w:rPr>
                      <w:rFonts w:hAnsi="宋体"/>
                      <w:color w:val="auto"/>
                      <w:spacing w:val="4"/>
                    </w:rPr>
                    <w:t>输入信号</w:t>
                  </w:r>
                </w:p>
              </w:tc>
              <w:tc>
                <w:tcPr>
                  <w:tcW w:w="5857" w:type="dxa"/>
                  <w:vAlign w:val="center"/>
                </w:tcPr>
                <w:p>
                  <w:pPr>
                    <w:tabs>
                      <w:tab w:val="left" w:pos="992"/>
                      <w:tab w:val="left" w:pos="1247"/>
                    </w:tabs>
                    <w:rPr>
                      <w:color w:val="auto"/>
                      <w:spacing w:val="4"/>
                      <w:lang w:eastAsia="zh-CN"/>
                    </w:rPr>
                  </w:pPr>
                  <w:r>
                    <w:rPr>
                      <w:rFonts w:hAnsi="宋体"/>
                      <w:color w:val="auto"/>
                      <w:spacing w:val="4"/>
                      <w:lang w:eastAsia="zh-CN"/>
                    </w:rPr>
                    <w:t>高低液位控制信号</w:t>
                  </w:r>
                </w:p>
                <w:p>
                  <w:pPr>
                    <w:tabs>
                      <w:tab w:val="left" w:pos="992"/>
                      <w:tab w:val="left" w:pos="1247"/>
                    </w:tabs>
                    <w:rPr>
                      <w:color w:val="auto"/>
                      <w:spacing w:val="4"/>
                      <w:lang w:eastAsia="zh-CN"/>
                    </w:rPr>
                  </w:pPr>
                  <w:r>
                    <w:rPr>
                      <w:rFonts w:hAnsi="宋体"/>
                      <w:color w:val="auto"/>
                      <w:spacing w:val="4"/>
                      <w:lang w:eastAsia="zh-CN"/>
                    </w:rPr>
                    <w:t>脉冲控制信号</w:t>
                  </w:r>
                </w:p>
                <w:p>
                  <w:pPr>
                    <w:tabs>
                      <w:tab w:val="left" w:pos="992"/>
                      <w:tab w:val="left" w:pos="1247"/>
                    </w:tabs>
                    <w:rPr>
                      <w:color w:val="auto"/>
                      <w:spacing w:val="4"/>
                      <w:lang w:eastAsia="zh-CN"/>
                    </w:rPr>
                  </w:pPr>
                  <w:r>
                    <w:rPr>
                      <w:rFonts w:hAnsi="宋体"/>
                      <w:color w:val="auto"/>
                      <w:spacing w:val="4"/>
                      <w:lang w:eastAsia="zh-CN"/>
                    </w:rPr>
                    <w:t>模拟量</w:t>
                  </w:r>
                  <w:r>
                    <w:rPr>
                      <w:color w:val="auto"/>
                      <w:spacing w:val="4"/>
                      <w:lang w:eastAsia="zh-CN"/>
                    </w:rPr>
                    <w:t>4-20mA</w:t>
                  </w:r>
                  <w:r>
                    <w:rPr>
                      <w:rFonts w:hAnsi="宋体"/>
                      <w:color w:val="auto"/>
                      <w:spacing w:val="4"/>
                      <w:lang w:eastAsia="zh-CN"/>
                    </w:rPr>
                    <w:t>控制信号</w:t>
                  </w:r>
                </w:p>
                <w:p>
                  <w:pPr>
                    <w:tabs>
                      <w:tab w:val="left" w:pos="992"/>
                      <w:tab w:val="left" w:pos="1247"/>
                    </w:tabs>
                    <w:rPr>
                      <w:color w:val="auto"/>
                      <w:spacing w:val="4"/>
                      <w:lang w:eastAsia="zh-CN"/>
                    </w:rPr>
                  </w:pPr>
                  <w:r>
                    <w:rPr>
                      <w:rFonts w:hAnsi="宋体"/>
                      <w:color w:val="auto"/>
                      <w:spacing w:val="4"/>
                      <w:lang w:eastAsia="zh-CN"/>
                    </w:rPr>
                    <w:t>外部开</w:t>
                  </w:r>
                  <w:r>
                    <w:rPr>
                      <w:color w:val="auto"/>
                      <w:spacing w:val="4"/>
                      <w:lang w:eastAsia="zh-CN"/>
                    </w:rPr>
                    <w:t>/</w:t>
                  </w:r>
                  <w:r>
                    <w:rPr>
                      <w:rFonts w:hAnsi="宋体"/>
                      <w:color w:val="auto"/>
                      <w:spacing w:val="4"/>
                      <w:lang w:eastAsia="zh-CN"/>
                    </w:rPr>
                    <w:t>关信号控制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527" w:type="dxa"/>
                  <w:vAlign w:val="center"/>
                </w:tcPr>
                <w:p>
                  <w:pPr>
                    <w:tabs>
                      <w:tab w:val="left" w:pos="992"/>
                      <w:tab w:val="left" w:pos="1247"/>
                    </w:tabs>
                    <w:rPr>
                      <w:color w:val="auto"/>
                      <w:spacing w:val="4"/>
                    </w:rPr>
                  </w:pPr>
                  <w:r>
                    <w:rPr>
                      <w:rFonts w:hAnsi="宋体"/>
                      <w:color w:val="auto"/>
                      <w:spacing w:val="4"/>
                    </w:rPr>
                    <w:t>输出信号</w:t>
                  </w:r>
                </w:p>
              </w:tc>
              <w:tc>
                <w:tcPr>
                  <w:tcW w:w="5857" w:type="dxa"/>
                  <w:vAlign w:val="center"/>
                </w:tcPr>
                <w:p>
                  <w:pPr>
                    <w:tabs>
                      <w:tab w:val="left" w:pos="992"/>
                      <w:tab w:val="left" w:pos="1247"/>
                    </w:tabs>
                    <w:rPr>
                      <w:color w:val="auto"/>
                      <w:spacing w:val="4"/>
                    </w:rPr>
                  </w:pPr>
                  <w:r>
                    <w:rPr>
                      <w:rFonts w:hAnsi="宋体"/>
                      <w:color w:val="auto"/>
                      <w:spacing w:val="4"/>
                    </w:rPr>
                    <w:t>报警输出（</w:t>
                  </w:r>
                  <w:r>
                    <w:rPr>
                      <w:color w:val="auto"/>
                      <w:spacing w:val="4"/>
                    </w:rPr>
                    <w:t>AR</w:t>
                  </w:r>
                  <w:r>
                    <w:rPr>
                      <w:rFonts w:hAnsi="宋体"/>
                      <w:color w:val="auto"/>
                      <w:spacing w:val="4"/>
                    </w:rPr>
                    <w:t>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527" w:type="dxa"/>
                  <w:vAlign w:val="center"/>
                </w:tcPr>
                <w:p>
                  <w:pPr>
                    <w:tabs>
                      <w:tab w:val="left" w:pos="992"/>
                      <w:tab w:val="left" w:pos="1247"/>
                    </w:tabs>
                    <w:rPr>
                      <w:color w:val="auto"/>
                      <w:spacing w:val="4"/>
                    </w:rPr>
                  </w:pPr>
                  <w:r>
                    <w:rPr>
                      <w:rFonts w:hAnsi="宋体"/>
                      <w:color w:val="auto"/>
                      <w:spacing w:val="4"/>
                    </w:rPr>
                    <w:t>显示</w:t>
                  </w:r>
                </w:p>
              </w:tc>
              <w:tc>
                <w:tcPr>
                  <w:tcW w:w="5857" w:type="dxa"/>
                  <w:vAlign w:val="center"/>
                </w:tcPr>
                <w:p>
                  <w:pPr>
                    <w:tabs>
                      <w:tab w:val="left" w:pos="992"/>
                      <w:tab w:val="left" w:pos="1247"/>
                    </w:tabs>
                    <w:rPr>
                      <w:color w:val="auto"/>
                      <w:spacing w:val="4"/>
                      <w:lang w:eastAsia="zh-CN"/>
                    </w:rPr>
                  </w:pPr>
                  <w:r>
                    <w:rPr>
                      <w:rFonts w:hAnsi="宋体"/>
                      <w:color w:val="auto"/>
                      <w:spacing w:val="4"/>
                      <w:lang w:eastAsia="zh-CN"/>
                    </w:rPr>
                    <w:t>显示屏上直接读出设定流量（</w:t>
                  </w:r>
                  <w:r>
                    <w:rPr>
                      <w:color w:val="auto"/>
                      <w:spacing w:val="4"/>
                      <w:lang w:eastAsia="zh-CN"/>
                    </w:rPr>
                    <w:t>ml/h</w:t>
                  </w:r>
                  <w:r>
                    <w:rPr>
                      <w:rFonts w:hAnsi="宋体"/>
                      <w:color w:val="auto"/>
                      <w:spacing w:val="4"/>
                      <w:lang w:eastAsia="zh-CN"/>
                    </w:rPr>
                    <w:t>或</w:t>
                  </w:r>
                  <w:r>
                    <w:rPr>
                      <w:color w:val="auto"/>
                      <w:spacing w:val="4"/>
                      <w:lang w:eastAsia="zh-CN"/>
                    </w:rPr>
                    <w:t>L/h</w:t>
                  </w:r>
                  <w:r>
                    <w:rPr>
                      <w:rFonts w:hAnsi="宋体"/>
                      <w:color w:val="auto"/>
                      <w:spacing w:val="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527" w:type="dxa"/>
                  <w:vAlign w:val="center"/>
                </w:tcPr>
                <w:p>
                  <w:pPr>
                    <w:tabs>
                      <w:tab w:val="left" w:pos="992"/>
                      <w:tab w:val="left" w:pos="1247"/>
                    </w:tabs>
                    <w:rPr>
                      <w:color w:val="auto"/>
                      <w:spacing w:val="4"/>
                    </w:rPr>
                  </w:pPr>
                  <w:r>
                    <w:rPr>
                      <w:rFonts w:hAnsi="宋体"/>
                      <w:color w:val="auto"/>
                      <w:spacing w:val="4"/>
                    </w:rPr>
                    <w:t>材料</w:t>
                  </w:r>
                </w:p>
              </w:tc>
              <w:tc>
                <w:tcPr>
                  <w:tcW w:w="5857" w:type="dxa"/>
                  <w:vAlign w:val="center"/>
                </w:tcPr>
                <w:p>
                  <w:pPr>
                    <w:tabs>
                      <w:tab w:val="left" w:pos="992"/>
                      <w:tab w:val="left" w:pos="1247"/>
                    </w:tabs>
                    <w:rPr>
                      <w:color w:val="auto"/>
                      <w:spacing w:val="4"/>
                      <w:lang w:eastAsia="zh-CN"/>
                    </w:rPr>
                  </w:pPr>
                  <w:r>
                    <w:rPr>
                      <w:rFonts w:hAnsi="宋体"/>
                      <w:color w:val="auto"/>
                      <w:spacing w:val="4"/>
                      <w:lang w:eastAsia="zh-CN"/>
                    </w:rPr>
                    <w:t>外壳：</w:t>
                  </w:r>
                  <w:r>
                    <w:rPr>
                      <w:color w:val="auto"/>
                      <w:spacing w:val="4"/>
                      <w:lang w:eastAsia="zh-CN"/>
                    </w:rPr>
                    <w:t>PPO20%</w:t>
                  </w:r>
                  <w:r>
                    <w:rPr>
                      <w:rFonts w:hAnsi="宋体"/>
                      <w:color w:val="auto"/>
                      <w:spacing w:val="4"/>
                      <w:lang w:eastAsia="zh-CN"/>
                    </w:rPr>
                    <w:t>玻纤</w:t>
                  </w:r>
                </w:p>
                <w:p>
                  <w:pPr>
                    <w:tabs>
                      <w:tab w:val="left" w:pos="992"/>
                      <w:tab w:val="left" w:pos="1247"/>
                    </w:tabs>
                    <w:rPr>
                      <w:color w:val="auto"/>
                      <w:spacing w:val="4"/>
                      <w:lang w:eastAsia="zh-CN"/>
                    </w:rPr>
                  </w:pPr>
                  <w:r>
                    <w:rPr>
                      <w:rFonts w:hAnsi="宋体"/>
                      <w:color w:val="auto"/>
                      <w:spacing w:val="4"/>
                      <w:lang w:eastAsia="zh-CN"/>
                    </w:rPr>
                    <w:t>隔膜：编织型</w:t>
                  </w:r>
                  <w:r>
                    <w:rPr>
                      <w:color w:val="auto"/>
                      <w:spacing w:val="4"/>
                      <w:lang w:eastAsia="zh-CN"/>
                    </w:rPr>
                    <w:t>EPDM</w:t>
                  </w:r>
                  <w:r>
                    <w:rPr>
                      <w:rFonts w:hAnsi="宋体"/>
                      <w:color w:val="auto"/>
                      <w:spacing w:val="4"/>
                      <w:lang w:eastAsia="zh-CN"/>
                    </w:rPr>
                    <w:t>，包覆</w:t>
                  </w:r>
                  <w:r>
                    <w:rPr>
                      <w:color w:val="auto"/>
                      <w:spacing w:val="4"/>
                      <w:lang w:eastAsia="zh-CN"/>
                    </w:rPr>
                    <w:t>PTFE</w:t>
                  </w:r>
                </w:p>
              </w:tc>
            </w:tr>
          </w:tbl>
          <w:p>
            <w:pPr>
              <w:pStyle w:val="29"/>
              <w:ind w:firstLine="0" w:firstLineChars="0"/>
              <w:rPr>
                <w:b/>
                <w:bCs/>
                <w:color w:val="auto"/>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8733" w:type="dxa"/>
            <w:gridSpan w:val="6"/>
            <w:shd w:val="clear" w:color="auto" w:fill="auto"/>
            <w:vAlign w:val="center"/>
          </w:tcPr>
          <w:p>
            <w:pPr>
              <w:pStyle w:val="29"/>
              <w:ind w:firstLine="0" w:firstLineChars="0"/>
              <w:rPr>
                <w:b/>
                <w:bCs/>
                <w:color w:val="auto"/>
                <w:sz w:val="21"/>
                <w:szCs w:val="20"/>
              </w:rPr>
            </w:pPr>
            <w:r>
              <w:rPr>
                <w:rFonts w:hint="eastAsia"/>
                <w:b/>
                <w:bCs/>
                <w:color w:val="auto"/>
                <w:sz w:val="21"/>
                <w:szCs w:val="20"/>
              </w:rPr>
              <w:t>控制要求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6" w:hRule="atLeast"/>
        </w:trPr>
        <w:tc>
          <w:tcPr>
            <w:tcW w:w="8733" w:type="dxa"/>
            <w:gridSpan w:val="6"/>
            <w:shd w:val="clear" w:color="auto" w:fill="auto"/>
            <w:vAlign w:val="center"/>
          </w:tcPr>
          <w:p>
            <w:pPr>
              <w:pStyle w:val="29"/>
              <w:ind w:firstLine="412"/>
              <w:rPr>
                <w:color w:val="auto"/>
                <w:sz w:val="21"/>
                <w:szCs w:val="20"/>
              </w:rPr>
            </w:pPr>
            <w:r>
              <w:rPr>
                <w:rFonts w:hint="eastAsia"/>
                <w:color w:val="auto"/>
                <w:sz w:val="21"/>
                <w:szCs w:val="20"/>
              </w:rPr>
              <w:t>1）计量泵自身带有控制系统和显示屏，显示屏能读出设定流量（L/h），具备就地手动和远程 PLC 控制功能。</w:t>
            </w:r>
          </w:p>
          <w:p>
            <w:pPr>
              <w:pStyle w:val="29"/>
              <w:ind w:firstLine="412"/>
              <w:rPr>
                <w:color w:val="auto"/>
                <w:sz w:val="21"/>
                <w:szCs w:val="20"/>
              </w:rPr>
            </w:pPr>
            <w:r>
              <w:rPr>
                <w:rFonts w:hint="eastAsia"/>
                <w:color w:val="auto"/>
                <w:sz w:val="21"/>
                <w:szCs w:val="20"/>
              </w:rPr>
              <w:t>2）就地控制：即人工手动在控制面板开/停计量泵和调节计量泵的投加量（L/h），实现对次氯酸钠投加量的控制。</w:t>
            </w:r>
          </w:p>
          <w:p>
            <w:pPr>
              <w:pStyle w:val="29"/>
              <w:ind w:firstLine="412"/>
              <w:rPr>
                <w:color w:val="auto"/>
                <w:sz w:val="21"/>
                <w:szCs w:val="20"/>
              </w:rPr>
            </w:pPr>
            <w:r>
              <w:rPr>
                <w:rFonts w:hint="eastAsia"/>
                <w:color w:val="auto"/>
                <w:sz w:val="21"/>
                <w:szCs w:val="20"/>
              </w:rPr>
              <w:t>3）远程 PLC 控制：即通过外部 PLC 输出开/关信号和 4~20mA 信号，控制计量泵的开/停和流量控制，实现对次氯酸钠投加量的控制。</w:t>
            </w:r>
          </w:p>
          <w:p>
            <w:pPr>
              <w:pStyle w:val="29"/>
              <w:ind w:firstLine="412"/>
              <w:rPr>
                <w:color w:val="auto"/>
                <w:sz w:val="21"/>
                <w:szCs w:val="20"/>
              </w:rPr>
            </w:pPr>
            <w:r>
              <w:rPr>
                <w:rFonts w:hint="eastAsia"/>
                <w:color w:val="auto"/>
                <w:sz w:val="21"/>
                <w:szCs w:val="20"/>
              </w:rPr>
              <w:t>4）计量泵的工作状态及故障报警必须通过现场 PLC 接入监控网络系统，因此计量泵控制器必须带有输入接口和预留输出端子，便于 PLC 系统接入。传输信号如下：</w:t>
            </w:r>
          </w:p>
          <w:p>
            <w:pPr>
              <w:pStyle w:val="29"/>
              <w:ind w:firstLine="412"/>
              <w:rPr>
                <w:color w:val="auto"/>
                <w:sz w:val="21"/>
                <w:szCs w:val="20"/>
              </w:rPr>
            </w:pPr>
            <w:r>
              <w:rPr>
                <w:rFonts w:hint="eastAsia"/>
                <w:color w:val="auto"/>
                <w:sz w:val="21"/>
                <w:szCs w:val="20"/>
              </w:rPr>
              <w:t>A.PLC 对计量泵的控制信号：</w:t>
            </w:r>
          </w:p>
          <w:p>
            <w:pPr>
              <w:pStyle w:val="29"/>
              <w:ind w:firstLine="412"/>
              <w:rPr>
                <w:color w:val="auto"/>
                <w:sz w:val="21"/>
                <w:szCs w:val="20"/>
              </w:rPr>
            </w:pPr>
            <w:r>
              <w:rPr>
                <w:rFonts w:hint="eastAsia"/>
                <w:color w:val="auto"/>
                <w:sz w:val="21"/>
                <w:szCs w:val="20"/>
              </w:rPr>
              <w:t>B.接受远方控制系统的开关量开停控制信号</w:t>
            </w:r>
          </w:p>
          <w:p>
            <w:pPr>
              <w:pStyle w:val="29"/>
              <w:ind w:firstLine="412"/>
              <w:rPr>
                <w:color w:val="auto"/>
                <w:sz w:val="21"/>
                <w:szCs w:val="20"/>
              </w:rPr>
            </w:pPr>
            <w:r>
              <w:rPr>
                <w:rFonts w:hint="eastAsia"/>
                <w:color w:val="auto"/>
                <w:sz w:val="21"/>
                <w:szCs w:val="20"/>
              </w:rPr>
              <w:t>C.PLC 控制投加量信号 4~20mA</w:t>
            </w:r>
          </w:p>
          <w:p>
            <w:pPr>
              <w:pStyle w:val="29"/>
              <w:ind w:firstLine="412"/>
              <w:rPr>
                <w:color w:val="auto"/>
                <w:sz w:val="21"/>
                <w:szCs w:val="20"/>
              </w:rPr>
            </w:pPr>
            <w:r>
              <w:rPr>
                <w:rFonts w:hint="eastAsia"/>
                <w:color w:val="auto"/>
                <w:sz w:val="21"/>
                <w:szCs w:val="20"/>
              </w:rPr>
              <w:t>D.计量泵输出到 PLC 站的状态信号</w:t>
            </w:r>
          </w:p>
          <w:p>
            <w:pPr>
              <w:pStyle w:val="29"/>
              <w:ind w:firstLine="412"/>
              <w:rPr>
                <w:b/>
                <w:bCs/>
                <w:color w:val="auto"/>
                <w:sz w:val="21"/>
                <w:szCs w:val="20"/>
              </w:rPr>
            </w:pPr>
            <w:r>
              <w:rPr>
                <w:rFonts w:hint="eastAsia"/>
                <w:color w:val="auto"/>
                <w:sz w:val="21"/>
                <w:szCs w:val="20"/>
              </w:rPr>
              <w:t>E.运行、故障信号的无源触点输出信号</w:t>
            </w:r>
          </w:p>
        </w:tc>
      </w:tr>
    </w:tbl>
    <w:p>
      <w:pPr>
        <w:ind w:left="114"/>
        <w:rPr>
          <w:rFonts w:ascii="宋体" w:hAnsi="宋体" w:eastAsia="宋体" w:cs="宋体"/>
          <w:color w:val="auto"/>
          <w:sz w:val="20"/>
          <w:szCs w:val="20"/>
          <w:lang w:eastAsia="zh-CN"/>
        </w:rPr>
      </w:pPr>
    </w:p>
    <w:p>
      <w:pPr>
        <w:ind w:left="114"/>
        <w:rPr>
          <w:rFonts w:ascii="宋体" w:hAnsi="宋体" w:eastAsia="宋体" w:cs="宋体"/>
          <w:color w:val="auto"/>
          <w:sz w:val="20"/>
          <w:szCs w:val="20"/>
          <w:lang w:eastAsia="zh-CN"/>
        </w:rPr>
      </w:pPr>
    </w:p>
    <w:p>
      <w:pPr>
        <w:pStyle w:val="30"/>
        <w:spacing w:before="120" w:after="120"/>
        <w:rPr>
          <w:b w:val="0"/>
          <w:bCs/>
          <w:color w:val="auto"/>
        </w:rPr>
      </w:pPr>
      <w:bookmarkStart w:id="276" w:name="_Toc117181380"/>
      <w:r>
        <w:rPr>
          <w:color w:val="auto"/>
        </w:rPr>
        <w:t>除臭设备</w:t>
      </w:r>
      <w:bookmarkEnd w:id="276"/>
    </w:p>
    <w:p>
      <w:pPr>
        <w:pStyle w:val="33"/>
        <w:rPr>
          <w:color w:val="auto"/>
        </w:rPr>
      </w:pPr>
      <w:r>
        <w:rPr>
          <w:color w:val="auto"/>
        </w:rPr>
        <w:t>1#生物除臭设备</w:t>
      </w:r>
    </w:p>
    <w:tbl>
      <w:tblPr>
        <w:tblStyle w:val="25"/>
        <w:tblW w:w="8506" w:type="dxa"/>
        <w:tblInd w:w="112" w:type="dxa"/>
        <w:tblLayout w:type="fixed"/>
        <w:tblCellMar>
          <w:top w:w="0" w:type="dxa"/>
          <w:left w:w="0" w:type="dxa"/>
          <w:bottom w:w="0" w:type="dxa"/>
          <w:right w:w="0" w:type="dxa"/>
        </w:tblCellMar>
      </w:tblPr>
      <w:tblGrid>
        <w:gridCol w:w="811"/>
        <w:gridCol w:w="1558"/>
        <w:gridCol w:w="746"/>
        <w:gridCol w:w="3648"/>
        <w:gridCol w:w="1743"/>
      </w:tblGrid>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序号</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名称</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单位</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b/>
                <w:bCs/>
                <w:color w:val="auto"/>
                <w:sz w:val="21"/>
                <w:szCs w:val="21"/>
              </w:rPr>
              <w:t>性能</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备注</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生物滤池</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2套</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5"/>
              <w:rPr>
                <w:rFonts w:ascii="宋体" w:hAnsi="宋体" w:eastAsia="宋体" w:cs="宋体"/>
                <w:color w:val="auto"/>
                <w:sz w:val="21"/>
                <w:szCs w:val="21"/>
                <w:lang w:eastAsia="zh-CN"/>
              </w:rPr>
            </w:pPr>
            <w:r>
              <w:rPr>
                <w:rFonts w:ascii="宋体" w:hAnsi="宋体" w:eastAsia="宋体" w:cs="宋体"/>
                <w:color w:val="auto"/>
                <w:w w:val="110"/>
                <w:sz w:val="21"/>
                <w:szCs w:val="21"/>
                <w:lang w:eastAsia="zh-CN"/>
              </w:rPr>
              <w:t>臭气浓度：3500~4000OU/m³处理气量：Q=</w:t>
            </w:r>
            <w:r>
              <w:rPr>
                <w:rFonts w:hint="eastAsia" w:ascii="宋体" w:hAnsi="宋体" w:eastAsia="宋体" w:cs="宋体"/>
                <w:color w:val="auto"/>
                <w:w w:val="110"/>
                <w:sz w:val="21"/>
                <w:szCs w:val="21"/>
                <w:lang w:eastAsia="zh-CN"/>
              </w:rPr>
              <w:t>23</w:t>
            </w:r>
            <w:r>
              <w:rPr>
                <w:rFonts w:ascii="宋体" w:hAnsi="宋体" w:eastAsia="宋体" w:cs="宋体"/>
                <w:color w:val="auto"/>
                <w:w w:val="110"/>
                <w:sz w:val="21"/>
                <w:szCs w:val="21"/>
                <w:lang w:eastAsia="zh-CN"/>
              </w:rPr>
              <w:t>000m³/h</w:t>
            </w:r>
            <w:r>
              <w:rPr>
                <w:rFonts w:ascii="宋体" w:hAnsi="宋体" w:eastAsia="宋体" w:cs="宋体"/>
                <w:color w:val="auto"/>
                <w:sz w:val="21"/>
                <w:szCs w:val="21"/>
                <w:lang w:eastAsia="zh-CN"/>
              </w:rPr>
              <w:t>生物填料：不小于</w:t>
            </w:r>
            <w:r>
              <w:rPr>
                <w:rFonts w:hint="eastAsia" w:ascii="宋体" w:hAnsi="宋体" w:eastAsia="宋体" w:cs="宋体"/>
                <w:color w:val="auto"/>
                <w:sz w:val="21"/>
                <w:szCs w:val="21"/>
                <w:lang w:eastAsia="zh-CN"/>
              </w:rPr>
              <w:t>77</w:t>
            </w:r>
            <w:r>
              <w:rPr>
                <w:rFonts w:ascii="宋体" w:hAnsi="宋体" w:eastAsia="宋体" w:cs="宋体"/>
                <w:color w:val="auto"/>
                <w:sz w:val="21"/>
                <w:szCs w:val="21"/>
                <w:lang w:eastAsia="zh-CN"/>
              </w:rPr>
              <w:t>m³处理效率&gt;95%臭气与生物填料的接触时间不小于12秒填料厚度应不小于1.6m。除臭塔及填料使用寿命不低于15</w:t>
            </w:r>
            <w:r>
              <w:rPr>
                <w:rFonts w:ascii="宋体" w:hAnsi="宋体" w:eastAsia="宋体" w:cs="宋体"/>
                <w:color w:val="auto"/>
                <w:spacing w:val="-3"/>
                <w:sz w:val="21"/>
                <w:szCs w:val="21"/>
                <w:lang w:eastAsia="zh-CN"/>
              </w:rPr>
              <w:t>年。</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r>
              <w:rPr>
                <w:rFonts w:ascii="宋体" w:hAnsi="宋体" w:eastAsia="宋体" w:cs="宋体"/>
                <w:color w:val="auto"/>
                <w:sz w:val="21"/>
                <w:szCs w:val="21"/>
                <w:lang w:eastAsia="zh-CN"/>
              </w:rPr>
              <w:t>主要由（但不限</w:t>
            </w:r>
            <w:r>
              <w:rPr>
                <w:rFonts w:ascii="宋体" w:hAnsi="宋体" w:eastAsia="宋体" w:cs="宋体"/>
                <w:color w:val="auto"/>
                <w:spacing w:val="-8"/>
                <w:sz w:val="21"/>
                <w:szCs w:val="21"/>
                <w:lang w:eastAsia="zh-CN"/>
              </w:rPr>
              <w:t>于此）生物滤池、</w:t>
            </w:r>
            <w:r>
              <w:rPr>
                <w:rFonts w:ascii="宋体" w:hAnsi="宋体" w:eastAsia="宋体" w:cs="宋体"/>
                <w:color w:val="auto"/>
                <w:sz w:val="21"/>
                <w:szCs w:val="21"/>
                <w:lang w:eastAsia="zh-CN"/>
              </w:rPr>
              <w:t>离心风机、压差计、流量计、散水泵、散水阀门</w:t>
            </w:r>
            <w:r>
              <w:rPr>
                <w:rFonts w:ascii="宋体" w:hAnsi="宋体" w:eastAsia="宋体" w:cs="宋体"/>
                <w:color w:val="auto"/>
                <w:spacing w:val="-8"/>
                <w:sz w:val="21"/>
                <w:szCs w:val="21"/>
                <w:lang w:eastAsia="zh-CN"/>
              </w:rPr>
              <w:t>管道、排放系统、</w:t>
            </w:r>
            <w:r>
              <w:rPr>
                <w:rFonts w:ascii="宋体" w:hAnsi="宋体" w:eastAsia="宋体" w:cs="宋体"/>
                <w:color w:val="auto"/>
                <w:sz w:val="21"/>
                <w:szCs w:val="21"/>
                <w:lang w:eastAsia="zh-CN"/>
              </w:rPr>
              <w:t>硫化氢测量仪、风管调节阀、玻璃钢风管及相关附件、电控箱组成</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2</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离心风机</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2台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1"/>
                <w:sz w:val="21"/>
                <w:szCs w:val="21"/>
              </w:rPr>
              <w:t>Q=0～2</w:t>
            </w:r>
            <w:r>
              <w:rPr>
                <w:rFonts w:hint="eastAsia" w:ascii="宋体" w:hAnsi="宋体" w:eastAsia="宋体" w:cs="宋体"/>
                <w:color w:val="auto"/>
                <w:spacing w:val="-1"/>
                <w:sz w:val="21"/>
                <w:szCs w:val="21"/>
                <w:lang w:eastAsia="zh-CN"/>
              </w:rPr>
              <w:t>53</w:t>
            </w:r>
            <w:r>
              <w:rPr>
                <w:rFonts w:ascii="宋体" w:hAnsi="宋体" w:eastAsia="宋体" w:cs="宋体"/>
                <w:color w:val="auto"/>
                <w:spacing w:val="-1"/>
                <w:sz w:val="21"/>
                <w:szCs w:val="21"/>
              </w:rPr>
              <w:t>00m³/h,</w:t>
            </w:r>
            <w:r>
              <w:rPr>
                <w:rFonts w:ascii="宋体" w:hAnsi="宋体" w:eastAsia="宋体" w:cs="宋体"/>
                <w:color w:val="auto"/>
                <w:sz w:val="21"/>
                <w:szCs w:val="21"/>
              </w:rPr>
              <w:t>H=0～2.5KPa,N≈2</w:t>
            </w:r>
            <w:r>
              <w:rPr>
                <w:rFonts w:hint="eastAsia" w:ascii="宋体" w:hAnsi="宋体" w:eastAsia="宋体" w:cs="宋体"/>
                <w:color w:val="auto"/>
                <w:sz w:val="21"/>
                <w:szCs w:val="21"/>
                <w:lang w:eastAsia="zh-CN"/>
              </w:rPr>
              <w:t>5</w:t>
            </w:r>
            <w:r>
              <w:rPr>
                <w:rFonts w:ascii="宋体" w:hAnsi="宋体" w:eastAsia="宋体" w:cs="宋体"/>
                <w:color w:val="auto"/>
                <w:sz w:val="21"/>
                <w:szCs w:val="21"/>
              </w:rPr>
              <w:t>kw（暂定）</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446" w:right="440"/>
              <w:rPr>
                <w:rFonts w:ascii="宋体" w:hAnsi="宋体" w:eastAsia="宋体" w:cs="宋体"/>
                <w:color w:val="auto"/>
                <w:sz w:val="21"/>
                <w:szCs w:val="21"/>
              </w:rPr>
            </w:pPr>
            <w:r>
              <w:rPr>
                <w:rFonts w:ascii="宋体" w:hAnsi="宋体" w:eastAsia="宋体" w:cs="宋体"/>
                <w:color w:val="auto"/>
                <w:spacing w:val="-1"/>
                <w:sz w:val="21"/>
                <w:szCs w:val="21"/>
              </w:rPr>
              <w:t>知名品牌变频电机</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3</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散水泵</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2台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30m³/h，20m，4kw</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4</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水箱</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2个</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有效容积不小于1.5m³</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材质PE或FRP</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5</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压差计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2台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H=0～3KPa</w:t>
            </w:r>
          </w:p>
        </w:tc>
        <w:tc>
          <w:tcPr>
            <w:tcW w:w="1743" w:type="dxa"/>
            <w:tcBorders>
              <w:top w:val="single" w:color="000000" w:sz="6" w:space="0"/>
              <w:left w:val="single" w:color="000000" w:sz="6" w:space="0"/>
              <w:bottom w:val="single" w:color="000000" w:sz="6" w:space="0"/>
              <w:right w:val="single" w:color="000000" w:sz="4" w:space="0"/>
            </w:tcBorders>
            <w:vAlign w:val="center"/>
          </w:tcPr>
          <w:p>
            <w:pPr>
              <w:spacing w:line="360" w:lineRule="auto"/>
              <w:rPr>
                <w:color w:val="auto"/>
                <w:sz w:val="21"/>
                <w:szCs w:val="21"/>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6</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流量计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2台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Q=0～100m³/h</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用于测水流量</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7</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硫化氢测量仪</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2台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0～10ppm</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8</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风管调节阀</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2台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10</w:t>
            </w:r>
            <w:r>
              <w:rPr>
                <w:rFonts w:ascii="宋体" w:hAnsi="宋体" w:eastAsia="宋体" w:cs="宋体"/>
                <w:color w:val="auto"/>
                <w:sz w:val="21"/>
                <w:szCs w:val="21"/>
              </w:rPr>
              <w:t>00，PN=0.3Mpa</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9</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玻璃钢风管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color w:val="auto"/>
                <w:sz w:val="21"/>
                <w:szCs w:val="21"/>
              </w:rPr>
              <w:t>&gt;10m</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10</w:t>
            </w:r>
            <w:r>
              <w:rPr>
                <w:rFonts w:ascii="宋体" w:hAnsi="宋体" w:eastAsia="宋体" w:cs="宋体"/>
                <w:color w:val="auto"/>
                <w:sz w:val="21"/>
                <w:szCs w:val="21"/>
              </w:rPr>
              <w:t>00；PN=0.3Mpa</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jc w:val="center"/>
              <w:rPr>
                <w:rFonts w:ascii="宋体" w:hAnsi="宋体" w:eastAsia="宋体" w:cs="宋体"/>
                <w:color w:val="auto"/>
                <w:sz w:val="21"/>
                <w:szCs w:val="21"/>
              </w:rPr>
            </w:pPr>
            <w:r>
              <w:rPr>
                <w:rFonts w:ascii="宋体"/>
                <w:color w:val="auto"/>
                <w:sz w:val="21"/>
                <w:szCs w:val="21"/>
              </w:rPr>
              <w:t>10</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其他风管管件</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2批</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35"/>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变径、弯头、三通等</w:t>
            </w:r>
            <w:r>
              <w:rPr>
                <w:rFonts w:ascii="宋体" w:hAnsi="宋体" w:eastAsia="宋体" w:cs="宋体"/>
                <w:color w:val="auto"/>
                <w:sz w:val="21"/>
                <w:szCs w:val="21"/>
                <w:lang w:eastAsia="zh-CN"/>
              </w:rPr>
              <w:t>FRP</w:t>
            </w:r>
            <w:r>
              <w:rPr>
                <w:rFonts w:ascii="宋体" w:hAnsi="宋体" w:eastAsia="宋体" w:cs="宋体"/>
                <w:color w:val="auto"/>
                <w:spacing w:val="-3"/>
                <w:sz w:val="21"/>
                <w:szCs w:val="21"/>
                <w:lang w:eastAsia="zh-CN"/>
              </w:rPr>
              <w:t>材质</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129"/>
              <w:rPr>
                <w:rFonts w:ascii="宋体" w:hAnsi="宋体" w:eastAsia="宋体" w:cs="宋体"/>
                <w:color w:val="auto"/>
                <w:sz w:val="21"/>
                <w:szCs w:val="21"/>
              </w:rPr>
            </w:pPr>
            <w:r>
              <w:rPr>
                <w:rFonts w:ascii="宋体" w:hAnsi="宋体" w:eastAsia="宋体" w:cs="宋体"/>
                <w:color w:val="auto"/>
                <w:sz w:val="21"/>
                <w:szCs w:val="21"/>
              </w:rPr>
              <w:t>根据详细设计定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11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电控系统</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2套</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2"/>
                <w:sz w:val="21"/>
                <w:szCs w:val="21"/>
                <w:lang w:eastAsia="zh-CN"/>
              </w:rPr>
              <w:t>电控系统包括所有的监测、控制元件及报警、保险丝和主开关等。还包括电控箱及与本设备内部的连接电缆。</w:t>
            </w:r>
            <w:r>
              <w:rPr>
                <w:rFonts w:ascii="宋体" w:hAnsi="宋体" w:eastAsia="宋体" w:cs="宋体"/>
                <w:color w:val="auto"/>
                <w:sz w:val="21"/>
                <w:szCs w:val="21"/>
                <w:lang w:eastAsia="zh-CN"/>
              </w:rPr>
              <w:t>柜体不锈钢304，壁厚1.5mmm</w:t>
            </w:r>
            <w:r>
              <w:rPr>
                <w:rFonts w:ascii="宋体" w:hAnsi="宋体" w:eastAsia="宋体" w:cs="宋体"/>
                <w:color w:val="auto"/>
                <w:spacing w:val="-3"/>
                <w:sz w:val="21"/>
                <w:szCs w:val="21"/>
                <w:lang w:eastAsia="zh-CN"/>
              </w:rPr>
              <w:t>以上</w:t>
            </w:r>
            <w:r>
              <w:rPr>
                <w:rFonts w:ascii="宋体" w:hAnsi="宋体" w:eastAsia="宋体" w:cs="宋体"/>
                <w:color w:val="auto"/>
                <w:sz w:val="21"/>
                <w:szCs w:val="21"/>
                <w:lang w:eastAsia="zh-CN"/>
              </w:rPr>
              <w:t>含通讯功能含系统内电缆（动力及通讯电缆）电源：AC380V/50Hz/3Ph。</w:t>
            </w:r>
            <w:r>
              <w:rPr>
                <w:rFonts w:ascii="宋体" w:hAnsi="宋体" w:eastAsia="宋体" w:cs="宋体"/>
                <w:color w:val="auto"/>
                <w:sz w:val="21"/>
                <w:szCs w:val="21"/>
              </w:rPr>
              <w:t>防护等级：IP55绝缘等级：F。</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760" w:right="125" w:hanging="632"/>
              <w:rPr>
                <w:rFonts w:ascii="宋体" w:hAnsi="宋体" w:eastAsia="宋体" w:cs="宋体"/>
                <w:color w:val="auto"/>
                <w:sz w:val="21"/>
                <w:szCs w:val="21"/>
              </w:rPr>
            </w:pPr>
            <w:r>
              <w:rPr>
                <w:rFonts w:ascii="宋体" w:hAnsi="宋体" w:eastAsia="宋体" w:cs="宋体"/>
                <w:color w:val="auto"/>
                <w:spacing w:val="-1"/>
                <w:sz w:val="21"/>
                <w:szCs w:val="21"/>
              </w:rPr>
              <w:t>通讯协议种类待</w:t>
            </w:r>
            <w:r>
              <w:rPr>
                <w:rFonts w:ascii="宋体" w:hAnsi="宋体" w:eastAsia="宋体" w:cs="宋体"/>
                <w:color w:val="auto"/>
                <w:sz w:val="21"/>
                <w:szCs w:val="21"/>
              </w:rPr>
              <w:t>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12</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spacing w:line="265" w:lineRule="exact"/>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工作条件：</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工作介质：</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市政污水混合致臭气体，</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工作位置：</w:t>
            </w:r>
            <w:r>
              <w:rPr>
                <w:rFonts w:ascii="宋体" w:hAnsi="宋体" w:eastAsia="宋体" w:cs="宋体"/>
                <w:color w:val="auto"/>
                <w:spacing w:val="-1"/>
                <w:sz w:val="21"/>
                <w:szCs w:val="21"/>
                <w:lang w:eastAsia="zh-CN"/>
              </w:rPr>
              <w:tab/>
            </w:r>
            <w:r>
              <w:rPr>
                <w:rFonts w:hint="eastAsia" w:ascii="宋体" w:hAnsi="宋体" w:eastAsia="宋体" w:cs="宋体"/>
                <w:color w:val="auto"/>
                <w:spacing w:val="-1"/>
                <w:sz w:val="21"/>
                <w:szCs w:val="21"/>
                <w:lang w:eastAsia="zh-CN"/>
              </w:rPr>
              <w:t>地下箱体</w:t>
            </w:r>
            <w:r>
              <w:rPr>
                <w:rFonts w:ascii="宋体" w:hAnsi="宋体" w:eastAsia="宋体" w:cs="宋体"/>
                <w:color w:val="auto"/>
                <w:spacing w:val="-1"/>
                <w:sz w:val="21"/>
                <w:szCs w:val="21"/>
                <w:lang w:eastAsia="zh-CN"/>
              </w:rPr>
              <w:t>；</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空气温度：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≤100℃</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臭气温度：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-5～40℃</w:t>
            </w:r>
          </w:p>
          <w:p>
            <w:pPr>
              <w:pStyle w:val="27"/>
              <w:tabs>
                <w:tab w:val="left" w:pos="2726"/>
              </w:tabs>
              <w:spacing w:before="42"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pH：</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5.5~8.5</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63" w:line="360" w:lineRule="auto"/>
              <w:jc w:val="center"/>
              <w:rPr>
                <w:rFonts w:ascii="宋体" w:hAnsi="宋体" w:eastAsia="宋体" w:cs="宋体"/>
                <w:color w:val="auto"/>
                <w:sz w:val="21"/>
                <w:szCs w:val="21"/>
              </w:rPr>
            </w:pPr>
            <w:r>
              <w:rPr>
                <w:rFonts w:ascii="宋体"/>
                <w:color w:val="auto"/>
                <w:sz w:val="21"/>
                <w:szCs w:val="21"/>
              </w:rPr>
              <w:t>13</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z w:val="21"/>
                <w:szCs w:val="21"/>
                <w:lang w:eastAsia="zh-CN"/>
              </w:rPr>
              <w:t>材质要求：</w:t>
            </w:r>
          </w:p>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风机叶轮</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玻璃钢</w:t>
            </w:r>
          </w:p>
          <w:p>
            <w:pPr>
              <w:pStyle w:val="27"/>
              <w:tabs>
                <w:tab w:val="left" w:pos="1363"/>
              </w:tabs>
              <w:spacing w:before="9"/>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风机壳体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360"/>
                <w:tab w:val="left" w:pos="1781"/>
              </w:tabs>
              <w:spacing w:before="44" w:line="278" w:lineRule="auto"/>
              <w:ind w:left="100" w:right="1841"/>
              <w:rPr>
                <w:rFonts w:ascii="宋体" w:hAnsi="宋体" w:eastAsia="宋体" w:cs="宋体"/>
                <w:color w:val="auto"/>
                <w:spacing w:val="-3"/>
                <w:sz w:val="21"/>
                <w:szCs w:val="21"/>
                <w:lang w:eastAsia="zh-CN"/>
              </w:rPr>
            </w:pPr>
            <w:r>
              <w:rPr>
                <w:rFonts w:ascii="宋体" w:hAnsi="宋体" w:eastAsia="宋体" w:cs="宋体"/>
                <w:color w:val="auto"/>
                <w:sz w:val="21"/>
                <w:szCs w:val="21"/>
                <w:lang w:eastAsia="zh-CN"/>
              </w:rPr>
              <w:t>散水泵</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过流部分SS304不锈钢</w:t>
            </w:r>
            <w:r>
              <w:rPr>
                <w:rFonts w:ascii="宋体" w:hAnsi="宋体" w:eastAsia="宋体" w:cs="宋体"/>
                <w:color w:val="auto"/>
                <w:spacing w:val="-1"/>
                <w:sz w:val="21"/>
                <w:szCs w:val="21"/>
                <w:lang w:eastAsia="zh-CN"/>
              </w:rPr>
              <w:t>生物滤池池体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玻璃钢和方管形钢组合件</w:t>
            </w:r>
            <w:r>
              <w:rPr>
                <w:rFonts w:ascii="宋体" w:hAnsi="宋体" w:eastAsia="宋体" w:cs="宋体"/>
                <w:color w:val="auto"/>
                <w:spacing w:val="-1"/>
                <w:sz w:val="21"/>
                <w:szCs w:val="21"/>
                <w:lang w:eastAsia="zh-CN"/>
              </w:rPr>
              <w:t>填料支撑</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玻璃钢格栅、PE</w:t>
            </w:r>
            <w:r>
              <w:rPr>
                <w:rFonts w:ascii="宋体" w:hAnsi="宋体" w:eastAsia="宋体" w:cs="宋体"/>
                <w:color w:val="auto"/>
                <w:spacing w:val="-3"/>
                <w:sz w:val="21"/>
                <w:szCs w:val="21"/>
                <w:lang w:eastAsia="zh-CN"/>
              </w:rPr>
              <w:t>格网</w:t>
            </w:r>
          </w:p>
          <w:p>
            <w:pPr>
              <w:pStyle w:val="27"/>
              <w:tabs>
                <w:tab w:val="left" w:pos="1360"/>
                <w:tab w:val="left" w:pos="1781"/>
              </w:tabs>
              <w:spacing w:before="44" w:line="278" w:lineRule="auto"/>
              <w:ind w:left="100" w:right="1841"/>
              <w:rPr>
                <w:rFonts w:ascii="宋体" w:hAnsi="宋体" w:eastAsia="宋体" w:cs="宋体"/>
                <w:color w:val="auto"/>
                <w:spacing w:val="-1"/>
                <w:sz w:val="21"/>
                <w:szCs w:val="21"/>
                <w:lang w:eastAsia="zh-CN"/>
              </w:rPr>
            </w:pPr>
            <w:r>
              <w:rPr>
                <w:rFonts w:ascii="宋体" w:hAnsi="宋体" w:eastAsia="宋体" w:cs="宋体"/>
                <w:color w:val="auto"/>
                <w:spacing w:val="-1"/>
                <w:sz w:val="21"/>
                <w:szCs w:val="21"/>
                <w:lang w:eastAsia="zh-CN"/>
              </w:rPr>
              <w:t>生物填料</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炭质单一填料</w:t>
            </w:r>
          </w:p>
          <w:p>
            <w:pPr>
              <w:pStyle w:val="27"/>
              <w:tabs>
                <w:tab w:val="left" w:pos="1886"/>
                <w:tab w:val="left" w:pos="2203"/>
              </w:tabs>
              <w:spacing w:line="278" w:lineRule="auto"/>
              <w:ind w:left="100" w:right="1475"/>
              <w:rPr>
                <w:rFonts w:ascii="宋体" w:hAnsi="宋体" w:eastAsia="宋体" w:cs="宋体"/>
                <w:color w:val="auto"/>
                <w:sz w:val="21"/>
                <w:szCs w:val="21"/>
                <w:lang w:eastAsia="zh-CN"/>
              </w:rPr>
            </w:pPr>
            <w:r>
              <w:rPr>
                <w:rFonts w:ascii="宋体" w:hAnsi="宋体" w:eastAsia="宋体" w:cs="宋体"/>
                <w:color w:val="auto"/>
                <w:sz w:val="21"/>
                <w:szCs w:val="21"/>
                <w:lang w:eastAsia="zh-CN"/>
              </w:rPr>
              <w:t>密封罩</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不锈钢304骨架+耐力板4mm</w:t>
            </w:r>
            <w:r>
              <w:rPr>
                <w:rFonts w:ascii="宋体" w:hAnsi="宋体" w:eastAsia="宋体" w:cs="宋体"/>
                <w:color w:val="auto"/>
                <w:spacing w:val="-1"/>
                <w:sz w:val="21"/>
                <w:szCs w:val="21"/>
                <w:lang w:eastAsia="zh-CN"/>
              </w:rPr>
              <w:t>风管及管道配件</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781"/>
              </w:tabs>
              <w:spacing w:before="10"/>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电控柜外壳</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SS304</w:t>
            </w:r>
            <w:r>
              <w:rPr>
                <w:rFonts w:ascii="宋体" w:hAnsi="宋体" w:eastAsia="宋体" w:cs="宋体"/>
                <w:color w:val="auto"/>
                <w:spacing w:val="-1"/>
                <w:sz w:val="21"/>
                <w:szCs w:val="21"/>
                <w:lang w:eastAsia="zh-CN"/>
              </w:rPr>
              <w:t>不锈钢</w:t>
            </w:r>
          </w:p>
          <w:p>
            <w:pPr>
              <w:pStyle w:val="27"/>
              <w:tabs>
                <w:tab w:val="left" w:pos="1781"/>
              </w:tabs>
              <w:spacing w:before="44"/>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水管</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UPVC</w:t>
            </w:r>
          </w:p>
          <w:p>
            <w:pPr>
              <w:pStyle w:val="27"/>
              <w:tabs>
                <w:tab w:val="left" w:pos="1360"/>
                <w:tab w:val="left" w:pos="1781"/>
              </w:tabs>
              <w:spacing w:before="44" w:line="360" w:lineRule="auto"/>
              <w:ind w:left="100" w:right="63"/>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所有连接附件、紧固件</w:t>
            </w:r>
            <w:r>
              <w:rPr>
                <w:rFonts w:ascii="宋体" w:hAnsi="宋体" w:eastAsia="宋体" w:cs="宋体"/>
                <w:color w:val="auto"/>
                <w:spacing w:val="-2"/>
                <w:sz w:val="21"/>
                <w:szCs w:val="21"/>
                <w:lang w:eastAsia="zh-CN"/>
              </w:rPr>
              <w:tab/>
            </w:r>
            <w:r>
              <w:rPr>
                <w:rFonts w:ascii="宋体" w:hAnsi="宋体" w:eastAsia="宋体" w:cs="宋体"/>
                <w:color w:val="auto"/>
                <w:spacing w:val="-1"/>
                <w:sz w:val="21"/>
                <w:szCs w:val="21"/>
                <w:lang w:eastAsia="zh-CN"/>
              </w:rPr>
              <w:t>FRP/UPVC/</w:t>
            </w:r>
            <w:r>
              <w:rPr>
                <w:rFonts w:ascii="宋体" w:hAnsi="宋体" w:eastAsia="宋体" w:cs="宋体"/>
                <w:color w:val="auto"/>
                <w:spacing w:val="-2"/>
                <w:sz w:val="21"/>
                <w:szCs w:val="21"/>
                <w:lang w:eastAsia="zh-CN"/>
              </w:rPr>
              <w:t>碳钢防腐</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14</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spacing w:line="278" w:lineRule="auto"/>
              <w:ind w:left="100" w:right="93"/>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在任何季节、任何气候条件下，除臭系统NH3、H2S</w:t>
            </w:r>
            <w:r>
              <w:rPr>
                <w:rFonts w:ascii="宋体" w:hAnsi="宋体" w:eastAsia="宋体" w:cs="宋体"/>
                <w:color w:val="auto"/>
                <w:sz w:val="21"/>
                <w:szCs w:val="21"/>
                <w:lang w:eastAsia="zh-CN"/>
              </w:rPr>
              <w:t>等重点控制物浓度符合</w:t>
            </w:r>
          </w:p>
          <w:p>
            <w:pPr>
              <w:pStyle w:val="27"/>
              <w:tabs>
                <w:tab w:val="left" w:pos="1992"/>
              </w:tabs>
              <w:spacing w:before="10" w:line="278" w:lineRule="auto"/>
              <w:ind w:left="100" w:right="1001"/>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GB18918-2002</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城镇污水处理厂污染物排放标准</w:t>
            </w:r>
            <w:r>
              <w:rPr>
                <w:rFonts w:ascii="宋体" w:hAnsi="宋体" w:eastAsia="宋体" w:cs="宋体"/>
                <w:color w:val="auto"/>
                <w:sz w:val="21"/>
                <w:szCs w:val="21"/>
                <w:lang w:eastAsia="zh-CN"/>
              </w:rPr>
              <w:t>GB16297-1996</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大气污染物综合排放标准</w:t>
            </w:r>
          </w:p>
          <w:p>
            <w:pPr>
              <w:pStyle w:val="27"/>
              <w:tabs>
                <w:tab w:val="left" w:pos="1992"/>
              </w:tabs>
              <w:spacing w:before="10"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GB14554-93</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恶臭污染物排放标准值</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bl>
    <w:p>
      <w:pPr>
        <w:pStyle w:val="29"/>
        <w:ind w:firstLine="472"/>
        <w:rPr>
          <w:color w:val="auto"/>
        </w:rPr>
      </w:pPr>
    </w:p>
    <w:p>
      <w:pPr>
        <w:pStyle w:val="33"/>
        <w:rPr>
          <w:color w:val="auto"/>
        </w:rPr>
      </w:pPr>
      <w:r>
        <w:rPr>
          <w:rFonts w:hint="eastAsia"/>
          <w:color w:val="auto"/>
        </w:rPr>
        <w:t>2</w:t>
      </w:r>
      <w:r>
        <w:rPr>
          <w:color w:val="auto"/>
        </w:rPr>
        <w:t>#生物除臭设备</w:t>
      </w:r>
    </w:p>
    <w:p>
      <w:pPr>
        <w:spacing w:before="2"/>
        <w:rPr>
          <w:rFonts w:ascii="宋体" w:hAnsi="宋体" w:eastAsia="宋体" w:cs="宋体"/>
          <w:b/>
          <w:bCs/>
          <w:color w:val="auto"/>
          <w:sz w:val="9"/>
          <w:szCs w:val="9"/>
          <w:lang w:eastAsia="zh-CN"/>
        </w:rPr>
      </w:pPr>
    </w:p>
    <w:tbl>
      <w:tblPr>
        <w:tblStyle w:val="25"/>
        <w:tblW w:w="8506" w:type="dxa"/>
        <w:tblInd w:w="112" w:type="dxa"/>
        <w:tblLayout w:type="fixed"/>
        <w:tblCellMar>
          <w:top w:w="0" w:type="dxa"/>
          <w:left w:w="0" w:type="dxa"/>
          <w:bottom w:w="0" w:type="dxa"/>
          <w:right w:w="0" w:type="dxa"/>
        </w:tblCellMar>
      </w:tblPr>
      <w:tblGrid>
        <w:gridCol w:w="811"/>
        <w:gridCol w:w="1558"/>
        <w:gridCol w:w="746"/>
        <w:gridCol w:w="3444"/>
        <w:gridCol w:w="1947"/>
      </w:tblGrid>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序号</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名称</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单位</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b/>
                <w:bCs/>
                <w:color w:val="auto"/>
                <w:sz w:val="21"/>
                <w:szCs w:val="21"/>
              </w:rPr>
              <w:t>性能</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备注</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生物滤池</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套</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5"/>
              <w:rPr>
                <w:rFonts w:ascii="宋体" w:hAnsi="宋体" w:eastAsia="宋体" w:cs="宋体"/>
                <w:color w:val="auto"/>
                <w:sz w:val="11"/>
                <w:szCs w:val="11"/>
                <w:lang w:eastAsia="zh-CN"/>
              </w:rPr>
            </w:pPr>
            <w:r>
              <w:rPr>
                <w:rFonts w:ascii="宋体" w:hAnsi="宋体" w:eastAsia="宋体" w:cs="宋体"/>
                <w:color w:val="auto"/>
                <w:w w:val="110"/>
                <w:sz w:val="21"/>
                <w:szCs w:val="21"/>
                <w:lang w:eastAsia="zh-CN"/>
              </w:rPr>
              <w:t>臭气浓度：3500~4000OU/m³处理气量：Q=</w:t>
            </w:r>
            <w:r>
              <w:rPr>
                <w:rFonts w:hint="eastAsia" w:ascii="宋体" w:hAnsi="宋体" w:eastAsia="宋体" w:cs="宋体"/>
                <w:color w:val="auto"/>
                <w:w w:val="110"/>
                <w:sz w:val="21"/>
                <w:szCs w:val="21"/>
                <w:lang w:eastAsia="zh-CN"/>
              </w:rPr>
              <w:t>30</w:t>
            </w:r>
            <w:r>
              <w:rPr>
                <w:rFonts w:ascii="宋体" w:hAnsi="宋体" w:eastAsia="宋体" w:cs="宋体"/>
                <w:color w:val="auto"/>
                <w:w w:val="110"/>
                <w:sz w:val="21"/>
                <w:szCs w:val="21"/>
                <w:lang w:eastAsia="zh-CN"/>
              </w:rPr>
              <w:t>000m³/h</w:t>
            </w:r>
            <w:r>
              <w:rPr>
                <w:rFonts w:ascii="宋体" w:hAnsi="宋体" w:eastAsia="宋体" w:cs="宋体"/>
                <w:color w:val="auto"/>
                <w:sz w:val="21"/>
                <w:szCs w:val="21"/>
                <w:lang w:eastAsia="zh-CN"/>
              </w:rPr>
              <w:t>生物填料：不小于</w:t>
            </w:r>
            <w:r>
              <w:rPr>
                <w:rFonts w:hint="eastAsia" w:ascii="宋体" w:hAnsi="宋体" w:eastAsia="宋体" w:cs="宋体"/>
                <w:color w:val="auto"/>
                <w:sz w:val="21"/>
                <w:szCs w:val="21"/>
                <w:lang w:eastAsia="zh-CN"/>
              </w:rPr>
              <w:t>101</w:t>
            </w:r>
            <w:r>
              <w:rPr>
                <w:rFonts w:ascii="宋体" w:hAnsi="宋体" w:eastAsia="宋体" w:cs="宋体"/>
                <w:color w:val="auto"/>
                <w:sz w:val="21"/>
                <w:szCs w:val="21"/>
                <w:lang w:eastAsia="zh-CN"/>
              </w:rPr>
              <w:t>m³处理效率&gt;95%臭气与生物填料的接触时间不小于12秒填料厚度应不小于1.6m。除臭塔及填料使用寿命不低于15</w:t>
            </w:r>
            <w:r>
              <w:rPr>
                <w:rFonts w:ascii="宋体" w:hAnsi="宋体" w:eastAsia="宋体" w:cs="宋体"/>
                <w:color w:val="auto"/>
                <w:spacing w:val="-3"/>
                <w:sz w:val="21"/>
                <w:szCs w:val="21"/>
                <w:lang w:eastAsia="zh-CN"/>
              </w:rPr>
              <w:t>年。</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r>
              <w:rPr>
                <w:rFonts w:ascii="宋体" w:hAnsi="宋体" w:eastAsia="宋体" w:cs="宋体"/>
                <w:color w:val="auto"/>
                <w:sz w:val="21"/>
                <w:szCs w:val="21"/>
                <w:lang w:eastAsia="zh-CN"/>
              </w:rPr>
              <w:t>主要由（但不限</w:t>
            </w:r>
            <w:r>
              <w:rPr>
                <w:rFonts w:ascii="宋体" w:hAnsi="宋体" w:eastAsia="宋体" w:cs="宋体"/>
                <w:color w:val="auto"/>
                <w:spacing w:val="-8"/>
                <w:sz w:val="21"/>
                <w:szCs w:val="21"/>
                <w:lang w:eastAsia="zh-CN"/>
              </w:rPr>
              <w:t>于此）生物滤池、</w:t>
            </w:r>
            <w:r>
              <w:rPr>
                <w:rFonts w:ascii="宋体" w:hAnsi="宋体" w:eastAsia="宋体" w:cs="宋体"/>
                <w:color w:val="auto"/>
                <w:sz w:val="21"/>
                <w:szCs w:val="21"/>
                <w:lang w:eastAsia="zh-CN"/>
              </w:rPr>
              <w:t>离心风机、压差计、流量计、散水泵、散水阀门</w:t>
            </w:r>
            <w:r>
              <w:rPr>
                <w:rFonts w:ascii="宋体" w:hAnsi="宋体" w:eastAsia="宋体" w:cs="宋体"/>
                <w:color w:val="auto"/>
                <w:spacing w:val="-8"/>
                <w:sz w:val="21"/>
                <w:szCs w:val="21"/>
                <w:lang w:eastAsia="zh-CN"/>
              </w:rPr>
              <w:t>管道、排放系统、</w:t>
            </w:r>
            <w:r>
              <w:rPr>
                <w:rFonts w:ascii="宋体" w:hAnsi="宋体" w:eastAsia="宋体" w:cs="宋体"/>
                <w:color w:val="auto"/>
                <w:sz w:val="21"/>
                <w:szCs w:val="21"/>
                <w:lang w:eastAsia="zh-CN"/>
              </w:rPr>
              <w:t>硫化氢测量仪、风管调节阀、玻璃钢风管及相关附件、电控箱组成</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2</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离心风机</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1"/>
                <w:sz w:val="21"/>
                <w:szCs w:val="21"/>
              </w:rPr>
              <w:t>Q=0～</w:t>
            </w:r>
            <w:r>
              <w:rPr>
                <w:rFonts w:hint="eastAsia" w:ascii="宋体" w:hAnsi="宋体" w:eastAsia="宋体" w:cs="宋体"/>
                <w:color w:val="auto"/>
                <w:spacing w:val="-1"/>
                <w:sz w:val="21"/>
                <w:szCs w:val="21"/>
                <w:lang w:eastAsia="zh-CN"/>
              </w:rPr>
              <w:t>330</w:t>
            </w:r>
            <w:r>
              <w:rPr>
                <w:rFonts w:ascii="宋体" w:hAnsi="宋体" w:eastAsia="宋体" w:cs="宋体"/>
                <w:color w:val="auto"/>
                <w:spacing w:val="-1"/>
                <w:sz w:val="21"/>
                <w:szCs w:val="21"/>
              </w:rPr>
              <w:t>00m³/h,</w:t>
            </w:r>
            <w:r>
              <w:rPr>
                <w:rFonts w:ascii="宋体" w:hAnsi="宋体" w:eastAsia="宋体" w:cs="宋体"/>
                <w:color w:val="auto"/>
                <w:sz w:val="21"/>
                <w:szCs w:val="21"/>
              </w:rPr>
              <w:t>H=0～2.5KPa,N≈</w:t>
            </w:r>
            <w:r>
              <w:rPr>
                <w:rFonts w:hint="eastAsia" w:ascii="宋体" w:hAnsi="宋体" w:eastAsia="宋体" w:cs="宋体"/>
                <w:color w:val="auto"/>
                <w:sz w:val="21"/>
                <w:szCs w:val="21"/>
                <w:lang w:eastAsia="zh-CN"/>
              </w:rPr>
              <w:t>33</w:t>
            </w:r>
            <w:r>
              <w:rPr>
                <w:rFonts w:ascii="宋体" w:hAnsi="宋体" w:eastAsia="宋体" w:cs="宋体"/>
                <w:color w:val="auto"/>
                <w:sz w:val="21"/>
                <w:szCs w:val="21"/>
              </w:rPr>
              <w:t>kw（暂定）</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446" w:right="440"/>
              <w:rPr>
                <w:rFonts w:ascii="宋体" w:hAnsi="宋体" w:eastAsia="宋体" w:cs="宋体"/>
                <w:color w:val="auto"/>
                <w:sz w:val="21"/>
                <w:szCs w:val="21"/>
              </w:rPr>
            </w:pPr>
            <w:r>
              <w:rPr>
                <w:rFonts w:ascii="宋体" w:hAnsi="宋体" w:eastAsia="宋体" w:cs="宋体"/>
                <w:color w:val="auto"/>
                <w:spacing w:val="-1"/>
                <w:sz w:val="21"/>
                <w:szCs w:val="21"/>
              </w:rPr>
              <w:t>知名品牌变频电机</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3</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散水泵</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30m³/h，20m，4kw</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4</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水箱</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个</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11"/>
                <w:szCs w:val="11"/>
              </w:rPr>
            </w:pPr>
            <w:r>
              <w:rPr>
                <w:rFonts w:ascii="宋体" w:hAnsi="宋体" w:eastAsia="宋体" w:cs="宋体"/>
                <w:color w:val="auto"/>
                <w:sz w:val="21"/>
                <w:szCs w:val="21"/>
              </w:rPr>
              <w:t>有效容积不小于1.5m³</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材质PE或FRP</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5</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压差计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H=0～3KPa</w:t>
            </w:r>
          </w:p>
        </w:tc>
        <w:tc>
          <w:tcPr>
            <w:tcW w:w="1947" w:type="dxa"/>
            <w:tcBorders>
              <w:top w:val="single" w:color="000000" w:sz="6" w:space="0"/>
              <w:left w:val="single" w:color="000000" w:sz="6" w:space="0"/>
              <w:bottom w:val="single" w:color="000000" w:sz="6" w:space="0"/>
              <w:right w:val="single" w:color="000000" w:sz="4" w:space="0"/>
            </w:tcBorders>
            <w:vAlign w:val="center"/>
          </w:tcPr>
          <w:p>
            <w:pPr>
              <w:spacing w:line="360" w:lineRule="auto"/>
              <w:rPr>
                <w:color w:val="auto"/>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6</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流量计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Q=0～100m³/h</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用于测水流量</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7</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硫化氢测量仪</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0～10ppm</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8</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风管调节阀</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11</w:t>
            </w:r>
            <w:r>
              <w:rPr>
                <w:rFonts w:ascii="宋体" w:hAnsi="宋体" w:eastAsia="宋体" w:cs="宋体"/>
                <w:color w:val="auto"/>
                <w:sz w:val="21"/>
                <w:szCs w:val="21"/>
              </w:rPr>
              <w:t>00，PN=0.3Mpa</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9</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玻璃钢风管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color w:val="auto"/>
                <w:sz w:val="21"/>
              </w:rPr>
              <w:t>&gt;10m</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11</w:t>
            </w:r>
            <w:r>
              <w:rPr>
                <w:rFonts w:ascii="宋体" w:hAnsi="宋体" w:eastAsia="宋体" w:cs="宋体"/>
                <w:color w:val="auto"/>
                <w:sz w:val="21"/>
                <w:szCs w:val="21"/>
              </w:rPr>
              <w:t>00；PN=0.3Mpa</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jc w:val="center"/>
              <w:rPr>
                <w:rFonts w:ascii="宋体" w:hAnsi="宋体" w:eastAsia="宋体" w:cs="宋体"/>
                <w:color w:val="auto"/>
                <w:sz w:val="21"/>
                <w:szCs w:val="21"/>
              </w:rPr>
            </w:pPr>
            <w:r>
              <w:rPr>
                <w:rFonts w:ascii="宋体"/>
                <w:color w:val="auto"/>
                <w:sz w:val="21"/>
              </w:rPr>
              <w:t>10</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其他风管管件</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批</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35"/>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变径、弯头、三通等</w:t>
            </w:r>
            <w:r>
              <w:rPr>
                <w:rFonts w:ascii="宋体" w:hAnsi="宋体" w:eastAsia="宋体" w:cs="宋体"/>
                <w:color w:val="auto"/>
                <w:sz w:val="21"/>
                <w:szCs w:val="21"/>
                <w:lang w:eastAsia="zh-CN"/>
              </w:rPr>
              <w:t>FRP</w:t>
            </w:r>
            <w:r>
              <w:rPr>
                <w:rFonts w:ascii="宋体" w:hAnsi="宋体" w:eastAsia="宋体" w:cs="宋体"/>
                <w:color w:val="auto"/>
                <w:spacing w:val="-3"/>
                <w:sz w:val="21"/>
                <w:szCs w:val="21"/>
                <w:lang w:eastAsia="zh-CN"/>
              </w:rPr>
              <w:t>材质</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129"/>
              <w:rPr>
                <w:rFonts w:ascii="宋体" w:hAnsi="宋体" w:eastAsia="宋体" w:cs="宋体"/>
                <w:color w:val="auto"/>
                <w:sz w:val="21"/>
                <w:szCs w:val="21"/>
              </w:rPr>
            </w:pPr>
            <w:r>
              <w:rPr>
                <w:rFonts w:ascii="宋体" w:hAnsi="宋体" w:eastAsia="宋体" w:cs="宋体"/>
                <w:color w:val="auto"/>
                <w:sz w:val="21"/>
                <w:szCs w:val="21"/>
              </w:rPr>
              <w:t>根据详细设计定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电控系统</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套</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2"/>
                <w:sz w:val="21"/>
                <w:szCs w:val="21"/>
                <w:lang w:eastAsia="zh-CN"/>
              </w:rPr>
              <w:t>电控系统包括所有的监测、控制元件及报警、保险丝和主开关等。还包括电控箱及与本设备内部的连接电缆。</w:t>
            </w:r>
            <w:r>
              <w:rPr>
                <w:rFonts w:ascii="宋体" w:hAnsi="宋体" w:eastAsia="宋体" w:cs="宋体"/>
                <w:color w:val="auto"/>
                <w:sz w:val="21"/>
                <w:szCs w:val="21"/>
                <w:lang w:eastAsia="zh-CN"/>
              </w:rPr>
              <w:t>柜体不锈钢304，壁厚1.5mmm</w:t>
            </w:r>
            <w:r>
              <w:rPr>
                <w:rFonts w:ascii="宋体" w:hAnsi="宋体" w:eastAsia="宋体" w:cs="宋体"/>
                <w:color w:val="auto"/>
                <w:spacing w:val="-3"/>
                <w:sz w:val="21"/>
                <w:szCs w:val="21"/>
                <w:lang w:eastAsia="zh-CN"/>
              </w:rPr>
              <w:t>以上</w:t>
            </w:r>
            <w:r>
              <w:rPr>
                <w:rFonts w:ascii="宋体" w:hAnsi="宋体" w:eastAsia="宋体" w:cs="宋体"/>
                <w:color w:val="auto"/>
                <w:sz w:val="21"/>
                <w:szCs w:val="21"/>
                <w:lang w:eastAsia="zh-CN"/>
              </w:rPr>
              <w:t>含通讯功能含系统内电缆（动力及通讯电缆）电源：AC380V/50Hz/3Ph。</w:t>
            </w:r>
            <w:r>
              <w:rPr>
                <w:rFonts w:ascii="宋体" w:hAnsi="宋体" w:eastAsia="宋体" w:cs="宋体"/>
                <w:color w:val="auto"/>
                <w:sz w:val="21"/>
                <w:szCs w:val="21"/>
              </w:rPr>
              <w:t>防护等级：IP55绝缘等级：F。</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760" w:right="125" w:hanging="632"/>
              <w:rPr>
                <w:rFonts w:ascii="宋体" w:hAnsi="宋体" w:eastAsia="宋体" w:cs="宋体"/>
                <w:color w:val="auto"/>
                <w:sz w:val="21"/>
                <w:szCs w:val="21"/>
              </w:rPr>
            </w:pPr>
            <w:r>
              <w:rPr>
                <w:rFonts w:ascii="宋体" w:hAnsi="宋体" w:eastAsia="宋体" w:cs="宋体"/>
                <w:color w:val="auto"/>
                <w:spacing w:val="-1"/>
                <w:sz w:val="21"/>
                <w:szCs w:val="21"/>
              </w:rPr>
              <w:t>通讯协议种类待</w:t>
            </w:r>
            <w:r>
              <w:rPr>
                <w:rFonts w:ascii="宋体" w:hAnsi="宋体" w:eastAsia="宋体" w:cs="宋体"/>
                <w:color w:val="auto"/>
                <w:sz w:val="21"/>
                <w:szCs w:val="21"/>
              </w:rPr>
              <w:t>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12</w:t>
            </w:r>
          </w:p>
        </w:tc>
        <w:tc>
          <w:tcPr>
            <w:tcW w:w="5748" w:type="dxa"/>
            <w:gridSpan w:val="3"/>
            <w:tcBorders>
              <w:top w:val="single" w:color="000000" w:sz="6" w:space="0"/>
              <w:left w:val="single" w:color="000000" w:sz="6" w:space="0"/>
              <w:bottom w:val="single" w:color="000000" w:sz="6" w:space="0"/>
              <w:right w:val="single" w:color="000000" w:sz="6" w:space="0"/>
            </w:tcBorders>
          </w:tcPr>
          <w:p>
            <w:pPr>
              <w:pStyle w:val="27"/>
              <w:spacing w:line="265" w:lineRule="exact"/>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工作条件：</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工作介质：</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市政污水混合致臭气体，</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工作位置：</w:t>
            </w:r>
            <w:r>
              <w:rPr>
                <w:rFonts w:ascii="宋体" w:hAnsi="宋体" w:eastAsia="宋体" w:cs="宋体"/>
                <w:color w:val="auto"/>
                <w:spacing w:val="-1"/>
                <w:sz w:val="21"/>
                <w:szCs w:val="21"/>
                <w:lang w:eastAsia="zh-CN"/>
              </w:rPr>
              <w:tab/>
            </w:r>
            <w:r>
              <w:rPr>
                <w:rFonts w:hint="eastAsia" w:ascii="宋体" w:hAnsi="宋体" w:eastAsia="宋体" w:cs="宋体"/>
                <w:color w:val="auto"/>
                <w:spacing w:val="-1"/>
                <w:sz w:val="21"/>
                <w:szCs w:val="21"/>
                <w:lang w:eastAsia="zh-CN"/>
              </w:rPr>
              <w:t>地下箱体</w:t>
            </w:r>
            <w:r>
              <w:rPr>
                <w:rFonts w:ascii="宋体" w:hAnsi="宋体" w:eastAsia="宋体" w:cs="宋体"/>
                <w:color w:val="auto"/>
                <w:spacing w:val="-1"/>
                <w:sz w:val="21"/>
                <w:szCs w:val="21"/>
                <w:lang w:eastAsia="zh-CN"/>
              </w:rPr>
              <w:t>；</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空气温度：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≤100℃</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臭气温度：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-5～40℃</w:t>
            </w:r>
          </w:p>
          <w:p>
            <w:pPr>
              <w:pStyle w:val="27"/>
              <w:tabs>
                <w:tab w:val="left" w:pos="2726"/>
              </w:tabs>
              <w:spacing w:before="42"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pH：</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5.5~8.5</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63" w:line="360" w:lineRule="auto"/>
              <w:jc w:val="center"/>
              <w:rPr>
                <w:rFonts w:ascii="宋体" w:hAnsi="宋体" w:eastAsia="宋体" w:cs="宋体"/>
                <w:color w:val="auto"/>
                <w:sz w:val="21"/>
                <w:szCs w:val="21"/>
              </w:rPr>
            </w:pPr>
            <w:r>
              <w:rPr>
                <w:rFonts w:ascii="宋体"/>
                <w:color w:val="auto"/>
                <w:sz w:val="21"/>
              </w:rPr>
              <w:t>13</w:t>
            </w:r>
          </w:p>
        </w:tc>
        <w:tc>
          <w:tcPr>
            <w:tcW w:w="5748" w:type="dxa"/>
            <w:gridSpan w:val="3"/>
            <w:tcBorders>
              <w:top w:val="single" w:color="000000" w:sz="6" w:space="0"/>
              <w:left w:val="single" w:color="000000" w:sz="6" w:space="0"/>
              <w:bottom w:val="single" w:color="000000" w:sz="6" w:space="0"/>
              <w:right w:val="single" w:color="000000" w:sz="6" w:space="0"/>
            </w:tcBorders>
          </w:tcPr>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z w:val="21"/>
                <w:szCs w:val="21"/>
                <w:lang w:eastAsia="zh-CN"/>
              </w:rPr>
              <w:t>材质要求：</w:t>
            </w:r>
          </w:p>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风机叶轮</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玻璃钢</w:t>
            </w:r>
          </w:p>
          <w:p>
            <w:pPr>
              <w:pStyle w:val="27"/>
              <w:tabs>
                <w:tab w:val="left" w:pos="1363"/>
              </w:tabs>
              <w:spacing w:before="9"/>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风机壳体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360"/>
                <w:tab w:val="left" w:pos="1781"/>
              </w:tabs>
              <w:spacing w:before="44" w:line="278" w:lineRule="auto"/>
              <w:ind w:left="100" w:right="1841"/>
              <w:rPr>
                <w:rFonts w:ascii="宋体" w:hAnsi="宋体" w:eastAsia="宋体" w:cs="宋体"/>
                <w:color w:val="auto"/>
                <w:spacing w:val="-3"/>
                <w:sz w:val="21"/>
                <w:szCs w:val="21"/>
                <w:lang w:eastAsia="zh-CN"/>
              </w:rPr>
            </w:pPr>
            <w:r>
              <w:rPr>
                <w:rFonts w:ascii="宋体" w:hAnsi="宋体" w:eastAsia="宋体" w:cs="宋体"/>
                <w:color w:val="auto"/>
                <w:sz w:val="21"/>
                <w:szCs w:val="21"/>
                <w:lang w:eastAsia="zh-CN"/>
              </w:rPr>
              <w:t>散水泵</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过流部分SS304不锈钢</w:t>
            </w:r>
            <w:r>
              <w:rPr>
                <w:rFonts w:ascii="宋体" w:hAnsi="宋体" w:eastAsia="宋体" w:cs="宋体"/>
                <w:color w:val="auto"/>
                <w:spacing w:val="-1"/>
                <w:sz w:val="21"/>
                <w:szCs w:val="21"/>
                <w:lang w:eastAsia="zh-CN"/>
              </w:rPr>
              <w:t>生物滤池池体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玻璃钢和方管形钢组合件</w:t>
            </w:r>
            <w:r>
              <w:rPr>
                <w:rFonts w:ascii="宋体" w:hAnsi="宋体" w:eastAsia="宋体" w:cs="宋体"/>
                <w:color w:val="auto"/>
                <w:spacing w:val="-1"/>
                <w:sz w:val="21"/>
                <w:szCs w:val="21"/>
                <w:lang w:eastAsia="zh-CN"/>
              </w:rPr>
              <w:t>填料支撑</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玻璃钢格栅、PE</w:t>
            </w:r>
            <w:r>
              <w:rPr>
                <w:rFonts w:ascii="宋体" w:hAnsi="宋体" w:eastAsia="宋体" w:cs="宋体"/>
                <w:color w:val="auto"/>
                <w:spacing w:val="-3"/>
                <w:sz w:val="21"/>
                <w:szCs w:val="21"/>
                <w:lang w:eastAsia="zh-CN"/>
              </w:rPr>
              <w:t>格网</w:t>
            </w:r>
          </w:p>
          <w:p>
            <w:pPr>
              <w:pStyle w:val="27"/>
              <w:tabs>
                <w:tab w:val="left" w:pos="1360"/>
                <w:tab w:val="left" w:pos="1781"/>
              </w:tabs>
              <w:spacing w:before="44" w:line="278" w:lineRule="auto"/>
              <w:ind w:left="100" w:right="1841"/>
              <w:rPr>
                <w:rFonts w:ascii="宋体" w:hAnsi="宋体" w:eastAsia="宋体" w:cs="宋体"/>
                <w:color w:val="auto"/>
                <w:spacing w:val="-1"/>
                <w:sz w:val="21"/>
                <w:szCs w:val="21"/>
                <w:lang w:eastAsia="zh-CN"/>
              </w:rPr>
            </w:pPr>
            <w:r>
              <w:rPr>
                <w:rFonts w:ascii="宋体" w:hAnsi="宋体" w:eastAsia="宋体" w:cs="宋体"/>
                <w:color w:val="auto"/>
                <w:spacing w:val="-1"/>
                <w:sz w:val="21"/>
                <w:szCs w:val="21"/>
                <w:lang w:eastAsia="zh-CN"/>
              </w:rPr>
              <w:t>生物填料</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炭质单一填料</w:t>
            </w:r>
          </w:p>
          <w:p>
            <w:pPr>
              <w:pStyle w:val="27"/>
              <w:tabs>
                <w:tab w:val="left" w:pos="1886"/>
                <w:tab w:val="left" w:pos="2203"/>
              </w:tabs>
              <w:spacing w:line="278" w:lineRule="auto"/>
              <w:ind w:left="100" w:right="1475"/>
              <w:rPr>
                <w:rFonts w:ascii="宋体" w:hAnsi="宋体" w:eastAsia="宋体" w:cs="宋体"/>
                <w:color w:val="auto"/>
                <w:sz w:val="21"/>
                <w:szCs w:val="21"/>
                <w:lang w:eastAsia="zh-CN"/>
              </w:rPr>
            </w:pPr>
            <w:r>
              <w:rPr>
                <w:rFonts w:ascii="宋体" w:hAnsi="宋体" w:eastAsia="宋体" w:cs="宋体"/>
                <w:color w:val="auto"/>
                <w:sz w:val="21"/>
                <w:szCs w:val="21"/>
                <w:lang w:eastAsia="zh-CN"/>
              </w:rPr>
              <w:t>密封罩</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不锈钢304骨架+耐力板4mm</w:t>
            </w:r>
            <w:r>
              <w:rPr>
                <w:rFonts w:ascii="宋体" w:hAnsi="宋体" w:eastAsia="宋体" w:cs="宋体"/>
                <w:color w:val="auto"/>
                <w:spacing w:val="-1"/>
                <w:sz w:val="21"/>
                <w:szCs w:val="21"/>
                <w:lang w:eastAsia="zh-CN"/>
              </w:rPr>
              <w:t>风管及管道配件</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781"/>
              </w:tabs>
              <w:spacing w:before="10"/>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电控柜外壳</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SS304</w:t>
            </w:r>
            <w:r>
              <w:rPr>
                <w:rFonts w:ascii="宋体" w:hAnsi="宋体" w:eastAsia="宋体" w:cs="宋体"/>
                <w:color w:val="auto"/>
                <w:spacing w:val="-1"/>
                <w:sz w:val="21"/>
                <w:szCs w:val="21"/>
                <w:lang w:eastAsia="zh-CN"/>
              </w:rPr>
              <w:t>不锈钢</w:t>
            </w:r>
          </w:p>
          <w:p>
            <w:pPr>
              <w:pStyle w:val="27"/>
              <w:tabs>
                <w:tab w:val="left" w:pos="1781"/>
              </w:tabs>
              <w:spacing w:before="44"/>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水管</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UPVC</w:t>
            </w:r>
          </w:p>
          <w:p>
            <w:pPr>
              <w:pStyle w:val="27"/>
              <w:tabs>
                <w:tab w:val="left" w:pos="1360"/>
                <w:tab w:val="left" w:pos="1781"/>
              </w:tabs>
              <w:spacing w:before="44" w:line="360" w:lineRule="auto"/>
              <w:ind w:left="100" w:right="63"/>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所有连接附件、紧固件</w:t>
            </w:r>
            <w:r>
              <w:rPr>
                <w:rFonts w:ascii="宋体" w:hAnsi="宋体" w:eastAsia="宋体" w:cs="宋体"/>
                <w:color w:val="auto"/>
                <w:spacing w:val="-2"/>
                <w:sz w:val="21"/>
                <w:szCs w:val="21"/>
                <w:lang w:eastAsia="zh-CN"/>
              </w:rPr>
              <w:tab/>
            </w:r>
            <w:r>
              <w:rPr>
                <w:rFonts w:ascii="宋体" w:hAnsi="宋体" w:eastAsia="宋体" w:cs="宋体"/>
                <w:color w:val="auto"/>
                <w:spacing w:val="-1"/>
                <w:sz w:val="21"/>
                <w:szCs w:val="21"/>
                <w:lang w:eastAsia="zh-CN"/>
              </w:rPr>
              <w:t>FRP/UPVC/</w:t>
            </w:r>
            <w:r>
              <w:rPr>
                <w:rFonts w:ascii="宋体" w:hAnsi="宋体" w:eastAsia="宋体" w:cs="宋体"/>
                <w:color w:val="auto"/>
                <w:spacing w:val="-2"/>
                <w:sz w:val="21"/>
                <w:szCs w:val="21"/>
                <w:lang w:eastAsia="zh-CN"/>
              </w:rPr>
              <w:t>碳钢防腐</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14</w:t>
            </w:r>
          </w:p>
        </w:tc>
        <w:tc>
          <w:tcPr>
            <w:tcW w:w="5748" w:type="dxa"/>
            <w:gridSpan w:val="3"/>
            <w:tcBorders>
              <w:top w:val="single" w:color="000000" w:sz="6" w:space="0"/>
              <w:left w:val="single" w:color="000000" w:sz="6" w:space="0"/>
              <w:bottom w:val="single" w:color="000000" w:sz="6" w:space="0"/>
              <w:right w:val="single" w:color="000000" w:sz="6" w:space="0"/>
            </w:tcBorders>
          </w:tcPr>
          <w:p>
            <w:pPr>
              <w:pStyle w:val="27"/>
              <w:spacing w:line="278" w:lineRule="auto"/>
              <w:ind w:left="100" w:right="93"/>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在任何季节、任何气候条件下，除臭系统NH3、H2S</w:t>
            </w:r>
            <w:r>
              <w:rPr>
                <w:rFonts w:ascii="宋体" w:hAnsi="宋体" w:eastAsia="宋体" w:cs="宋体"/>
                <w:color w:val="auto"/>
                <w:sz w:val="21"/>
                <w:szCs w:val="21"/>
                <w:lang w:eastAsia="zh-CN"/>
              </w:rPr>
              <w:t>等重点控制物浓度符合</w:t>
            </w:r>
          </w:p>
          <w:p>
            <w:pPr>
              <w:pStyle w:val="27"/>
              <w:tabs>
                <w:tab w:val="left" w:pos="1992"/>
              </w:tabs>
              <w:spacing w:before="10" w:line="278" w:lineRule="auto"/>
              <w:ind w:left="100" w:right="1001"/>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GB18918-2002</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城镇污水处理厂污染物排放标准</w:t>
            </w:r>
            <w:r>
              <w:rPr>
                <w:rFonts w:ascii="宋体" w:hAnsi="宋体" w:eastAsia="宋体" w:cs="宋体"/>
                <w:color w:val="auto"/>
                <w:sz w:val="21"/>
                <w:szCs w:val="21"/>
                <w:lang w:eastAsia="zh-CN"/>
              </w:rPr>
              <w:t>GB16297-1996</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大气污染物综合排放标准</w:t>
            </w:r>
          </w:p>
          <w:p>
            <w:pPr>
              <w:pStyle w:val="27"/>
              <w:tabs>
                <w:tab w:val="left" w:pos="1992"/>
              </w:tabs>
              <w:spacing w:before="10"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GB14554-93</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恶臭污染物排放标准值</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bl>
    <w:p>
      <w:pPr>
        <w:pStyle w:val="29"/>
        <w:ind w:firstLine="472"/>
        <w:rPr>
          <w:color w:val="auto"/>
        </w:rPr>
      </w:pPr>
    </w:p>
    <w:p>
      <w:pPr>
        <w:pStyle w:val="33"/>
        <w:rPr>
          <w:color w:val="auto"/>
        </w:rPr>
      </w:pPr>
      <w:r>
        <w:rPr>
          <w:rFonts w:hint="eastAsia"/>
          <w:color w:val="auto"/>
        </w:rPr>
        <w:t>3</w:t>
      </w:r>
      <w:r>
        <w:rPr>
          <w:color w:val="auto"/>
        </w:rPr>
        <w:t>#生物除臭设备</w:t>
      </w:r>
    </w:p>
    <w:tbl>
      <w:tblPr>
        <w:tblStyle w:val="25"/>
        <w:tblW w:w="8506" w:type="dxa"/>
        <w:tblInd w:w="112" w:type="dxa"/>
        <w:tblLayout w:type="fixed"/>
        <w:tblCellMar>
          <w:top w:w="0" w:type="dxa"/>
          <w:left w:w="0" w:type="dxa"/>
          <w:bottom w:w="0" w:type="dxa"/>
          <w:right w:w="0" w:type="dxa"/>
        </w:tblCellMar>
      </w:tblPr>
      <w:tblGrid>
        <w:gridCol w:w="811"/>
        <w:gridCol w:w="1558"/>
        <w:gridCol w:w="746"/>
        <w:gridCol w:w="3444"/>
        <w:gridCol w:w="1947"/>
      </w:tblGrid>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序号</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名称</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单位</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b/>
                <w:bCs/>
                <w:color w:val="auto"/>
                <w:sz w:val="21"/>
                <w:szCs w:val="21"/>
              </w:rPr>
              <w:t>性能</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备注</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生物滤池</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套</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5"/>
              <w:rPr>
                <w:rFonts w:ascii="宋体" w:hAnsi="宋体" w:eastAsia="宋体" w:cs="宋体"/>
                <w:color w:val="auto"/>
                <w:sz w:val="11"/>
                <w:szCs w:val="11"/>
                <w:lang w:eastAsia="zh-CN"/>
              </w:rPr>
            </w:pPr>
            <w:r>
              <w:rPr>
                <w:rFonts w:ascii="宋体" w:hAnsi="宋体" w:eastAsia="宋体" w:cs="宋体"/>
                <w:color w:val="auto"/>
                <w:w w:val="110"/>
                <w:sz w:val="21"/>
                <w:szCs w:val="21"/>
                <w:lang w:eastAsia="zh-CN"/>
              </w:rPr>
              <w:t>臭气浓度：3500~4000OU/m³处理气量：Q=</w:t>
            </w:r>
            <w:r>
              <w:rPr>
                <w:rFonts w:hint="eastAsia" w:ascii="宋体" w:hAnsi="宋体" w:eastAsia="宋体" w:cs="宋体"/>
                <w:color w:val="auto"/>
                <w:w w:val="110"/>
                <w:sz w:val="21"/>
                <w:szCs w:val="21"/>
                <w:lang w:eastAsia="zh-CN"/>
              </w:rPr>
              <w:t>11</w:t>
            </w:r>
            <w:r>
              <w:rPr>
                <w:rFonts w:ascii="宋体" w:hAnsi="宋体" w:eastAsia="宋体" w:cs="宋体"/>
                <w:color w:val="auto"/>
                <w:w w:val="110"/>
                <w:sz w:val="21"/>
                <w:szCs w:val="21"/>
                <w:lang w:eastAsia="zh-CN"/>
              </w:rPr>
              <w:t>000m³/h</w:t>
            </w:r>
            <w:r>
              <w:rPr>
                <w:rFonts w:ascii="宋体" w:hAnsi="宋体" w:eastAsia="宋体" w:cs="宋体"/>
                <w:color w:val="auto"/>
                <w:sz w:val="21"/>
                <w:szCs w:val="21"/>
                <w:lang w:eastAsia="zh-CN"/>
              </w:rPr>
              <w:t>生物填料：不小于</w:t>
            </w:r>
            <w:r>
              <w:rPr>
                <w:rFonts w:hint="eastAsia" w:ascii="宋体" w:hAnsi="宋体" w:eastAsia="宋体" w:cs="宋体"/>
                <w:color w:val="auto"/>
                <w:sz w:val="21"/>
                <w:szCs w:val="21"/>
                <w:lang w:eastAsia="zh-CN"/>
              </w:rPr>
              <w:t>37</w:t>
            </w:r>
            <w:r>
              <w:rPr>
                <w:rFonts w:ascii="宋体" w:hAnsi="宋体" w:eastAsia="宋体" w:cs="宋体"/>
                <w:color w:val="auto"/>
                <w:sz w:val="21"/>
                <w:szCs w:val="21"/>
                <w:lang w:eastAsia="zh-CN"/>
              </w:rPr>
              <w:t>m³处理效率&gt;95%臭气与生物填料的接触时间不小于12秒填料厚度应不小于1.6m。除臭塔及填料使用寿命不低于15</w:t>
            </w:r>
            <w:r>
              <w:rPr>
                <w:rFonts w:ascii="宋体" w:hAnsi="宋体" w:eastAsia="宋体" w:cs="宋体"/>
                <w:color w:val="auto"/>
                <w:spacing w:val="-3"/>
                <w:sz w:val="21"/>
                <w:szCs w:val="21"/>
                <w:lang w:eastAsia="zh-CN"/>
              </w:rPr>
              <w:t>年。</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r>
              <w:rPr>
                <w:rFonts w:ascii="宋体" w:hAnsi="宋体" w:eastAsia="宋体" w:cs="宋体"/>
                <w:color w:val="auto"/>
                <w:sz w:val="21"/>
                <w:szCs w:val="21"/>
                <w:lang w:eastAsia="zh-CN"/>
              </w:rPr>
              <w:t>主要由（但不限</w:t>
            </w:r>
            <w:r>
              <w:rPr>
                <w:rFonts w:ascii="宋体" w:hAnsi="宋体" w:eastAsia="宋体" w:cs="宋体"/>
                <w:color w:val="auto"/>
                <w:spacing w:val="-8"/>
                <w:sz w:val="21"/>
                <w:szCs w:val="21"/>
                <w:lang w:eastAsia="zh-CN"/>
              </w:rPr>
              <w:t>于此）生物滤池、</w:t>
            </w:r>
            <w:r>
              <w:rPr>
                <w:rFonts w:ascii="宋体" w:hAnsi="宋体" w:eastAsia="宋体" w:cs="宋体"/>
                <w:color w:val="auto"/>
                <w:sz w:val="21"/>
                <w:szCs w:val="21"/>
                <w:lang w:eastAsia="zh-CN"/>
              </w:rPr>
              <w:t>离心风机、压差计、流量计、散水泵、散水阀门</w:t>
            </w:r>
            <w:r>
              <w:rPr>
                <w:rFonts w:ascii="宋体" w:hAnsi="宋体" w:eastAsia="宋体" w:cs="宋体"/>
                <w:color w:val="auto"/>
                <w:spacing w:val="-8"/>
                <w:sz w:val="21"/>
                <w:szCs w:val="21"/>
                <w:lang w:eastAsia="zh-CN"/>
              </w:rPr>
              <w:t>管道、排放系统、</w:t>
            </w:r>
            <w:r>
              <w:rPr>
                <w:rFonts w:ascii="宋体" w:hAnsi="宋体" w:eastAsia="宋体" w:cs="宋体"/>
                <w:color w:val="auto"/>
                <w:sz w:val="21"/>
                <w:szCs w:val="21"/>
                <w:lang w:eastAsia="zh-CN"/>
              </w:rPr>
              <w:t>硫化氢测量仪、风管调节阀、玻璃钢风管及相关附件、电控箱组成</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2</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离心风机</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1"/>
                <w:sz w:val="21"/>
                <w:szCs w:val="21"/>
              </w:rPr>
              <w:t>Q=0～</w:t>
            </w:r>
            <w:r>
              <w:rPr>
                <w:rFonts w:hint="eastAsia" w:ascii="宋体" w:hAnsi="宋体" w:eastAsia="宋体" w:cs="宋体"/>
                <w:color w:val="auto"/>
                <w:spacing w:val="-1"/>
                <w:sz w:val="21"/>
                <w:szCs w:val="21"/>
                <w:lang w:eastAsia="zh-CN"/>
              </w:rPr>
              <w:t>121</w:t>
            </w:r>
            <w:r>
              <w:rPr>
                <w:rFonts w:ascii="宋体" w:hAnsi="宋体" w:eastAsia="宋体" w:cs="宋体"/>
                <w:color w:val="auto"/>
                <w:spacing w:val="-1"/>
                <w:sz w:val="21"/>
                <w:szCs w:val="21"/>
              </w:rPr>
              <w:t>00m³/h,</w:t>
            </w:r>
            <w:r>
              <w:rPr>
                <w:rFonts w:ascii="宋体" w:hAnsi="宋体" w:eastAsia="宋体" w:cs="宋体"/>
                <w:color w:val="auto"/>
                <w:sz w:val="21"/>
                <w:szCs w:val="21"/>
              </w:rPr>
              <w:t>H=0～2.5KPa,N≈</w:t>
            </w:r>
            <w:r>
              <w:rPr>
                <w:rFonts w:hint="eastAsia" w:ascii="宋体" w:hAnsi="宋体" w:eastAsia="宋体" w:cs="宋体"/>
                <w:color w:val="auto"/>
                <w:sz w:val="21"/>
                <w:szCs w:val="21"/>
                <w:lang w:eastAsia="zh-CN"/>
              </w:rPr>
              <w:t>12</w:t>
            </w:r>
            <w:r>
              <w:rPr>
                <w:rFonts w:ascii="宋体" w:hAnsi="宋体" w:eastAsia="宋体" w:cs="宋体"/>
                <w:color w:val="auto"/>
                <w:sz w:val="21"/>
                <w:szCs w:val="21"/>
              </w:rPr>
              <w:t>kw（暂定）</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446" w:right="440"/>
              <w:rPr>
                <w:rFonts w:ascii="宋体" w:hAnsi="宋体" w:eastAsia="宋体" w:cs="宋体"/>
                <w:color w:val="auto"/>
                <w:sz w:val="21"/>
                <w:szCs w:val="21"/>
              </w:rPr>
            </w:pPr>
            <w:r>
              <w:rPr>
                <w:rFonts w:ascii="宋体" w:hAnsi="宋体" w:eastAsia="宋体" w:cs="宋体"/>
                <w:color w:val="auto"/>
                <w:spacing w:val="-1"/>
                <w:sz w:val="21"/>
                <w:szCs w:val="21"/>
              </w:rPr>
              <w:t>知名品牌变频电机</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3</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散水泵</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30m³/h，20m，4kw</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4</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水箱</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个</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11"/>
                <w:szCs w:val="11"/>
              </w:rPr>
            </w:pPr>
            <w:r>
              <w:rPr>
                <w:rFonts w:ascii="宋体" w:hAnsi="宋体" w:eastAsia="宋体" w:cs="宋体"/>
                <w:color w:val="auto"/>
                <w:sz w:val="21"/>
                <w:szCs w:val="21"/>
              </w:rPr>
              <w:t>有效容积不小于1.5m³</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材质PE或FRP</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5</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压差计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H=0～3KPa</w:t>
            </w:r>
          </w:p>
        </w:tc>
        <w:tc>
          <w:tcPr>
            <w:tcW w:w="1947" w:type="dxa"/>
            <w:tcBorders>
              <w:top w:val="single" w:color="000000" w:sz="6" w:space="0"/>
              <w:left w:val="single" w:color="000000" w:sz="6" w:space="0"/>
              <w:bottom w:val="single" w:color="000000" w:sz="6" w:space="0"/>
              <w:right w:val="single" w:color="000000" w:sz="4" w:space="0"/>
            </w:tcBorders>
            <w:vAlign w:val="center"/>
          </w:tcPr>
          <w:p>
            <w:pPr>
              <w:spacing w:line="360" w:lineRule="auto"/>
              <w:rPr>
                <w:color w:val="auto"/>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6</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流量计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Q=0～100m³/h</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用于测水流量</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7</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硫化氢测量仪</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0～10ppm</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8</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风管调节阀</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7</w:t>
            </w:r>
            <w:r>
              <w:rPr>
                <w:rFonts w:ascii="宋体" w:hAnsi="宋体" w:eastAsia="宋体" w:cs="宋体"/>
                <w:color w:val="auto"/>
                <w:sz w:val="21"/>
                <w:szCs w:val="21"/>
              </w:rPr>
              <w:t>00，PN=0.3Mpa</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9</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玻璃钢风管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color w:val="auto"/>
                <w:sz w:val="21"/>
              </w:rPr>
              <w:t>&gt;10m</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7</w:t>
            </w:r>
            <w:r>
              <w:rPr>
                <w:rFonts w:ascii="宋体" w:hAnsi="宋体" w:eastAsia="宋体" w:cs="宋体"/>
                <w:color w:val="auto"/>
                <w:sz w:val="21"/>
                <w:szCs w:val="21"/>
              </w:rPr>
              <w:t>00；PN=0.3Mpa</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jc w:val="center"/>
              <w:rPr>
                <w:rFonts w:ascii="宋体" w:hAnsi="宋体" w:eastAsia="宋体" w:cs="宋体"/>
                <w:color w:val="auto"/>
                <w:sz w:val="21"/>
                <w:szCs w:val="21"/>
              </w:rPr>
            </w:pPr>
            <w:r>
              <w:rPr>
                <w:rFonts w:ascii="宋体"/>
                <w:color w:val="auto"/>
                <w:sz w:val="21"/>
              </w:rPr>
              <w:t>10</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其他风管管件</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批</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35"/>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变径、弯头、三通等</w:t>
            </w:r>
            <w:r>
              <w:rPr>
                <w:rFonts w:ascii="宋体" w:hAnsi="宋体" w:eastAsia="宋体" w:cs="宋体"/>
                <w:color w:val="auto"/>
                <w:sz w:val="21"/>
                <w:szCs w:val="21"/>
                <w:lang w:eastAsia="zh-CN"/>
              </w:rPr>
              <w:t>FRP</w:t>
            </w:r>
            <w:r>
              <w:rPr>
                <w:rFonts w:ascii="宋体" w:hAnsi="宋体" w:eastAsia="宋体" w:cs="宋体"/>
                <w:color w:val="auto"/>
                <w:spacing w:val="-3"/>
                <w:sz w:val="21"/>
                <w:szCs w:val="21"/>
                <w:lang w:eastAsia="zh-CN"/>
              </w:rPr>
              <w:t>材质</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129"/>
              <w:rPr>
                <w:rFonts w:ascii="宋体" w:hAnsi="宋体" w:eastAsia="宋体" w:cs="宋体"/>
                <w:color w:val="auto"/>
                <w:sz w:val="21"/>
                <w:szCs w:val="21"/>
              </w:rPr>
            </w:pPr>
            <w:r>
              <w:rPr>
                <w:rFonts w:ascii="宋体" w:hAnsi="宋体" w:eastAsia="宋体" w:cs="宋体"/>
                <w:color w:val="auto"/>
                <w:sz w:val="21"/>
                <w:szCs w:val="21"/>
              </w:rPr>
              <w:t>根据详细设计定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电控系统</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套</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2"/>
                <w:sz w:val="21"/>
                <w:szCs w:val="21"/>
                <w:lang w:eastAsia="zh-CN"/>
              </w:rPr>
              <w:t>电控系统包括所有的监测、控制元件及报警、保险丝和主开关等。还包括电控箱及与本设备内部的连接电缆。</w:t>
            </w:r>
            <w:r>
              <w:rPr>
                <w:rFonts w:ascii="宋体" w:hAnsi="宋体" w:eastAsia="宋体" w:cs="宋体"/>
                <w:color w:val="auto"/>
                <w:sz w:val="21"/>
                <w:szCs w:val="21"/>
                <w:lang w:eastAsia="zh-CN"/>
              </w:rPr>
              <w:t>柜体不锈钢304，壁厚1.5mmm</w:t>
            </w:r>
            <w:r>
              <w:rPr>
                <w:rFonts w:ascii="宋体" w:hAnsi="宋体" w:eastAsia="宋体" w:cs="宋体"/>
                <w:color w:val="auto"/>
                <w:spacing w:val="-3"/>
                <w:sz w:val="21"/>
                <w:szCs w:val="21"/>
                <w:lang w:eastAsia="zh-CN"/>
              </w:rPr>
              <w:t>以上</w:t>
            </w:r>
            <w:r>
              <w:rPr>
                <w:rFonts w:ascii="宋体" w:hAnsi="宋体" w:eastAsia="宋体" w:cs="宋体"/>
                <w:color w:val="auto"/>
                <w:sz w:val="21"/>
                <w:szCs w:val="21"/>
                <w:lang w:eastAsia="zh-CN"/>
              </w:rPr>
              <w:t>含通讯功能含系统内电缆（动力及通讯电缆）电源：AC380V/50Hz/3Ph。</w:t>
            </w:r>
            <w:r>
              <w:rPr>
                <w:rFonts w:ascii="宋体" w:hAnsi="宋体" w:eastAsia="宋体" w:cs="宋体"/>
                <w:color w:val="auto"/>
                <w:sz w:val="21"/>
                <w:szCs w:val="21"/>
              </w:rPr>
              <w:t>防护等级：IP55绝缘等级：F。</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760" w:right="125" w:hanging="632"/>
              <w:rPr>
                <w:rFonts w:ascii="宋体" w:hAnsi="宋体" w:eastAsia="宋体" w:cs="宋体"/>
                <w:color w:val="auto"/>
                <w:sz w:val="21"/>
                <w:szCs w:val="21"/>
              </w:rPr>
            </w:pPr>
            <w:r>
              <w:rPr>
                <w:rFonts w:ascii="宋体" w:hAnsi="宋体" w:eastAsia="宋体" w:cs="宋体"/>
                <w:color w:val="auto"/>
                <w:spacing w:val="-1"/>
                <w:sz w:val="21"/>
                <w:szCs w:val="21"/>
              </w:rPr>
              <w:t>通讯协议种类待</w:t>
            </w:r>
            <w:r>
              <w:rPr>
                <w:rFonts w:ascii="宋体" w:hAnsi="宋体" w:eastAsia="宋体" w:cs="宋体"/>
                <w:color w:val="auto"/>
                <w:sz w:val="21"/>
                <w:szCs w:val="21"/>
              </w:rPr>
              <w:t>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12</w:t>
            </w:r>
          </w:p>
        </w:tc>
        <w:tc>
          <w:tcPr>
            <w:tcW w:w="5748" w:type="dxa"/>
            <w:gridSpan w:val="3"/>
            <w:tcBorders>
              <w:top w:val="single" w:color="000000" w:sz="6" w:space="0"/>
              <w:left w:val="single" w:color="000000" w:sz="6" w:space="0"/>
              <w:bottom w:val="single" w:color="000000" w:sz="6" w:space="0"/>
              <w:right w:val="single" w:color="000000" w:sz="6" w:space="0"/>
            </w:tcBorders>
          </w:tcPr>
          <w:p>
            <w:pPr>
              <w:pStyle w:val="27"/>
              <w:spacing w:line="265" w:lineRule="exact"/>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工作条件：</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工作介质：</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市政污水混合致臭气体，</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工作位置：</w:t>
            </w:r>
            <w:r>
              <w:rPr>
                <w:rFonts w:ascii="宋体" w:hAnsi="宋体" w:eastAsia="宋体" w:cs="宋体"/>
                <w:color w:val="auto"/>
                <w:spacing w:val="-1"/>
                <w:sz w:val="21"/>
                <w:szCs w:val="21"/>
                <w:lang w:eastAsia="zh-CN"/>
              </w:rPr>
              <w:tab/>
            </w:r>
            <w:r>
              <w:rPr>
                <w:rFonts w:hint="eastAsia" w:ascii="宋体" w:hAnsi="宋体" w:eastAsia="宋体" w:cs="宋体"/>
                <w:color w:val="auto"/>
                <w:spacing w:val="-1"/>
                <w:sz w:val="21"/>
                <w:szCs w:val="21"/>
                <w:lang w:eastAsia="zh-CN"/>
              </w:rPr>
              <w:t>地下箱体</w:t>
            </w:r>
            <w:r>
              <w:rPr>
                <w:rFonts w:ascii="宋体" w:hAnsi="宋体" w:eastAsia="宋体" w:cs="宋体"/>
                <w:color w:val="auto"/>
                <w:spacing w:val="-1"/>
                <w:sz w:val="21"/>
                <w:szCs w:val="21"/>
                <w:lang w:eastAsia="zh-CN"/>
              </w:rPr>
              <w:t>；</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空气温度：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≤100℃</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臭气温度：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-5～40℃</w:t>
            </w:r>
          </w:p>
          <w:p>
            <w:pPr>
              <w:pStyle w:val="27"/>
              <w:tabs>
                <w:tab w:val="left" w:pos="2726"/>
              </w:tabs>
              <w:spacing w:before="42"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pH：</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5.5~8.5</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63" w:line="360" w:lineRule="auto"/>
              <w:jc w:val="center"/>
              <w:rPr>
                <w:rFonts w:ascii="宋体" w:hAnsi="宋体" w:eastAsia="宋体" w:cs="宋体"/>
                <w:color w:val="auto"/>
                <w:sz w:val="21"/>
                <w:szCs w:val="21"/>
              </w:rPr>
            </w:pPr>
            <w:r>
              <w:rPr>
                <w:rFonts w:ascii="宋体"/>
                <w:color w:val="auto"/>
                <w:sz w:val="21"/>
              </w:rPr>
              <w:t>13</w:t>
            </w:r>
          </w:p>
        </w:tc>
        <w:tc>
          <w:tcPr>
            <w:tcW w:w="5748" w:type="dxa"/>
            <w:gridSpan w:val="3"/>
            <w:tcBorders>
              <w:top w:val="single" w:color="000000" w:sz="6" w:space="0"/>
              <w:left w:val="single" w:color="000000" w:sz="6" w:space="0"/>
              <w:bottom w:val="single" w:color="000000" w:sz="6" w:space="0"/>
              <w:right w:val="single" w:color="000000" w:sz="6" w:space="0"/>
            </w:tcBorders>
          </w:tcPr>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z w:val="21"/>
                <w:szCs w:val="21"/>
                <w:lang w:eastAsia="zh-CN"/>
              </w:rPr>
              <w:t>材质要求：</w:t>
            </w:r>
          </w:p>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风机叶轮</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玻璃钢</w:t>
            </w:r>
          </w:p>
          <w:p>
            <w:pPr>
              <w:pStyle w:val="27"/>
              <w:tabs>
                <w:tab w:val="left" w:pos="1363"/>
              </w:tabs>
              <w:spacing w:before="9"/>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风机壳体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360"/>
                <w:tab w:val="left" w:pos="1781"/>
              </w:tabs>
              <w:spacing w:before="44" w:line="278" w:lineRule="auto"/>
              <w:ind w:left="100" w:right="1841"/>
              <w:rPr>
                <w:rFonts w:ascii="宋体" w:hAnsi="宋体" w:eastAsia="宋体" w:cs="宋体"/>
                <w:color w:val="auto"/>
                <w:spacing w:val="-3"/>
                <w:sz w:val="21"/>
                <w:szCs w:val="21"/>
                <w:lang w:eastAsia="zh-CN"/>
              </w:rPr>
            </w:pPr>
            <w:r>
              <w:rPr>
                <w:rFonts w:ascii="宋体" w:hAnsi="宋体" w:eastAsia="宋体" w:cs="宋体"/>
                <w:color w:val="auto"/>
                <w:sz w:val="21"/>
                <w:szCs w:val="21"/>
                <w:lang w:eastAsia="zh-CN"/>
              </w:rPr>
              <w:t>散水泵</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过流部分SS304不锈钢</w:t>
            </w:r>
            <w:r>
              <w:rPr>
                <w:rFonts w:ascii="宋体" w:hAnsi="宋体" w:eastAsia="宋体" w:cs="宋体"/>
                <w:color w:val="auto"/>
                <w:spacing w:val="-1"/>
                <w:sz w:val="21"/>
                <w:szCs w:val="21"/>
                <w:lang w:eastAsia="zh-CN"/>
              </w:rPr>
              <w:t>生物滤池池体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玻璃钢和方管形钢组合件</w:t>
            </w:r>
            <w:r>
              <w:rPr>
                <w:rFonts w:ascii="宋体" w:hAnsi="宋体" w:eastAsia="宋体" w:cs="宋体"/>
                <w:color w:val="auto"/>
                <w:spacing w:val="-1"/>
                <w:sz w:val="21"/>
                <w:szCs w:val="21"/>
                <w:lang w:eastAsia="zh-CN"/>
              </w:rPr>
              <w:t>填料支撑</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玻璃钢格栅、PE</w:t>
            </w:r>
            <w:r>
              <w:rPr>
                <w:rFonts w:ascii="宋体" w:hAnsi="宋体" w:eastAsia="宋体" w:cs="宋体"/>
                <w:color w:val="auto"/>
                <w:spacing w:val="-3"/>
                <w:sz w:val="21"/>
                <w:szCs w:val="21"/>
                <w:lang w:eastAsia="zh-CN"/>
              </w:rPr>
              <w:t>格网</w:t>
            </w:r>
          </w:p>
          <w:p>
            <w:pPr>
              <w:pStyle w:val="27"/>
              <w:tabs>
                <w:tab w:val="left" w:pos="1360"/>
                <w:tab w:val="left" w:pos="1781"/>
              </w:tabs>
              <w:spacing w:before="44" w:line="278" w:lineRule="auto"/>
              <w:ind w:left="100" w:right="1841"/>
              <w:rPr>
                <w:rFonts w:ascii="宋体" w:hAnsi="宋体" w:eastAsia="宋体" w:cs="宋体"/>
                <w:color w:val="auto"/>
                <w:spacing w:val="-1"/>
                <w:sz w:val="21"/>
                <w:szCs w:val="21"/>
                <w:lang w:eastAsia="zh-CN"/>
              </w:rPr>
            </w:pPr>
            <w:r>
              <w:rPr>
                <w:rFonts w:ascii="宋体" w:hAnsi="宋体" w:eastAsia="宋体" w:cs="宋体"/>
                <w:color w:val="auto"/>
                <w:spacing w:val="-1"/>
                <w:sz w:val="21"/>
                <w:szCs w:val="21"/>
                <w:lang w:eastAsia="zh-CN"/>
              </w:rPr>
              <w:t>生物填料</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炭质单一填料</w:t>
            </w:r>
          </w:p>
          <w:p>
            <w:pPr>
              <w:pStyle w:val="27"/>
              <w:tabs>
                <w:tab w:val="left" w:pos="1886"/>
                <w:tab w:val="left" w:pos="2203"/>
              </w:tabs>
              <w:spacing w:line="278" w:lineRule="auto"/>
              <w:ind w:left="100" w:right="1475"/>
              <w:rPr>
                <w:rFonts w:ascii="宋体" w:hAnsi="宋体" w:eastAsia="宋体" w:cs="宋体"/>
                <w:color w:val="auto"/>
                <w:sz w:val="21"/>
                <w:szCs w:val="21"/>
                <w:lang w:eastAsia="zh-CN"/>
              </w:rPr>
            </w:pPr>
            <w:r>
              <w:rPr>
                <w:rFonts w:ascii="宋体" w:hAnsi="宋体" w:eastAsia="宋体" w:cs="宋体"/>
                <w:color w:val="auto"/>
                <w:sz w:val="21"/>
                <w:szCs w:val="21"/>
                <w:lang w:eastAsia="zh-CN"/>
              </w:rPr>
              <w:t>密封罩</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不锈钢304骨架+耐力板4mm</w:t>
            </w:r>
            <w:r>
              <w:rPr>
                <w:rFonts w:ascii="宋体" w:hAnsi="宋体" w:eastAsia="宋体" w:cs="宋体"/>
                <w:color w:val="auto"/>
                <w:spacing w:val="-1"/>
                <w:sz w:val="21"/>
                <w:szCs w:val="21"/>
                <w:lang w:eastAsia="zh-CN"/>
              </w:rPr>
              <w:t>风管及管道配件</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781"/>
              </w:tabs>
              <w:spacing w:before="10"/>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电控柜外壳</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SS304</w:t>
            </w:r>
            <w:r>
              <w:rPr>
                <w:rFonts w:ascii="宋体" w:hAnsi="宋体" w:eastAsia="宋体" w:cs="宋体"/>
                <w:color w:val="auto"/>
                <w:spacing w:val="-1"/>
                <w:sz w:val="21"/>
                <w:szCs w:val="21"/>
                <w:lang w:eastAsia="zh-CN"/>
              </w:rPr>
              <w:t>不锈钢</w:t>
            </w:r>
          </w:p>
          <w:p>
            <w:pPr>
              <w:pStyle w:val="27"/>
              <w:tabs>
                <w:tab w:val="left" w:pos="1781"/>
              </w:tabs>
              <w:spacing w:before="44"/>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水管</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UPVC</w:t>
            </w:r>
          </w:p>
          <w:p>
            <w:pPr>
              <w:pStyle w:val="27"/>
              <w:tabs>
                <w:tab w:val="left" w:pos="1360"/>
                <w:tab w:val="left" w:pos="1781"/>
              </w:tabs>
              <w:spacing w:before="44" w:line="360" w:lineRule="auto"/>
              <w:ind w:left="100" w:right="63"/>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所有连接附件、紧固件</w:t>
            </w:r>
            <w:r>
              <w:rPr>
                <w:rFonts w:ascii="宋体" w:hAnsi="宋体" w:eastAsia="宋体" w:cs="宋体"/>
                <w:color w:val="auto"/>
                <w:spacing w:val="-2"/>
                <w:sz w:val="21"/>
                <w:szCs w:val="21"/>
                <w:lang w:eastAsia="zh-CN"/>
              </w:rPr>
              <w:tab/>
            </w:r>
            <w:r>
              <w:rPr>
                <w:rFonts w:ascii="宋体" w:hAnsi="宋体" w:eastAsia="宋体" w:cs="宋体"/>
                <w:color w:val="auto"/>
                <w:spacing w:val="-1"/>
                <w:sz w:val="21"/>
                <w:szCs w:val="21"/>
                <w:lang w:eastAsia="zh-CN"/>
              </w:rPr>
              <w:t>FRP/UPVC/</w:t>
            </w:r>
            <w:r>
              <w:rPr>
                <w:rFonts w:ascii="宋体" w:hAnsi="宋体" w:eastAsia="宋体" w:cs="宋体"/>
                <w:color w:val="auto"/>
                <w:spacing w:val="-2"/>
                <w:sz w:val="21"/>
                <w:szCs w:val="21"/>
                <w:lang w:eastAsia="zh-CN"/>
              </w:rPr>
              <w:t>碳钢防腐</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14</w:t>
            </w:r>
          </w:p>
        </w:tc>
        <w:tc>
          <w:tcPr>
            <w:tcW w:w="5748" w:type="dxa"/>
            <w:gridSpan w:val="3"/>
            <w:tcBorders>
              <w:top w:val="single" w:color="000000" w:sz="6" w:space="0"/>
              <w:left w:val="single" w:color="000000" w:sz="6" w:space="0"/>
              <w:bottom w:val="single" w:color="000000" w:sz="6" w:space="0"/>
              <w:right w:val="single" w:color="000000" w:sz="6" w:space="0"/>
            </w:tcBorders>
          </w:tcPr>
          <w:p>
            <w:pPr>
              <w:pStyle w:val="27"/>
              <w:spacing w:line="278" w:lineRule="auto"/>
              <w:ind w:left="100" w:right="93"/>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在任何季节、任何气候条件下，除臭系统NH3、H2S</w:t>
            </w:r>
            <w:r>
              <w:rPr>
                <w:rFonts w:ascii="宋体" w:hAnsi="宋体" w:eastAsia="宋体" w:cs="宋体"/>
                <w:color w:val="auto"/>
                <w:sz w:val="21"/>
                <w:szCs w:val="21"/>
                <w:lang w:eastAsia="zh-CN"/>
              </w:rPr>
              <w:t>等重点控制物浓度符合</w:t>
            </w:r>
          </w:p>
          <w:p>
            <w:pPr>
              <w:pStyle w:val="27"/>
              <w:tabs>
                <w:tab w:val="left" w:pos="1992"/>
              </w:tabs>
              <w:spacing w:before="10" w:line="278" w:lineRule="auto"/>
              <w:ind w:left="100" w:right="1001"/>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GB18918-2002</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城镇污水处理厂污染物排放标准</w:t>
            </w:r>
            <w:r>
              <w:rPr>
                <w:rFonts w:ascii="宋体" w:hAnsi="宋体" w:eastAsia="宋体" w:cs="宋体"/>
                <w:color w:val="auto"/>
                <w:sz w:val="21"/>
                <w:szCs w:val="21"/>
                <w:lang w:eastAsia="zh-CN"/>
              </w:rPr>
              <w:t>GB16297-1996</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大气污染物综合排放标准</w:t>
            </w:r>
          </w:p>
          <w:p>
            <w:pPr>
              <w:pStyle w:val="27"/>
              <w:tabs>
                <w:tab w:val="left" w:pos="1992"/>
              </w:tabs>
              <w:spacing w:before="10"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GB14554-93</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恶臭污染物排放标准值</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bl>
    <w:p>
      <w:pPr>
        <w:pStyle w:val="29"/>
        <w:ind w:firstLine="472"/>
        <w:rPr>
          <w:color w:val="auto"/>
        </w:rPr>
      </w:pPr>
    </w:p>
    <w:p>
      <w:pPr>
        <w:pStyle w:val="33"/>
        <w:rPr>
          <w:color w:val="auto"/>
        </w:rPr>
      </w:pPr>
      <w:r>
        <w:rPr>
          <w:rFonts w:hint="eastAsia"/>
          <w:color w:val="auto"/>
        </w:rPr>
        <w:t>4</w:t>
      </w:r>
      <w:r>
        <w:rPr>
          <w:color w:val="auto"/>
        </w:rPr>
        <w:t>#生物除臭设备</w:t>
      </w:r>
    </w:p>
    <w:p>
      <w:pPr>
        <w:spacing w:before="2"/>
        <w:rPr>
          <w:rFonts w:ascii="宋体" w:hAnsi="宋体" w:eastAsia="宋体" w:cs="宋体"/>
          <w:b/>
          <w:bCs/>
          <w:color w:val="auto"/>
          <w:sz w:val="9"/>
          <w:szCs w:val="9"/>
          <w:lang w:eastAsia="zh-CN"/>
        </w:rPr>
      </w:pPr>
    </w:p>
    <w:tbl>
      <w:tblPr>
        <w:tblStyle w:val="25"/>
        <w:tblW w:w="8506" w:type="dxa"/>
        <w:tblInd w:w="112" w:type="dxa"/>
        <w:tblLayout w:type="fixed"/>
        <w:tblCellMar>
          <w:top w:w="0" w:type="dxa"/>
          <w:left w:w="0" w:type="dxa"/>
          <w:bottom w:w="0" w:type="dxa"/>
          <w:right w:w="0" w:type="dxa"/>
        </w:tblCellMar>
      </w:tblPr>
      <w:tblGrid>
        <w:gridCol w:w="811"/>
        <w:gridCol w:w="1558"/>
        <w:gridCol w:w="746"/>
        <w:gridCol w:w="3444"/>
        <w:gridCol w:w="1947"/>
      </w:tblGrid>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序号</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名称</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单位</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b/>
                <w:bCs/>
                <w:color w:val="auto"/>
                <w:sz w:val="21"/>
                <w:szCs w:val="21"/>
              </w:rPr>
              <w:t>性能</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备注</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生物滤池</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套</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5"/>
              <w:rPr>
                <w:rFonts w:ascii="宋体" w:hAnsi="宋体" w:eastAsia="宋体" w:cs="宋体"/>
                <w:color w:val="auto"/>
                <w:sz w:val="11"/>
                <w:szCs w:val="11"/>
                <w:lang w:eastAsia="zh-CN"/>
              </w:rPr>
            </w:pPr>
            <w:r>
              <w:rPr>
                <w:rFonts w:ascii="宋体" w:hAnsi="宋体" w:eastAsia="宋体" w:cs="宋体"/>
                <w:color w:val="auto"/>
                <w:w w:val="110"/>
                <w:sz w:val="21"/>
                <w:szCs w:val="21"/>
                <w:lang w:eastAsia="zh-CN"/>
              </w:rPr>
              <w:t>臭气浓度：3500~4000OU/m³处理气量：Q=</w:t>
            </w:r>
            <w:r>
              <w:rPr>
                <w:rFonts w:hint="eastAsia" w:ascii="宋体" w:hAnsi="宋体" w:eastAsia="宋体" w:cs="宋体"/>
                <w:color w:val="auto"/>
                <w:w w:val="110"/>
                <w:sz w:val="21"/>
                <w:szCs w:val="21"/>
                <w:lang w:eastAsia="zh-CN"/>
              </w:rPr>
              <w:t>20</w:t>
            </w:r>
            <w:r>
              <w:rPr>
                <w:rFonts w:ascii="宋体" w:hAnsi="宋体" w:eastAsia="宋体" w:cs="宋体"/>
                <w:color w:val="auto"/>
                <w:w w:val="110"/>
                <w:sz w:val="21"/>
                <w:szCs w:val="21"/>
                <w:lang w:eastAsia="zh-CN"/>
              </w:rPr>
              <w:t>000m³/h</w:t>
            </w:r>
            <w:r>
              <w:rPr>
                <w:rFonts w:ascii="宋体" w:hAnsi="宋体" w:eastAsia="宋体" w:cs="宋体"/>
                <w:color w:val="auto"/>
                <w:sz w:val="21"/>
                <w:szCs w:val="21"/>
                <w:lang w:eastAsia="zh-CN"/>
              </w:rPr>
              <w:t>生物填料：不小于</w:t>
            </w:r>
            <w:r>
              <w:rPr>
                <w:rFonts w:hint="eastAsia" w:ascii="宋体" w:hAnsi="宋体" w:eastAsia="宋体" w:cs="宋体"/>
                <w:color w:val="auto"/>
                <w:sz w:val="21"/>
                <w:szCs w:val="21"/>
                <w:lang w:eastAsia="zh-CN"/>
              </w:rPr>
              <w:t>67</w:t>
            </w:r>
            <w:r>
              <w:rPr>
                <w:rFonts w:ascii="宋体" w:hAnsi="宋体" w:eastAsia="宋体" w:cs="宋体"/>
                <w:color w:val="auto"/>
                <w:sz w:val="21"/>
                <w:szCs w:val="21"/>
                <w:lang w:eastAsia="zh-CN"/>
              </w:rPr>
              <w:t>m³处理效率&gt;95%臭气与生物填料的接触时间不小于12秒填料厚度应不小于1.6m。除臭塔及填料使用寿命不低于15</w:t>
            </w:r>
            <w:r>
              <w:rPr>
                <w:rFonts w:ascii="宋体" w:hAnsi="宋体" w:eastAsia="宋体" w:cs="宋体"/>
                <w:color w:val="auto"/>
                <w:spacing w:val="-3"/>
                <w:sz w:val="21"/>
                <w:szCs w:val="21"/>
                <w:lang w:eastAsia="zh-CN"/>
              </w:rPr>
              <w:t>年。</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r>
              <w:rPr>
                <w:rFonts w:ascii="宋体" w:hAnsi="宋体" w:eastAsia="宋体" w:cs="宋体"/>
                <w:color w:val="auto"/>
                <w:sz w:val="21"/>
                <w:szCs w:val="21"/>
                <w:lang w:eastAsia="zh-CN"/>
              </w:rPr>
              <w:t>主要由（但不限</w:t>
            </w:r>
            <w:r>
              <w:rPr>
                <w:rFonts w:ascii="宋体" w:hAnsi="宋体" w:eastAsia="宋体" w:cs="宋体"/>
                <w:color w:val="auto"/>
                <w:spacing w:val="-8"/>
                <w:sz w:val="21"/>
                <w:szCs w:val="21"/>
                <w:lang w:eastAsia="zh-CN"/>
              </w:rPr>
              <w:t>于此）生物滤池、</w:t>
            </w:r>
            <w:r>
              <w:rPr>
                <w:rFonts w:ascii="宋体" w:hAnsi="宋体" w:eastAsia="宋体" w:cs="宋体"/>
                <w:color w:val="auto"/>
                <w:sz w:val="21"/>
                <w:szCs w:val="21"/>
                <w:lang w:eastAsia="zh-CN"/>
              </w:rPr>
              <w:t>离心风机、压差计、流量计、散水泵、散水阀门</w:t>
            </w:r>
            <w:r>
              <w:rPr>
                <w:rFonts w:ascii="宋体" w:hAnsi="宋体" w:eastAsia="宋体" w:cs="宋体"/>
                <w:color w:val="auto"/>
                <w:spacing w:val="-8"/>
                <w:sz w:val="21"/>
                <w:szCs w:val="21"/>
                <w:lang w:eastAsia="zh-CN"/>
              </w:rPr>
              <w:t>管道、排放系统、</w:t>
            </w:r>
            <w:r>
              <w:rPr>
                <w:rFonts w:ascii="宋体" w:hAnsi="宋体" w:eastAsia="宋体" w:cs="宋体"/>
                <w:color w:val="auto"/>
                <w:sz w:val="21"/>
                <w:szCs w:val="21"/>
                <w:lang w:eastAsia="zh-CN"/>
              </w:rPr>
              <w:t>硫化氢测量仪、风管调节阀、玻璃钢风管及相关附件、电控箱组成</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2</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离心风机</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1"/>
                <w:sz w:val="21"/>
                <w:szCs w:val="21"/>
              </w:rPr>
              <w:t>Q=0～2</w:t>
            </w:r>
            <w:r>
              <w:rPr>
                <w:rFonts w:hint="eastAsia" w:ascii="宋体" w:hAnsi="宋体" w:eastAsia="宋体" w:cs="宋体"/>
                <w:color w:val="auto"/>
                <w:spacing w:val="-1"/>
                <w:sz w:val="21"/>
                <w:szCs w:val="21"/>
                <w:lang w:eastAsia="zh-CN"/>
              </w:rPr>
              <w:t>20</w:t>
            </w:r>
            <w:r>
              <w:rPr>
                <w:rFonts w:ascii="宋体" w:hAnsi="宋体" w:eastAsia="宋体" w:cs="宋体"/>
                <w:color w:val="auto"/>
                <w:spacing w:val="-1"/>
                <w:sz w:val="21"/>
                <w:szCs w:val="21"/>
              </w:rPr>
              <w:t>00m³/h,</w:t>
            </w:r>
            <w:r>
              <w:rPr>
                <w:rFonts w:ascii="宋体" w:hAnsi="宋体" w:eastAsia="宋体" w:cs="宋体"/>
                <w:color w:val="auto"/>
                <w:sz w:val="21"/>
                <w:szCs w:val="21"/>
              </w:rPr>
              <w:t>H=0～2.5KPa,N≈22kw（暂定）</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446" w:right="440"/>
              <w:rPr>
                <w:rFonts w:ascii="宋体" w:hAnsi="宋体" w:eastAsia="宋体" w:cs="宋体"/>
                <w:color w:val="auto"/>
                <w:sz w:val="21"/>
                <w:szCs w:val="21"/>
              </w:rPr>
            </w:pPr>
            <w:r>
              <w:rPr>
                <w:rFonts w:ascii="宋体" w:hAnsi="宋体" w:eastAsia="宋体" w:cs="宋体"/>
                <w:color w:val="auto"/>
                <w:spacing w:val="-1"/>
                <w:sz w:val="21"/>
                <w:szCs w:val="21"/>
              </w:rPr>
              <w:t>知名品牌变频电机</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3</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散水泵</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30m³/h，20m，4kw</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4</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水箱</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个</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11"/>
                <w:szCs w:val="11"/>
              </w:rPr>
            </w:pPr>
            <w:r>
              <w:rPr>
                <w:rFonts w:ascii="宋体" w:hAnsi="宋体" w:eastAsia="宋体" w:cs="宋体"/>
                <w:color w:val="auto"/>
                <w:sz w:val="21"/>
                <w:szCs w:val="21"/>
              </w:rPr>
              <w:t>有效容积不小于1.5m³</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材质PE或FRP</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5</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压差计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H=0～3KPa</w:t>
            </w:r>
          </w:p>
        </w:tc>
        <w:tc>
          <w:tcPr>
            <w:tcW w:w="1947" w:type="dxa"/>
            <w:tcBorders>
              <w:top w:val="single" w:color="000000" w:sz="6" w:space="0"/>
              <w:left w:val="single" w:color="000000" w:sz="6" w:space="0"/>
              <w:bottom w:val="single" w:color="000000" w:sz="6" w:space="0"/>
              <w:right w:val="single" w:color="000000" w:sz="4" w:space="0"/>
            </w:tcBorders>
            <w:vAlign w:val="center"/>
          </w:tcPr>
          <w:p>
            <w:pPr>
              <w:spacing w:line="360" w:lineRule="auto"/>
              <w:rPr>
                <w:color w:val="auto"/>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6</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流量计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Q=0～100m³/h</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用于测水流量</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7</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硫化氢测量仪</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0～10ppm</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8</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风管调节阀</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hAnsi="宋体" w:eastAsia="宋体" w:cs="宋体"/>
                <w:color w:val="auto"/>
                <w:sz w:val="21"/>
                <w:szCs w:val="21"/>
              </w:rPr>
              <w:t>1台</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9</w:t>
            </w:r>
            <w:r>
              <w:rPr>
                <w:rFonts w:ascii="宋体" w:hAnsi="宋体" w:eastAsia="宋体" w:cs="宋体"/>
                <w:color w:val="auto"/>
                <w:sz w:val="21"/>
                <w:szCs w:val="21"/>
              </w:rPr>
              <w:t>00，PN=0.3Mpa</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9</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玻璃钢风管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color w:val="auto"/>
                <w:sz w:val="21"/>
              </w:rPr>
              <w:t>&gt;10m</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9</w:t>
            </w:r>
            <w:r>
              <w:rPr>
                <w:rFonts w:ascii="宋体" w:hAnsi="宋体" w:eastAsia="宋体" w:cs="宋体"/>
                <w:color w:val="auto"/>
                <w:sz w:val="21"/>
                <w:szCs w:val="21"/>
              </w:rPr>
              <w:t>00；PN=0.3Mpa</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jc w:val="center"/>
              <w:rPr>
                <w:rFonts w:ascii="宋体" w:hAnsi="宋体" w:eastAsia="宋体" w:cs="宋体"/>
                <w:color w:val="auto"/>
                <w:sz w:val="21"/>
                <w:szCs w:val="21"/>
              </w:rPr>
            </w:pPr>
            <w:r>
              <w:rPr>
                <w:rFonts w:ascii="宋体"/>
                <w:color w:val="auto"/>
                <w:sz w:val="21"/>
              </w:rPr>
              <w:t>10</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其他风管管件</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批</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35"/>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变径、弯头、三通等</w:t>
            </w:r>
            <w:r>
              <w:rPr>
                <w:rFonts w:ascii="宋体" w:hAnsi="宋体" w:eastAsia="宋体" w:cs="宋体"/>
                <w:color w:val="auto"/>
                <w:sz w:val="21"/>
                <w:szCs w:val="21"/>
                <w:lang w:eastAsia="zh-CN"/>
              </w:rPr>
              <w:t>FRP</w:t>
            </w:r>
            <w:r>
              <w:rPr>
                <w:rFonts w:ascii="宋体" w:hAnsi="宋体" w:eastAsia="宋体" w:cs="宋体"/>
                <w:color w:val="auto"/>
                <w:spacing w:val="-3"/>
                <w:sz w:val="21"/>
                <w:szCs w:val="21"/>
                <w:lang w:eastAsia="zh-CN"/>
              </w:rPr>
              <w:t>材质</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129"/>
              <w:rPr>
                <w:rFonts w:ascii="宋体" w:hAnsi="宋体" w:eastAsia="宋体" w:cs="宋体"/>
                <w:color w:val="auto"/>
                <w:sz w:val="21"/>
                <w:szCs w:val="21"/>
              </w:rPr>
            </w:pPr>
            <w:r>
              <w:rPr>
                <w:rFonts w:ascii="宋体" w:hAnsi="宋体" w:eastAsia="宋体" w:cs="宋体"/>
                <w:color w:val="auto"/>
                <w:sz w:val="21"/>
                <w:szCs w:val="21"/>
              </w:rPr>
              <w:t>根据详细设计定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电控系统</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套</w:t>
            </w:r>
          </w:p>
        </w:tc>
        <w:tc>
          <w:tcPr>
            <w:tcW w:w="3444"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2"/>
                <w:sz w:val="21"/>
                <w:szCs w:val="21"/>
                <w:lang w:eastAsia="zh-CN"/>
              </w:rPr>
              <w:t>电控系统包括所有的监测、控制元件及报警、保险丝和主开关等。还包括电控箱及与本设备内部的连接电缆。</w:t>
            </w:r>
            <w:r>
              <w:rPr>
                <w:rFonts w:ascii="宋体" w:hAnsi="宋体" w:eastAsia="宋体" w:cs="宋体"/>
                <w:color w:val="auto"/>
                <w:sz w:val="21"/>
                <w:szCs w:val="21"/>
                <w:lang w:eastAsia="zh-CN"/>
              </w:rPr>
              <w:t>柜体不锈钢304，壁厚1.5mmm</w:t>
            </w:r>
            <w:r>
              <w:rPr>
                <w:rFonts w:ascii="宋体" w:hAnsi="宋体" w:eastAsia="宋体" w:cs="宋体"/>
                <w:color w:val="auto"/>
                <w:spacing w:val="-3"/>
                <w:sz w:val="21"/>
                <w:szCs w:val="21"/>
                <w:lang w:eastAsia="zh-CN"/>
              </w:rPr>
              <w:t>以上</w:t>
            </w:r>
            <w:r>
              <w:rPr>
                <w:rFonts w:ascii="宋体" w:hAnsi="宋体" w:eastAsia="宋体" w:cs="宋体"/>
                <w:color w:val="auto"/>
                <w:sz w:val="21"/>
                <w:szCs w:val="21"/>
                <w:lang w:eastAsia="zh-CN"/>
              </w:rPr>
              <w:t>含通讯功能含系统内电缆（动力及通讯电缆）电源：AC380V/50Hz/3Ph。</w:t>
            </w:r>
            <w:r>
              <w:rPr>
                <w:rFonts w:ascii="宋体" w:hAnsi="宋体" w:eastAsia="宋体" w:cs="宋体"/>
                <w:color w:val="auto"/>
                <w:sz w:val="21"/>
                <w:szCs w:val="21"/>
              </w:rPr>
              <w:t>防护等级：IP55绝缘等级：F。</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760" w:right="125" w:hanging="632"/>
              <w:rPr>
                <w:rFonts w:ascii="宋体" w:hAnsi="宋体" w:eastAsia="宋体" w:cs="宋体"/>
                <w:color w:val="auto"/>
                <w:sz w:val="21"/>
                <w:szCs w:val="21"/>
              </w:rPr>
            </w:pPr>
            <w:r>
              <w:rPr>
                <w:rFonts w:ascii="宋体" w:hAnsi="宋体" w:eastAsia="宋体" w:cs="宋体"/>
                <w:color w:val="auto"/>
                <w:spacing w:val="-1"/>
                <w:sz w:val="21"/>
                <w:szCs w:val="21"/>
              </w:rPr>
              <w:t>通讯协议种类待</w:t>
            </w:r>
            <w:r>
              <w:rPr>
                <w:rFonts w:ascii="宋体" w:hAnsi="宋体" w:eastAsia="宋体" w:cs="宋体"/>
                <w:color w:val="auto"/>
                <w:sz w:val="21"/>
                <w:szCs w:val="21"/>
              </w:rPr>
              <w:t>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12</w:t>
            </w:r>
          </w:p>
        </w:tc>
        <w:tc>
          <w:tcPr>
            <w:tcW w:w="5748" w:type="dxa"/>
            <w:gridSpan w:val="3"/>
            <w:tcBorders>
              <w:top w:val="single" w:color="000000" w:sz="6" w:space="0"/>
              <w:left w:val="single" w:color="000000" w:sz="6" w:space="0"/>
              <w:bottom w:val="single" w:color="000000" w:sz="6" w:space="0"/>
              <w:right w:val="single" w:color="000000" w:sz="6" w:space="0"/>
            </w:tcBorders>
          </w:tcPr>
          <w:p>
            <w:pPr>
              <w:pStyle w:val="27"/>
              <w:spacing w:line="265" w:lineRule="exact"/>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工作条件：</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工作介质：</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市政污水混合致臭气体，</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工作位置：</w:t>
            </w:r>
            <w:r>
              <w:rPr>
                <w:rFonts w:ascii="宋体" w:hAnsi="宋体" w:eastAsia="宋体" w:cs="宋体"/>
                <w:color w:val="auto"/>
                <w:spacing w:val="-1"/>
                <w:sz w:val="21"/>
                <w:szCs w:val="21"/>
                <w:lang w:eastAsia="zh-CN"/>
              </w:rPr>
              <w:tab/>
            </w:r>
            <w:r>
              <w:rPr>
                <w:rFonts w:hint="eastAsia" w:ascii="宋体" w:hAnsi="宋体" w:eastAsia="宋体" w:cs="宋体"/>
                <w:color w:val="auto"/>
                <w:spacing w:val="-1"/>
                <w:sz w:val="21"/>
                <w:szCs w:val="21"/>
                <w:lang w:eastAsia="zh-CN"/>
              </w:rPr>
              <w:t>地下箱体</w:t>
            </w:r>
            <w:r>
              <w:rPr>
                <w:rFonts w:ascii="宋体" w:hAnsi="宋体" w:eastAsia="宋体" w:cs="宋体"/>
                <w:color w:val="auto"/>
                <w:spacing w:val="-1"/>
                <w:sz w:val="21"/>
                <w:szCs w:val="21"/>
                <w:lang w:eastAsia="zh-CN"/>
              </w:rPr>
              <w:t>；</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空气温度：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≤100℃</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臭气温度：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-5～40℃</w:t>
            </w:r>
          </w:p>
          <w:p>
            <w:pPr>
              <w:pStyle w:val="27"/>
              <w:tabs>
                <w:tab w:val="left" w:pos="2726"/>
              </w:tabs>
              <w:spacing w:before="42"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pH：</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5.5~8.5</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63" w:line="360" w:lineRule="auto"/>
              <w:jc w:val="center"/>
              <w:rPr>
                <w:rFonts w:ascii="宋体" w:hAnsi="宋体" w:eastAsia="宋体" w:cs="宋体"/>
                <w:color w:val="auto"/>
                <w:sz w:val="21"/>
                <w:szCs w:val="21"/>
              </w:rPr>
            </w:pPr>
            <w:r>
              <w:rPr>
                <w:rFonts w:ascii="宋体"/>
                <w:color w:val="auto"/>
                <w:sz w:val="21"/>
              </w:rPr>
              <w:t>13</w:t>
            </w:r>
          </w:p>
        </w:tc>
        <w:tc>
          <w:tcPr>
            <w:tcW w:w="5748" w:type="dxa"/>
            <w:gridSpan w:val="3"/>
            <w:tcBorders>
              <w:top w:val="single" w:color="000000" w:sz="6" w:space="0"/>
              <w:left w:val="single" w:color="000000" w:sz="6" w:space="0"/>
              <w:bottom w:val="single" w:color="000000" w:sz="6" w:space="0"/>
              <w:right w:val="single" w:color="000000" w:sz="6" w:space="0"/>
            </w:tcBorders>
          </w:tcPr>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z w:val="21"/>
                <w:szCs w:val="21"/>
                <w:lang w:eastAsia="zh-CN"/>
              </w:rPr>
              <w:t>材质要求：</w:t>
            </w:r>
          </w:p>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风机叶轮</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玻璃钢</w:t>
            </w:r>
          </w:p>
          <w:p>
            <w:pPr>
              <w:pStyle w:val="27"/>
              <w:tabs>
                <w:tab w:val="left" w:pos="1363"/>
              </w:tabs>
              <w:spacing w:before="9"/>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风机壳体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360"/>
                <w:tab w:val="left" w:pos="1781"/>
              </w:tabs>
              <w:spacing w:before="44" w:line="278" w:lineRule="auto"/>
              <w:ind w:left="100" w:right="1841"/>
              <w:rPr>
                <w:rFonts w:ascii="宋体" w:hAnsi="宋体" w:eastAsia="宋体" w:cs="宋体"/>
                <w:color w:val="auto"/>
                <w:spacing w:val="-3"/>
                <w:sz w:val="21"/>
                <w:szCs w:val="21"/>
                <w:lang w:eastAsia="zh-CN"/>
              </w:rPr>
            </w:pPr>
            <w:r>
              <w:rPr>
                <w:rFonts w:ascii="宋体" w:hAnsi="宋体" w:eastAsia="宋体" w:cs="宋体"/>
                <w:color w:val="auto"/>
                <w:sz w:val="21"/>
                <w:szCs w:val="21"/>
                <w:lang w:eastAsia="zh-CN"/>
              </w:rPr>
              <w:t>散水泵</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过流部分SS304不锈钢</w:t>
            </w:r>
            <w:r>
              <w:rPr>
                <w:rFonts w:ascii="宋体" w:hAnsi="宋体" w:eastAsia="宋体" w:cs="宋体"/>
                <w:color w:val="auto"/>
                <w:spacing w:val="-1"/>
                <w:sz w:val="21"/>
                <w:szCs w:val="21"/>
                <w:lang w:eastAsia="zh-CN"/>
              </w:rPr>
              <w:t>生物滤池池体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玻璃钢和方管形钢组合件</w:t>
            </w:r>
            <w:r>
              <w:rPr>
                <w:rFonts w:ascii="宋体" w:hAnsi="宋体" w:eastAsia="宋体" w:cs="宋体"/>
                <w:color w:val="auto"/>
                <w:spacing w:val="-1"/>
                <w:sz w:val="21"/>
                <w:szCs w:val="21"/>
                <w:lang w:eastAsia="zh-CN"/>
              </w:rPr>
              <w:t>填料支撑</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玻璃钢格栅、PE</w:t>
            </w:r>
            <w:r>
              <w:rPr>
                <w:rFonts w:ascii="宋体" w:hAnsi="宋体" w:eastAsia="宋体" w:cs="宋体"/>
                <w:color w:val="auto"/>
                <w:spacing w:val="-3"/>
                <w:sz w:val="21"/>
                <w:szCs w:val="21"/>
                <w:lang w:eastAsia="zh-CN"/>
              </w:rPr>
              <w:t>格网</w:t>
            </w:r>
          </w:p>
          <w:p>
            <w:pPr>
              <w:pStyle w:val="27"/>
              <w:tabs>
                <w:tab w:val="left" w:pos="1360"/>
                <w:tab w:val="left" w:pos="1781"/>
              </w:tabs>
              <w:spacing w:before="44" w:line="278" w:lineRule="auto"/>
              <w:ind w:left="100" w:right="1841"/>
              <w:rPr>
                <w:rFonts w:ascii="宋体" w:hAnsi="宋体" w:eastAsia="宋体" w:cs="宋体"/>
                <w:color w:val="auto"/>
                <w:spacing w:val="-1"/>
                <w:sz w:val="21"/>
                <w:szCs w:val="21"/>
                <w:lang w:eastAsia="zh-CN"/>
              </w:rPr>
            </w:pPr>
            <w:r>
              <w:rPr>
                <w:rFonts w:ascii="宋体" w:hAnsi="宋体" w:eastAsia="宋体" w:cs="宋体"/>
                <w:color w:val="auto"/>
                <w:spacing w:val="-1"/>
                <w:sz w:val="21"/>
                <w:szCs w:val="21"/>
                <w:lang w:eastAsia="zh-CN"/>
              </w:rPr>
              <w:t>生物填料</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炭质单一填料</w:t>
            </w:r>
          </w:p>
          <w:p>
            <w:pPr>
              <w:pStyle w:val="27"/>
              <w:tabs>
                <w:tab w:val="left" w:pos="1886"/>
                <w:tab w:val="left" w:pos="2203"/>
              </w:tabs>
              <w:spacing w:line="278" w:lineRule="auto"/>
              <w:ind w:left="100" w:right="1475"/>
              <w:rPr>
                <w:rFonts w:ascii="宋体" w:hAnsi="宋体" w:eastAsia="宋体" w:cs="宋体"/>
                <w:color w:val="auto"/>
                <w:sz w:val="21"/>
                <w:szCs w:val="21"/>
                <w:lang w:eastAsia="zh-CN"/>
              </w:rPr>
            </w:pPr>
            <w:r>
              <w:rPr>
                <w:rFonts w:ascii="宋体" w:hAnsi="宋体" w:eastAsia="宋体" w:cs="宋体"/>
                <w:color w:val="auto"/>
                <w:sz w:val="21"/>
                <w:szCs w:val="21"/>
                <w:lang w:eastAsia="zh-CN"/>
              </w:rPr>
              <w:t>密封罩</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不锈钢304骨架+耐力板4mm</w:t>
            </w:r>
            <w:r>
              <w:rPr>
                <w:rFonts w:ascii="宋体" w:hAnsi="宋体" w:eastAsia="宋体" w:cs="宋体"/>
                <w:color w:val="auto"/>
                <w:spacing w:val="-1"/>
                <w:sz w:val="21"/>
                <w:szCs w:val="21"/>
                <w:lang w:eastAsia="zh-CN"/>
              </w:rPr>
              <w:t>风管及管道配件</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781"/>
              </w:tabs>
              <w:spacing w:before="10"/>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电控柜外壳</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SS304</w:t>
            </w:r>
            <w:r>
              <w:rPr>
                <w:rFonts w:ascii="宋体" w:hAnsi="宋体" w:eastAsia="宋体" w:cs="宋体"/>
                <w:color w:val="auto"/>
                <w:spacing w:val="-1"/>
                <w:sz w:val="21"/>
                <w:szCs w:val="21"/>
                <w:lang w:eastAsia="zh-CN"/>
              </w:rPr>
              <w:t>不锈钢</w:t>
            </w:r>
          </w:p>
          <w:p>
            <w:pPr>
              <w:pStyle w:val="27"/>
              <w:tabs>
                <w:tab w:val="left" w:pos="1781"/>
              </w:tabs>
              <w:spacing w:before="44"/>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水管</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UPVC</w:t>
            </w:r>
          </w:p>
          <w:p>
            <w:pPr>
              <w:pStyle w:val="27"/>
              <w:tabs>
                <w:tab w:val="left" w:pos="1360"/>
                <w:tab w:val="left" w:pos="1781"/>
              </w:tabs>
              <w:spacing w:before="44" w:line="360" w:lineRule="auto"/>
              <w:ind w:left="100" w:right="63"/>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所有连接附件、紧固件</w:t>
            </w:r>
            <w:r>
              <w:rPr>
                <w:rFonts w:ascii="宋体" w:hAnsi="宋体" w:eastAsia="宋体" w:cs="宋体"/>
                <w:color w:val="auto"/>
                <w:spacing w:val="-2"/>
                <w:sz w:val="21"/>
                <w:szCs w:val="21"/>
                <w:lang w:eastAsia="zh-CN"/>
              </w:rPr>
              <w:tab/>
            </w:r>
            <w:r>
              <w:rPr>
                <w:rFonts w:ascii="宋体" w:hAnsi="宋体" w:eastAsia="宋体" w:cs="宋体"/>
                <w:color w:val="auto"/>
                <w:spacing w:val="-1"/>
                <w:sz w:val="21"/>
                <w:szCs w:val="21"/>
                <w:lang w:eastAsia="zh-CN"/>
              </w:rPr>
              <w:t>FRP/UPVC/</w:t>
            </w:r>
            <w:r>
              <w:rPr>
                <w:rFonts w:ascii="宋体" w:hAnsi="宋体" w:eastAsia="宋体" w:cs="宋体"/>
                <w:color w:val="auto"/>
                <w:spacing w:val="-2"/>
                <w:sz w:val="21"/>
                <w:szCs w:val="21"/>
                <w:lang w:eastAsia="zh-CN"/>
              </w:rPr>
              <w:t>碳钢防腐</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14</w:t>
            </w:r>
          </w:p>
        </w:tc>
        <w:tc>
          <w:tcPr>
            <w:tcW w:w="5748" w:type="dxa"/>
            <w:gridSpan w:val="3"/>
            <w:tcBorders>
              <w:top w:val="single" w:color="000000" w:sz="6" w:space="0"/>
              <w:left w:val="single" w:color="000000" w:sz="6" w:space="0"/>
              <w:bottom w:val="single" w:color="000000" w:sz="6" w:space="0"/>
              <w:right w:val="single" w:color="000000" w:sz="6" w:space="0"/>
            </w:tcBorders>
          </w:tcPr>
          <w:p>
            <w:pPr>
              <w:pStyle w:val="27"/>
              <w:spacing w:line="278" w:lineRule="auto"/>
              <w:ind w:left="100" w:right="93"/>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在任何季节、任何气候条件下，除臭系统NH3、H2S</w:t>
            </w:r>
            <w:r>
              <w:rPr>
                <w:rFonts w:ascii="宋体" w:hAnsi="宋体" w:eastAsia="宋体" w:cs="宋体"/>
                <w:color w:val="auto"/>
                <w:sz w:val="21"/>
                <w:szCs w:val="21"/>
                <w:lang w:eastAsia="zh-CN"/>
              </w:rPr>
              <w:t>等重点控制物浓度符合</w:t>
            </w:r>
          </w:p>
          <w:p>
            <w:pPr>
              <w:pStyle w:val="27"/>
              <w:tabs>
                <w:tab w:val="left" w:pos="1992"/>
              </w:tabs>
              <w:spacing w:before="10" w:line="278" w:lineRule="auto"/>
              <w:ind w:left="100" w:right="1001"/>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GB18918-2002</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城镇污水处理厂污染物排放标准</w:t>
            </w:r>
            <w:r>
              <w:rPr>
                <w:rFonts w:ascii="宋体" w:hAnsi="宋体" w:eastAsia="宋体" w:cs="宋体"/>
                <w:color w:val="auto"/>
                <w:sz w:val="21"/>
                <w:szCs w:val="21"/>
                <w:lang w:eastAsia="zh-CN"/>
              </w:rPr>
              <w:t>GB16297-1996</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大气污染物综合排放标准</w:t>
            </w:r>
          </w:p>
          <w:p>
            <w:pPr>
              <w:pStyle w:val="27"/>
              <w:tabs>
                <w:tab w:val="left" w:pos="1992"/>
              </w:tabs>
              <w:spacing w:before="10"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GB14554-93</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恶臭污染物排放标准值</w:t>
            </w:r>
          </w:p>
        </w:tc>
        <w:tc>
          <w:tcPr>
            <w:tcW w:w="1947"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bl>
    <w:p>
      <w:pPr>
        <w:pStyle w:val="29"/>
        <w:ind w:firstLine="472"/>
        <w:rPr>
          <w:color w:val="auto"/>
        </w:rPr>
      </w:pPr>
    </w:p>
    <w:p>
      <w:pPr>
        <w:pStyle w:val="33"/>
        <w:rPr>
          <w:color w:val="auto"/>
        </w:rPr>
      </w:pPr>
      <w:r>
        <w:rPr>
          <w:rFonts w:hint="eastAsia"/>
          <w:color w:val="auto"/>
        </w:rPr>
        <w:t>5</w:t>
      </w:r>
      <w:r>
        <w:rPr>
          <w:color w:val="auto"/>
        </w:rPr>
        <w:t>#生物除臭设备</w:t>
      </w:r>
    </w:p>
    <w:tbl>
      <w:tblPr>
        <w:tblStyle w:val="25"/>
        <w:tblW w:w="8506" w:type="dxa"/>
        <w:tblInd w:w="112" w:type="dxa"/>
        <w:tblLayout w:type="fixed"/>
        <w:tblCellMar>
          <w:top w:w="0" w:type="dxa"/>
          <w:left w:w="0" w:type="dxa"/>
          <w:bottom w:w="0" w:type="dxa"/>
          <w:right w:w="0" w:type="dxa"/>
        </w:tblCellMar>
      </w:tblPr>
      <w:tblGrid>
        <w:gridCol w:w="811"/>
        <w:gridCol w:w="1558"/>
        <w:gridCol w:w="746"/>
        <w:gridCol w:w="3648"/>
        <w:gridCol w:w="1743"/>
      </w:tblGrid>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序号</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名称</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单位</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b/>
                <w:bCs/>
                <w:color w:val="auto"/>
                <w:sz w:val="21"/>
                <w:szCs w:val="21"/>
              </w:rPr>
              <w:t>性能</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备注</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生物滤池</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套</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5"/>
              <w:rPr>
                <w:rFonts w:ascii="宋体" w:hAnsi="宋体" w:eastAsia="宋体" w:cs="宋体"/>
                <w:color w:val="auto"/>
                <w:sz w:val="11"/>
                <w:szCs w:val="11"/>
                <w:lang w:eastAsia="zh-CN"/>
              </w:rPr>
            </w:pPr>
            <w:r>
              <w:rPr>
                <w:rFonts w:ascii="宋体" w:hAnsi="宋体" w:eastAsia="宋体" w:cs="宋体"/>
                <w:color w:val="auto"/>
                <w:w w:val="110"/>
                <w:sz w:val="21"/>
                <w:szCs w:val="21"/>
                <w:lang w:eastAsia="zh-CN"/>
              </w:rPr>
              <w:t>臭气浓度：3500~4000OU/m³处理气量：Q=</w:t>
            </w:r>
            <w:r>
              <w:rPr>
                <w:rFonts w:hint="eastAsia" w:ascii="宋体" w:hAnsi="宋体" w:eastAsia="宋体" w:cs="宋体"/>
                <w:color w:val="auto"/>
                <w:w w:val="110"/>
                <w:sz w:val="21"/>
                <w:szCs w:val="21"/>
                <w:lang w:eastAsia="zh-CN"/>
              </w:rPr>
              <w:t>18</w:t>
            </w:r>
            <w:r>
              <w:rPr>
                <w:rFonts w:ascii="宋体" w:hAnsi="宋体" w:eastAsia="宋体" w:cs="宋体"/>
                <w:color w:val="auto"/>
                <w:w w:val="110"/>
                <w:sz w:val="21"/>
                <w:szCs w:val="21"/>
                <w:lang w:eastAsia="zh-CN"/>
              </w:rPr>
              <w:t>000m³/h</w:t>
            </w:r>
            <w:r>
              <w:rPr>
                <w:rFonts w:ascii="宋体" w:hAnsi="宋体" w:eastAsia="宋体" w:cs="宋体"/>
                <w:color w:val="auto"/>
                <w:sz w:val="21"/>
                <w:szCs w:val="21"/>
                <w:lang w:eastAsia="zh-CN"/>
              </w:rPr>
              <w:t>生物填料：不小于</w:t>
            </w:r>
            <w:r>
              <w:rPr>
                <w:rFonts w:hint="eastAsia" w:ascii="宋体" w:hAnsi="宋体" w:eastAsia="宋体" w:cs="宋体"/>
                <w:color w:val="auto"/>
                <w:sz w:val="21"/>
                <w:szCs w:val="21"/>
                <w:lang w:eastAsia="zh-CN"/>
              </w:rPr>
              <w:t>60</w:t>
            </w:r>
            <w:r>
              <w:rPr>
                <w:rFonts w:ascii="宋体" w:hAnsi="宋体" w:eastAsia="宋体" w:cs="宋体"/>
                <w:color w:val="auto"/>
                <w:sz w:val="21"/>
                <w:szCs w:val="21"/>
                <w:lang w:eastAsia="zh-CN"/>
              </w:rPr>
              <w:t>m³处理效率&gt;95%臭气与生物填料的接触时间不小于12秒填料厚度应不小于1.6m。除臭塔及填料使用寿命不低于15</w:t>
            </w:r>
            <w:r>
              <w:rPr>
                <w:rFonts w:ascii="宋体" w:hAnsi="宋体" w:eastAsia="宋体" w:cs="宋体"/>
                <w:color w:val="auto"/>
                <w:spacing w:val="-3"/>
                <w:sz w:val="21"/>
                <w:szCs w:val="21"/>
                <w:lang w:eastAsia="zh-CN"/>
              </w:rPr>
              <w:t>年。</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r>
              <w:rPr>
                <w:rFonts w:ascii="宋体" w:hAnsi="宋体" w:eastAsia="宋体" w:cs="宋体"/>
                <w:color w:val="auto"/>
                <w:sz w:val="21"/>
                <w:szCs w:val="21"/>
                <w:lang w:eastAsia="zh-CN"/>
              </w:rPr>
              <w:t>主要由（但不限</w:t>
            </w:r>
            <w:r>
              <w:rPr>
                <w:rFonts w:ascii="宋体" w:hAnsi="宋体" w:eastAsia="宋体" w:cs="宋体"/>
                <w:color w:val="auto"/>
                <w:spacing w:val="-8"/>
                <w:sz w:val="21"/>
                <w:szCs w:val="21"/>
                <w:lang w:eastAsia="zh-CN"/>
              </w:rPr>
              <w:t>于此）生物滤池、</w:t>
            </w:r>
            <w:r>
              <w:rPr>
                <w:rFonts w:ascii="宋体" w:hAnsi="宋体" w:eastAsia="宋体" w:cs="宋体"/>
                <w:color w:val="auto"/>
                <w:sz w:val="21"/>
                <w:szCs w:val="21"/>
                <w:lang w:eastAsia="zh-CN"/>
              </w:rPr>
              <w:t>离心风机、压差计、流量计、散水泵、散水阀门</w:t>
            </w:r>
            <w:r>
              <w:rPr>
                <w:rFonts w:ascii="宋体" w:hAnsi="宋体" w:eastAsia="宋体" w:cs="宋体"/>
                <w:color w:val="auto"/>
                <w:spacing w:val="-8"/>
                <w:sz w:val="21"/>
                <w:szCs w:val="21"/>
                <w:lang w:eastAsia="zh-CN"/>
              </w:rPr>
              <w:t>管道、排放系统、</w:t>
            </w:r>
            <w:r>
              <w:rPr>
                <w:rFonts w:ascii="宋体" w:hAnsi="宋体" w:eastAsia="宋体" w:cs="宋体"/>
                <w:color w:val="auto"/>
                <w:sz w:val="21"/>
                <w:szCs w:val="21"/>
                <w:lang w:eastAsia="zh-CN"/>
              </w:rPr>
              <w:t>硫化氢测量仪、风管调节阀、玻璃钢风管及相关附件、电控箱组成</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2</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离心风机</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1"/>
                <w:sz w:val="21"/>
                <w:szCs w:val="21"/>
              </w:rPr>
              <w:t>Q=0～</w:t>
            </w:r>
            <w:r>
              <w:rPr>
                <w:rFonts w:hint="eastAsia" w:ascii="宋体" w:hAnsi="宋体" w:eastAsia="宋体" w:cs="宋体"/>
                <w:color w:val="auto"/>
                <w:spacing w:val="-1"/>
                <w:sz w:val="21"/>
                <w:szCs w:val="21"/>
                <w:lang w:eastAsia="zh-CN"/>
              </w:rPr>
              <w:t>198</w:t>
            </w:r>
            <w:r>
              <w:rPr>
                <w:rFonts w:ascii="宋体" w:hAnsi="宋体" w:eastAsia="宋体" w:cs="宋体"/>
                <w:color w:val="auto"/>
                <w:spacing w:val="-1"/>
                <w:sz w:val="21"/>
                <w:szCs w:val="21"/>
              </w:rPr>
              <w:t>00m³/h,</w:t>
            </w:r>
            <w:r>
              <w:rPr>
                <w:rFonts w:ascii="宋体" w:hAnsi="宋体" w:eastAsia="宋体" w:cs="宋体"/>
                <w:color w:val="auto"/>
                <w:sz w:val="21"/>
                <w:szCs w:val="21"/>
              </w:rPr>
              <w:t>H=0～2.5KPa,N≈2</w:t>
            </w:r>
            <w:r>
              <w:rPr>
                <w:rFonts w:hint="eastAsia" w:ascii="宋体" w:hAnsi="宋体" w:eastAsia="宋体" w:cs="宋体"/>
                <w:color w:val="auto"/>
                <w:sz w:val="21"/>
                <w:szCs w:val="21"/>
                <w:lang w:eastAsia="zh-CN"/>
              </w:rPr>
              <w:t>0</w:t>
            </w:r>
            <w:r>
              <w:rPr>
                <w:rFonts w:ascii="宋体" w:hAnsi="宋体" w:eastAsia="宋体" w:cs="宋体"/>
                <w:color w:val="auto"/>
                <w:sz w:val="21"/>
                <w:szCs w:val="21"/>
              </w:rPr>
              <w:t>kw（暂定）</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446" w:right="440"/>
              <w:rPr>
                <w:rFonts w:ascii="宋体" w:hAnsi="宋体" w:eastAsia="宋体" w:cs="宋体"/>
                <w:color w:val="auto"/>
                <w:sz w:val="21"/>
                <w:szCs w:val="21"/>
              </w:rPr>
            </w:pPr>
            <w:r>
              <w:rPr>
                <w:rFonts w:ascii="宋体" w:hAnsi="宋体" w:eastAsia="宋体" w:cs="宋体"/>
                <w:color w:val="auto"/>
                <w:spacing w:val="-1"/>
                <w:sz w:val="21"/>
                <w:szCs w:val="21"/>
              </w:rPr>
              <w:t>知名品牌变频电机</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3</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散水泵</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30m³/h，20m，4kw</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4</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水箱</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个</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11"/>
                <w:szCs w:val="11"/>
              </w:rPr>
            </w:pPr>
            <w:r>
              <w:rPr>
                <w:rFonts w:ascii="宋体" w:hAnsi="宋体" w:eastAsia="宋体" w:cs="宋体"/>
                <w:color w:val="auto"/>
                <w:sz w:val="21"/>
                <w:szCs w:val="21"/>
              </w:rPr>
              <w:t>有效容积不小于1.5m³</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材质PE或FRP</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5</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压差计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H=0～3KPa</w:t>
            </w:r>
          </w:p>
        </w:tc>
        <w:tc>
          <w:tcPr>
            <w:tcW w:w="1743" w:type="dxa"/>
            <w:tcBorders>
              <w:top w:val="single" w:color="000000" w:sz="6" w:space="0"/>
              <w:left w:val="single" w:color="000000" w:sz="6" w:space="0"/>
              <w:bottom w:val="single" w:color="000000" w:sz="6" w:space="0"/>
              <w:right w:val="single" w:color="000000" w:sz="4" w:space="0"/>
            </w:tcBorders>
            <w:vAlign w:val="center"/>
          </w:tcPr>
          <w:p>
            <w:pPr>
              <w:spacing w:line="360" w:lineRule="auto"/>
              <w:rPr>
                <w:color w:val="auto"/>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6</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流量计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Q=0～100m³/h</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用于测水流量</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7</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硫化氢测量仪</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0～10ppm</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8</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风管调节阀</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9</w:t>
            </w:r>
            <w:r>
              <w:rPr>
                <w:rFonts w:ascii="宋体" w:hAnsi="宋体" w:eastAsia="宋体" w:cs="宋体"/>
                <w:color w:val="auto"/>
                <w:sz w:val="21"/>
                <w:szCs w:val="21"/>
              </w:rPr>
              <w:t>00，PN=0.3Mpa</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9</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玻璃钢风管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color w:val="auto"/>
                <w:sz w:val="21"/>
              </w:rPr>
              <w:t>&gt;10m</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9</w:t>
            </w:r>
            <w:r>
              <w:rPr>
                <w:rFonts w:ascii="宋体" w:hAnsi="宋体" w:eastAsia="宋体" w:cs="宋体"/>
                <w:color w:val="auto"/>
                <w:sz w:val="21"/>
                <w:szCs w:val="21"/>
              </w:rPr>
              <w:t>00；PN=0.3Mpa</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jc w:val="center"/>
              <w:rPr>
                <w:rFonts w:ascii="宋体" w:hAnsi="宋体" w:eastAsia="宋体" w:cs="宋体"/>
                <w:color w:val="auto"/>
                <w:sz w:val="21"/>
                <w:szCs w:val="21"/>
              </w:rPr>
            </w:pPr>
            <w:r>
              <w:rPr>
                <w:rFonts w:ascii="宋体"/>
                <w:color w:val="auto"/>
                <w:sz w:val="21"/>
              </w:rPr>
              <w:t>10</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其他风管管件</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批</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35"/>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变径、弯头、三通等</w:t>
            </w:r>
            <w:r>
              <w:rPr>
                <w:rFonts w:ascii="宋体" w:hAnsi="宋体" w:eastAsia="宋体" w:cs="宋体"/>
                <w:color w:val="auto"/>
                <w:sz w:val="21"/>
                <w:szCs w:val="21"/>
                <w:lang w:eastAsia="zh-CN"/>
              </w:rPr>
              <w:t>FRP</w:t>
            </w:r>
            <w:r>
              <w:rPr>
                <w:rFonts w:ascii="宋体" w:hAnsi="宋体" w:eastAsia="宋体" w:cs="宋体"/>
                <w:color w:val="auto"/>
                <w:spacing w:val="-3"/>
                <w:sz w:val="21"/>
                <w:szCs w:val="21"/>
                <w:lang w:eastAsia="zh-CN"/>
              </w:rPr>
              <w:t>材质</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129"/>
              <w:rPr>
                <w:rFonts w:ascii="宋体" w:hAnsi="宋体" w:eastAsia="宋体" w:cs="宋体"/>
                <w:color w:val="auto"/>
                <w:sz w:val="21"/>
                <w:szCs w:val="21"/>
              </w:rPr>
            </w:pPr>
            <w:r>
              <w:rPr>
                <w:rFonts w:ascii="宋体" w:hAnsi="宋体" w:eastAsia="宋体" w:cs="宋体"/>
                <w:color w:val="auto"/>
                <w:sz w:val="21"/>
                <w:szCs w:val="21"/>
              </w:rPr>
              <w:t>根据详细设计定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电控系统</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套</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2"/>
                <w:sz w:val="21"/>
                <w:szCs w:val="21"/>
                <w:lang w:eastAsia="zh-CN"/>
              </w:rPr>
              <w:t>电控系统包括所有的监测、控制元件及报警、保险丝和主开关等。还包括电控箱及与本设备内部的连接电缆。</w:t>
            </w:r>
            <w:r>
              <w:rPr>
                <w:rFonts w:ascii="宋体" w:hAnsi="宋体" w:eastAsia="宋体" w:cs="宋体"/>
                <w:color w:val="auto"/>
                <w:sz w:val="21"/>
                <w:szCs w:val="21"/>
                <w:lang w:eastAsia="zh-CN"/>
              </w:rPr>
              <w:t>柜体不锈钢304，壁厚1.5mmm</w:t>
            </w:r>
            <w:r>
              <w:rPr>
                <w:rFonts w:ascii="宋体" w:hAnsi="宋体" w:eastAsia="宋体" w:cs="宋体"/>
                <w:color w:val="auto"/>
                <w:spacing w:val="-3"/>
                <w:sz w:val="21"/>
                <w:szCs w:val="21"/>
                <w:lang w:eastAsia="zh-CN"/>
              </w:rPr>
              <w:t>以上</w:t>
            </w:r>
            <w:r>
              <w:rPr>
                <w:rFonts w:ascii="宋体" w:hAnsi="宋体" w:eastAsia="宋体" w:cs="宋体"/>
                <w:color w:val="auto"/>
                <w:sz w:val="21"/>
                <w:szCs w:val="21"/>
                <w:lang w:eastAsia="zh-CN"/>
              </w:rPr>
              <w:t>含通讯功能含系统内电缆（动力及通讯电缆）电源：AC380V/50Hz/3Ph。</w:t>
            </w:r>
            <w:r>
              <w:rPr>
                <w:rFonts w:ascii="宋体" w:hAnsi="宋体" w:eastAsia="宋体" w:cs="宋体"/>
                <w:color w:val="auto"/>
                <w:sz w:val="21"/>
                <w:szCs w:val="21"/>
              </w:rPr>
              <w:t>防护等级：IP55绝缘等级：F。</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760" w:right="125" w:hanging="632"/>
              <w:rPr>
                <w:rFonts w:ascii="宋体" w:hAnsi="宋体" w:eastAsia="宋体" w:cs="宋体"/>
                <w:color w:val="auto"/>
                <w:sz w:val="21"/>
                <w:szCs w:val="21"/>
              </w:rPr>
            </w:pPr>
            <w:r>
              <w:rPr>
                <w:rFonts w:ascii="宋体" w:hAnsi="宋体" w:eastAsia="宋体" w:cs="宋体"/>
                <w:color w:val="auto"/>
                <w:spacing w:val="-1"/>
                <w:sz w:val="21"/>
                <w:szCs w:val="21"/>
              </w:rPr>
              <w:t>通讯协议种类待</w:t>
            </w:r>
            <w:r>
              <w:rPr>
                <w:rFonts w:ascii="宋体" w:hAnsi="宋体" w:eastAsia="宋体" w:cs="宋体"/>
                <w:color w:val="auto"/>
                <w:sz w:val="21"/>
                <w:szCs w:val="21"/>
              </w:rPr>
              <w:t>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12</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spacing w:line="265" w:lineRule="exact"/>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工作条件：</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工作介质：</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市政污水混合致臭气体，</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工作位置：</w:t>
            </w:r>
            <w:r>
              <w:rPr>
                <w:rFonts w:ascii="宋体" w:hAnsi="宋体" w:eastAsia="宋体" w:cs="宋体"/>
                <w:color w:val="auto"/>
                <w:spacing w:val="-1"/>
                <w:sz w:val="21"/>
                <w:szCs w:val="21"/>
                <w:lang w:eastAsia="zh-CN"/>
              </w:rPr>
              <w:tab/>
            </w:r>
            <w:r>
              <w:rPr>
                <w:rFonts w:hint="eastAsia" w:ascii="宋体" w:hAnsi="宋体" w:eastAsia="宋体" w:cs="宋体"/>
                <w:color w:val="auto"/>
                <w:spacing w:val="-1"/>
                <w:sz w:val="21"/>
                <w:szCs w:val="21"/>
                <w:lang w:eastAsia="zh-CN"/>
              </w:rPr>
              <w:t>地下箱体</w:t>
            </w:r>
            <w:r>
              <w:rPr>
                <w:rFonts w:ascii="宋体" w:hAnsi="宋体" w:eastAsia="宋体" w:cs="宋体"/>
                <w:color w:val="auto"/>
                <w:spacing w:val="-1"/>
                <w:sz w:val="21"/>
                <w:szCs w:val="21"/>
                <w:lang w:eastAsia="zh-CN"/>
              </w:rPr>
              <w:t>；</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空气温度：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≤100℃</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臭气温度：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-5～40℃</w:t>
            </w:r>
          </w:p>
          <w:p>
            <w:pPr>
              <w:pStyle w:val="27"/>
              <w:tabs>
                <w:tab w:val="left" w:pos="2726"/>
              </w:tabs>
              <w:spacing w:before="42"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pH：</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5.5~8.5</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63" w:line="360" w:lineRule="auto"/>
              <w:jc w:val="center"/>
              <w:rPr>
                <w:rFonts w:ascii="宋体" w:hAnsi="宋体" w:eastAsia="宋体" w:cs="宋体"/>
                <w:color w:val="auto"/>
                <w:sz w:val="21"/>
                <w:szCs w:val="21"/>
              </w:rPr>
            </w:pPr>
            <w:r>
              <w:rPr>
                <w:rFonts w:ascii="宋体"/>
                <w:color w:val="auto"/>
                <w:sz w:val="21"/>
              </w:rPr>
              <w:t>13</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z w:val="21"/>
                <w:szCs w:val="21"/>
                <w:lang w:eastAsia="zh-CN"/>
              </w:rPr>
              <w:t>材质要求：</w:t>
            </w:r>
          </w:p>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风机叶轮</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玻璃钢</w:t>
            </w:r>
          </w:p>
          <w:p>
            <w:pPr>
              <w:pStyle w:val="27"/>
              <w:tabs>
                <w:tab w:val="left" w:pos="1363"/>
              </w:tabs>
              <w:spacing w:before="9"/>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风机壳体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360"/>
                <w:tab w:val="left" w:pos="1781"/>
              </w:tabs>
              <w:spacing w:before="44" w:line="278" w:lineRule="auto"/>
              <w:ind w:left="100" w:right="1841"/>
              <w:rPr>
                <w:rFonts w:ascii="宋体" w:hAnsi="宋体" w:eastAsia="宋体" w:cs="宋体"/>
                <w:color w:val="auto"/>
                <w:spacing w:val="-3"/>
                <w:sz w:val="21"/>
                <w:szCs w:val="21"/>
                <w:lang w:eastAsia="zh-CN"/>
              </w:rPr>
            </w:pPr>
            <w:r>
              <w:rPr>
                <w:rFonts w:ascii="宋体" w:hAnsi="宋体" w:eastAsia="宋体" w:cs="宋体"/>
                <w:color w:val="auto"/>
                <w:sz w:val="21"/>
                <w:szCs w:val="21"/>
                <w:lang w:eastAsia="zh-CN"/>
              </w:rPr>
              <w:t>散水泵</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过流部分SS304不锈钢</w:t>
            </w:r>
            <w:r>
              <w:rPr>
                <w:rFonts w:ascii="宋体" w:hAnsi="宋体" w:eastAsia="宋体" w:cs="宋体"/>
                <w:color w:val="auto"/>
                <w:spacing w:val="-1"/>
                <w:sz w:val="21"/>
                <w:szCs w:val="21"/>
                <w:lang w:eastAsia="zh-CN"/>
              </w:rPr>
              <w:t>生物滤池池体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玻璃钢和方管形钢组合件</w:t>
            </w:r>
            <w:r>
              <w:rPr>
                <w:rFonts w:ascii="宋体" w:hAnsi="宋体" w:eastAsia="宋体" w:cs="宋体"/>
                <w:color w:val="auto"/>
                <w:spacing w:val="-1"/>
                <w:sz w:val="21"/>
                <w:szCs w:val="21"/>
                <w:lang w:eastAsia="zh-CN"/>
              </w:rPr>
              <w:t>填料支撑</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玻璃钢格栅、PE</w:t>
            </w:r>
            <w:r>
              <w:rPr>
                <w:rFonts w:ascii="宋体" w:hAnsi="宋体" w:eastAsia="宋体" w:cs="宋体"/>
                <w:color w:val="auto"/>
                <w:spacing w:val="-3"/>
                <w:sz w:val="21"/>
                <w:szCs w:val="21"/>
                <w:lang w:eastAsia="zh-CN"/>
              </w:rPr>
              <w:t>格网</w:t>
            </w:r>
          </w:p>
          <w:p>
            <w:pPr>
              <w:pStyle w:val="27"/>
              <w:tabs>
                <w:tab w:val="left" w:pos="1360"/>
                <w:tab w:val="left" w:pos="1781"/>
              </w:tabs>
              <w:spacing w:before="44" w:line="278" w:lineRule="auto"/>
              <w:ind w:left="100" w:right="1841"/>
              <w:rPr>
                <w:rFonts w:ascii="宋体" w:hAnsi="宋体" w:eastAsia="宋体" w:cs="宋体"/>
                <w:color w:val="auto"/>
                <w:spacing w:val="-1"/>
                <w:sz w:val="21"/>
                <w:szCs w:val="21"/>
                <w:lang w:eastAsia="zh-CN"/>
              </w:rPr>
            </w:pPr>
            <w:r>
              <w:rPr>
                <w:rFonts w:ascii="宋体" w:hAnsi="宋体" w:eastAsia="宋体" w:cs="宋体"/>
                <w:color w:val="auto"/>
                <w:spacing w:val="-1"/>
                <w:sz w:val="21"/>
                <w:szCs w:val="21"/>
                <w:lang w:eastAsia="zh-CN"/>
              </w:rPr>
              <w:t>生物填料</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炭质单一填料</w:t>
            </w:r>
          </w:p>
          <w:p>
            <w:pPr>
              <w:pStyle w:val="27"/>
              <w:tabs>
                <w:tab w:val="left" w:pos="1886"/>
                <w:tab w:val="left" w:pos="2203"/>
              </w:tabs>
              <w:spacing w:line="278" w:lineRule="auto"/>
              <w:ind w:left="100" w:right="1475"/>
              <w:rPr>
                <w:rFonts w:ascii="宋体" w:hAnsi="宋体" w:eastAsia="宋体" w:cs="宋体"/>
                <w:color w:val="auto"/>
                <w:sz w:val="21"/>
                <w:szCs w:val="21"/>
                <w:lang w:eastAsia="zh-CN"/>
              </w:rPr>
            </w:pPr>
            <w:r>
              <w:rPr>
                <w:rFonts w:ascii="宋体" w:hAnsi="宋体" w:eastAsia="宋体" w:cs="宋体"/>
                <w:color w:val="auto"/>
                <w:sz w:val="21"/>
                <w:szCs w:val="21"/>
                <w:lang w:eastAsia="zh-CN"/>
              </w:rPr>
              <w:t>密封罩</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不锈钢304骨架+耐力板4mm</w:t>
            </w:r>
            <w:r>
              <w:rPr>
                <w:rFonts w:ascii="宋体" w:hAnsi="宋体" w:eastAsia="宋体" w:cs="宋体"/>
                <w:color w:val="auto"/>
                <w:spacing w:val="-1"/>
                <w:sz w:val="21"/>
                <w:szCs w:val="21"/>
                <w:lang w:eastAsia="zh-CN"/>
              </w:rPr>
              <w:t>风管及管道配件</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781"/>
              </w:tabs>
              <w:spacing w:before="10"/>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电控柜外壳</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SS304</w:t>
            </w:r>
            <w:r>
              <w:rPr>
                <w:rFonts w:ascii="宋体" w:hAnsi="宋体" w:eastAsia="宋体" w:cs="宋体"/>
                <w:color w:val="auto"/>
                <w:spacing w:val="-1"/>
                <w:sz w:val="21"/>
                <w:szCs w:val="21"/>
                <w:lang w:eastAsia="zh-CN"/>
              </w:rPr>
              <w:t>不锈钢</w:t>
            </w:r>
          </w:p>
          <w:p>
            <w:pPr>
              <w:pStyle w:val="27"/>
              <w:tabs>
                <w:tab w:val="left" w:pos="1781"/>
              </w:tabs>
              <w:spacing w:before="44"/>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水管</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UPVC</w:t>
            </w:r>
          </w:p>
          <w:p>
            <w:pPr>
              <w:pStyle w:val="27"/>
              <w:tabs>
                <w:tab w:val="left" w:pos="1360"/>
                <w:tab w:val="left" w:pos="1781"/>
              </w:tabs>
              <w:spacing w:before="44" w:line="360" w:lineRule="auto"/>
              <w:ind w:left="100" w:right="63"/>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所有连接附件、紧固件</w:t>
            </w:r>
            <w:r>
              <w:rPr>
                <w:rFonts w:ascii="宋体" w:hAnsi="宋体" w:eastAsia="宋体" w:cs="宋体"/>
                <w:color w:val="auto"/>
                <w:spacing w:val="-2"/>
                <w:sz w:val="21"/>
                <w:szCs w:val="21"/>
                <w:lang w:eastAsia="zh-CN"/>
              </w:rPr>
              <w:tab/>
            </w:r>
            <w:r>
              <w:rPr>
                <w:rFonts w:ascii="宋体" w:hAnsi="宋体" w:eastAsia="宋体" w:cs="宋体"/>
                <w:color w:val="auto"/>
                <w:spacing w:val="-1"/>
                <w:sz w:val="21"/>
                <w:szCs w:val="21"/>
                <w:lang w:eastAsia="zh-CN"/>
              </w:rPr>
              <w:t>FRP/UPVC/</w:t>
            </w:r>
            <w:r>
              <w:rPr>
                <w:rFonts w:ascii="宋体" w:hAnsi="宋体" w:eastAsia="宋体" w:cs="宋体"/>
                <w:color w:val="auto"/>
                <w:spacing w:val="-2"/>
                <w:sz w:val="21"/>
                <w:szCs w:val="21"/>
                <w:lang w:eastAsia="zh-CN"/>
              </w:rPr>
              <w:t>碳钢防腐</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14</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spacing w:line="278" w:lineRule="auto"/>
              <w:ind w:left="100" w:right="93"/>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在任何季节、任何气候条件下，除臭系统NH3、H2S</w:t>
            </w:r>
            <w:r>
              <w:rPr>
                <w:rFonts w:ascii="宋体" w:hAnsi="宋体" w:eastAsia="宋体" w:cs="宋体"/>
                <w:color w:val="auto"/>
                <w:sz w:val="21"/>
                <w:szCs w:val="21"/>
                <w:lang w:eastAsia="zh-CN"/>
              </w:rPr>
              <w:t>等重点控制物浓度符合</w:t>
            </w:r>
          </w:p>
          <w:p>
            <w:pPr>
              <w:pStyle w:val="27"/>
              <w:tabs>
                <w:tab w:val="left" w:pos="1992"/>
              </w:tabs>
              <w:spacing w:before="10" w:line="278" w:lineRule="auto"/>
              <w:ind w:left="100" w:right="1001"/>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GB18918-2002</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城镇污水处理厂污染物排放标准</w:t>
            </w:r>
            <w:r>
              <w:rPr>
                <w:rFonts w:ascii="宋体" w:hAnsi="宋体" w:eastAsia="宋体" w:cs="宋体"/>
                <w:color w:val="auto"/>
                <w:sz w:val="21"/>
                <w:szCs w:val="21"/>
                <w:lang w:eastAsia="zh-CN"/>
              </w:rPr>
              <w:t>GB16297-1996</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大气污染物综合排放标准</w:t>
            </w:r>
          </w:p>
          <w:p>
            <w:pPr>
              <w:pStyle w:val="27"/>
              <w:tabs>
                <w:tab w:val="left" w:pos="1992"/>
              </w:tabs>
              <w:spacing w:before="10"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GB14554-93</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恶臭污染物排放标准值</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bl>
    <w:p>
      <w:pPr>
        <w:pStyle w:val="29"/>
        <w:ind w:firstLine="472"/>
        <w:rPr>
          <w:color w:val="auto"/>
        </w:rPr>
      </w:pPr>
    </w:p>
    <w:p>
      <w:pPr>
        <w:pStyle w:val="33"/>
        <w:rPr>
          <w:color w:val="auto"/>
        </w:rPr>
      </w:pPr>
      <w:r>
        <w:rPr>
          <w:rFonts w:hint="eastAsia"/>
          <w:color w:val="auto"/>
        </w:rPr>
        <w:t>6</w:t>
      </w:r>
      <w:r>
        <w:rPr>
          <w:color w:val="auto"/>
        </w:rPr>
        <w:t>#生物除臭设备</w:t>
      </w:r>
    </w:p>
    <w:tbl>
      <w:tblPr>
        <w:tblStyle w:val="25"/>
        <w:tblW w:w="8506" w:type="dxa"/>
        <w:tblInd w:w="112" w:type="dxa"/>
        <w:tblLayout w:type="fixed"/>
        <w:tblCellMar>
          <w:top w:w="0" w:type="dxa"/>
          <w:left w:w="0" w:type="dxa"/>
          <w:bottom w:w="0" w:type="dxa"/>
          <w:right w:w="0" w:type="dxa"/>
        </w:tblCellMar>
      </w:tblPr>
      <w:tblGrid>
        <w:gridCol w:w="811"/>
        <w:gridCol w:w="1558"/>
        <w:gridCol w:w="746"/>
        <w:gridCol w:w="3648"/>
        <w:gridCol w:w="1743"/>
      </w:tblGrid>
      <w:tr>
        <w:tblPrEx>
          <w:tblLayout w:type="fixed"/>
          <w:tblCellMar>
            <w:top w:w="0" w:type="dxa"/>
            <w:left w:w="0" w:type="dxa"/>
            <w:bottom w:w="0" w:type="dxa"/>
            <w:right w:w="0" w:type="dxa"/>
          </w:tblCellMar>
        </w:tblPrEx>
        <w:trPr>
          <w:tblHeader/>
        </w:trPr>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序号</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名称</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单位</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b/>
                <w:bCs/>
                <w:color w:val="auto"/>
                <w:sz w:val="21"/>
                <w:szCs w:val="21"/>
              </w:rPr>
              <w:t>性能</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备注</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生物滤池</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3</w:t>
            </w:r>
            <w:r>
              <w:rPr>
                <w:rFonts w:ascii="宋体" w:hAnsi="宋体" w:eastAsia="宋体" w:cs="宋体"/>
                <w:color w:val="auto"/>
                <w:sz w:val="21"/>
                <w:szCs w:val="21"/>
              </w:rPr>
              <w:t>套</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5"/>
              <w:rPr>
                <w:rFonts w:ascii="宋体" w:hAnsi="宋体" w:eastAsia="宋体" w:cs="宋体"/>
                <w:color w:val="auto"/>
                <w:sz w:val="11"/>
                <w:szCs w:val="11"/>
                <w:lang w:eastAsia="zh-CN"/>
              </w:rPr>
            </w:pPr>
            <w:r>
              <w:rPr>
                <w:rFonts w:ascii="宋体" w:hAnsi="宋体" w:eastAsia="宋体" w:cs="宋体"/>
                <w:color w:val="auto"/>
                <w:w w:val="110"/>
                <w:sz w:val="21"/>
                <w:szCs w:val="21"/>
                <w:lang w:eastAsia="zh-CN"/>
              </w:rPr>
              <w:t>臭气浓度：3500~4000OU/m³处理气量：Q=</w:t>
            </w:r>
            <w:r>
              <w:rPr>
                <w:rFonts w:hint="eastAsia" w:ascii="宋体" w:hAnsi="宋体" w:eastAsia="宋体" w:cs="宋体"/>
                <w:color w:val="auto"/>
                <w:w w:val="110"/>
                <w:sz w:val="21"/>
                <w:szCs w:val="21"/>
                <w:lang w:eastAsia="zh-CN"/>
              </w:rPr>
              <w:t>24</w:t>
            </w:r>
            <w:r>
              <w:rPr>
                <w:rFonts w:ascii="宋体" w:hAnsi="宋体" w:eastAsia="宋体" w:cs="宋体"/>
                <w:color w:val="auto"/>
                <w:w w:val="110"/>
                <w:sz w:val="21"/>
                <w:szCs w:val="21"/>
                <w:lang w:eastAsia="zh-CN"/>
              </w:rPr>
              <w:t>000m³/h</w:t>
            </w:r>
            <w:r>
              <w:rPr>
                <w:rFonts w:ascii="宋体" w:hAnsi="宋体" w:eastAsia="宋体" w:cs="宋体"/>
                <w:color w:val="auto"/>
                <w:sz w:val="21"/>
                <w:szCs w:val="21"/>
                <w:lang w:eastAsia="zh-CN"/>
              </w:rPr>
              <w:t>生物填料：不小于</w:t>
            </w:r>
            <w:r>
              <w:rPr>
                <w:rFonts w:hint="eastAsia" w:ascii="宋体" w:hAnsi="宋体" w:eastAsia="宋体" w:cs="宋体"/>
                <w:color w:val="auto"/>
                <w:sz w:val="21"/>
                <w:szCs w:val="21"/>
                <w:lang w:eastAsia="zh-CN"/>
              </w:rPr>
              <w:t>80</w:t>
            </w:r>
            <w:r>
              <w:rPr>
                <w:rFonts w:ascii="宋体" w:hAnsi="宋体" w:eastAsia="宋体" w:cs="宋体"/>
                <w:color w:val="auto"/>
                <w:sz w:val="21"/>
                <w:szCs w:val="21"/>
                <w:lang w:eastAsia="zh-CN"/>
              </w:rPr>
              <w:t>m³处理效率&gt;95%臭气与生物填料的接触时间不小于12秒填料厚度应不小于1.6m。除臭塔及填料使用寿命不低于15</w:t>
            </w:r>
            <w:r>
              <w:rPr>
                <w:rFonts w:ascii="宋体" w:hAnsi="宋体" w:eastAsia="宋体" w:cs="宋体"/>
                <w:color w:val="auto"/>
                <w:spacing w:val="-3"/>
                <w:sz w:val="21"/>
                <w:szCs w:val="21"/>
                <w:lang w:eastAsia="zh-CN"/>
              </w:rPr>
              <w:t>年。</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r>
              <w:rPr>
                <w:rFonts w:ascii="宋体" w:hAnsi="宋体" w:eastAsia="宋体" w:cs="宋体"/>
                <w:color w:val="auto"/>
                <w:sz w:val="21"/>
                <w:szCs w:val="21"/>
                <w:lang w:eastAsia="zh-CN"/>
              </w:rPr>
              <w:t>主要由（但不限</w:t>
            </w:r>
            <w:r>
              <w:rPr>
                <w:rFonts w:ascii="宋体" w:hAnsi="宋体" w:eastAsia="宋体" w:cs="宋体"/>
                <w:color w:val="auto"/>
                <w:spacing w:val="-8"/>
                <w:sz w:val="21"/>
                <w:szCs w:val="21"/>
                <w:lang w:eastAsia="zh-CN"/>
              </w:rPr>
              <w:t>于此）生物滤池、</w:t>
            </w:r>
            <w:r>
              <w:rPr>
                <w:rFonts w:ascii="宋体" w:hAnsi="宋体" w:eastAsia="宋体" w:cs="宋体"/>
                <w:color w:val="auto"/>
                <w:sz w:val="21"/>
                <w:szCs w:val="21"/>
                <w:lang w:eastAsia="zh-CN"/>
              </w:rPr>
              <w:t>离心风机、压差计、流量计、散水泵、散水阀门</w:t>
            </w:r>
            <w:r>
              <w:rPr>
                <w:rFonts w:ascii="宋体" w:hAnsi="宋体" w:eastAsia="宋体" w:cs="宋体"/>
                <w:color w:val="auto"/>
                <w:spacing w:val="-8"/>
                <w:sz w:val="21"/>
                <w:szCs w:val="21"/>
                <w:lang w:eastAsia="zh-CN"/>
              </w:rPr>
              <w:t>管道、排放系统、</w:t>
            </w:r>
            <w:r>
              <w:rPr>
                <w:rFonts w:ascii="宋体" w:hAnsi="宋体" w:eastAsia="宋体" w:cs="宋体"/>
                <w:color w:val="auto"/>
                <w:sz w:val="21"/>
                <w:szCs w:val="21"/>
                <w:lang w:eastAsia="zh-CN"/>
              </w:rPr>
              <w:t>硫化氢测量仪、风管调节阀、玻璃钢风管及相关附件、电控箱组成</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2</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离心风机</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3</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1"/>
                <w:sz w:val="21"/>
                <w:szCs w:val="21"/>
              </w:rPr>
              <w:t>Q=0～</w:t>
            </w:r>
            <w:r>
              <w:rPr>
                <w:rFonts w:hint="eastAsia" w:ascii="宋体" w:hAnsi="宋体" w:eastAsia="宋体" w:cs="宋体"/>
                <w:color w:val="auto"/>
                <w:spacing w:val="-1"/>
                <w:sz w:val="21"/>
                <w:szCs w:val="21"/>
                <w:lang w:eastAsia="zh-CN"/>
              </w:rPr>
              <w:t>264</w:t>
            </w:r>
            <w:r>
              <w:rPr>
                <w:rFonts w:ascii="宋体" w:hAnsi="宋体" w:eastAsia="宋体" w:cs="宋体"/>
                <w:color w:val="auto"/>
                <w:spacing w:val="-1"/>
                <w:sz w:val="21"/>
                <w:szCs w:val="21"/>
              </w:rPr>
              <w:t>00m³/h,</w:t>
            </w:r>
            <w:r>
              <w:rPr>
                <w:rFonts w:ascii="宋体" w:hAnsi="宋体" w:eastAsia="宋体" w:cs="宋体"/>
                <w:color w:val="auto"/>
                <w:sz w:val="21"/>
                <w:szCs w:val="21"/>
              </w:rPr>
              <w:t>H=0～2.5KPa,N≈</w:t>
            </w:r>
            <w:r>
              <w:rPr>
                <w:rFonts w:hint="eastAsia" w:ascii="宋体" w:hAnsi="宋体" w:eastAsia="宋体" w:cs="宋体"/>
                <w:color w:val="auto"/>
                <w:sz w:val="21"/>
                <w:szCs w:val="21"/>
                <w:lang w:eastAsia="zh-CN"/>
              </w:rPr>
              <w:t>27</w:t>
            </w:r>
            <w:r>
              <w:rPr>
                <w:rFonts w:ascii="宋体" w:hAnsi="宋体" w:eastAsia="宋体" w:cs="宋体"/>
                <w:color w:val="auto"/>
                <w:sz w:val="21"/>
                <w:szCs w:val="21"/>
              </w:rPr>
              <w:t>kw（暂定）</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446" w:right="440"/>
              <w:rPr>
                <w:rFonts w:ascii="宋体" w:hAnsi="宋体" w:eastAsia="宋体" w:cs="宋体"/>
                <w:color w:val="auto"/>
                <w:sz w:val="21"/>
                <w:szCs w:val="21"/>
              </w:rPr>
            </w:pPr>
            <w:r>
              <w:rPr>
                <w:rFonts w:ascii="宋体" w:hAnsi="宋体" w:eastAsia="宋体" w:cs="宋体"/>
                <w:color w:val="auto"/>
                <w:spacing w:val="-1"/>
                <w:sz w:val="21"/>
                <w:szCs w:val="21"/>
              </w:rPr>
              <w:t>知名品牌变频电机</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3</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散水泵</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3</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30m³/h，20m，4kw</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4</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水箱</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3</w:t>
            </w:r>
            <w:r>
              <w:rPr>
                <w:rFonts w:ascii="宋体" w:hAnsi="宋体" w:eastAsia="宋体" w:cs="宋体"/>
                <w:color w:val="auto"/>
                <w:sz w:val="21"/>
                <w:szCs w:val="21"/>
              </w:rPr>
              <w:t>个</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11"/>
                <w:szCs w:val="11"/>
              </w:rPr>
            </w:pPr>
            <w:r>
              <w:rPr>
                <w:rFonts w:ascii="宋体" w:hAnsi="宋体" w:eastAsia="宋体" w:cs="宋体"/>
                <w:color w:val="auto"/>
                <w:sz w:val="21"/>
                <w:szCs w:val="21"/>
              </w:rPr>
              <w:t>有效容积不小于1.5m³</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材质PE或FRP</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5</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压差计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3</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H=0～3KPa</w:t>
            </w:r>
          </w:p>
        </w:tc>
        <w:tc>
          <w:tcPr>
            <w:tcW w:w="1743" w:type="dxa"/>
            <w:tcBorders>
              <w:top w:val="single" w:color="000000" w:sz="6" w:space="0"/>
              <w:left w:val="single" w:color="000000" w:sz="6" w:space="0"/>
              <w:bottom w:val="single" w:color="000000" w:sz="6" w:space="0"/>
              <w:right w:val="single" w:color="000000" w:sz="4" w:space="0"/>
            </w:tcBorders>
            <w:vAlign w:val="center"/>
          </w:tcPr>
          <w:p>
            <w:pPr>
              <w:spacing w:line="360" w:lineRule="auto"/>
              <w:rPr>
                <w:color w:val="auto"/>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6</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流量计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3</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Q=0～100m³/h</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用于测水流量</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7</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硫化氢测量仪</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3</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0～10ppm</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8</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风管调节阀</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3</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10</w:t>
            </w:r>
            <w:r>
              <w:rPr>
                <w:rFonts w:ascii="宋体" w:hAnsi="宋体" w:eastAsia="宋体" w:cs="宋体"/>
                <w:color w:val="auto"/>
                <w:sz w:val="21"/>
                <w:szCs w:val="21"/>
              </w:rPr>
              <w:t>00，PN=0.3Mpa</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9</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玻璃钢风管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color w:val="auto"/>
                <w:sz w:val="21"/>
              </w:rPr>
              <w:t>&gt;10m</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10</w:t>
            </w:r>
            <w:r>
              <w:rPr>
                <w:rFonts w:ascii="宋体" w:hAnsi="宋体" w:eastAsia="宋体" w:cs="宋体"/>
                <w:color w:val="auto"/>
                <w:sz w:val="21"/>
                <w:szCs w:val="21"/>
              </w:rPr>
              <w:t>00；PN=0.3Mpa</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jc w:val="center"/>
              <w:rPr>
                <w:rFonts w:ascii="宋体" w:hAnsi="宋体" w:eastAsia="宋体" w:cs="宋体"/>
                <w:color w:val="auto"/>
                <w:sz w:val="21"/>
                <w:szCs w:val="21"/>
              </w:rPr>
            </w:pPr>
            <w:r>
              <w:rPr>
                <w:rFonts w:ascii="宋体"/>
                <w:color w:val="auto"/>
                <w:sz w:val="21"/>
              </w:rPr>
              <w:t>10</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其他风管管件</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3</w:t>
            </w:r>
            <w:r>
              <w:rPr>
                <w:rFonts w:ascii="宋体" w:hAnsi="宋体" w:eastAsia="宋体" w:cs="宋体"/>
                <w:color w:val="auto"/>
                <w:sz w:val="21"/>
                <w:szCs w:val="21"/>
              </w:rPr>
              <w:t>批</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35"/>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变径、弯头、三通等</w:t>
            </w:r>
            <w:r>
              <w:rPr>
                <w:rFonts w:ascii="宋体" w:hAnsi="宋体" w:eastAsia="宋体" w:cs="宋体"/>
                <w:color w:val="auto"/>
                <w:sz w:val="21"/>
                <w:szCs w:val="21"/>
                <w:lang w:eastAsia="zh-CN"/>
              </w:rPr>
              <w:t>FRP</w:t>
            </w:r>
            <w:r>
              <w:rPr>
                <w:rFonts w:ascii="宋体" w:hAnsi="宋体" w:eastAsia="宋体" w:cs="宋体"/>
                <w:color w:val="auto"/>
                <w:spacing w:val="-3"/>
                <w:sz w:val="21"/>
                <w:szCs w:val="21"/>
                <w:lang w:eastAsia="zh-CN"/>
              </w:rPr>
              <w:t>材质</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129"/>
              <w:rPr>
                <w:rFonts w:ascii="宋体" w:hAnsi="宋体" w:eastAsia="宋体" w:cs="宋体"/>
                <w:color w:val="auto"/>
                <w:sz w:val="21"/>
                <w:szCs w:val="21"/>
              </w:rPr>
            </w:pPr>
            <w:r>
              <w:rPr>
                <w:rFonts w:ascii="宋体" w:hAnsi="宋体" w:eastAsia="宋体" w:cs="宋体"/>
                <w:color w:val="auto"/>
                <w:sz w:val="21"/>
                <w:szCs w:val="21"/>
              </w:rPr>
              <w:t>根据详细设计定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电控系统</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3</w:t>
            </w:r>
            <w:r>
              <w:rPr>
                <w:rFonts w:ascii="宋体" w:hAnsi="宋体" w:eastAsia="宋体" w:cs="宋体"/>
                <w:color w:val="auto"/>
                <w:sz w:val="21"/>
                <w:szCs w:val="21"/>
              </w:rPr>
              <w:t>套</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2"/>
                <w:sz w:val="21"/>
                <w:szCs w:val="21"/>
                <w:lang w:eastAsia="zh-CN"/>
              </w:rPr>
              <w:t>电控系统包括所有的监测、控制元件及报警、保险丝和主开关等。还包括电控箱及与本设备内部的连接电缆。</w:t>
            </w:r>
            <w:r>
              <w:rPr>
                <w:rFonts w:ascii="宋体" w:hAnsi="宋体" w:eastAsia="宋体" w:cs="宋体"/>
                <w:color w:val="auto"/>
                <w:sz w:val="21"/>
                <w:szCs w:val="21"/>
                <w:lang w:eastAsia="zh-CN"/>
              </w:rPr>
              <w:t>柜体不锈钢304，壁厚1.5mmm</w:t>
            </w:r>
            <w:r>
              <w:rPr>
                <w:rFonts w:ascii="宋体" w:hAnsi="宋体" w:eastAsia="宋体" w:cs="宋体"/>
                <w:color w:val="auto"/>
                <w:spacing w:val="-3"/>
                <w:sz w:val="21"/>
                <w:szCs w:val="21"/>
                <w:lang w:eastAsia="zh-CN"/>
              </w:rPr>
              <w:t>以上</w:t>
            </w:r>
            <w:r>
              <w:rPr>
                <w:rFonts w:ascii="宋体" w:hAnsi="宋体" w:eastAsia="宋体" w:cs="宋体"/>
                <w:color w:val="auto"/>
                <w:sz w:val="21"/>
                <w:szCs w:val="21"/>
                <w:lang w:eastAsia="zh-CN"/>
              </w:rPr>
              <w:t>含通讯功能含系统内电缆（动力及通讯电缆）电源：AC380V/50Hz/3Ph。</w:t>
            </w:r>
            <w:r>
              <w:rPr>
                <w:rFonts w:ascii="宋体" w:hAnsi="宋体" w:eastAsia="宋体" w:cs="宋体"/>
                <w:color w:val="auto"/>
                <w:sz w:val="21"/>
                <w:szCs w:val="21"/>
              </w:rPr>
              <w:t>防护等级：IP55绝缘等级：F。</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760" w:right="125" w:hanging="632"/>
              <w:rPr>
                <w:rFonts w:ascii="宋体" w:hAnsi="宋体" w:eastAsia="宋体" w:cs="宋体"/>
                <w:color w:val="auto"/>
                <w:sz w:val="21"/>
                <w:szCs w:val="21"/>
              </w:rPr>
            </w:pPr>
            <w:r>
              <w:rPr>
                <w:rFonts w:ascii="宋体" w:hAnsi="宋体" w:eastAsia="宋体" w:cs="宋体"/>
                <w:color w:val="auto"/>
                <w:spacing w:val="-1"/>
                <w:sz w:val="21"/>
                <w:szCs w:val="21"/>
              </w:rPr>
              <w:t>通讯协议种类待</w:t>
            </w:r>
            <w:r>
              <w:rPr>
                <w:rFonts w:ascii="宋体" w:hAnsi="宋体" w:eastAsia="宋体" w:cs="宋体"/>
                <w:color w:val="auto"/>
                <w:sz w:val="21"/>
                <w:szCs w:val="21"/>
              </w:rPr>
              <w:t>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12</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spacing w:line="265" w:lineRule="exact"/>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工作条件：</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工作介质：</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市政污</w:t>
            </w:r>
            <w:r>
              <w:rPr>
                <w:rFonts w:hint="eastAsia" w:ascii="宋体" w:hAnsi="宋体" w:eastAsia="宋体" w:cs="宋体"/>
                <w:color w:val="auto"/>
                <w:spacing w:val="-2"/>
                <w:sz w:val="21"/>
                <w:szCs w:val="21"/>
                <w:lang w:eastAsia="zh-CN"/>
              </w:rPr>
              <w:t>泥</w:t>
            </w:r>
            <w:r>
              <w:rPr>
                <w:rFonts w:ascii="宋体" w:hAnsi="宋体" w:eastAsia="宋体" w:cs="宋体"/>
                <w:color w:val="auto"/>
                <w:spacing w:val="-2"/>
                <w:sz w:val="21"/>
                <w:szCs w:val="21"/>
                <w:lang w:eastAsia="zh-CN"/>
              </w:rPr>
              <w:t>混合致臭气体，</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工作位置：</w:t>
            </w:r>
            <w:r>
              <w:rPr>
                <w:rFonts w:ascii="宋体" w:hAnsi="宋体" w:eastAsia="宋体" w:cs="宋体"/>
                <w:color w:val="auto"/>
                <w:spacing w:val="-1"/>
                <w:sz w:val="21"/>
                <w:szCs w:val="21"/>
                <w:lang w:eastAsia="zh-CN"/>
              </w:rPr>
              <w:tab/>
            </w:r>
            <w:r>
              <w:rPr>
                <w:rFonts w:hint="eastAsia" w:ascii="宋体" w:hAnsi="宋体" w:eastAsia="宋体" w:cs="宋体"/>
                <w:color w:val="auto"/>
                <w:spacing w:val="-1"/>
                <w:sz w:val="21"/>
                <w:szCs w:val="21"/>
                <w:lang w:eastAsia="zh-CN"/>
              </w:rPr>
              <w:t>地下箱体</w:t>
            </w:r>
            <w:r>
              <w:rPr>
                <w:rFonts w:ascii="宋体" w:hAnsi="宋体" w:eastAsia="宋体" w:cs="宋体"/>
                <w:color w:val="auto"/>
                <w:spacing w:val="-1"/>
                <w:sz w:val="21"/>
                <w:szCs w:val="21"/>
                <w:lang w:eastAsia="zh-CN"/>
              </w:rPr>
              <w:t>；</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空气温度：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≤100℃</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臭气温度：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-5～40℃</w:t>
            </w:r>
          </w:p>
          <w:p>
            <w:pPr>
              <w:pStyle w:val="27"/>
              <w:tabs>
                <w:tab w:val="left" w:pos="2726"/>
              </w:tabs>
              <w:spacing w:before="42"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pH：</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5.5~8.5</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63" w:line="360" w:lineRule="auto"/>
              <w:jc w:val="center"/>
              <w:rPr>
                <w:rFonts w:ascii="宋体" w:hAnsi="宋体" w:eastAsia="宋体" w:cs="宋体"/>
                <w:color w:val="auto"/>
                <w:sz w:val="21"/>
                <w:szCs w:val="21"/>
              </w:rPr>
            </w:pPr>
            <w:r>
              <w:rPr>
                <w:rFonts w:ascii="宋体"/>
                <w:color w:val="auto"/>
                <w:sz w:val="21"/>
              </w:rPr>
              <w:t>13</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z w:val="21"/>
                <w:szCs w:val="21"/>
                <w:lang w:eastAsia="zh-CN"/>
              </w:rPr>
              <w:t>材质要求：</w:t>
            </w:r>
          </w:p>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风机叶轮</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玻璃钢</w:t>
            </w:r>
          </w:p>
          <w:p>
            <w:pPr>
              <w:pStyle w:val="27"/>
              <w:tabs>
                <w:tab w:val="left" w:pos="1363"/>
              </w:tabs>
              <w:spacing w:before="9"/>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风机壳体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360"/>
                <w:tab w:val="left" w:pos="1781"/>
              </w:tabs>
              <w:spacing w:before="44" w:line="278" w:lineRule="auto"/>
              <w:ind w:left="100" w:right="1841"/>
              <w:rPr>
                <w:rFonts w:ascii="宋体" w:hAnsi="宋体" w:eastAsia="宋体" w:cs="宋体"/>
                <w:color w:val="auto"/>
                <w:spacing w:val="-3"/>
                <w:sz w:val="21"/>
                <w:szCs w:val="21"/>
                <w:lang w:eastAsia="zh-CN"/>
              </w:rPr>
            </w:pPr>
            <w:r>
              <w:rPr>
                <w:rFonts w:ascii="宋体" w:hAnsi="宋体" w:eastAsia="宋体" w:cs="宋体"/>
                <w:color w:val="auto"/>
                <w:sz w:val="21"/>
                <w:szCs w:val="21"/>
                <w:lang w:eastAsia="zh-CN"/>
              </w:rPr>
              <w:t>散水泵</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过流部分SS304不锈钢</w:t>
            </w:r>
            <w:r>
              <w:rPr>
                <w:rFonts w:ascii="宋体" w:hAnsi="宋体" w:eastAsia="宋体" w:cs="宋体"/>
                <w:color w:val="auto"/>
                <w:spacing w:val="-1"/>
                <w:sz w:val="21"/>
                <w:szCs w:val="21"/>
                <w:lang w:eastAsia="zh-CN"/>
              </w:rPr>
              <w:t>生物滤池池体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玻璃钢和方管形钢组合件</w:t>
            </w:r>
            <w:r>
              <w:rPr>
                <w:rFonts w:ascii="宋体" w:hAnsi="宋体" w:eastAsia="宋体" w:cs="宋体"/>
                <w:color w:val="auto"/>
                <w:spacing w:val="-1"/>
                <w:sz w:val="21"/>
                <w:szCs w:val="21"/>
                <w:lang w:eastAsia="zh-CN"/>
              </w:rPr>
              <w:t>填料支撑</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玻璃钢格栅、PE</w:t>
            </w:r>
            <w:r>
              <w:rPr>
                <w:rFonts w:ascii="宋体" w:hAnsi="宋体" w:eastAsia="宋体" w:cs="宋体"/>
                <w:color w:val="auto"/>
                <w:spacing w:val="-3"/>
                <w:sz w:val="21"/>
                <w:szCs w:val="21"/>
                <w:lang w:eastAsia="zh-CN"/>
              </w:rPr>
              <w:t>格网</w:t>
            </w:r>
          </w:p>
          <w:p>
            <w:pPr>
              <w:pStyle w:val="27"/>
              <w:tabs>
                <w:tab w:val="left" w:pos="1360"/>
                <w:tab w:val="left" w:pos="1781"/>
              </w:tabs>
              <w:spacing w:before="44" w:line="278" w:lineRule="auto"/>
              <w:ind w:left="100" w:right="1841"/>
              <w:rPr>
                <w:rFonts w:ascii="宋体" w:hAnsi="宋体" w:eastAsia="宋体" w:cs="宋体"/>
                <w:color w:val="auto"/>
                <w:spacing w:val="-1"/>
                <w:sz w:val="21"/>
                <w:szCs w:val="21"/>
                <w:lang w:eastAsia="zh-CN"/>
              </w:rPr>
            </w:pPr>
            <w:r>
              <w:rPr>
                <w:rFonts w:ascii="宋体" w:hAnsi="宋体" w:eastAsia="宋体" w:cs="宋体"/>
                <w:color w:val="auto"/>
                <w:spacing w:val="-1"/>
                <w:sz w:val="21"/>
                <w:szCs w:val="21"/>
                <w:lang w:eastAsia="zh-CN"/>
              </w:rPr>
              <w:t>生物填料</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炭质单一填料</w:t>
            </w:r>
          </w:p>
          <w:p>
            <w:pPr>
              <w:pStyle w:val="27"/>
              <w:tabs>
                <w:tab w:val="left" w:pos="1886"/>
                <w:tab w:val="left" w:pos="2203"/>
              </w:tabs>
              <w:spacing w:line="278" w:lineRule="auto"/>
              <w:ind w:left="100" w:right="1475"/>
              <w:rPr>
                <w:rFonts w:ascii="宋体" w:hAnsi="宋体" w:eastAsia="宋体" w:cs="宋体"/>
                <w:color w:val="auto"/>
                <w:sz w:val="21"/>
                <w:szCs w:val="21"/>
                <w:lang w:eastAsia="zh-CN"/>
              </w:rPr>
            </w:pPr>
            <w:r>
              <w:rPr>
                <w:rFonts w:ascii="宋体" w:hAnsi="宋体" w:eastAsia="宋体" w:cs="宋体"/>
                <w:color w:val="auto"/>
                <w:sz w:val="21"/>
                <w:szCs w:val="21"/>
                <w:lang w:eastAsia="zh-CN"/>
              </w:rPr>
              <w:t>密封罩</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不锈钢304骨架+耐力板4mm</w:t>
            </w:r>
            <w:r>
              <w:rPr>
                <w:rFonts w:ascii="宋体" w:hAnsi="宋体" w:eastAsia="宋体" w:cs="宋体"/>
                <w:color w:val="auto"/>
                <w:spacing w:val="-1"/>
                <w:sz w:val="21"/>
                <w:szCs w:val="21"/>
                <w:lang w:eastAsia="zh-CN"/>
              </w:rPr>
              <w:t>风管及管道配件</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781"/>
              </w:tabs>
              <w:spacing w:before="10"/>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电控柜外壳</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SS304</w:t>
            </w:r>
            <w:r>
              <w:rPr>
                <w:rFonts w:ascii="宋体" w:hAnsi="宋体" w:eastAsia="宋体" w:cs="宋体"/>
                <w:color w:val="auto"/>
                <w:spacing w:val="-1"/>
                <w:sz w:val="21"/>
                <w:szCs w:val="21"/>
                <w:lang w:eastAsia="zh-CN"/>
              </w:rPr>
              <w:t>不锈钢</w:t>
            </w:r>
          </w:p>
          <w:p>
            <w:pPr>
              <w:pStyle w:val="27"/>
              <w:tabs>
                <w:tab w:val="left" w:pos="1781"/>
              </w:tabs>
              <w:spacing w:before="44"/>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水管</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UPVC</w:t>
            </w:r>
          </w:p>
          <w:p>
            <w:pPr>
              <w:pStyle w:val="27"/>
              <w:tabs>
                <w:tab w:val="left" w:pos="1360"/>
                <w:tab w:val="left" w:pos="1781"/>
              </w:tabs>
              <w:spacing w:before="44" w:line="360" w:lineRule="auto"/>
              <w:ind w:left="100" w:right="63"/>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所有连接附件、紧固件</w:t>
            </w:r>
            <w:r>
              <w:rPr>
                <w:rFonts w:ascii="宋体" w:hAnsi="宋体" w:eastAsia="宋体" w:cs="宋体"/>
                <w:color w:val="auto"/>
                <w:spacing w:val="-2"/>
                <w:sz w:val="21"/>
                <w:szCs w:val="21"/>
                <w:lang w:eastAsia="zh-CN"/>
              </w:rPr>
              <w:tab/>
            </w:r>
            <w:r>
              <w:rPr>
                <w:rFonts w:ascii="宋体" w:hAnsi="宋体" w:eastAsia="宋体" w:cs="宋体"/>
                <w:color w:val="auto"/>
                <w:spacing w:val="-1"/>
                <w:sz w:val="21"/>
                <w:szCs w:val="21"/>
                <w:lang w:eastAsia="zh-CN"/>
              </w:rPr>
              <w:t>FRP/UPVC/</w:t>
            </w:r>
            <w:r>
              <w:rPr>
                <w:rFonts w:ascii="宋体" w:hAnsi="宋体" w:eastAsia="宋体" w:cs="宋体"/>
                <w:color w:val="auto"/>
                <w:spacing w:val="-2"/>
                <w:sz w:val="21"/>
                <w:szCs w:val="21"/>
                <w:lang w:eastAsia="zh-CN"/>
              </w:rPr>
              <w:t>碳钢防腐</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14</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spacing w:line="278" w:lineRule="auto"/>
              <w:ind w:left="100" w:right="93"/>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在任何季节、任何气候条件下，除臭系统NH3、H2S</w:t>
            </w:r>
            <w:r>
              <w:rPr>
                <w:rFonts w:ascii="宋体" w:hAnsi="宋体" w:eastAsia="宋体" w:cs="宋体"/>
                <w:color w:val="auto"/>
                <w:sz w:val="21"/>
                <w:szCs w:val="21"/>
                <w:lang w:eastAsia="zh-CN"/>
              </w:rPr>
              <w:t>等重点控制物浓度符合</w:t>
            </w:r>
          </w:p>
          <w:p>
            <w:pPr>
              <w:pStyle w:val="27"/>
              <w:tabs>
                <w:tab w:val="left" w:pos="1992"/>
              </w:tabs>
              <w:spacing w:before="10" w:line="278" w:lineRule="auto"/>
              <w:ind w:left="100" w:right="1001"/>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GB18918-2002</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城镇污水处理厂污染物排放标准</w:t>
            </w:r>
            <w:r>
              <w:rPr>
                <w:rFonts w:ascii="宋体" w:hAnsi="宋体" w:eastAsia="宋体" w:cs="宋体"/>
                <w:color w:val="auto"/>
                <w:sz w:val="21"/>
                <w:szCs w:val="21"/>
                <w:lang w:eastAsia="zh-CN"/>
              </w:rPr>
              <w:t>GB16297-1996</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大气污染物综合排放标准</w:t>
            </w:r>
          </w:p>
          <w:p>
            <w:pPr>
              <w:pStyle w:val="27"/>
              <w:tabs>
                <w:tab w:val="left" w:pos="1992"/>
              </w:tabs>
              <w:spacing w:before="10"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GB14554-93</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恶臭污染物排放标准值</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bl>
    <w:p>
      <w:pPr>
        <w:pStyle w:val="29"/>
        <w:ind w:firstLine="472"/>
        <w:rPr>
          <w:color w:val="auto"/>
        </w:rPr>
      </w:pPr>
    </w:p>
    <w:p>
      <w:pPr>
        <w:pStyle w:val="33"/>
        <w:rPr>
          <w:color w:val="auto"/>
        </w:rPr>
      </w:pPr>
      <w:r>
        <w:rPr>
          <w:rFonts w:hint="eastAsia"/>
          <w:color w:val="auto"/>
        </w:rPr>
        <w:t>7</w:t>
      </w:r>
      <w:r>
        <w:rPr>
          <w:color w:val="auto"/>
        </w:rPr>
        <w:t>#生物除臭设备</w:t>
      </w:r>
    </w:p>
    <w:tbl>
      <w:tblPr>
        <w:tblStyle w:val="25"/>
        <w:tblW w:w="8506" w:type="dxa"/>
        <w:tblInd w:w="112" w:type="dxa"/>
        <w:tblLayout w:type="fixed"/>
        <w:tblCellMar>
          <w:top w:w="0" w:type="dxa"/>
          <w:left w:w="0" w:type="dxa"/>
          <w:bottom w:w="0" w:type="dxa"/>
          <w:right w:w="0" w:type="dxa"/>
        </w:tblCellMar>
      </w:tblPr>
      <w:tblGrid>
        <w:gridCol w:w="811"/>
        <w:gridCol w:w="1558"/>
        <w:gridCol w:w="746"/>
        <w:gridCol w:w="3648"/>
        <w:gridCol w:w="1743"/>
      </w:tblGrid>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序号</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名称</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单位</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b/>
                <w:bCs/>
                <w:color w:val="auto"/>
                <w:sz w:val="21"/>
                <w:szCs w:val="21"/>
              </w:rPr>
              <w:t>性能</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备注</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生物滤池</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套</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5"/>
              <w:rPr>
                <w:rFonts w:ascii="宋体" w:hAnsi="宋体" w:eastAsia="宋体" w:cs="宋体"/>
                <w:color w:val="auto"/>
                <w:sz w:val="21"/>
                <w:szCs w:val="21"/>
                <w:lang w:eastAsia="zh-CN"/>
              </w:rPr>
            </w:pPr>
            <w:r>
              <w:rPr>
                <w:rFonts w:ascii="宋体" w:hAnsi="宋体" w:eastAsia="宋体" w:cs="宋体"/>
                <w:color w:val="auto"/>
                <w:w w:val="110"/>
                <w:sz w:val="21"/>
                <w:szCs w:val="21"/>
                <w:lang w:eastAsia="zh-CN"/>
              </w:rPr>
              <w:t>臭气浓度：3500~4000OU/m³处理气量：Q=</w:t>
            </w:r>
            <w:r>
              <w:rPr>
                <w:rFonts w:hint="eastAsia" w:ascii="宋体" w:hAnsi="宋体" w:eastAsia="宋体" w:cs="宋体"/>
                <w:color w:val="auto"/>
                <w:w w:val="110"/>
                <w:sz w:val="21"/>
                <w:szCs w:val="21"/>
                <w:lang w:eastAsia="zh-CN"/>
              </w:rPr>
              <w:t>18</w:t>
            </w:r>
            <w:r>
              <w:rPr>
                <w:rFonts w:ascii="宋体" w:hAnsi="宋体" w:eastAsia="宋体" w:cs="宋体"/>
                <w:color w:val="auto"/>
                <w:w w:val="110"/>
                <w:sz w:val="21"/>
                <w:szCs w:val="21"/>
                <w:lang w:eastAsia="zh-CN"/>
              </w:rPr>
              <w:t>000m³/h</w:t>
            </w:r>
            <w:r>
              <w:rPr>
                <w:rFonts w:ascii="宋体" w:hAnsi="宋体" w:eastAsia="宋体" w:cs="宋体"/>
                <w:color w:val="auto"/>
                <w:sz w:val="21"/>
                <w:szCs w:val="21"/>
                <w:lang w:eastAsia="zh-CN"/>
              </w:rPr>
              <w:t>生物填料：不小于</w:t>
            </w:r>
            <w:r>
              <w:rPr>
                <w:rFonts w:hint="eastAsia" w:ascii="宋体" w:hAnsi="宋体" w:eastAsia="宋体" w:cs="宋体"/>
                <w:color w:val="auto"/>
                <w:sz w:val="21"/>
                <w:szCs w:val="21"/>
                <w:lang w:eastAsia="zh-CN"/>
              </w:rPr>
              <w:t>60</w:t>
            </w:r>
            <w:r>
              <w:rPr>
                <w:rFonts w:ascii="宋体" w:hAnsi="宋体" w:eastAsia="宋体" w:cs="宋体"/>
                <w:color w:val="auto"/>
                <w:sz w:val="21"/>
                <w:szCs w:val="21"/>
                <w:lang w:eastAsia="zh-CN"/>
              </w:rPr>
              <w:t>m³处理效率&gt;95%臭气与生物填料的接触时间不小于12秒填料厚度应不小于1.6m。除臭塔及填料使用寿命不低于15</w:t>
            </w:r>
            <w:r>
              <w:rPr>
                <w:rFonts w:ascii="宋体" w:hAnsi="宋体" w:eastAsia="宋体" w:cs="宋体"/>
                <w:color w:val="auto"/>
                <w:spacing w:val="-3"/>
                <w:sz w:val="21"/>
                <w:szCs w:val="21"/>
                <w:lang w:eastAsia="zh-CN"/>
              </w:rPr>
              <w:t>年。</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r>
              <w:rPr>
                <w:rFonts w:ascii="宋体" w:hAnsi="宋体" w:eastAsia="宋体" w:cs="宋体"/>
                <w:color w:val="auto"/>
                <w:sz w:val="21"/>
                <w:szCs w:val="21"/>
                <w:lang w:eastAsia="zh-CN"/>
              </w:rPr>
              <w:t>主要由（但不限</w:t>
            </w:r>
            <w:r>
              <w:rPr>
                <w:rFonts w:ascii="宋体" w:hAnsi="宋体" w:eastAsia="宋体" w:cs="宋体"/>
                <w:color w:val="auto"/>
                <w:spacing w:val="-8"/>
                <w:sz w:val="21"/>
                <w:szCs w:val="21"/>
                <w:lang w:eastAsia="zh-CN"/>
              </w:rPr>
              <w:t>于此）生物滤池、</w:t>
            </w:r>
            <w:r>
              <w:rPr>
                <w:rFonts w:ascii="宋体" w:hAnsi="宋体" w:eastAsia="宋体" w:cs="宋体"/>
                <w:color w:val="auto"/>
                <w:sz w:val="21"/>
                <w:szCs w:val="21"/>
                <w:lang w:eastAsia="zh-CN"/>
              </w:rPr>
              <w:t>离心风机、压差计、流量计、散水泵、散水阀门</w:t>
            </w:r>
            <w:r>
              <w:rPr>
                <w:rFonts w:ascii="宋体" w:hAnsi="宋体" w:eastAsia="宋体" w:cs="宋体"/>
                <w:color w:val="auto"/>
                <w:spacing w:val="-8"/>
                <w:sz w:val="21"/>
                <w:szCs w:val="21"/>
                <w:lang w:eastAsia="zh-CN"/>
              </w:rPr>
              <w:t>管道、排放系统、</w:t>
            </w:r>
            <w:r>
              <w:rPr>
                <w:rFonts w:ascii="宋体" w:hAnsi="宋体" w:eastAsia="宋体" w:cs="宋体"/>
                <w:color w:val="auto"/>
                <w:sz w:val="21"/>
                <w:szCs w:val="21"/>
                <w:lang w:eastAsia="zh-CN"/>
              </w:rPr>
              <w:t>硫化氢测量仪、风管调节阀、玻璃钢风管及相关附件、电控箱组成</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2</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离心风机</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1"/>
                <w:sz w:val="21"/>
                <w:szCs w:val="21"/>
              </w:rPr>
              <w:t>Q=0～</w:t>
            </w:r>
            <w:r>
              <w:rPr>
                <w:rFonts w:hint="eastAsia" w:ascii="宋体" w:hAnsi="宋体" w:eastAsia="宋体" w:cs="宋体"/>
                <w:color w:val="auto"/>
                <w:spacing w:val="-1"/>
                <w:sz w:val="21"/>
                <w:szCs w:val="21"/>
                <w:lang w:eastAsia="zh-CN"/>
              </w:rPr>
              <w:t>198</w:t>
            </w:r>
            <w:r>
              <w:rPr>
                <w:rFonts w:ascii="宋体" w:hAnsi="宋体" w:eastAsia="宋体" w:cs="宋体"/>
                <w:color w:val="auto"/>
                <w:spacing w:val="-1"/>
                <w:sz w:val="21"/>
                <w:szCs w:val="21"/>
              </w:rPr>
              <w:t>00m³/h,</w:t>
            </w:r>
            <w:r>
              <w:rPr>
                <w:rFonts w:ascii="宋体" w:hAnsi="宋体" w:eastAsia="宋体" w:cs="宋体"/>
                <w:color w:val="auto"/>
                <w:sz w:val="21"/>
                <w:szCs w:val="21"/>
              </w:rPr>
              <w:t>H=0～2.5KPa,N≈2</w:t>
            </w:r>
            <w:r>
              <w:rPr>
                <w:rFonts w:hint="eastAsia" w:ascii="宋体" w:hAnsi="宋体" w:eastAsia="宋体" w:cs="宋体"/>
                <w:color w:val="auto"/>
                <w:sz w:val="21"/>
                <w:szCs w:val="21"/>
                <w:lang w:eastAsia="zh-CN"/>
              </w:rPr>
              <w:t>0</w:t>
            </w:r>
            <w:r>
              <w:rPr>
                <w:rFonts w:ascii="宋体" w:hAnsi="宋体" w:eastAsia="宋体" w:cs="宋体"/>
                <w:color w:val="auto"/>
                <w:sz w:val="21"/>
                <w:szCs w:val="21"/>
              </w:rPr>
              <w:t>kw（暂定）</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446" w:right="440"/>
              <w:rPr>
                <w:rFonts w:ascii="宋体" w:hAnsi="宋体" w:eastAsia="宋体" w:cs="宋体"/>
                <w:color w:val="auto"/>
                <w:sz w:val="21"/>
                <w:szCs w:val="21"/>
              </w:rPr>
            </w:pPr>
            <w:r>
              <w:rPr>
                <w:rFonts w:ascii="宋体" w:hAnsi="宋体" w:eastAsia="宋体" w:cs="宋体"/>
                <w:color w:val="auto"/>
                <w:spacing w:val="-1"/>
                <w:sz w:val="21"/>
                <w:szCs w:val="21"/>
              </w:rPr>
              <w:t>知名品牌变频电机</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3</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散水泵</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30m³/h，20m，4kw</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4</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水箱</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个</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有效容积不小于1.5m³</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材质PE或FRP</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5</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压差计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H=0～3KPa</w:t>
            </w:r>
          </w:p>
        </w:tc>
        <w:tc>
          <w:tcPr>
            <w:tcW w:w="1743" w:type="dxa"/>
            <w:tcBorders>
              <w:top w:val="single" w:color="000000" w:sz="6" w:space="0"/>
              <w:left w:val="single" w:color="000000" w:sz="6" w:space="0"/>
              <w:bottom w:val="single" w:color="000000" w:sz="6" w:space="0"/>
              <w:right w:val="single" w:color="000000" w:sz="4" w:space="0"/>
            </w:tcBorders>
            <w:vAlign w:val="center"/>
          </w:tcPr>
          <w:p>
            <w:pPr>
              <w:spacing w:line="360" w:lineRule="auto"/>
              <w:rPr>
                <w:color w:val="auto"/>
                <w:sz w:val="21"/>
                <w:szCs w:val="21"/>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6</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流量计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Q=0～100m³/h</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用于测水流量</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7</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硫化氢测量仪</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0～10ppm</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8</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风管调节阀</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9</w:t>
            </w:r>
            <w:r>
              <w:rPr>
                <w:rFonts w:ascii="宋体" w:hAnsi="宋体" w:eastAsia="宋体" w:cs="宋体"/>
                <w:color w:val="auto"/>
                <w:sz w:val="21"/>
                <w:szCs w:val="21"/>
              </w:rPr>
              <w:t>00，PN=0.3Mpa</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9</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玻璃钢风管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color w:val="auto"/>
                <w:sz w:val="21"/>
                <w:szCs w:val="21"/>
              </w:rPr>
              <w:t>&gt;10m</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9</w:t>
            </w:r>
            <w:r>
              <w:rPr>
                <w:rFonts w:ascii="宋体" w:hAnsi="宋体" w:eastAsia="宋体" w:cs="宋体"/>
                <w:color w:val="auto"/>
                <w:sz w:val="21"/>
                <w:szCs w:val="21"/>
              </w:rPr>
              <w:t>00；PN=0.3Mpa</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jc w:val="center"/>
              <w:rPr>
                <w:rFonts w:ascii="宋体" w:hAnsi="宋体" w:eastAsia="宋体" w:cs="宋体"/>
                <w:color w:val="auto"/>
                <w:sz w:val="21"/>
                <w:szCs w:val="21"/>
              </w:rPr>
            </w:pPr>
            <w:r>
              <w:rPr>
                <w:rFonts w:ascii="宋体"/>
                <w:color w:val="auto"/>
                <w:sz w:val="21"/>
                <w:szCs w:val="21"/>
              </w:rPr>
              <w:t>10</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其他风管管件</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批</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35"/>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变径、弯头、三通等</w:t>
            </w:r>
            <w:r>
              <w:rPr>
                <w:rFonts w:ascii="宋体" w:hAnsi="宋体" w:eastAsia="宋体" w:cs="宋体"/>
                <w:color w:val="auto"/>
                <w:sz w:val="21"/>
                <w:szCs w:val="21"/>
                <w:lang w:eastAsia="zh-CN"/>
              </w:rPr>
              <w:t>FRP</w:t>
            </w:r>
            <w:r>
              <w:rPr>
                <w:rFonts w:ascii="宋体" w:hAnsi="宋体" w:eastAsia="宋体" w:cs="宋体"/>
                <w:color w:val="auto"/>
                <w:spacing w:val="-3"/>
                <w:sz w:val="21"/>
                <w:szCs w:val="21"/>
                <w:lang w:eastAsia="zh-CN"/>
              </w:rPr>
              <w:t>材质</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129"/>
              <w:rPr>
                <w:rFonts w:ascii="宋体" w:hAnsi="宋体" w:eastAsia="宋体" w:cs="宋体"/>
                <w:color w:val="auto"/>
                <w:sz w:val="21"/>
                <w:szCs w:val="21"/>
              </w:rPr>
            </w:pPr>
            <w:r>
              <w:rPr>
                <w:rFonts w:ascii="宋体" w:hAnsi="宋体" w:eastAsia="宋体" w:cs="宋体"/>
                <w:color w:val="auto"/>
                <w:sz w:val="21"/>
                <w:szCs w:val="21"/>
              </w:rPr>
              <w:t>根据详细设计定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11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电控系统</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套</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2"/>
                <w:sz w:val="21"/>
                <w:szCs w:val="21"/>
                <w:lang w:eastAsia="zh-CN"/>
              </w:rPr>
              <w:t>电控系统包括所有的监测、控制元件及报警、保险丝和主开关等。还包括电控箱及与本设备内部的连接电缆。</w:t>
            </w:r>
            <w:r>
              <w:rPr>
                <w:rFonts w:ascii="宋体" w:hAnsi="宋体" w:eastAsia="宋体" w:cs="宋体"/>
                <w:color w:val="auto"/>
                <w:sz w:val="21"/>
                <w:szCs w:val="21"/>
                <w:lang w:eastAsia="zh-CN"/>
              </w:rPr>
              <w:t>柜体不锈钢304，壁厚1.5mmm</w:t>
            </w:r>
            <w:r>
              <w:rPr>
                <w:rFonts w:ascii="宋体" w:hAnsi="宋体" w:eastAsia="宋体" w:cs="宋体"/>
                <w:color w:val="auto"/>
                <w:spacing w:val="-3"/>
                <w:sz w:val="21"/>
                <w:szCs w:val="21"/>
                <w:lang w:eastAsia="zh-CN"/>
              </w:rPr>
              <w:t>以上</w:t>
            </w:r>
            <w:r>
              <w:rPr>
                <w:rFonts w:ascii="宋体" w:hAnsi="宋体" w:eastAsia="宋体" w:cs="宋体"/>
                <w:color w:val="auto"/>
                <w:sz w:val="21"/>
                <w:szCs w:val="21"/>
                <w:lang w:eastAsia="zh-CN"/>
              </w:rPr>
              <w:t>含通讯功能含系统内电缆（动力及通讯电缆）电源：AC380V/50Hz/3Ph。</w:t>
            </w:r>
            <w:r>
              <w:rPr>
                <w:rFonts w:ascii="宋体" w:hAnsi="宋体" w:eastAsia="宋体" w:cs="宋体"/>
                <w:color w:val="auto"/>
                <w:sz w:val="21"/>
                <w:szCs w:val="21"/>
              </w:rPr>
              <w:t>防护等级：IP55绝缘等级：F。</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760" w:right="125" w:hanging="632"/>
              <w:rPr>
                <w:rFonts w:ascii="宋体" w:hAnsi="宋体" w:eastAsia="宋体" w:cs="宋体"/>
                <w:color w:val="auto"/>
                <w:sz w:val="21"/>
                <w:szCs w:val="21"/>
              </w:rPr>
            </w:pPr>
            <w:r>
              <w:rPr>
                <w:rFonts w:ascii="宋体" w:hAnsi="宋体" w:eastAsia="宋体" w:cs="宋体"/>
                <w:color w:val="auto"/>
                <w:spacing w:val="-1"/>
                <w:sz w:val="21"/>
                <w:szCs w:val="21"/>
              </w:rPr>
              <w:t>通讯协议种类待</w:t>
            </w:r>
            <w:r>
              <w:rPr>
                <w:rFonts w:ascii="宋体" w:hAnsi="宋体" w:eastAsia="宋体" w:cs="宋体"/>
                <w:color w:val="auto"/>
                <w:sz w:val="21"/>
                <w:szCs w:val="21"/>
              </w:rPr>
              <w:t>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12</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spacing w:line="265" w:lineRule="exact"/>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工作条件：</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工作介质：</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市政污</w:t>
            </w:r>
            <w:r>
              <w:rPr>
                <w:rFonts w:hint="eastAsia" w:ascii="宋体" w:hAnsi="宋体" w:eastAsia="宋体" w:cs="宋体"/>
                <w:color w:val="auto"/>
                <w:spacing w:val="-2"/>
                <w:sz w:val="21"/>
                <w:szCs w:val="21"/>
                <w:lang w:eastAsia="zh-CN"/>
              </w:rPr>
              <w:t>泥</w:t>
            </w:r>
            <w:r>
              <w:rPr>
                <w:rFonts w:ascii="宋体" w:hAnsi="宋体" w:eastAsia="宋体" w:cs="宋体"/>
                <w:color w:val="auto"/>
                <w:spacing w:val="-2"/>
                <w:sz w:val="21"/>
                <w:szCs w:val="21"/>
                <w:lang w:eastAsia="zh-CN"/>
              </w:rPr>
              <w:t>混合致臭气体，</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工作位置：</w:t>
            </w:r>
            <w:r>
              <w:rPr>
                <w:rFonts w:ascii="宋体" w:hAnsi="宋体" w:eastAsia="宋体" w:cs="宋体"/>
                <w:color w:val="auto"/>
                <w:spacing w:val="-1"/>
                <w:sz w:val="21"/>
                <w:szCs w:val="21"/>
                <w:lang w:eastAsia="zh-CN"/>
              </w:rPr>
              <w:tab/>
            </w:r>
            <w:r>
              <w:rPr>
                <w:rFonts w:hint="eastAsia" w:ascii="宋体" w:hAnsi="宋体" w:eastAsia="宋体" w:cs="宋体"/>
                <w:color w:val="auto"/>
                <w:spacing w:val="-1"/>
                <w:sz w:val="21"/>
                <w:szCs w:val="21"/>
                <w:lang w:eastAsia="zh-CN"/>
              </w:rPr>
              <w:t>地下箱体</w:t>
            </w:r>
            <w:r>
              <w:rPr>
                <w:rFonts w:ascii="宋体" w:hAnsi="宋体" w:eastAsia="宋体" w:cs="宋体"/>
                <w:color w:val="auto"/>
                <w:spacing w:val="-1"/>
                <w:sz w:val="21"/>
                <w:szCs w:val="21"/>
                <w:lang w:eastAsia="zh-CN"/>
              </w:rPr>
              <w:t>；</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空气温度：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≤100℃</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臭气温度：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-5～40℃</w:t>
            </w:r>
          </w:p>
          <w:p>
            <w:pPr>
              <w:pStyle w:val="27"/>
              <w:tabs>
                <w:tab w:val="left" w:pos="2726"/>
              </w:tabs>
              <w:spacing w:before="42"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pH：</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5.5~8.5</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63" w:line="360" w:lineRule="auto"/>
              <w:jc w:val="center"/>
              <w:rPr>
                <w:rFonts w:ascii="宋体" w:hAnsi="宋体" w:eastAsia="宋体" w:cs="宋体"/>
                <w:color w:val="auto"/>
                <w:sz w:val="21"/>
                <w:szCs w:val="21"/>
              </w:rPr>
            </w:pPr>
            <w:r>
              <w:rPr>
                <w:rFonts w:ascii="宋体"/>
                <w:color w:val="auto"/>
                <w:sz w:val="21"/>
                <w:szCs w:val="21"/>
              </w:rPr>
              <w:t>13</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z w:val="21"/>
                <w:szCs w:val="21"/>
                <w:lang w:eastAsia="zh-CN"/>
              </w:rPr>
              <w:t>材质要求：</w:t>
            </w:r>
          </w:p>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风机叶轮</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玻璃钢</w:t>
            </w:r>
          </w:p>
          <w:p>
            <w:pPr>
              <w:pStyle w:val="27"/>
              <w:tabs>
                <w:tab w:val="left" w:pos="1363"/>
              </w:tabs>
              <w:spacing w:before="9"/>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风机壳体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360"/>
                <w:tab w:val="left" w:pos="1781"/>
              </w:tabs>
              <w:spacing w:before="44" w:line="278" w:lineRule="auto"/>
              <w:ind w:left="100" w:right="1841"/>
              <w:rPr>
                <w:rFonts w:ascii="宋体" w:hAnsi="宋体" w:eastAsia="宋体" w:cs="宋体"/>
                <w:color w:val="auto"/>
                <w:spacing w:val="-3"/>
                <w:sz w:val="21"/>
                <w:szCs w:val="21"/>
                <w:lang w:eastAsia="zh-CN"/>
              </w:rPr>
            </w:pPr>
            <w:r>
              <w:rPr>
                <w:rFonts w:ascii="宋体" w:hAnsi="宋体" w:eastAsia="宋体" w:cs="宋体"/>
                <w:color w:val="auto"/>
                <w:sz w:val="21"/>
                <w:szCs w:val="21"/>
                <w:lang w:eastAsia="zh-CN"/>
              </w:rPr>
              <w:t>散水泵</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过流部分SS304不锈钢</w:t>
            </w:r>
            <w:r>
              <w:rPr>
                <w:rFonts w:ascii="宋体" w:hAnsi="宋体" w:eastAsia="宋体" w:cs="宋体"/>
                <w:color w:val="auto"/>
                <w:spacing w:val="-1"/>
                <w:sz w:val="21"/>
                <w:szCs w:val="21"/>
                <w:lang w:eastAsia="zh-CN"/>
              </w:rPr>
              <w:t>生物滤池池体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玻璃钢和方管形钢组合件</w:t>
            </w:r>
            <w:r>
              <w:rPr>
                <w:rFonts w:ascii="宋体" w:hAnsi="宋体" w:eastAsia="宋体" w:cs="宋体"/>
                <w:color w:val="auto"/>
                <w:spacing w:val="-1"/>
                <w:sz w:val="21"/>
                <w:szCs w:val="21"/>
                <w:lang w:eastAsia="zh-CN"/>
              </w:rPr>
              <w:t>填料支撑</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玻璃钢格栅、PE</w:t>
            </w:r>
            <w:r>
              <w:rPr>
                <w:rFonts w:ascii="宋体" w:hAnsi="宋体" w:eastAsia="宋体" w:cs="宋体"/>
                <w:color w:val="auto"/>
                <w:spacing w:val="-3"/>
                <w:sz w:val="21"/>
                <w:szCs w:val="21"/>
                <w:lang w:eastAsia="zh-CN"/>
              </w:rPr>
              <w:t>格网</w:t>
            </w:r>
          </w:p>
          <w:p>
            <w:pPr>
              <w:pStyle w:val="27"/>
              <w:tabs>
                <w:tab w:val="left" w:pos="1360"/>
                <w:tab w:val="left" w:pos="1781"/>
              </w:tabs>
              <w:spacing w:before="44" w:line="278" w:lineRule="auto"/>
              <w:ind w:left="100" w:right="1841"/>
              <w:rPr>
                <w:rFonts w:ascii="宋体" w:hAnsi="宋体" w:eastAsia="宋体" w:cs="宋体"/>
                <w:color w:val="auto"/>
                <w:spacing w:val="-1"/>
                <w:sz w:val="21"/>
                <w:szCs w:val="21"/>
                <w:lang w:eastAsia="zh-CN"/>
              </w:rPr>
            </w:pPr>
            <w:r>
              <w:rPr>
                <w:rFonts w:ascii="宋体" w:hAnsi="宋体" w:eastAsia="宋体" w:cs="宋体"/>
                <w:color w:val="auto"/>
                <w:spacing w:val="-1"/>
                <w:sz w:val="21"/>
                <w:szCs w:val="21"/>
                <w:lang w:eastAsia="zh-CN"/>
              </w:rPr>
              <w:t>生物填料</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炭质单一填料</w:t>
            </w:r>
          </w:p>
          <w:p>
            <w:pPr>
              <w:pStyle w:val="27"/>
              <w:tabs>
                <w:tab w:val="left" w:pos="1886"/>
                <w:tab w:val="left" w:pos="2203"/>
              </w:tabs>
              <w:spacing w:line="278" w:lineRule="auto"/>
              <w:ind w:left="100" w:right="1475"/>
              <w:rPr>
                <w:rFonts w:ascii="宋体" w:hAnsi="宋体" w:eastAsia="宋体" w:cs="宋体"/>
                <w:color w:val="auto"/>
                <w:sz w:val="21"/>
                <w:szCs w:val="21"/>
                <w:lang w:eastAsia="zh-CN"/>
              </w:rPr>
            </w:pPr>
            <w:r>
              <w:rPr>
                <w:rFonts w:ascii="宋体" w:hAnsi="宋体" w:eastAsia="宋体" w:cs="宋体"/>
                <w:color w:val="auto"/>
                <w:sz w:val="21"/>
                <w:szCs w:val="21"/>
                <w:lang w:eastAsia="zh-CN"/>
              </w:rPr>
              <w:t>密封罩</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不锈钢304骨架+耐力板4mm</w:t>
            </w:r>
            <w:r>
              <w:rPr>
                <w:rFonts w:ascii="宋体" w:hAnsi="宋体" w:eastAsia="宋体" w:cs="宋体"/>
                <w:color w:val="auto"/>
                <w:spacing w:val="-1"/>
                <w:sz w:val="21"/>
                <w:szCs w:val="21"/>
                <w:lang w:eastAsia="zh-CN"/>
              </w:rPr>
              <w:t>风管及管道配件</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781"/>
              </w:tabs>
              <w:spacing w:before="10"/>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电控柜外壳</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SS304</w:t>
            </w:r>
            <w:r>
              <w:rPr>
                <w:rFonts w:ascii="宋体" w:hAnsi="宋体" w:eastAsia="宋体" w:cs="宋体"/>
                <w:color w:val="auto"/>
                <w:spacing w:val="-1"/>
                <w:sz w:val="21"/>
                <w:szCs w:val="21"/>
                <w:lang w:eastAsia="zh-CN"/>
              </w:rPr>
              <w:t>不锈钢</w:t>
            </w:r>
          </w:p>
          <w:p>
            <w:pPr>
              <w:pStyle w:val="27"/>
              <w:tabs>
                <w:tab w:val="left" w:pos="1781"/>
              </w:tabs>
              <w:spacing w:before="44"/>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水管</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UPVC</w:t>
            </w:r>
          </w:p>
          <w:p>
            <w:pPr>
              <w:pStyle w:val="27"/>
              <w:tabs>
                <w:tab w:val="left" w:pos="1360"/>
                <w:tab w:val="left" w:pos="1781"/>
              </w:tabs>
              <w:spacing w:before="44" w:line="360" w:lineRule="auto"/>
              <w:ind w:left="100" w:right="63"/>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所有连接附件、紧固件</w:t>
            </w:r>
            <w:r>
              <w:rPr>
                <w:rFonts w:ascii="宋体" w:hAnsi="宋体" w:eastAsia="宋体" w:cs="宋体"/>
                <w:color w:val="auto"/>
                <w:spacing w:val="-2"/>
                <w:sz w:val="21"/>
                <w:szCs w:val="21"/>
                <w:lang w:eastAsia="zh-CN"/>
              </w:rPr>
              <w:tab/>
            </w:r>
            <w:r>
              <w:rPr>
                <w:rFonts w:ascii="宋体" w:hAnsi="宋体" w:eastAsia="宋体" w:cs="宋体"/>
                <w:color w:val="auto"/>
                <w:spacing w:val="-1"/>
                <w:sz w:val="21"/>
                <w:szCs w:val="21"/>
                <w:lang w:eastAsia="zh-CN"/>
              </w:rPr>
              <w:t>FRP/UPVC/</w:t>
            </w:r>
            <w:r>
              <w:rPr>
                <w:rFonts w:ascii="宋体" w:hAnsi="宋体" w:eastAsia="宋体" w:cs="宋体"/>
                <w:color w:val="auto"/>
                <w:spacing w:val="-2"/>
                <w:sz w:val="21"/>
                <w:szCs w:val="21"/>
                <w:lang w:eastAsia="zh-CN"/>
              </w:rPr>
              <w:t>碳钢防腐</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szCs w:val="21"/>
              </w:rPr>
              <w:t>14</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spacing w:line="278" w:lineRule="auto"/>
              <w:ind w:left="100" w:right="93"/>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在任何季节、任何气候条件下，除臭系统NH3、H2S</w:t>
            </w:r>
            <w:r>
              <w:rPr>
                <w:rFonts w:ascii="宋体" w:hAnsi="宋体" w:eastAsia="宋体" w:cs="宋体"/>
                <w:color w:val="auto"/>
                <w:sz w:val="21"/>
                <w:szCs w:val="21"/>
                <w:lang w:eastAsia="zh-CN"/>
              </w:rPr>
              <w:t>等重点控制物浓度符合</w:t>
            </w:r>
          </w:p>
          <w:p>
            <w:pPr>
              <w:pStyle w:val="27"/>
              <w:tabs>
                <w:tab w:val="left" w:pos="1992"/>
              </w:tabs>
              <w:spacing w:before="10" w:line="278" w:lineRule="auto"/>
              <w:ind w:left="100" w:right="1001"/>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GB18918-2002</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城镇污水处理厂污染物排放标准</w:t>
            </w:r>
            <w:r>
              <w:rPr>
                <w:rFonts w:ascii="宋体" w:hAnsi="宋体" w:eastAsia="宋体" w:cs="宋体"/>
                <w:color w:val="auto"/>
                <w:sz w:val="21"/>
                <w:szCs w:val="21"/>
                <w:lang w:eastAsia="zh-CN"/>
              </w:rPr>
              <w:t>GB16297-1996</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大气污染物综合排放标准</w:t>
            </w:r>
          </w:p>
          <w:p>
            <w:pPr>
              <w:pStyle w:val="27"/>
              <w:tabs>
                <w:tab w:val="left" w:pos="1992"/>
              </w:tabs>
              <w:spacing w:before="10"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GB14554-93</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恶臭污染物排放标准值</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bl>
    <w:p>
      <w:pPr>
        <w:pStyle w:val="29"/>
        <w:ind w:firstLine="472"/>
        <w:rPr>
          <w:color w:val="auto"/>
        </w:rPr>
      </w:pPr>
    </w:p>
    <w:p>
      <w:pPr>
        <w:pStyle w:val="33"/>
        <w:rPr>
          <w:color w:val="auto"/>
        </w:rPr>
      </w:pPr>
      <w:r>
        <w:rPr>
          <w:rFonts w:hint="eastAsia"/>
          <w:color w:val="auto"/>
        </w:rPr>
        <w:t>8</w:t>
      </w:r>
      <w:r>
        <w:rPr>
          <w:color w:val="auto"/>
        </w:rPr>
        <w:t>#生物除臭设备</w:t>
      </w:r>
    </w:p>
    <w:tbl>
      <w:tblPr>
        <w:tblStyle w:val="25"/>
        <w:tblW w:w="8506" w:type="dxa"/>
        <w:tblInd w:w="112" w:type="dxa"/>
        <w:tblLayout w:type="fixed"/>
        <w:tblCellMar>
          <w:top w:w="0" w:type="dxa"/>
          <w:left w:w="0" w:type="dxa"/>
          <w:bottom w:w="0" w:type="dxa"/>
          <w:right w:w="0" w:type="dxa"/>
        </w:tblCellMar>
      </w:tblPr>
      <w:tblGrid>
        <w:gridCol w:w="811"/>
        <w:gridCol w:w="1558"/>
        <w:gridCol w:w="746"/>
        <w:gridCol w:w="3648"/>
        <w:gridCol w:w="1743"/>
      </w:tblGrid>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序号</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名称</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单位</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b/>
                <w:bCs/>
                <w:color w:val="auto"/>
                <w:sz w:val="21"/>
                <w:szCs w:val="21"/>
              </w:rPr>
              <w:t>性能</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备注</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生物滤池</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套</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5"/>
              <w:rPr>
                <w:rFonts w:ascii="宋体" w:hAnsi="宋体" w:eastAsia="宋体" w:cs="宋体"/>
                <w:color w:val="auto"/>
                <w:sz w:val="11"/>
                <w:szCs w:val="11"/>
                <w:lang w:eastAsia="zh-CN"/>
              </w:rPr>
            </w:pPr>
            <w:r>
              <w:rPr>
                <w:rFonts w:ascii="宋体" w:hAnsi="宋体" w:eastAsia="宋体" w:cs="宋体"/>
                <w:color w:val="auto"/>
                <w:w w:val="110"/>
                <w:sz w:val="21"/>
                <w:szCs w:val="21"/>
                <w:lang w:eastAsia="zh-CN"/>
              </w:rPr>
              <w:t>臭气浓度：3500~4000OU/m³处理气量：Q=</w:t>
            </w:r>
            <w:r>
              <w:rPr>
                <w:rFonts w:hint="eastAsia" w:ascii="宋体" w:hAnsi="宋体" w:eastAsia="宋体" w:cs="宋体"/>
                <w:color w:val="auto"/>
                <w:w w:val="110"/>
                <w:sz w:val="21"/>
                <w:szCs w:val="21"/>
                <w:lang w:eastAsia="zh-CN"/>
              </w:rPr>
              <w:t>30</w:t>
            </w:r>
            <w:r>
              <w:rPr>
                <w:rFonts w:ascii="宋体" w:hAnsi="宋体" w:eastAsia="宋体" w:cs="宋体"/>
                <w:color w:val="auto"/>
                <w:w w:val="110"/>
                <w:sz w:val="21"/>
                <w:szCs w:val="21"/>
                <w:lang w:eastAsia="zh-CN"/>
              </w:rPr>
              <w:t>000m³/h</w:t>
            </w:r>
            <w:r>
              <w:rPr>
                <w:rFonts w:ascii="宋体" w:hAnsi="宋体" w:eastAsia="宋体" w:cs="宋体"/>
                <w:color w:val="auto"/>
                <w:sz w:val="21"/>
                <w:szCs w:val="21"/>
                <w:lang w:eastAsia="zh-CN"/>
              </w:rPr>
              <w:t>生物填料：不小于</w:t>
            </w:r>
            <w:r>
              <w:rPr>
                <w:rFonts w:hint="eastAsia" w:ascii="宋体" w:hAnsi="宋体" w:eastAsia="宋体" w:cs="宋体"/>
                <w:color w:val="auto"/>
                <w:sz w:val="21"/>
                <w:szCs w:val="21"/>
                <w:lang w:eastAsia="zh-CN"/>
              </w:rPr>
              <w:t>101</w:t>
            </w:r>
            <w:r>
              <w:rPr>
                <w:rFonts w:ascii="宋体" w:hAnsi="宋体" w:eastAsia="宋体" w:cs="宋体"/>
                <w:color w:val="auto"/>
                <w:sz w:val="21"/>
                <w:szCs w:val="21"/>
                <w:lang w:eastAsia="zh-CN"/>
              </w:rPr>
              <w:t>m³处理效率&gt;95%臭气与生物填料的接触时间不小于12秒填料厚度应不小于1.6m。除臭塔及填料使用寿命不低于15</w:t>
            </w:r>
            <w:r>
              <w:rPr>
                <w:rFonts w:ascii="宋体" w:hAnsi="宋体" w:eastAsia="宋体" w:cs="宋体"/>
                <w:color w:val="auto"/>
                <w:spacing w:val="-3"/>
                <w:sz w:val="21"/>
                <w:szCs w:val="21"/>
                <w:lang w:eastAsia="zh-CN"/>
              </w:rPr>
              <w:t>年。</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r>
              <w:rPr>
                <w:rFonts w:ascii="宋体" w:hAnsi="宋体" w:eastAsia="宋体" w:cs="宋体"/>
                <w:color w:val="auto"/>
                <w:sz w:val="21"/>
                <w:szCs w:val="21"/>
                <w:lang w:eastAsia="zh-CN"/>
              </w:rPr>
              <w:t>主要由（但不限</w:t>
            </w:r>
            <w:r>
              <w:rPr>
                <w:rFonts w:ascii="宋体" w:hAnsi="宋体" w:eastAsia="宋体" w:cs="宋体"/>
                <w:color w:val="auto"/>
                <w:spacing w:val="-8"/>
                <w:sz w:val="21"/>
                <w:szCs w:val="21"/>
                <w:lang w:eastAsia="zh-CN"/>
              </w:rPr>
              <w:t>于此）生物滤池、</w:t>
            </w:r>
            <w:r>
              <w:rPr>
                <w:rFonts w:ascii="宋体" w:hAnsi="宋体" w:eastAsia="宋体" w:cs="宋体"/>
                <w:color w:val="auto"/>
                <w:sz w:val="21"/>
                <w:szCs w:val="21"/>
                <w:lang w:eastAsia="zh-CN"/>
              </w:rPr>
              <w:t>离心风机、压差计、流量计、散水泵、散水阀门</w:t>
            </w:r>
            <w:r>
              <w:rPr>
                <w:rFonts w:ascii="宋体" w:hAnsi="宋体" w:eastAsia="宋体" w:cs="宋体"/>
                <w:color w:val="auto"/>
                <w:spacing w:val="-8"/>
                <w:sz w:val="21"/>
                <w:szCs w:val="21"/>
                <w:lang w:eastAsia="zh-CN"/>
              </w:rPr>
              <w:t>管道、排放系统、</w:t>
            </w:r>
            <w:r>
              <w:rPr>
                <w:rFonts w:ascii="宋体" w:hAnsi="宋体" w:eastAsia="宋体" w:cs="宋体"/>
                <w:color w:val="auto"/>
                <w:sz w:val="21"/>
                <w:szCs w:val="21"/>
                <w:lang w:eastAsia="zh-CN"/>
              </w:rPr>
              <w:t>硫化氢测量仪、风管调节阀、玻璃钢风管及相关附件、电控箱组成</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2</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离心风机</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1"/>
                <w:sz w:val="21"/>
                <w:szCs w:val="21"/>
              </w:rPr>
              <w:t>Q=0～</w:t>
            </w:r>
            <w:r>
              <w:rPr>
                <w:rFonts w:hint="eastAsia" w:ascii="宋体" w:hAnsi="宋体" w:eastAsia="宋体" w:cs="宋体"/>
                <w:color w:val="auto"/>
                <w:spacing w:val="-1"/>
                <w:sz w:val="21"/>
                <w:szCs w:val="21"/>
                <w:lang w:eastAsia="zh-CN"/>
              </w:rPr>
              <w:t>330</w:t>
            </w:r>
            <w:r>
              <w:rPr>
                <w:rFonts w:ascii="宋体" w:hAnsi="宋体" w:eastAsia="宋体" w:cs="宋体"/>
                <w:color w:val="auto"/>
                <w:spacing w:val="-1"/>
                <w:sz w:val="21"/>
                <w:szCs w:val="21"/>
              </w:rPr>
              <w:t>00m³/h,</w:t>
            </w:r>
            <w:r>
              <w:rPr>
                <w:rFonts w:ascii="宋体" w:hAnsi="宋体" w:eastAsia="宋体" w:cs="宋体"/>
                <w:color w:val="auto"/>
                <w:sz w:val="21"/>
                <w:szCs w:val="21"/>
              </w:rPr>
              <w:t>H=0～2.5KPa,N≈</w:t>
            </w:r>
            <w:r>
              <w:rPr>
                <w:rFonts w:hint="eastAsia" w:ascii="宋体" w:hAnsi="宋体" w:eastAsia="宋体" w:cs="宋体"/>
                <w:color w:val="auto"/>
                <w:sz w:val="21"/>
                <w:szCs w:val="21"/>
                <w:lang w:eastAsia="zh-CN"/>
              </w:rPr>
              <w:t>33</w:t>
            </w:r>
            <w:r>
              <w:rPr>
                <w:rFonts w:ascii="宋体" w:hAnsi="宋体" w:eastAsia="宋体" w:cs="宋体"/>
                <w:color w:val="auto"/>
                <w:sz w:val="21"/>
                <w:szCs w:val="21"/>
              </w:rPr>
              <w:t>kw（暂定）</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446" w:right="440"/>
              <w:rPr>
                <w:rFonts w:ascii="宋体" w:hAnsi="宋体" w:eastAsia="宋体" w:cs="宋体"/>
                <w:color w:val="auto"/>
                <w:sz w:val="21"/>
                <w:szCs w:val="21"/>
              </w:rPr>
            </w:pPr>
            <w:r>
              <w:rPr>
                <w:rFonts w:ascii="宋体" w:hAnsi="宋体" w:eastAsia="宋体" w:cs="宋体"/>
                <w:color w:val="auto"/>
                <w:spacing w:val="-1"/>
                <w:sz w:val="21"/>
                <w:szCs w:val="21"/>
              </w:rPr>
              <w:t>知名品牌变频电机</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3</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散水泵</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30m³/h，20m，4kw</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4</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水箱</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个</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11"/>
                <w:szCs w:val="11"/>
              </w:rPr>
            </w:pPr>
            <w:r>
              <w:rPr>
                <w:rFonts w:ascii="宋体" w:hAnsi="宋体" w:eastAsia="宋体" w:cs="宋体"/>
                <w:color w:val="auto"/>
                <w:sz w:val="21"/>
                <w:szCs w:val="21"/>
              </w:rPr>
              <w:t>有效容积不小于1.5m³</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材质PE或FRP</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5</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压差计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H=0～3KPa</w:t>
            </w:r>
          </w:p>
        </w:tc>
        <w:tc>
          <w:tcPr>
            <w:tcW w:w="1743" w:type="dxa"/>
            <w:tcBorders>
              <w:top w:val="single" w:color="000000" w:sz="6" w:space="0"/>
              <w:left w:val="single" w:color="000000" w:sz="6" w:space="0"/>
              <w:bottom w:val="single" w:color="000000" w:sz="6" w:space="0"/>
              <w:right w:val="single" w:color="000000" w:sz="4" w:space="0"/>
            </w:tcBorders>
            <w:vAlign w:val="center"/>
          </w:tcPr>
          <w:p>
            <w:pPr>
              <w:spacing w:line="360" w:lineRule="auto"/>
              <w:rPr>
                <w:color w:val="auto"/>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6</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流量计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Q=0～100m³/h</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用于测水流量</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7</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硫化氢测量仪</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0～10ppm</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8</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风管调节阀</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11</w:t>
            </w:r>
            <w:r>
              <w:rPr>
                <w:rFonts w:ascii="宋体" w:hAnsi="宋体" w:eastAsia="宋体" w:cs="宋体"/>
                <w:color w:val="auto"/>
                <w:sz w:val="21"/>
                <w:szCs w:val="21"/>
              </w:rPr>
              <w:t>00，PN=0.3Mpa</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9</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玻璃钢风管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color w:val="auto"/>
                <w:sz w:val="21"/>
              </w:rPr>
              <w:t>&gt;10m</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11</w:t>
            </w:r>
            <w:r>
              <w:rPr>
                <w:rFonts w:ascii="宋体" w:hAnsi="宋体" w:eastAsia="宋体" w:cs="宋体"/>
                <w:color w:val="auto"/>
                <w:sz w:val="21"/>
                <w:szCs w:val="21"/>
              </w:rPr>
              <w:t>00；PN=0.3Mpa</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jc w:val="center"/>
              <w:rPr>
                <w:rFonts w:ascii="宋体" w:hAnsi="宋体" w:eastAsia="宋体" w:cs="宋体"/>
                <w:color w:val="auto"/>
                <w:sz w:val="21"/>
                <w:szCs w:val="21"/>
              </w:rPr>
            </w:pPr>
            <w:r>
              <w:rPr>
                <w:rFonts w:ascii="宋体"/>
                <w:color w:val="auto"/>
                <w:sz w:val="21"/>
              </w:rPr>
              <w:t>10</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其他风管管件</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批</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35"/>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变径、弯头、三通等</w:t>
            </w:r>
            <w:r>
              <w:rPr>
                <w:rFonts w:ascii="宋体" w:hAnsi="宋体" w:eastAsia="宋体" w:cs="宋体"/>
                <w:color w:val="auto"/>
                <w:sz w:val="21"/>
                <w:szCs w:val="21"/>
                <w:lang w:eastAsia="zh-CN"/>
              </w:rPr>
              <w:t>FRP</w:t>
            </w:r>
            <w:r>
              <w:rPr>
                <w:rFonts w:ascii="宋体" w:hAnsi="宋体" w:eastAsia="宋体" w:cs="宋体"/>
                <w:color w:val="auto"/>
                <w:spacing w:val="-3"/>
                <w:sz w:val="21"/>
                <w:szCs w:val="21"/>
                <w:lang w:eastAsia="zh-CN"/>
              </w:rPr>
              <w:t>材质</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129"/>
              <w:rPr>
                <w:rFonts w:ascii="宋体" w:hAnsi="宋体" w:eastAsia="宋体" w:cs="宋体"/>
                <w:color w:val="auto"/>
                <w:sz w:val="21"/>
                <w:szCs w:val="21"/>
              </w:rPr>
            </w:pPr>
            <w:r>
              <w:rPr>
                <w:rFonts w:ascii="宋体" w:hAnsi="宋体" w:eastAsia="宋体" w:cs="宋体"/>
                <w:color w:val="auto"/>
                <w:sz w:val="21"/>
                <w:szCs w:val="21"/>
              </w:rPr>
              <w:t>根据详细设计定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电控系统</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套</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2"/>
                <w:sz w:val="21"/>
                <w:szCs w:val="21"/>
                <w:lang w:eastAsia="zh-CN"/>
              </w:rPr>
              <w:t>电控系统包括所有的监测、控制元件及报警、保险丝和主开关等。还包括电控箱及与本设备内部的连接电缆。</w:t>
            </w:r>
            <w:r>
              <w:rPr>
                <w:rFonts w:ascii="宋体" w:hAnsi="宋体" w:eastAsia="宋体" w:cs="宋体"/>
                <w:color w:val="auto"/>
                <w:sz w:val="21"/>
                <w:szCs w:val="21"/>
                <w:lang w:eastAsia="zh-CN"/>
              </w:rPr>
              <w:t>柜体不锈钢304，壁厚1.5mmm</w:t>
            </w:r>
            <w:r>
              <w:rPr>
                <w:rFonts w:ascii="宋体" w:hAnsi="宋体" w:eastAsia="宋体" w:cs="宋体"/>
                <w:color w:val="auto"/>
                <w:spacing w:val="-3"/>
                <w:sz w:val="21"/>
                <w:szCs w:val="21"/>
                <w:lang w:eastAsia="zh-CN"/>
              </w:rPr>
              <w:t>以上</w:t>
            </w:r>
            <w:r>
              <w:rPr>
                <w:rFonts w:ascii="宋体" w:hAnsi="宋体" w:eastAsia="宋体" w:cs="宋体"/>
                <w:color w:val="auto"/>
                <w:sz w:val="21"/>
                <w:szCs w:val="21"/>
                <w:lang w:eastAsia="zh-CN"/>
              </w:rPr>
              <w:t>含通讯功能含系统内电缆（动力及通讯电缆）电源：AC380V/50Hz/3Ph。</w:t>
            </w:r>
            <w:r>
              <w:rPr>
                <w:rFonts w:ascii="宋体" w:hAnsi="宋体" w:eastAsia="宋体" w:cs="宋体"/>
                <w:color w:val="auto"/>
                <w:sz w:val="21"/>
                <w:szCs w:val="21"/>
              </w:rPr>
              <w:t>防护等级：IP55绝缘等级：F。</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760" w:right="125" w:hanging="632"/>
              <w:rPr>
                <w:rFonts w:ascii="宋体" w:hAnsi="宋体" w:eastAsia="宋体" w:cs="宋体"/>
                <w:color w:val="auto"/>
                <w:sz w:val="21"/>
                <w:szCs w:val="21"/>
              </w:rPr>
            </w:pPr>
            <w:r>
              <w:rPr>
                <w:rFonts w:ascii="宋体" w:hAnsi="宋体" w:eastAsia="宋体" w:cs="宋体"/>
                <w:color w:val="auto"/>
                <w:spacing w:val="-1"/>
                <w:sz w:val="21"/>
                <w:szCs w:val="21"/>
              </w:rPr>
              <w:t>通讯协议种类待</w:t>
            </w:r>
            <w:r>
              <w:rPr>
                <w:rFonts w:ascii="宋体" w:hAnsi="宋体" w:eastAsia="宋体" w:cs="宋体"/>
                <w:color w:val="auto"/>
                <w:sz w:val="21"/>
                <w:szCs w:val="21"/>
              </w:rPr>
              <w:t>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12</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spacing w:line="265" w:lineRule="exact"/>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工作条件：</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工作介质：</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市政污</w:t>
            </w:r>
            <w:r>
              <w:rPr>
                <w:rFonts w:hint="eastAsia" w:ascii="宋体" w:hAnsi="宋体" w:eastAsia="宋体" w:cs="宋体"/>
                <w:color w:val="auto"/>
                <w:spacing w:val="-2"/>
                <w:sz w:val="21"/>
                <w:szCs w:val="21"/>
                <w:lang w:eastAsia="zh-CN"/>
              </w:rPr>
              <w:t>泥</w:t>
            </w:r>
            <w:r>
              <w:rPr>
                <w:rFonts w:ascii="宋体" w:hAnsi="宋体" w:eastAsia="宋体" w:cs="宋体"/>
                <w:color w:val="auto"/>
                <w:spacing w:val="-2"/>
                <w:sz w:val="21"/>
                <w:szCs w:val="21"/>
                <w:lang w:eastAsia="zh-CN"/>
              </w:rPr>
              <w:t>混合致臭气体，</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工作位置：</w:t>
            </w:r>
            <w:r>
              <w:rPr>
                <w:rFonts w:ascii="宋体" w:hAnsi="宋体" w:eastAsia="宋体" w:cs="宋体"/>
                <w:color w:val="auto"/>
                <w:spacing w:val="-1"/>
                <w:sz w:val="21"/>
                <w:szCs w:val="21"/>
                <w:lang w:eastAsia="zh-CN"/>
              </w:rPr>
              <w:tab/>
            </w:r>
            <w:r>
              <w:rPr>
                <w:rFonts w:hint="eastAsia" w:ascii="宋体" w:hAnsi="宋体" w:eastAsia="宋体" w:cs="宋体"/>
                <w:color w:val="auto"/>
                <w:spacing w:val="-1"/>
                <w:sz w:val="21"/>
                <w:szCs w:val="21"/>
                <w:lang w:eastAsia="zh-CN"/>
              </w:rPr>
              <w:t>地下箱体</w:t>
            </w:r>
            <w:r>
              <w:rPr>
                <w:rFonts w:ascii="宋体" w:hAnsi="宋体" w:eastAsia="宋体" w:cs="宋体"/>
                <w:color w:val="auto"/>
                <w:spacing w:val="-1"/>
                <w:sz w:val="21"/>
                <w:szCs w:val="21"/>
                <w:lang w:eastAsia="zh-CN"/>
              </w:rPr>
              <w:t>；</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空气温度：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≤100℃</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臭气温度：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-5～40℃</w:t>
            </w:r>
          </w:p>
          <w:p>
            <w:pPr>
              <w:pStyle w:val="27"/>
              <w:tabs>
                <w:tab w:val="left" w:pos="2726"/>
              </w:tabs>
              <w:spacing w:before="42"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pH：</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5.5~8.5</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63" w:line="360" w:lineRule="auto"/>
              <w:jc w:val="center"/>
              <w:rPr>
                <w:rFonts w:ascii="宋体" w:hAnsi="宋体" w:eastAsia="宋体" w:cs="宋体"/>
                <w:color w:val="auto"/>
                <w:sz w:val="21"/>
                <w:szCs w:val="21"/>
              </w:rPr>
            </w:pPr>
            <w:r>
              <w:rPr>
                <w:rFonts w:ascii="宋体"/>
                <w:color w:val="auto"/>
                <w:sz w:val="21"/>
              </w:rPr>
              <w:t>13</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z w:val="21"/>
                <w:szCs w:val="21"/>
                <w:lang w:eastAsia="zh-CN"/>
              </w:rPr>
              <w:t>材质要求：</w:t>
            </w:r>
          </w:p>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风机叶轮</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玻璃钢</w:t>
            </w:r>
          </w:p>
          <w:p>
            <w:pPr>
              <w:pStyle w:val="27"/>
              <w:tabs>
                <w:tab w:val="left" w:pos="1363"/>
              </w:tabs>
              <w:spacing w:before="9"/>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风机壳体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360"/>
                <w:tab w:val="left" w:pos="1781"/>
              </w:tabs>
              <w:spacing w:before="44" w:line="278" w:lineRule="auto"/>
              <w:ind w:left="100" w:right="1841"/>
              <w:rPr>
                <w:rFonts w:ascii="宋体" w:hAnsi="宋体" w:eastAsia="宋体" w:cs="宋体"/>
                <w:color w:val="auto"/>
                <w:spacing w:val="-3"/>
                <w:sz w:val="21"/>
                <w:szCs w:val="21"/>
                <w:lang w:eastAsia="zh-CN"/>
              </w:rPr>
            </w:pPr>
            <w:r>
              <w:rPr>
                <w:rFonts w:ascii="宋体" w:hAnsi="宋体" w:eastAsia="宋体" w:cs="宋体"/>
                <w:color w:val="auto"/>
                <w:sz w:val="21"/>
                <w:szCs w:val="21"/>
                <w:lang w:eastAsia="zh-CN"/>
              </w:rPr>
              <w:t>散水泵</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过流部分SS304不锈钢</w:t>
            </w:r>
            <w:r>
              <w:rPr>
                <w:rFonts w:ascii="宋体" w:hAnsi="宋体" w:eastAsia="宋体" w:cs="宋体"/>
                <w:color w:val="auto"/>
                <w:spacing w:val="-1"/>
                <w:sz w:val="21"/>
                <w:szCs w:val="21"/>
                <w:lang w:eastAsia="zh-CN"/>
              </w:rPr>
              <w:t>生物滤池池体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玻璃钢和方管形钢组合件</w:t>
            </w:r>
            <w:r>
              <w:rPr>
                <w:rFonts w:ascii="宋体" w:hAnsi="宋体" w:eastAsia="宋体" w:cs="宋体"/>
                <w:color w:val="auto"/>
                <w:spacing w:val="-1"/>
                <w:sz w:val="21"/>
                <w:szCs w:val="21"/>
                <w:lang w:eastAsia="zh-CN"/>
              </w:rPr>
              <w:t>填料支撑</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玻璃钢格栅、PE</w:t>
            </w:r>
            <w:r>
              <w:rPr>
                <w:rFonts w:ascii="宋体" w:hAnsi="宋体" w:eastAsia="宋体" w:cs="宋体"/>
                <w:color w:val="auto"/>
                <w:spacing w:val="-3"/>
                <w:sz w:val="21"/>
                <w:szCs w:val="21"/>
                <w:lang w:eastAsia="zh-CN"/>
              </w:rPr>
              <w:t>格网</w:t>
            </w:r>
          </w:p>
          <w:p>
            <w:pPr>
              <w:pStyle w:val="27"/>
              <w:tabs>
                <w:tab w:val="left" w:pos="1360"/>
                <w:tab w:val="left" w:pos="1781"/>
              </w:tabs>
              <w:spacing w:before="44" w:line="278" w:lineRule="auto"/>
              <w:ind w:left="100" w:right="1841"/>
              <w:rPr>
                <w:rFonts w:ascii="宋体" w:hAnsi="宋体" w:eastAsia="宋体" w:cs="宋体"/>
                <w:color w:val="auto"/>
                <w:spacing w:val="-1"/>
                <w:sz w:val="21"/>
                <w:szCs w:val="21"/>
                <w:lang w:eastAsia="zh-CN"/>
              </w:rPr>
            </w:pPr>
            <w:r>
              <w:rPr>
                <w:rFonts w:ascii="宋体" w:hAnsi="宋体" w:eastAsia="宋体" w:cs="宋体"/>
                <w:color w:val="auto"/>
                <w:spacing w:val="-1"/>
                <w:sz w:val="21"/>
                <w:szCs w:val="21"/>
                <w:lang w:eastAsia="zh-CN"/>
              </w:rPr>
              <w:t>生物填料</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炭质单一填料</w:t>
            </w:r>
          </w:p>
          <w:p>
            <w:pPr>
              <w:pStyle w:val="27"/>
              <w:tabs>
                <w:tab w:val="left" w:pos="1886"/>
                <w:tab w:val="left" w:pos="2203"/>
              </w:tabs>
              <w:spacing w:line="278" w:lineRule="auto"/>
              <w:ind w:left="100" w:right="1475"/>
              <w:rPr>
                <w:rFonts w:ascii="宋体" w:hAnsi="宋体" w:eastAsia="宋体" w:cs="宋体"/>
                <w:color w:val="auto"/>
                <w:sz w:val="21"/>
                <w:szCs w:val="21"/>
                <w:lang w:eastAsia="zh-CN"/>
              </w:rPr>
            </w:pPr>
            <w:r>
              <w:rPr>
                <w:rFonts w:ascii="宋体" w:hAnsi="宋体" w:eastAsia="宋体" w:cs="宋体"/>
                <w:color w:val="auto"/>
                <w:sz w:val="21"/>
                <w:szCs w:val="21"/>
                <w:lang w:eastAsia="zh-CN"/>
              </w:rPr>
              <w:t>密封罩</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不锈钢304骨架+耐力板4mm</w:t>
            </w:r>
            <w:r>
              <w:rPr>
                <w:rFonts w:ascii="宋体" w:hAnsi="宋体" w:eastAsia="宋体" w:cs="宋体"/>
                <w:color w:val="auto"/>
                <w:spacing w:val="-1"/>
                <w:sz w:val="21"/>
                <w:szCs w:val="21"/>
                <w:lang w:eastAsia="zh-CN"/>
              </w:rPr>
              <w:t>风管及管道配件</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781"/>
              </w:tabs>
              <w:spacing w:before="10"/>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电控柜外壳</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SS304</w:t>
            </w:r>
            <w:r>
              <w:rPr>
                <w:rFonts w:ascii="宋体" w:hAnsi="宋体" w:eastAsia="宋体" w:cs="宋体"/>
                <w:color w:val="auto"/>
                <w:spacing w:val="-1"/>
                <w:sz w:val="21"/>
                <w:szCs w:val="21"/>
                <w:lang w:eastAsia="zh-CN"/>
              </w:rPr>
              <w:t>不锈钢</w:t>
            </w:r>
          </w:p>
          <w:p>
            <w:pPr>
              <w:pStyle w:val="27"/>
              <w:tabs>
                <w:tab w:val="left" w:pos="1781"/>
              </w:tabs>
              <w:spacing w:before="44"/>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水管</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UPVC</w:t>
            </w:r>
          </w:p>
          <w:p>
            <w:pPr>
              <w:pStyle w:val="27"/>
              <w:tabs>
                <w:tab w:val="left" w:pos="1360"/>
                <w:tab w:val="left" w:pos="1781"/>
              </w:tabs>
              <w:spacing w:before="44" w:line="360" w:lineRule="auto"/>
              <w:ind w:left="100" w:right="63"/>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所有连接附件、紧固件</w:t>
            </w:r>
            <w:r>
              <w:rPr>
                <w:rFonts w:ascii="宋体" w:hAnsi="宋体" w:eastAsia="宋体" w:cs="宋体"/>
                <w:color w:val="auto"/>
                <w:spacing w:val="-2"/>
                <w:sz w:val="21"/>
                <w:szCs w:val="21"/>
                <w:lang w:eastAsia="zh-CN"/>
              </w:rPr>
              <w:tab/>
            </w:r>
            <w:r>
              <w:rPr>
                <w:rFonts w:ascii="宋体" w:hAnsi="宋体" w:eastAsia="宋体" w:cs="宋体"/>
                <w:color w:val="auto"/>
                <w:spacing w:val="-1"/>
                <w:sz w:val="21"/>
                <w:szCs w:val="21"/>
                <w:lang w:eastAsia="zh-CN"/>
              </w:rPr>
              <w:t>FRP/UPVC/</w:t>
            </w:r>
            <w:r>
              <w:rPr>
                <w:rFonts w:ascii="宋体" w:hAnsi="宋体" w:eastAsia="宋体" w:cs="宋体"/>
                <w:color w:val="auto"/>
                <w:spacing w:val="-2"/>
                <w:sz w:val="21"/>
                <w:szCs w:val="21"/>
                <w:lang w:eastAsia="zh-CN"/>
              </w:rPr>
              <w:t>碳钢防腐</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14</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spacing w:line="278" w:lineRule="auto"/>
              <w:ind w:left="100" w:right="93"/>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在任何季节、任何气候条件下，除臭系统NH3、H2S</w:t>
            </w:r>
            <w:r>
              <w:rPr>
                <w:rFonts w:ascii="宋体" w:hAnsi="宋体" w:eastAsia="宋体" w:cs="宋体"/>
                <w:color w:val="auto"/>
                <w:sz w:val="21"/>
                <w:szCs w:val="21"/>
                <w:lang w:eastAsia="zh-CN"/>
              </w:rPr>
              <w:t>等重点控制物浓度符合</w:t>
            </w:r>
          </w:p>
          <w:p>
            <w:pPr>
              <w:pStyle w:val="27"/>
              <w:tabs>
                <w:tab w:val="left" w:pos="1992"/>
              </w:tabs>
              <w:spacing w:before="10" w:line="278" w:lineRule="auto"/>
              <w:ind w:left="100" w:right="1001"/>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GB18918-2002</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城镇污水处理厂污染物排放标准</w:t>
            </w:r>
            <w:r>
              <w:rPr>
                <w:rFonts w:ascii="宋体" w:hAnsi="宋体" w:eastAsia="宋体" w:cs="宋体"/>
                <w:color w:val="auto"/>
                <w:sz w:val="21"/>
                <w:szCs w:val="21"/>
                <w:lang w:eastAsia="zh-CN"/>
              </w:rPr>
              <w:t>GB16297-1996</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大气污染物综合排放标准</w:t>
            </w:r>
          </w:p>
          <w:p>
            <w:pPr>
              <w:pStyle w:val="27"/>
              <w:tabs>
                <w:tab w:val="left" w:pos="1992"/>
              </w:tabs>
              <w:spacing w:before="10"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GB14554-93</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恶臭污染物排放标准值</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bl>
    <w:p>
      <w:pPr>
        <w:pStyle w:val="29"/>
        <w:ind w:firstLine="472"/>
        <w:rPr>
          <w:color w:val="auto"/>
        </w:rPr>
      </w:pPr>
    </w:p>
    <w:p>
      <w:pPr>
        <w:pStyle w:val="33"/>
        <w:rPr>
          <w:color w:val="auto"/>
        </w:rPr>
      </w:pPr>
      <w:r>
        <w:rPr>
          <w:rFonts w:hint="eastAsia"/>
          <w:color w:val="auto"/>
        </w:rPr>
        <w:t>9</w:t>
      </w:r>
      <w:r>
        <w:rPr>
          <w:color w:val="auto"/>
        </w:rPr>
        <w:t>#生物除臭设备</w:t>
      </w:r>
    </w:p>
    <w:tbl>
      <w:tblPr>
        <w:tblStyle w:val="25"/>
        <w:tblW w:w="8506" w:type="dxa"/>
        <w:tblInd w:w="112" w:type="dxa"/>
        <w:tblLayout w:type="fixed"/>
        <w:tblCellMar>
          <w:top w:w="0" w:type="dxa"/>
          <w:left w:w="0" w:type="dxa"/>
          <w:bottom w:w="0" w:type="dxa"/>
          <w:right w:w="0" w:type="dxa"/>
        </w:tblCellMar>
      </w:tblPr>
      <w:tblGrid>
        <w:gridCol w:w="811"/>
        <w:gridCol w:w="1558"/>
        <w:gridCol w:w="746"/>
        <w:gridCol w:w="3648"/>
        <w:gridCol w:w="1743"/>
      </w:tblGrid>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序号</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名称</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单位</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b/>
                <w:bCs/>
                <w:color w:val="auto"/>
                <w:sz w:val="21"/>
                <w:szCs w:val="21"/>
              </w:rPr>
              <w:t>性能</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备注</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生物滤池</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套</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5"/>
              <w:rPr>
                <w:rFonts w:ascii="宋体" w:hAnsi="宋体" w:eastAsia="宋体" w:cs="宋体"/>
                <w:color w:val="auto"/>
                <w:sz w:val="11"/>
                <w:szCs w:val="11"/>
                <w:lang w:eastAsia="zh-CN"/>
              </w:rPr>
            </w:pPr>
            <w:r>
              <w:rPr>
                <w:rFonts w:ascii="宋体" w:hAnsi="宋体" w:eastAsia="宋体" w:cs="宋体"/>
                <w:color w:val="auto"/>
                <w:w w:val="110"/>
                <w:sz w:val="21"/>
                <w:szCs w:val="21"/>
                <w:lang w:eastAsia="zh-CN"/>
              </w:rPr>
              <w:t>臭气浓度：3500~4000OU/m³处理气量：Q=</w:t>
            </w:r>
            <w:r>
              <w:rPr>
                <w:rFonts w:hint="eastAsia" w:ascii="宋体" w:hAnsi="宋体" w:eastAsia="宋体" w:cs="宋体"/>
                <w:color w:val="auto"/>
                <w:w w:val="110"/>
                <w:sz w:val="21"/>
                <w:szCs w:val="21"/>
                <w:lang w:eastAsia="zh-CN"/>
              </w:rPr>
              <w:t>36</w:t>
            </w:r>
            <w:r>
              <w:rPr>
                <w:rFonts w:ascii="宋体" w:hAnsi="宋体" w:eastAsia="宋体" w:cs="宋体"/>
                <w:color w:val="auto"/>
                <w:w w:val="110"/>
                <w:sz w:val="21"/>
                <w:szCs w:val="21"/>
                <w:lang w:eastAsia="zh-CN"/>
              </w:rPr>
              <w:t>000m³/h</w:t>
            </w:r>
            <w:r>
              <w:rPr>
                <w:rFonts w:ascii="宋体" w:hAnsi="宋体" w:eastAsia="宋体" w:cs="宋体"/>
                <w:color w:val="auto"/>
                <w:sz w:val="21"/>
                <w:szCs w:val="21"/>
                <w:lang w:eastAsia="zh-CN"/>
              </w:rPr>
              <w:t>生物填料：不小于</w:t>
            </w:r>
            <w:r>
              <w:rPr>
                <w:rFonts w:hint="eastAsia" w:ascii="宋体" w:hAnsi="宋体" w:eastAsia="宋体" w:cs="宋体"/>
                <w:color w:val="auto"/>
                <w:sz w:val="21"/>
                <w:szCs w:val="21"/>
                <w:lang w:eastAsia="zh-CN"/>
              </w:rPr>
              <w:t>121</w:t>
            </w:r>
            <w:r>
              <w:rPr>
                <w:rFonts w:ascii="宋体" w:hAnsi="宋体" w:eastAsia="宋体" w:cs="宋体"/>
                <w:color w:val="auto"/>
                <w:sz w:val="21"/>
                <w:szCs w:val="21"/>
                <w:lang w:eastAsia="zh-CN"/>
              </w:rPr>
              <w:t>m³处理效率&gt;95%臭气与生物填料的接触时间不小于12秒填料厚度应不小于1.6m。除臭塔及填料使用寿命不低于15</w:t>
            </w:r>
            <w:r>
              <w:rPr>
                <w:rFonts w:ascii="宋体" w:hAnsi="宋体" w:eastAsia="宋体" w:cs="宋体"/>
                <w:color w:val="auto"/>
                <w:spacing w:val="-3"/>
                <w:sz w:val="21"/>
                <w:szCs w:val="21"/>
                <w:lang w:eastAsia="zh-CN"/>
              </w:rPr>
              <w:t>年。</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r>
              <w:rPr>
                <w:rFonts w:ascii="宋体" w:hAnsi="宋体" w:eastAsia="宋体" w:cs="宋体"/>
                <w:color w:val="auto"/>
                <w:sz w:val="21"/>
                <w:szCs w:val="21"/>
                <w:lang w:eastAsia="zh-CN"/>
              </w:rPr>
              <w:t>主要由（但不限</w:t>
            </w:r>
            <w:r>
              <w:rPr>
                <w:rFonts w:ascii="宋体" w:hAnsi="宋体" w:eastAsia="宋体" w:cs="宋体"/>
                <w:color w:val="auto"/>
                <w:spacing w:val="-8"/>
                <w:sz w:val="21"/>
                <w:szCs w:val="21"/>
                <w:lang w:eastAsia="zh-CN"/>
              </w:rPr>
              <w:t>于此）生物滤池、</w:t>
            </w:r>
            <w:r>
              <w:rPr>
                <w:rFonts w:ascii="宋体" w:hAnsi="宋体" w:eastAsia="宋体" w:cs="宋体"/>
                <w:color w:val="auto"/>
                <w:sz w:val="21"/>
                <w:szCs w:val="21"/>
                <w:lang w:eastAsia="zh-CN"/>
              </w:rPr>
              <w:t>离心风机、压差计、流量计、散水泵、散水阀门</w:t>
            </w:r>
            <w:r>
              <w:rPr>
                <w:rFonts w:ascii="宋体" w:hAnsi="宋体" w:eastAsia="宋体" w:cs="宋体"/>
                <w:color w:val="auto"/>
                <w:spacing w:val="-8"/>
                <w:sz w:val="21"/>
                <w:szCs w:val="21"/>
                <w:lang w:eastAsia="zh-CN"/>
              </w:rPr>
              <w:t>管道、排放系统、</w:t>
            </w:r>
            <w:r>
              <w:rPr>
                <w:rFonts w:ascii="宋体" w:hAnsi="宋体" w:eastAsia="宋体" w:cs="宋体"/>
                <w:color w:val="auto"/>
                <w:sz w:val="21"/>
                <w:szCs w:val="21"/>
                <w:lang w:eastAsia="zh-CN"/>
              </w:rPr>
              <w:t>硫化氢测量仪、风管调节阀、玻璃钢风管及相关附件、电控箱组成</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2</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离心风机</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1"/>
                <w:sz w:val="21"/>
                <w:szCs w:val="21"/>
              </w:rPr>
              <w:t>Q=0～</w:t>
            </w:r>
            <w:r>
              <w:rPr>
                <w:rFonts w:hint="eastAsia" w:ascii="宋体" w:hAnsi="宋体" w:eastAsia="宋体" w:cs="宋体"/>
                <w:color w:val="auto"/>
                <w:spacing w:val="-1"/>
                <w:sz w:val="21"/>
                <w:szCs w:val="21"/>
                <w:lang w:eastAsia="zh-CN"/>
              </w:rPr>
              <w:t>396</w:t>
            </w:r>
            <w:r>
              <w:rPr>
                <w:rFonts w:ascii="宋体" w:hAnsi="宋体" w:eastAsia="宋体" w:cs="宋体"/>
                <w:color w:val="auto"/>
                <w:spacing w:val="-1"/>
                <w:sz w:val="21"/>
                <w:szCs w:val="21"/>
              </w:rPr>
              <w:t>00m³/h,</w:t>
            </w:r>
            <w:r>
              <w:rPr>
                <w:rFonts w:ascii="宋体" w:hAnsi="宋体" w:eastAsia="宋体" w:cs="宋体"/>
                <w:color w:val="auto"/>
                <w:sz w:val="21"/>
                <w:szCs w:val="21"/>
              </w:rPr>
              <w:t>H=0～2.5KPa,N≈</w:t>
            </w:r>
            <w:r>
              <w:rPr>
                <w:rFonts w:hint="eastAsia" w:ascii="宋体" w:hAnsi="宋体" w:eastAsia="宋体" w:cs="宋体"/>
                <w:color w:val="auto"/>
                <w:sz w:val="21"/>
                <w:szCs w:val="21"/>
                <w:lang w:eastAsia="zh-CN"/>
              </w:rPr>
              <w:t>40</w:t>
            </w:r>
            <w:r>
              <w:rPr>
                <w:rFonts w:ascii="宋体" w:hAnsi="宋体" w:eastAsia="宋体" w:cs="宋体"/>
                <w:color w:val="auto"/>
                <w:sz w:val="21"/>
                <w:szCs w:val="21"/>
              </w:rPr>
              <w:t>kw（暂定）</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446" w:right="440"/>
              <w:rPr>
                <w:rFonts w:ascii="宋体" w:hAnsi="宋体" w:eastAsia="宋体" w:cs="宋体"/>
                <w:color w:val="auto"/>
                <w:sz w:val="21"/>
                <w:szCs w:val="21"/>
              </w:rPr>
            </w:pPr>
            <w:r>
              <w:rPr>
                <w:rFonts w:ascii="宋体" w:hAnsi="宋体" w:eastAsia="宋体" w:cs="宋体"/>
                <w:color w:val="auto"/>
                <w:spacing w:val="-1"/>
                <w:sz w:val="21"/>
                <w:szCs w:val="21"/>
              </w:rPr>
              <w:t>知名品牌变频电机</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3</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散水泵</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30m³/h，20m，4kw</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4</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水箱</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个</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11"/>
                <w:szCs w:val="11"/>
              </w:rPr>
            </w:pPr>
            <w:r>
              <w:rPr>
                <w:rFonts w:ascii="宋体" w:hAnsi="宋体" w:eastAsia="宋体" w:cs="宋体"/>
                <w:color w:val="auto"/>
                <w:sz w:val="21"/>
                <w:szCs w:val="21"/>
              </w:rPr>
              <w:t>有效容积不小于1.5m³</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材质PE或FRP</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5</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压差计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H=0～3KPa</w:t>
            </w:r>
          </w:p>
        </w:tc>
        <w:tc>
          <w:tcPr>
            <w:tcW w:w="1743" w:type="dxa"/>
            <w:tcBorders>
              <w:top w:val="single" w:color="000000" w:sz="6" w:space="0"/>
              <w:left w:val="single" w:color="000000" w:sz="6" w:space="0"/>
              <w:bottom w:val="single" w:color="000000" w:sz="6" w:space="0"/>
              <w:right w:val="single" w:color="000000" w:sz="4" w:space="0"/>
            </w:tcBorders>
            <w:vAlign w:val="center"/>
          </w:tcPr>
          <w:p>
            <w:pPr>
              <w:spacing w:line="360" w:lineRule="auto"/>
              <w:rPr>
                <w:color w:val="auto"/>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6</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流量计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Q=0～100m³/h</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用于测水流量</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7</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硫化氢测量仪</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0～10ppm</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8</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风管调节阀</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12</w:t>
            </w:r>
            <w:r>
              <w:rPr>
                <w:rFonts w:ascii="宋体" w:hAnsi="宋体" w:eastAsia="宋体" w:cs="宋体"/>
                <w:color w:val="auto"/>
                <w:sz w:val="21"/>
                <w:szCs w:val="21"/>
              </w:rPr>
              <w:t>00，PN=0.3Mpa</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9</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玻璃钢风管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color w:val="auto"/>
                <w:sz w:val="21"/>
              </w:rPr>
              <w:t>&gt;10m</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12</w:t>
            </w:r>
            <w:r>
              <w:rPr>
                <w:rFonts w:ascii="宋体" w:hAnsi="宋体" w:eastAsia="宋体" w:cs="宋体"/>
                <w:color w:val="auto"/>
                <w:sz w:val="21"/>
                <w:szCs w:val="21"/>
              </w:rPr>
              <w:t>00；PN=0.3Mpa</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jc w:val="center"/>
              <w:rPr>
                <w:rFonts w:ascii="宋体" w:hAnsi="宋体" w:eastAsia="宋体" w:cs="宋体"/>
                <w:color w:val="auto"/>
                <w:sz w:val="21"/>
                <w:szCs w:val="21"/>
              </w:rPr>
            </w:pPr>
            <w:r>
              <w:rPr>
                <w:rFonts w:ascii="宋体"/>
                <w:color w:val="auto"/>
                <w:sz w:val="21"/>
              </w:rPr>
              <w:t>10</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其他风管管件</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批</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35"/>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变径、弯头、三通等</w:t>
            </w:r>
            <w:r>
              <w:rPr>
                <w:rFonts w:ascii="宋体" w:hAnsi="宋体" w:eastAsia="宋体" w:cs="宋体"/>
                <w:color w:val="auto"/>
                <w:sz w:val="21"/>
                <w:szCs w:val="21"/>
                <w:lang w:eastAsia="zh-CN"/>
              </w:rPr>
              <w:t>FRP</w:t>
            </w:r>
            <w:r>
              <w:rPr>
                <w:rFonts w:ascii="宋体" w:hAnsi="宋体" w:eastAsia="宋体" w:cs="宋体"/>
                <w:color w:val="auto"/>
                <w:spacing w:val="-3"/>
                <w:sz w:val="21"/>
                <w:szCs w:val="21"/>
                <w:lang w:eastAsia="zh-CN"/>
              </w:rPr>
              <w:t>材质</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129"/>
              <w:rPr>
                <w:rFonts w:ascii="宋体" w:hAnsi="宋体" w:eastAsia="宋体" w:cs="宋体"/>
                <w:color w:val="auto"/>
                <w:sz w:val="21"/>
                <w:szCs w:val="21"/>
              </w:rPr>
            </w:pPr>
            <w:r>
              <w:rPr>
                <w:rFonts w:ascii="宋体" w:hAnsi="宋体" w:eastAsia="宋体" w:cs="宋体"/>
                <w:color w:val="auto"/>
                <w:sz w:val="21"/>
                <w:szCs w:val="21"/>
              </w:rPr>
              <w:t>根据详细设计定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电控系统</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套</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2"/>
                <w:sz w:val="21"/>
                <w:szCs w:val="21"/>
                <w:lang w:eastAsia="zh-CN"/>
              </w:rPr>
              <w:t>电控系统包括所有的监测、控制元件及报警、保险丝和主开关等。还包括电控箱及与本设备内部的连接电缆。</w:t>
            </w:r>
            <w:r>
              <w:rPr>
                <w:rFonts w:ascii="宋体" w:hAnsi="宋体" w:eastAsia="宋体" w:cs="宋体"/>
                <w:color w:val="auto"/>
                <w:sz w:val="21"/>
                <w:szCs w:val="21"/>
                <w:lang w:eastAsia="zh-CN"/>
              </w:rPr>
              <w:t>柜体不锈钢304，壁厚1.5mmm</w:t>
            </w:r>
            <w:r>
              <w:rPr>
                <w:rFonts w:ascii="宋体" w:hAnsi="宋体" w:eastAsia="宋体" w:cs="宋体"/>
                <w:color w:val="auto"/>
                <w:spacing w:val="-3"/>
                <w:sz w:val="21"/>
                <w:szCs w:val="21"/>
                <w:lang w:eastAsia="zh-CN"/>
              </w:rPr>
              <w:t>以上</w:t>
            </w:r>
            <w:r>
              <w:rPr>
                <w:rFonts w:ascii="宋体" w:hAnsi="宋体" w:eastAsia="宋体" w:cs="宋体"/>
                <w:color w:val="auto"/>
                <w:sz w:val="21"/>
                <w:szCs w:val="21"/>
                <w:lang w:eastAsia="zh-CN"/>
              </w:rPr>
              <w:t>含通讯功能含系统内电缆（动力及通讯电缆）电源：AC380V/50Hz/3Ph。</w:t>
            </w:r>
            <w:r>
              <w:rPr>
                <w:rFonts w:ascii="宋体" w:hAnsi="宋体" w:eastAsia="宋体" w:cs="宋体"/>
                <w:color w:val="auto"/>
                <w:sz w:val="21"/>
                <w:szCs w:val="21"/>
              </w:rPr>
              <w:t>防护等级：IP55绝缘等级：F。</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760" w:right="125" w:hanging="632"/>
              <w:rPr>
                <w:rFonts w:ascii="宋体" w:hAnsi="宋体" w:eastAsia="宋体" w:cs="宋体"/>
                <w:color w:val="auto"/>
                <w:sz w:val="21"/>
                <w:szCs w:val="21"/>
              </w:rPr>
            </w:pPr>
            <w:r>
              <w:rPr>
                <w:rFonts w:ascii="宋体" w:hAnsi="宋体" w:eastAsia="宋体" w:cs="宋体"/>
                <w:color w:val="auto"/>
                <w:spacing w:val="-1"/>
                <w:sz w:val="21"/>
                <w:szCs w:val="21"/>
              </w:rPr>
              <w:t>通讯协议种类待</w:t>
            </w:r>
            <w:r>
              <w:rPr>
                <w:rFonts w:ascii="宋体" w:hAnsi="宋体" w:eastAsia="宋体" w:cs="宋体"/>
                <w:color w:val="auto"/>
                <w:sz w:val="21"/>
                <w:szCs w:val="21"/>
              </w:rPr>
              <w:t>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12</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spacing w:line="265" w:lineRule="exact"/>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工作条件：</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工作介质：</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市政污</w:t>
            </w:r>
            <w:r>
              <w:rPr>
                <w:rFonts w:hint="eastAsia" w:ascii="宋体" w:hAnsi="宋体" w:eastAsia="宋体" w:cs="宋体"/>
                <w:color w:val="auto"/>
                <w:spacing w:val="-2"/>
                <w:sz w:val="21"/>
                <w:szCs w:val="21"/>
                <w:lang w:eastAsia="zh-CN"/>
              </w:rPr>
              <w:t>泥</w:t>
            </w:r>
            <w:r>
              <w:rPr>
                <w:rFonts w:ascii="宋体" w:hAnsi="宋体" w:eastAsia="宋体" w:cs="宋体"/>
                <w:color w:val="auto"/>
                <w:spacing w:val="-2"/>
                <w:sz w:val="21"/>
                <w:szCs w:val="21"/>
                <w:lang w:eastAsia="zh-CN"/>
              </w:rPr>
              <w:t>混合致臭气体，</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工作位置：</w:t>
            </w:r>
            <w:r>
              <w:rPr>
                <w:rFonts w:ascii="宋体" w:hAnsi="宋体" w:eastAsia="宋体" w:cs="宋体"/>
                <w:color w:val="auto"/>
                <w:spacing w:val="-1"/>
                <w:sz w:val="21"/>
                <w:szCs w:val="21"/>
                <w:lang w:eastAsia="zh-CN"/>
              </w:rPr>
              <w:tab/>
            </w:r>
            <w:r>
              <w:rPr>
                <w:rFonts w:hint="eastAsia" w:ascii="宋体" w:hAnsi="宋体" w:eastAsia="宋体" w:cs="宋体"/>
                <w:color w:val="auto"/>
                <w:spacing w:val="-1"/>
                <w:sz w:val="21"/>
                <w:szCs w:val="21"/>
                <w:lang w:eastAsia="zh-CN"/>
              </w:rPr>
              <w:t>地上室内</w:t>
            </w:r>
            <w:r>
              <w:rPr>
                <w:rFonts w:ascii="宋体" w:hAnsi="宋体" w:eastAsia="宋体" w:cs="宋体"/>
                <w:color w:val="auto"/>
                <w:spacing w:val="-1"/>
                <w:sz w:val="21"/>
                <w:szCs w:val="21"/>
                <w:lang w:eastAsia="zh-CN"/>
              </w:rPr>
              <w:t>；</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空气温度：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≤100℃</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臭气温度：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-5～40℃</w:t>
            </w:r>
          </w:p>
          <w:p>
            <w:pPr>
              <w:pStyle w:val="27"/>
              <w:tabs>
                <w:tab w:val="left" w:pos="2726"/>
              </w:tabs>
              <w:spacing w:before="42"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pH：</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5.5~8.5</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63" w:line="360" w:lineRule="auto"/>
              <w:jc w:val="center"/>
              <w:rPr>
                <w:rFonts w:ascii="宋体" w:hAnsi="宋体" w:eastAsia="宋体" w:cs="宋体"/>
                <w:color w:val="auto"/>
                <w:sz w:val="21"/>
                <w:szCs w:val="21"/>
              </w:rPr>
            </w:pPr>
            <w:r>
              <w:rPr>
                <w:rFonts w:ascii="宋体"/>
                <w:color w:val="auto"/>
                <w:sz w:val="21"/>
              </w:rPr>
              <w:t>13</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z w:val="21"/>
                <w:szCs w:val="21"/>
                <w:lang w:eastAsia="zh-CN"/>
              </w:rPr>
              <w:t>材质要求：</w:t>
            </w:r>
          </w:p>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风机叶轮</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玻璃钢</w:t>
            </w:r>
          </w:p>
          <w:p>
            <w:pPr>
              <w:pStyle w:val="27"/>
              <w:tabs>
                <w:tab w:val="left" w:pos="1363"/>
              </w:tabs>
              <w:spacing w:before="9"/>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风机壳体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360"/>
                <w:tab w:val="left" w:pos="1781"/>
              </w:tabs>
              <w:spacing w:before="44" w:line="278" w:lineRule="auto"/>
              <w:ind w:left="100" w:right="1841"/>
              <w:rPr>
                <w:rFonts w:ascii="宋体" w:hAnsi="宋体" w:eastAsia="宋体" w:cs="宋体"/>
                <w:color w:val="auto"/>
                <w:spacing w:val="-3"/>
                <w:sz w:val="21"/>
                <w:szCs w:val="21"/>
                <w:lang w:eastAsia="zh-CN"/>
              </w:rPr>
            </w:pPr>
            <w:r>
              <w:rPr>
                <w:rFonts w:ascii="宋体" w:hAnsi="宋体" w:eastAsia="宋体" w:cs="宋体"/>
                <w:color w:val="auto"/>
                <w:sz w:val="21"/>
                <w:szCs w:val="21"/>
                <w:lang w:eastAsia="zh-CN"/>
              </w:rPr>
              <w:t>散水泵</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过流部分SS304不锈钢</w:t>
            </w:r>
            <w:r>
              <w:rPr>
                <w:rFonts w:ascii="宋体" w:hAnsi="宋体" w:eastAsia="宋体" w:cs="宋体"/>
                <w:color w:val="auto"/>
                <w:spacing w:val="-1"/>
                <w:sz w:val="21"/>
                <w:szCs w:val="21"/>
                <w:lang w:eastAsia="zh-CN"/>
              </w:rPr>
              <w:t>生物滤池池体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玻璃钢和方管形钢组合件</w:t>
            </w:r>
            <w:r>
              <w:rPr>
                <w:rFonts w:ascii="宋体" w:hAnsi="宋体" w:eastAsia="宋体" w:cs="宋体"/>
                <w:color w:val="auto"/>
                <w:spacing w:val="-1"/>
                <w:sz w:val="21"/>
                <w:szCs w:val="21"/>
                <w:lang w:eastAsia="zh-CN"/>
              </w:rPr>
              <w:t>填料支撑</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玻璃钢格栅、PE</w:t>
            </w:r>
            <w:r>
              <w:rPr>
                <w:rFonts w:ascii="宋体" w:hAnsi="宋体" w:eastAsia="宋体" w:cs="宋体"/>
                <w:color w:val="auto"/>
                <w:spacing w:val="-3"/>
                <w:sz w:val="21"/>
                <w:szCs w:val="21"/>
                <w:lang w:eastAsia="zh-CN"/>
              </w:rPr>
              <w:t>格网</w:t>
            </w:r>
          </w:p>
          <w:p>
            <w:pPr>
              <w:pStyle w:val="27"/>
              <w:tabs>
                <w:tab w:val="left" w:pos="1360"/>
                <w:tab w:val="left" w:pos="1781"/>
              </w:tabs>
              <w:spacing w:before="44" w:line="278" w:lineRule="auto"/>
              <w:ind w:left="100" w:right="1841"/>
              <w:rPr>
                <w:rFonts w:ascii="宋体" w:hAnsi="宋体" w:eastAsia="宋体" w:cs="宋体"/>
                <w:color w:val="auto"/>
                <w:spacing w:val="-1"/>
                <w:sz w:val="21"/>
                <w:szCs w:val="21"/>
                <w:lang w:eastAsia="zh-CN"/>
              </w:rPr>
            </w:pPr>
            <w:r>
              <w:rPr>
                <w:rFonts w:ascii="宋体" w:hAnsi="宋体" w:eastAsia="宋体" w:cs="宋体"/>
                <w:color w:val="auto"/>
                <w:spacing w:val="-1"/>
                <w:sz w:val="21"/>
                <w:szCs w:val="21"/>
                <w:lang w:eastAsia="zh-CN"/>
              </w:rPr>
              <w:t>生物填料</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炭质单一填料</w:t>
            </w:r>
          </w:p>
          <w:p>
            <w:pPr>
              <w:pStyle w:val="27"/>
              <w:tabs>
                <w:tab w:val="left" w:pos="1886"/>
                <w:tab w:val="left" w:pos="2203"/>
              </w:tabs>
              <w:spacing w:line="278" w:lineRule="auto"/>
              <w:ind w:left="100" w:right="1475"/>
              <w:rPr>
                <w:rFonts w:ascii="宋体" w:hAnsi="宋体" w:eastAsia="宋体" w:cs="宋体"/>
                <w:color w:val="auto"/>
                <w:sz w:val="21"/>
                <w:szCs w:val="21"/>
                <w:lang w:eastAsia="zh-CN"/>
              </w:rPr>
            </w:pPr>
            <w:r>
              <w:rPr>
                <w:rFonts w:ascii="宋体" w:hAnsi="宋体" w:eastAsia="宋体" w:cs="宋体"/>
                <w:color w:val="auto"/>
                <w:sz w:val="21"/>
                <w:szCs w:val="21"/>
                <w:lang w:eastAsia="zh-CN"/>
              </w:rPr>
              <w:t>密封罩</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不锈钢304骨架+耐力板4mm</w:t>
            </w:r>
            <w:r>
              <w:rPr>
                <w:rFonts w:ascii="宋体" w:hAnsi="宋体" w:eastAsia="宋体" w:cs="宋体"/>
                <w:color w:val="auto"/>
                <w:spacing w:val="-1"/>
                <w:sz w:val="21"/>
                <w:szCs w:val="21"/>
                <w:lang w:eastAsia="zh-CN"/>
              </w:rPr>
              <w:t>风管及管道配件</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781"/>
              </w:tabs>
              <w:spacing w:before="10"/>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电控柜外壳</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SS304</w:t>
            </w:r>
            <w:r>
              <w:rPr>
                <w:rFonts w:ascii="宋体" w:hAnsi="宋体" w:eastAsia="宋体" w:cs="宋体"/>
                <w:color w:val="auto"/>
                <w:spacing w:val="-1"/>
                <w:sz w:val="21"/>
                <w:szCs w:val="21"/>
                <w:lang w:eastAsia="zh-CN"/>
              </w:rPr>
              <w:t>不锈钢</w:t>
            </w:r>
          </w:p>
          <w:p>
            <w:pPr>
              <w:pStyle w:val="27"/>
              <w:tabs>
                <w:tab w:val="left" w:pos="1781"/>
              </w:tabs>
              <w:spacing w:before="44"/>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水管</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UPVC</w:t>
            </w:r>
          </w:p>
          <w:p>
            <w:pPr>
              <w:pStyle w:val="27"/>
              <w:tabs>
                <w:tab w:val="left" w:pos="1360"/>
                <w:tab w:val="left" w:pos="1781"/>
              </w:tabs>
              <w:spacing w:before="44" w:line="360" w:lineRule="auto"/>
              <w:ind w:left="100" w:right="63"/>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所有连接附件、紧固件</w:t>
            </w:r>
            <w:r>
              <w:rPr>
                <w:rFonts w:ascii="宋体" w:hAnsi="宋体" w:eastAsia="宋体" w:cs="宋体"/>
                <w:color w:val="auto"/>
                <w:spacing w:val="-2"/>
                <w:sz w:val="21"/>
                <w:szCs w:val="21"/>
                <w:lang w:eastAsia="zh-CN"/>
              </w:rPr>
              <w:tab/>
            </w:r>
            <w:r>
              <w:rPr>
                <w:rFonts w:ascii="宋体" w:hAnsi="宋体" w:eastAsia="宋体" w:cs="宋体"/>
                <w:color w:val="auto"/>
                <w:spacing w:val="-1"/>
                <w:sz w:val="21"/>
                <w:szCs w:val="21"/>
                <w:lang w:eastAsia="zh-CN"/>
              </w:rPr>
              <w:t>FRP/UPVC/</w:t>
            </w:r>
            <w:r>
              <w:rPr>
                <w:rFonts w:ascii="宋体" w:hAnsi="宋体" w:eastAsia="宋体" w:cs="宋体"/>
                <w:color w:val="auto"/>
                <w:spacing w:val="-2"/>
                <w:sz w:val="21"/>
                <w:szCs w:val="21"/>
                <w:lang w:eastAsia="zh-CN"/>
              </w:rPr>
              <w:t>碳钢防腐</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14</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spacing w:line="278" w:lineRule="auto"/>
              <w:ind w:left="100" w:right="93"/>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在任何季节、任何气候条件下，除臭系统NH3、H2S</w:t>
            </w:r>
            <w:r>
              <w:rPr>
                <w:rFonts w:ascii="宋体" w:hAnsi="宋体" w:eastAsia="宋体" w:cs="宋体"/>
                <w:color w:val="auto"/>
                <w:sz w:val="21"/>
                <w:szCs w:val="21"/>
                <w:lang w:eastAsia="zh-CN"/>
              </w:rPr>
              <w:t>等重点控制物浓度符合</w:t>
            </w:r>
          </w:p>
          <w:p>
            <w:pPr>
              <w:pStyle w:val="27"/>
              <w:tabs>
                <w:tab w:val="left" w:pos="1992"/>
              </w:tabs>
              <w:spacing w:before="10" w:line="278" w:lineRule="auto"/>
              <w:ind w:left="100" w:right="1001"/>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GB18918-2002</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城镇污水处理厂污染物排放标准</w:t>
            </w:r>
            <w:r>
              <w:rPr>
                <w:rFonts w:ascii="宋体" w:hAnsi="宋体" w:eastAsia="宋体" w:cs="宋体"/>
                <w:color w:val="auto"/>
                <w:sz w:val="21"/>
                <w:szCs w:val="21"/>
                <w:lang w:eastAsia="zh-CN"/>
              </w:rPr>
              <w:t>GB16297-1996</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大气污染物综合排放标准</w:t>
            </w:r>
          </w:p>
          <w:p>
            <w:pPr>
              <w:pStyle w:val="27"/>
              <w:tabs>
                <w:tab w:val="left" w:pos="1992"/>
              </w:tabs>
              <w:spacing w:before="10"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GB14554-93</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恶臭污染物排放标准值</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bl>
    <w:p>
      <w:pPr>
        <w:pStyle w:val="29"/>
        <w:ind w:firstLine="472"/>
        <w:rPr>
          <w:color w:val="auto"/>
        </w:rPr>
      </w:pPr>
    </w:p>
    <w:p>
      <w:pPr>
        <w:pStyle w:val="33"/>
        <w:rPr>
          <w:color w:val="auto"/>
        </w:rPr>
      </w:pPr>
      <w:r>
        <w:rPr>
          <w:rFonts w:hint="eastAsia"/>
          <w:color w:val="auto"/>
        </w:rPr>
        <w:t>10</w:t>
      </w:r>
      <w:r>
        <w:rPr>
          <w:color w:val="auto"/>
        </w:rPr>
        <w:t>#生物除臭设备</w:t>
      </w:r>
    </w:p>
    <w:tbl>
      <w:tblPr>
        <w:tblStyle w:val="25"/>
        <w:tblW w:w="8506" w:type="dxa"/>
        <w:tblInd w:w="112" w:type="dxa"/>
        <w:tblLayout w:type="fixed"/>
        <w:tblCellMar>
          <w:top w:w="0" w:type="dxa"/>
          <w:left w:w="0" w:type="dxa"/>
          <w:bottom w:w="0" w:type="dxa"/>
          <w:right w:w="0" w:type="dxa"/>
        </w:tblCellMar>
      </w:tblPr>
      <w:tblGrid>
        <w:gridCol w:w="811"/>
        <w:gridCol w:w="1558"/>
        <w:gridCol w:w="746"/>
        <w:gridCol w:w="3648"/>
        <w:gridCol w:w="1743"/>
      </w:tblGrid>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序号</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名称</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hAnsi="宋体" w:eastAsia="宋体" w:cs="宋体"/>
                <w:b/>
                <w:bCs/>
                <w:color w:val="auto"/>
                <w:sz w:val="21"/>
                <w:szCs w:val="21"/>
              </w:rPr>
              <w:t>单位</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b/>
                <w:bCs/>
                <w:color w:val="auto"/>
                <w:sz w:val="21"/>
                <w:szCs w:val="21"/>
              </w:rPr>
              <w:t>性能</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b/>
                <w:bCs/>
                <w:color w:val="auto"/>
                <w:sz w:val="21"/>
                <w:szCs w:val="21"/>
              </w:rPr>
              <w:t>备注</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生物滤池</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套</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5"/>
              <w:rPr>
                <w:rFonts w:ascii="宋体" w:hAnsi="宋体" w:eastAsia="宋体" w:cs="宋体"/>
                <w:color w:val="auto"/>
                <w:sz w:val="11"/>
                <w:szCs w:val="11"/>
                <w:lang w:eastAsia="zh-CN"/>
              </w:rPr>
            </w:pPr>
            <w:r>
              <w:rPr>
                <w:rFonts w:ascii="宋体" w:hAnsi="宋体" w:eastAsia="宋体" w:cs="宋体"/>
                <w:color w:val="auto"/>
                <w:w w:val="110"/>
                <w:sz w:val="21"/>
                <w:szCs w:val="21"/>
                <w:lang w:eastAsia="zh-CN"/>
              </w:rPr>
              <w:t>臭气浓度：3500~4000OU/m³处理气量：Q=</w:t>
            </w:r>
            <w:r>
              <w:rPr>
                <w:rFonts w:hint="eastAsia" w:ascii="宋体" w:hAnsi="宋体" w:eastAsia="宋体" w:cs="宋体"/>
                <w:color w:val="auto"/>
                <w:w w:val="110"/>
                <w:sz w:val="21"/>
                <w:szCs w:val="21"/>
                <w:lang w:eastAsia="zh-CN"/>
              </w:rPr>
              <w:t>7</w:t>
            </w:r>
            <w:r>
              <w:rPr>
                <w:rFonts w:ascii="宋体" w:hAnsi="宋体" w:eastAsia="宋体" w:cs="宋体"/>
                <w:color w:val="auto"/>
                <w:w w:val="110"/>
                <w:sz w:val="21"/>
                <w:szCs w:val="21"/>
                <w:lang w:eastAsia="zh-CN"/>
              </w:rPr>
              <w:t>000m³/h</w:t>
            </w:r>
            <w:r>
              <w:rPr>
                <w:rFonts w:ascii="宋体" w:hAnsi="宋体" w:eastAsia="宋体" w:cs="宋体"/>
                <w:color w:val="auto"/>
                <w:sz w:val="21"/>
                <w:szCs w:val="21"/>
                <w:lang w:eastAsia="zh-CN"/>
              </w:rPr>
              <w:t>生物填料：不小于</w:t>
            </w:r>
            <w:r>
              <w:rPr>
                <w:rFonts w:hint="eastAsia" w:ascii="宋体" w:hAnsi="宋体" w:eastAsia="宋体" w:cs="宋体"/>
                <w:color w:val="auto"/>
                <w:sz w:val="21"/>
                <w:szCs w:val="21"/>
                <w:lang w:eastAsia="zh-CN"/>
              </w:rPr>
              <w:t>25</w:t>
            </w:r>
            <w:r>
              <w:rPr>
                <w:rFonts w:ascii="宋体" w:hAnsi="宋体" w:eastAsia="宋体" w:cs="宋体"/>
                <w:color w:val="auto"/>
                <w:sz w:val="21"/>
                <w:szCs w:val="21"/>
                <w:lang w:eastAsia="zh-CN"/>
              </w:rPr>
              <w:t>m³处理效率&gt;95%臭气与生物填料的接触时间不小于12秒填料厚度应不小于1.6m。除臭塔及填料使用寿命不低于15</w:t>
            </w:r>
            <w:r>
              <w:rPr>
                <w:rFonts w:ascii="宋体" w:hAnsi="宋体" w:eastAsia="宋体" w:cs="宋体"/>
                <w:color w:val="auto"/>
                <w:spacing w:val="-3"/>
                <w:sz w:val="21"/>
                <w:szCs w:val="21"/>
                <w:lang w:eastAsia="zh-CN"/>
              </w:rPr>
              <w:t>年。</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r>
              <w:rPr>
                <w:rFonts w:ascii="宋体" w:hAnsi="宋体" w:eastAsia="宋体" w:cs="宋体"/>
                <w:color w:val="auto"/>
                <w:sz w:val="21"/>
                <w:szCs w:val="21"/>
                <w:lang w:eastAsia="zh-CN"/>
              </w:rPr>
              <w:t>主要由（但不限</w:t>
            </w:r>
            <w:r>
              <w:rPr>
                <w:rFonts w:ascii="宋体" w:hAnsi="宋体" w:eastAsia="宋体" w:cs="宋体"/>
                <w:color w:val="auto"/>
                <w:spacing w:val="-8"/>
                <w:sz w:val="21"/>
                <w:szCs w:val="21"/>
                <w:lang w:eastAsia="zh-CN"/>
              </w:rPr>
              <w:t>于此）生物滤池、</w:t>
            </w:r>
            <w:r>
              <w:rPr>
                <w:rFonts w:ascii="宋体" w:hAnsi="宋体" w:eastAsia="宋体" w:cs="宋体"/>
                <w:color w:val="auto"/>
                <w:sz w:val="21"/>
                <w:szCs w:val="21"/>
                <w:lang w:eastAsia="zh-CN"/>
              </w:rPr>
              <w:t>离心风机、压差计、流量计、散水泵、散水阀门</w:t>
            </w:r>
            <w:r>
              <w:rPr>
                <w:rFonts w:ascii="宋体" w:hAnsi="宋体" w:eastAsia="宋体" w:cs="宋体"/>
                <w:color w:val="auto"/>
                <w:spacing w:val="-8"/>
                <w:sz w:val="21"/>
                <w:szCs w:val="21"/>
                <w:lang w:eastAsia="zh-CN"/>
              </w:rPr>
              <w:t>管道、排放系统、</w:t>
            </w:r>
            <w:r>
              <w:rPr>
                <w:rFonts w:ascii="宋体" w:hAnsi="宋体" w:eastAsia="宋体" w:cs="宋体"/>
                <w:color w:val="auto"/>
                <w:sz w:val="21"/>
                <w:szCs w:val="21"/>
                <w:lang w:eastAsia="zh-CN"/>
              </w:rPr>
              <w:t>硫化氢测量仪、风管调节阀、玻璃钢风管及相关附件、电控箱组成</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2</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离心风机</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1"/>
                <w:sz w:val="21"/>
                <w:szCs w:val="21"/>
              </w:rPr>
              <w:t>Q=0～</w:t>
            </w:r>
            <w:r>
              <w:rPr>
                <w:rFonts w:hint="eastAsia" w:ascii="宋体" w:hAnsi="宋体" w:eastAsia="宋体" w:cs="宋体"/>
                <w:color w:val="auto"/>
                <w:spacing w:val="-1"/>
                <w:sz w:val="21"/>
                <w:szCs w:val="21"/>
                <w:lang w:eastAsia="zh-CN"/>
              </w:rPr>
              <w:t>77</w:t>
            </w:r>
            <w:r>
              <w:rPr>
                <w:rFonts w:ascii="宋体" w:hAnsi="宋体" w:eastAsia="宋体" w:cs="宋体"/>
                <w:color w:val="auto"/>
                <w:spacing w:val="-1"/>
                <w:sz w:val="21"/>
                <w:szCs w:val="21"/>
              </w:rPr>
              <w:t>00m³/h,</w:t>
            </w:r>
            <w:r>
              <w:rPr>
                <w:rFonts w:ascii="宋体" w:hAnsi="宋体" w:eastAsia="宋体" w:cs="宋体"/>
                <w:color w:val="auto"/>
                <w:sz w:val="21"/>
                <w:szCs w:val="21"/>
              </w:rPr>
              <w:t>H=0～2.5KPa,N≈</w:t>
            </w:r>
            <w:r>
              <w:rPr>
                <w:rFonts w:hint="eastAsia" w:ascii="宋体" w:hAnsi="宋体" w:eastAsia="宋体" w:cs="宋体"/>
                <w:color w:val="auto"/>
                <w:sz w:val="21"/>
                <w:szCs w:val="21"/>
                <w:lang w:eastAsia="zh-CN"/>
              </w:rPr>
              <w:t>8</w:t>
            </w:r>
            <w:r>
              <w:rPr>
                <w:rFonts w:ascii="宋体" w:hAnsi="宋体" w:eastAsia="宋体" w:cs="宋体"/>
                <w:color w:val="auto"/>
                <w:sz w:val="21"/>
                <w:szCs w:val="21"/>
              </w:rPr>
              <w:t>kw（暂定）</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446" w:right="440"/>
              <w:rPr>
                <w:rFonts w:ascii="宋体" w:hAnsi="宋体" w:eastAsia="宋体" w:cs="宋体"/>
                <w:color w:val="auto"/>
                <w:sz w:val="21"/>
                <w:szCs w:val="21"/>
              </w:rPr>
            </w:pPr>
            <w:r>
              <w:rPr>
                <w:rFonts w:ascii="宋体" w:hAnsi="宋体" w:eastAsia="宋体" w:cs="宋体"/>
                <w:color w:val="auto"/>
                <w:spacing w:val="-1"/>
                <w:sz w:val="21"/>
                <w:szCs w:val="21"/>
              </w:rPr>
              <w:t>知名品牌变频电机</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3</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散水泵</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30m³/h，20m，4kw</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4</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水箱</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个</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11"/>
                <w:szCs w:val="11"/>
              </w:rPr>
            </w:pPr>
            <w:r>
              <w:rPr>
                <w:rFonts w:ascii="宋体" w:hAnsi="宋体" w:eastAsia="宋体" w:cs="宋体"/>
                <w:color w:val="auto"/>
                <w:sz w:val="21"/>
                <w:szCs w:val="21"/>
              </w:rPr>
              <w:t>有效容积不小于1.5m³</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材质PE或FRP</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5</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压差计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H=0～3KPa</w:t>
            </w:r>
          </w:p>
        </w:tc>
        <w:tc>
          <w:tcPr>
            <w:tcW w:w="1743" w:type="dxa"/>
            <w:tcBorders>
              <w:top w:val="single" w:color="000000" w:sz="6" w:space="0"/>
              <w:left w:val="single" w:color="000000" w:sz="6" w:space="0"/>
              <w:bottom w:val="single" w:color="000000" w:sz="6" w:space="0"/>
              <w:right w:val="single" w:color="000000" w:sz="4" w:space="0"/>
            </w:tcBorders>
            <w:vAlign w:val="center"/>
          </w:tcPr>
          <w:p>
            <w:pPr>
              <w:spacing w:line="360" w:lineRule="auto"/>
              <w:rPr>
                <w:color w:val="auto"/>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6</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流量计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Q=0～100m³/h</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用于测水流量</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7</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硫化氢测量仪</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0～10ppm</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446"/>
              <w:rPr>
                <w:rFonts w:ascii="宋体" w:hAnsi="宋体" w:eastAsia="宋体" w:cs="宋体"/>
                <w:color w:val="auto"/>
                <w:sz w:val="21"/>
                <w:szCs w:val="21"/>
              </w:rPr>
            </w:pPr>
            <w:r>
              <w:rPr>
                <w:rFonts w:ascii="宋体" w:hAnsi="宋体" w:eastAsia="宋体" w:cs="宋体"/>
                <w:color w:val="auto"/>
                <w:sz w:val="21"/>
                <w:szCs w:val="21"/>
              </w:rPr>
              <w:t>知名品牌</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8</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风管调节阀</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台</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5</w:t>
            </w:r>
            <w:r>
              <w:rPr>
                <w:rFonts w:ascii="宋体" w:hAnsi="宋体" w:eastAsia="宋体" w:cs="宋体"/>
                <w:color w:val="auto"/>
                <w:sz w:val="21"/>
                <w:szCs w:val="21"/>
              </w:rPr>
              <w:t>00，PN=0.3Mpa</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9</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4"/>
              <w:jc w:val="center"/>
              <w:rPr>
                <w:rFonts w:ascii="宋体" w:hAnsi="宋体" w:eastAsia="宋体" w:cs="宋体"/>
                <w:color w:val="auto"/>
                <w:sz w:val="21"/>
                <w:szCs w:val="21"/>
              </w:rPr>
            </w:pPr>
            <w:r>
              <w:rPr>
                <w:rFonts w:ascii="宋体" w:hAnsi="宋体" w:eastAsia="宋体" w:cs="宋体"/>
                <w:color w:val="auto"/>
                <w:sz w:val="21"/>
                <w:szCs w:val="21"/>
              </w:rPr>
              <w:t>玻璃钢风管</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ascii="宋体"/>
                <w:color w:val="auto"/>
                <w:sz w:val="21"/>
              </w:rPr>
              <w:t>&gt;10m</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Pr>
                <w:rFonts w:ascii="宋体" w:hAnsi="宋体" w:eastAsia="宋体" w:cs="宋体"/>
                <w:color w:val="auto"/>
                <w:sz w:val="21"/>
                <w:szCs w:val="21"/>
              </w:rPr>
            </w:pPr>
            <w:r>
              <w:rPr>
                <w:rFonts w:ascii="宋体" w:hAnsi="宋体" w:eastAsia="宋体" w:cs="宋体"/>
                <w:color w:val="auto"/>
                <w:sz w:val="21"/>
                <w:szCs w:val="21"/>
              </w:rPr>
              <w:t>D</w:t>
            </w:r>
            <w:r>
              <w:rPr>
                <w:rFonts w:hint="eastAsia" w:ascii="宋体" w:hAnsi="宋体" w:eastAsia="宋体" w:cs="宋体"/>
                <w:color w:val="auto"/>
                <w:sz w:val="21"/>
                <w:szCs w:val="21"/>
                <w:lang w:eastAsia="zh-CN"/>
              </w:rPr>
              <w:t>5</w:t>
            </w:r>
            <w:r>
              <w:rPr>
                <w:rFonts w:ascii="宋体" w:hAnsi="宋体" w:eastAsia="宋体" w:cs="宋体"/>
                <w:color w:val="auto"/>
                <w:sz w:val="21"/>
                <w:szCs w:val="21"/>
              </w:rPr>
              <w:t>00；PN=0.3Mpa</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235"/>
              <w:rPr>
                <w:rFonts w:ascii="宋体" w:hAnsi="宋体" w:eastAsia="宋体" w:cs="宋体"/>
                <w:color w:val="auto"/>
                <w:sz w:val="21"/>
                <w:szCs w:val="21"/>
              </w:rPr>
            </w:pPr>
            <w:r>
              <w:rPr>
                <w:rFonts w:ascii="宋体" w:hAnsi="宋体" w:eastAsia="宋体" w:cs="宋体"/>
                <w:color w:val="auto"/>
                <w:sz w:val="21"/>
                <w:szCs w:val="21"/>
              </w:rPr>
              <w:t>断面尺寸可调</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jc w:val="center"/>
              <w:rPr>
                <w:rFonts w:ascii="宋体" w:hAnsi="宋体" w:eastAsia="宋体" w:cs="宋体"/>
                <w:color w:val="auto"/>
                <w:sz w:val="21"/>
                <w:szCs w:val="21"/>
              </w:rPr>
            </w:pPr>
            <w:r>
              <w:rPr>
                <w:rFonts w:ascii="宋体"/>
                <w:color w:val="auto"/>
                <w:sz w:val="21"/>
              </w:rPr>
              <w:t>10</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其他风管管件</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before="150"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批</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03" w:right="1635"/>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变径、弯头、三通等</w:t>
            </w:r>
            <w:r>
              <w:rPr>
                <w:rFonts w:ascii="宋体" w:hAnsi="宋体" w:eastAsia="宋体" w:cs="宋体"/>
                <w:color w:val="auto"/>
                <w:sz w:val="21"/>
                <w:szCs w:val="21"/>
                <w:lang w:eastAsia="zh-CN"/>
              </w:rPr>
              <w:t>FRP</w:t>
            </w:r>
            <w:r>
              <w:rPr>
                <w:rFonts w:ascii="宋体" w:hAnsi="宋体" w:eastAsia="宋体" w:cs="宋体"/>
                <w:color w:val="auto"/>
                <w:spacing w:val="-3"/>
                <w:sz w:val="21"/>
                <w:szCs w:val="21"/>
                <w:lang w:eastAsia="zh-CN"/>
              </w:rPr>
              <w:t>材质</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before="150" w:line="360" w:lineRule="auto"/>
              <w:ind w:left="129"/>
              <w:rPr>
                <w:rFonts w:ascii="宋体" w:hAnsi="宋体" w:eastAsia="宋体" w:cs="宋体"/>
                <w:color w:val="auto"/>
                <w:sz w:val="21"/>
                <w:szCs w:val="21"/>
              </w:rPr>
            </w:pPr>
            <w:r>
              <w:rPr>
                <w:rFonts w:ascii="宋体" w:hAnsi="宋体" w:eastAsia="宋体" w:cs="宋体"/>
                <w:color w:val="auto"/>
                <w:sz w:val="21"/>
                <w:szCs w:val="21"/>
              </w:rPr>
              <w:t>根据详细设计定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11</w:t>
            </w:r>
          </w:p>
        </w:tc>
        <w:tc>
          <w:tcPr>
            <w:tcW w:w="1558"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1"/>
              <w:jc w:val="center"/>
              <w:rPr>
                <w:rFonts w:ascii="宋体" w:hAnsi="宋体" w:eastAsia="宋体" w:cs="宋体"/>
                <w:color w:val="auto"/>
                <w:sz w:val="21"/>
                <w:szCs w:val="21"/>
              </w:rPr>
            </w:pPr>
            <w:r>
              <w:rPr>
                <w:rFonts w:ascii="宋体" w:hAnsi="宋体" w:eastAsia="宋体" w:cs="宋体"/>
                <w:color w:val="auto"/>
                <w:sz w:val="21"/>
                <w:szCs w:val="21"/>
              </w:rPr>
              <w:t>电控系统</w:t>
            </w:r>
          </w:p>
        </w:tc>
        <w:tc>
          <w:tcPr>
            <w:tcW w:w="746"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ind w:left="2"/>
              <w:jc w:val="center"/>
              <w:rPr>
                <w:rFonts w:ascii="宋体" w:hAnsi="宋体" w:eastAsia="宋体" w:cs="宋体"/>
                <w:color w:val="auto"/>
                <w:sz w:val="21"/>
                <w:szCs w:val="21"/>
              </w:rPr>
            </w:pPr>
            <w:r>
              <w:rPr>
                <w:rFonts w:hint="eastAsia" w:ascii="宋体" w:hAnsi="宋体" w:eastAsia="宋体" w:cs="宋体"/>
                <w:color w:val="auto"/>
                <w:sz w:val="21"/>
                <w:szCs w:val="21"/>
                <w:lang w:eastAsia="zh-CN"/>
              </w:rPr>
              <w:t>1</w:t>
            </w:r>
            <w:r>
              <w:rPr>
                <w:rFonts w:ascii="宋体" w:hAnsi="宋体" w:eastAsia="宋体" w:cs="宋体"/>
                <w:color w:val="auto"/>
                <w:sz w:val="21"/>
                <w:szCs w:val="21"/>
              </w:rPr>
              <w:t>套</w:t>
            </w:r>
          </w:p>
        </w:tc>
        <w:tc>
          <w:tcPr>
            <w:tcW w:w="3648" w:type="dxa"/>
            <w:tcBorders>
              <w:top w:val="single" w:color="000000" w:sz="6" w:space="0"/>
              <w:left w:val="single" w:color="000000" w:sz="6" w:space="0"/>
              <w:bottom w:val="single" w:color="000000" w:sz="6" w:space="0"/>
              <w:right w:val="single" w:color="000000" w:sz="6" w:space="0"/>
            </w:tcBorders>
            <w:vAlign w:val="center"/>
          </w:tcPr>
          <w:p>
            <w:pPr>
              <w:pStyle w:val="27"/>
              <w:spacing w:before="10" w:line="360" w:lineRule="auto"/>
              <w:ind w:left="103"/>
              <w:rPr>
                <w:rFonts w:ascii="宋体" w:hAnsi="宋体" w:eastAsia="宋体" w:cs="宋体"/>
                <w:color w:val="auto"/>
                <w:sz w:val="21"/>
                <w:szCs w:val="21"/>
              </w:rPr>
            </w:pPr>
            <w:r>
              <w:rPr>
                <w:rFonts w:ascii="宋体" w:hAnsi="宋体" w:eastAsia="宋体" w:cs="宋体"/>
                <w:color w:val="auto"/>
                <w:spacing w:val="-2"/>
                <w:sz w:val="21"/>
                <w:szCs w:val="21"/>
                <w:lang w:eastAsia="zh-CN"/>
              </w:rPr>
              <w:t>电控系统包括所有的监测、控制元件及报警、保险丝和主开关等。还包括电控箱及与本设备内部的连接电缆。</w:t>
            </w:r>
            <w:r>
              <w:rPr>
                <w:rFonts w:ascii="宋体" w:hAnsi="宋体" w:eastAsia="宋体" w:cs="宋体"/>
                <w:color w:val="auto"/>
                <w:sz w:val="21"/>
                <w:szCs w:val="21"/>
                <w:lang w:eastAsia="zh-CN"/>
              </w:rPr>
              <w:t>柜体不锈钢304，壁厚1.5mmm</w:t>
            </w:r>
            <w:r>
              <w:rPr>
                <w:rFonts w:ascii="宋体" w:hAnsi="宋体" w:eastAsia="宋体" w:cs="宋体"/>
                <w:color w:val="auto"/>
                <w:spacing w:val="-3"/>
                <w:sz w:val="21"/>
                <w:szCs w:val="21"/>
                <w:lang w:eastAsia="zh-CN"/>
              </w:rPr>
              <w:t>以上</w:t>
            </w:r>
            <w:r>
              <w:rPr>
                <w:rFonts w:ascii="宋体" w:hAnsi="宋体" w:eastAsia="宋体" w:cs="宋体"/>
                <w:color w:val="auto"/>
                <w:sz w:val="21"/>
                <w:szCs w:val="21"/>
                <w:lang w:eastAsia="zh-CN"/>
              </w:rPr>
              <w:t>含通讯功能含系统内电缆（动力及通讯电缆）电源：AC380V/50Hz/3Ph。</w:t>
            </w:r>
            <w:r>
              <w:rPr>
                <w:rFonts w:ascii="宋体" w:hAnsi="宋体" w:eastAsia="宋体" w:cs="宋体"/>
                <w:color w:val="auto"/>
                <w:sz w:val="21"/>
                <w:szCs w:val="21"/>
              </w:rPr>
              <w:t>防护等级：IP55绝缘等级：F。</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760" w:right="125" w:hanging="632"/>
              <w:rPr>
                <w:rFonts w:ascii="宋体" w:hAnsi="宋体" w:eastAsia="宋体" w:cs="宋体"/>
                <w:color w:val="auto"/>
                <w:sz w:val="21"/>
                <w:szCs w:val="21"/>
              </w:rPr>
            </w:pPr>
            <w:r>
              <w:rPr>
                <w:rFonts w:ascii="宋体" w:hAnsi="宋体" w:eastAsia="宋体" w:cs="宋体"/>
                <w:color w:val="auto"/>
                <w:spacing w:val="-1"/>
                <w:sz w:val="21"/>
                <w:szCs w:val="21"/>
              </w:rPr>
              <w:t>通讯协议种类待</w:t>
            </w:r>
            <w:r>
              <w:rPr>
                <w:rFonts w:ascii="宋体" w:hAnsi="宋体" w:eastAsia="宋体" w:cs="宋体"/>
                <w:color w:val="auto"/>
                <w:sz w:val="21"/>
                <w:szCs w:val="21"/>
              </w:rPr>
              <w:t>定</w:t>
            </w: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12</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spacing w:line="265" w:lineRule="exact"/>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工作条件：</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工作介质：</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市政污</w:t>
            </w:r>
            <w:r>
              <w:rPr>
                <w:rFonts w:hint="eastAsia" w:ascii="宋体" w:hAnsi="宋体" w:eastAsia="宋体" w:cs="宋体"/>
                <w:color w:val="auto"/>
                <w:spacing w:val="-2"/>
                <w:sz w:val="21"/>
                <w:szCs w:val="21"/>
                <w:lang w:eastAsia="zh-CN"/>
              </w:rPr>
              <w:t>泥</w:t>
            </w:r>
            <w:r>
              <w:rPr>
                <w:rFonts w:ascii="宋体" w:hAnsi="宋体" w:eastAsia="宋体" w:cs="宋体"/>
                <w:color w:val="auto"/>
                <w:spacing w:val="-2"/>
                <w:sz w:val="21"/>
                <w:szCs w:val="21"/>
                <w:lang w:eastAsia="zh-CN"/>
              </w:rPr>
              <w:t>混合致臭气体，</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工作位置：</w:t>
            </w:r>
            <w:r>
              <w:rPr>
                <w:rFonts w:ascii="宋体" w:hAnsi="宋体" w:eastAsia="宋体" w:cs="宋体"/>
                <w:color w:val="auto"/>
                <w:spacing w:val="-1"/>
                <w:sz w:val="21"/>
                <w:szCs w:val="21"/>
                <w:lang w:eastAsia="zh-CN"/>
              </w:rPr>
              <w:tab/>
            </w:r>
            <w:r>
              <w:rPr>
                <w:rFonts w:hint="eastAsia" w:ascii="宋体" w:hAnsi="宋体" w:eastAsia="宋体" w:cs="宋体"/>
                <w:color w:val="auto"/>
                <w:spacing w:val="-1"/>
                <w:sz w:val="21"/>
                <w:szCs w:val="21"/>
                <w:lang w:eastAsia="zh-CN"/>
              </w:rPr>
              <w:t>地上室内</w:t>
            </w:r>
            <w:r>
              <w:rPr>
                <w:rFonts w:ascii="宋体" w:hAnsi="宋体" w:eastAsia="宋体" w:cs="宋体"/>
                <w:color w:val="auto"/>
                <w:spacing w:val="-1"/>
                <w:sz w:val="21"/>
                <w:szCs w:val="21"/>
                <w:lang w:eastAsia="zh-CN"/>
              </w:rPr>
              <w:t>；</w:t>
            </w:r>
          </w:p>
          <w:p>
            <w:pPr>
              <w:pStyle w:val="27"/>
              <w:tabs>
                <w:tab w:val="left" w:pos="2726"/>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空气温度：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≤100℃</w:t>
            </w:r>
          </w:p>
          <w:p>
            <w:pPr>
              <w:pStyle w:val="27"/>
              <w:tabs>
                <w:tab w:val="left" w:pos="2832"/>
              </w:tabs>
              <w:spacing w:before="44"/>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臭气温度：</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-5～40℃</w:t>
            </w:r>
          </w:p>
          <w:p>
            <w:pPr>
              <w:pStyle w:val="27"/>
              <w:tabs>
                <w:tab w:val="left" w:pos="2726"/>
              </w:tabs>
              <w:spacing w:before="42"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pH：</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5.5~8.5</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before="163" w:line="360" w:lineRule="auto"/>
              <w:jc w:val="center"/>
              <w:rPr>
                <w:rFonts w:ascii="宋体" w:hAnsi="宋体" w:eastAsia="宋体" w:cs="宋体"/>
                <w:color w:val="auto"/>
                <w:sz w:val="21"/>
                <w:szCs w:val="21"/>
              </w:rPr>
            </w:pPr>
            <w:r>
              <w:rPr>
                <w:rFonts w:ascii="宋体"/>
                <w:color w:val="auto"/>
                <w:sz w:val="21"/>
              </w:rPr>
              <w:t>13</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z w:val="21"/>
                <w:szCs w:val="21"/>
                <w:lang w:eastAsia="zh-CN"/>
              </w:rPr>
              <w:t>材质要求：</w:t>
            </w:r>
          </w:p>
          <w:p>
            <w:pPr>
              <w:pStyle w:val="27"/>
              <w:tabs>
                <w:tab w:val="left" w:pos="1360"/>
              </w:tabs>
              <w:spacing w:line="278" w:lineRule="auto"/>
              <w:ind w:left="100" w:right="3942"/>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风机叶轮</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玻璃钢</w:t>
            </w:r>
          </w:p>
          <w:p>
            <w:pPr>
              <w:pStyle w:val="27"/>
              <w:tabs>
                <w:tab w:val="left" w:pos="1363"/>
              </w:tabs>
              <w:spacing w:before="9"/>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风机壳体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360"/>
                <w:tab w:val="left" w:pos="1781"/>
              </w:tabs>
              <w:spacing w:before="44" w:line="278" w:lineRule="auto"/>
              <w:ind w:left="100" w:right="1841"/>
              <w:rPr>
                <w:rFonts w:ascii="宋体" w:hAnsi="宋体" w:eastAsia="宋体" w:cs="宋体"/>
                <w:color w:val="auto"/>
                <w:spacing w:val="-3"/>
                <w:sz w:val="21"/>
                <w:szCs w:val="21"/>
                <w:lang w:eastAsia="zh-CN"/>
              </w:rPr>
            </w:pPr>
            <w:r>
              <w:rPr>
                <w:rFonts w:ascii="宋体" w:hAnsi="宋体" w:eastAsia="宋体" w:cs="宋体"/>
                <w:color w:val="auto"/>
                <w:sz w:val="21"/>
                <w:szCs w:val="21"/>
                <w:lang w:eastAsia="zh-CN"/>
              </w:rPr>
              <w:t>散水泵</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过流部分SS304不锈钢</w:t>
            </w:r>
            <w:r>
              <w:rPr>
                <w:rFonts w:ascii="宋体" w:hAnsi="宋体" w:eastAsia="宋体" w:cs="宋体"/>
                <w:color w:val="auto"/>
                <w:spacing w:val="-1"/>
                <w:sz w:val="21"/>
                <w:szCs w:val="21"/>
                <w:lang w:eastAsia="zh-CN"/>
              </w:rPr>
              <w:t>生物滤池池体</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玻璃钢和方管形钢组合件</w:t>
            </w:r>
            <w:r>
              <w:rPr>
                <w:rFonts w:ascii="宋体" w:hAnsi="宋体" w:eastAsia="宋体" w:cs="宋体"/>
                <w:color w:val="auto"/>
                <w:spacing w:val="-1"/>
                <w:sz w:val="21"/>
                <w:szCs w:val="21"/>
                <w:lang w:eastAsia="zh-CN"/>
              </w:rPr>
              <w:t>填料支撑</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玻璃钢格栅、PE</w:t>
            </w:r>
            <w:r>
              <w:rPr>
                <w:rFonts w:ascii="宋体" w:hAnsi="宋体" w:eastAsia="宋体" w:cs="宋体"/>
                <w:color w:val="auto"/>
                <w:spacing w:val="-3"/>
                <w:sz w:val="21"/>
                <w:szCs w:val="21"/>
                <w:lang w:eastAsia="zh-CN"/>
              </w:rPr>
              <w:t>格网</w:t>
            </w:r>
          </w:p>
          <w:p>
            <w:pPr>
              <w:pStyle w:val="27"/>
              <w:tabs>
                <w:tab w:val="left" w:pos="1360"/>
                <w:tab w:val="left" w:pos="1781"/>
              </w:tabs>
              <w:spacing w:before="44" w:line="278" w:lineRule="auto"/>
              <w:ind w:left="100" w:right="1841"/>
              <w:rPr>
                <w:rFonts w:ascii="宋体" w:hAnsi="宋体" w:eastAsia="宋体" w:cs="宋体"/>
                <w:color w:val="auto"/>
                <w:spacing w:val="-1"/>
                <w:sz w:val="21"/>
                <w:szCs w:val="21"/>
                <w:lang w:eastAsia="zh-CN"/>
              </w:rPr>
            </w:pPr>
            <w:r>
              <w:rPr>
                <w:rFonts w:ascii="宋体" w:hAnsi="宋体" w:eastAsia="宋体" w:cs="宋体"/>
                <w:color w:val="auto"/>
                <w:spacing w:val="-1"/>
                <w:sz w:val="21"/>
                <w:szCs w:val="21"/>
                <w:lang w:eastAsia="zh-CN"/>
              </w:rPr>
              <w:t>生物填料</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炭质单一填料</w:t>
            </w:r>
          </w:p>
          <w:p>
            <w:pPr>
              <w:pStyle w:val="27"/>
              <w:tabs>
                <w:tab w:val="left" w:pos="1886"/>
                <w:tab w:val="left" w:pos="2203"/>
              </w:tabs>
              <w:spacing w:line="278" w:lineRule="auto"/>
              <w:ind w:left="100" w:right="1475"/>
              <w:rPr>
                <w:rFonts w:ascii="宋体" w:hAnsi="宋体" w:eastAsia="宋体" w:cs="宋体"/>
                <w:color w:val="auto"/>
                <w:sz w:val="21"/>
                <w:szCs w:val="21"/>
                <w:lang w:eastAsia="zh-CN"/>
              </w:rPr>
            </w:pPr>
            <w:r>
              <w:rPr>
                <w:rFonts w:ascii="宋体" w:hAnsi="宋体" w:eastAsia="宋体" w:cs="宋体"/>
                <w:color w:val="auto"/>
                <w:sz w:val="21"/>
                <w:szCs w:val="21"/>
                <w:lang w:eastAsia="zh-CN"/>
              </w:rPr>
              <w:t>密封罩</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不锈钢304骨架+耐力板4mm</w:t>
            </w:r>
            <w:r>
              <w:rPr>
                <w:rFonts w:ascii="宋体" w:hAnsi="宋体" w:eastAsia="宋体" w:cs="宋体"/>
                <w:color w:val="auto"/>
                <w:spacing w:val="-1"/>
                <w:sz w:val="21"/>
                <w:szCs w:val="21"/>
                <w:lang w:eastAsia="zh-CN"/>
              </w:rPr>
              <w:t>风管及管道配件</w:t>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ab/>
            </w:r>
            <w:r>
              <w:rPr>
                <w:rFonts w:ascii="宋体" w:hAnsi="宋体" w:eastAsia="宋体" w:cs="宋体"/>
                <w:color w:val="auto"/>
                <w:spacing w:val="-1"/>
                <w:sz w:val="21"/>
                <w:szCs w:val="21"/>
                <w:lang w:eastAsia="zh-CN"/>
              </w:rPr>
              <w:t>玻璃钢</w:t>
            </w:r>
          </w:p>
          <w:p>
            <w:pPr>
              <w:pStyle w:val="27"/>
              <w:tabs>
                <w:tab w:val="left" w:pos="1781"/>
              </w:tabs>
              <w:spacing w:before="10"/>
              <w:ind w:left="100"/>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电控柜外壳</w:t>
            </w:r>
            <w:r>
              <w:rPr>
                <w:rFonts w:ascii="宋体" w:hAnsi="宋体" w:eastAsia="宋体" w:cs="宋体"/>
                <w:color w:val="auto"/>
                <w:spacing w:val="-1"/>
                <w:sz w:val="21"/>
                <w:szCs w:val="21"/>
                <w:lang w:eastAsia="zh-CN"/>
              </w:rPr>
              <w:tab/>
            </w:r>
            <w:r>
              <w:rPr>
                <w:rFonts w:ascii="宋体" w:hAnsi="宋体" w:eastAsia="宋体" w:cs="宋体"/>
                <w:color w:val="auto"/>
                <w:sz w:val="21"/>
                <w:szCs w:val="21"/>
                <w:lang w:eastAsia="zh-CN"/>
              </w:rPr>
              <w:t>SS304</w:t>
            </w:r>
            <w:r>
              <w:rPr>
                <w:rFonts w:ascii="宋体" w:hAnsi="宋体" w:eastAsia="宋体" w:cs="宋体"/>
                <w:color w:val="auto"/>
                <w:spacing w:val="-1"/>
                <w:sz w:val="21"/>
                <w:szCs w:val="21"/>
                <w:lang w:eastAsia="zh-CN"/>
              </w:rPr>
              <w:t>不锈钢</w:t>
            </w:r>
          </w:p>
          <w:p>
            <w:pPr>
              <w:pStyle w:val="27"/>
              <w:tabs>
                <w:tab w:val="left" w:pos="1781"/>
              </w:tabs>
              <w:spacing w:before="44"/>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水管</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UPVC</w:t>
            </w:r>
          </w:p>
          <w:p>
            <w:pPr>
              <w:pStyle w:val="27"/>
              <w:tabs>
                <w:tab w:val="left" w:pos="1360"/>
                <w:tab w:val="left" w:pos="1781"/>
              </w:tabs>
              <w:spacing w:before="44" w:line="360" w:lineRule="auto"/>
              <w:ind w:left="100" w:right="63"/>
              <w:rPr>
                <w:rFonts w:ascii="宋体" w:hAnsi="宋体" w:eastAsia="宋体" w:cs="宋体"/>
                <w:color w:val="auto"/>
                <w:sz w:val="21"/>
                <w:szCs w:val="21"/>
                <w:lang w:eastAsia="zh-CN"/>
              </w:rPr>
            </w:pPr>
            <w:r>
              <w:rPr>
                <w:rFonts w:ascii="宋体" w:hAnsi="宋体" w:eastAsia="宋体" w:cs="宋体"/>
                <w:color w:val="auto"/>
                <w:spacing w:val="-2"/>
                <w:sz w:val="21"/>
                <w:szCs w:val="21"/>
                <w:lang w:eastAsia="zh-CN"/>
              </w:rPr>
              <w:t>所有连接附件、紧固件</w:t>
            </w:r>
            <w:r>
              <w:rPr>
                <w:rFonts w:ascii="宋体" w:hAnsi="宋体" w:eastAsia="宋体" w:cs="宋体"/>
                <w:color w:val="auto"/>
                <w:spacing w:val="-2"/>
                <w:sz w:val="21"/>
                <w:szCs w:val="21"/>
                <w:lang w:eastAsia="zh-CN"/>
              </w:rPr>
              <w:tab/>
            </w:r>
            <w:r>
              <w:rPr>
                <w:rFonts w:ascii="宋体" w:hAnsi="宋体" w:eastAsia="宋体" w:cs="宋体"/>
                <w:color w:val="auto"/>
                <w:spacing w:val="-1"/>
                <w:sz w:val="21"/>
                <w:szCs w:val="21"/>
                <w:lang w:eastAsia="zh-CN"/>
              </w:rPr>
              <w:t>FRP/UPVC/</w:t>
            </w:r>
            <w:r>
              <w:rPr>
                <w:rFonts w:ascii="宋体" w:hAnsi="宋体" w:eastAsia="宋体" w:cs="宋体"/>
                <w:color w:val="auto"/>
                <w:spacing w:val="-2"/>
                <w:sz w:val="21"/>
                <w:szCs w:val="21"/>
                <w:lang w:eastAsia="zh-CN"/>
              </w:rPr>
              <w:t>碳钢防腐</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r>
        <w:tblPrEx>
          <w:tblLayout w:type="fixed"/>
          <w:tblCellMar>
            <w:top w:w="0" w:type="dxa"/>
            <w:left w:w="0" w:type="dxa"/>
            <w:bottom w:w="0" w:type="dxa"/>
            <w:right w:w="0" w:type="dxa"/>
          </w:tblCellMar>
        </w:tblPrEx>
        <w:tc>
          <w:tcPr>
            <w:tcW w:w="811" w:type="dxa"/>
            <w:tcBorders>
              <w:top w:val="single" w:color="000000" w:sz="6" w:space="0"/>
              <w:left w:val="single" w:color="000000" w:sz="6" w:space="0"/>
              <w:bottom w:val="single" w:color="000000" w:sz="6" w:space="0"/>
              <w:right w:val="single" w:color="000000" w:sz="6" w:space="0"/>
            </w:tcBorders>
            <w:vAlign w:val="center"/>
          </w:tcPr>
          <w:p>
            <w:pPr>
              <w:pStyle w:val="27"/>
              <w:spacing w:line="360" w:lineRule="auto"/>
              <w:jc w:val="center"/>
              <w:rPr>
                <w:rFonts w:ascii="宋体" w:hAnsi="宋体" w:eastAsia="宋体" w:cs="宋体"/>
                <w:color w:val="auto"/>
                <w:sz w:val="21"/>
                <w:szCs w:val="21"/>
              </w:rPr>
            </w:pPr>
            <w:r>
              <w:rPr>
                <w:rFonts w:ascii="宋体"/>
                <w:color w:val="auto"/>
                <w:sz w:val="21"/>
              </w:rPr>
              <w:t>14</w:t>
            </w:r>
          </w:p>
        </w:tc>
        <w:tc>
          <w:tcPr>
            <w:tcW w:w="5952" w:type="dxa"/>
            <w:gridSpan w:val="3"/>
            <w:tcBorders>
              <w:top w:val="single" w:color="000000" w:sz="6" w:space="0"/>
              <w:left w:val="single" w:color="000000" w:sz="6" w:space="0"/>
              <w:bottom w:val="single" w:color="000000" w:sz="6" w:space="0"/>
              <w:right w:val="single" w:color="000000" w:sz="6" w:space="0"/>
            </w:tcBorders>
          </w:tcPr>
          <w:p>
            <w:pPr>
              <w:pStyle w:val="27"/>
              <w:spacing w:line="278" w:lineRule="auto"/>
              <w:ind w:left="100" w:right="93"/>
              <w:rPr>
                <w:rFonts w:ascii="宋体" w:hAnsi="宋体" w:eastAsia="宋体" w:cs="宋体"/>
                <w:color w:val="auto"/>
                <w:sz w:val="21"/>
                <w:szCs w:val="21"/>
                <w:lang w:eastAsia="zh-CN"/>
              </w:rPr>
            </w:pPr>
            <w:r>
              <w:rPr>
                <w:rFonts w:ascii="宋体" w:hAnsi="宋体" w:eastAsia="宋体" w:cs="宋体"/>
                <w:color w:val="auto"/>
                <w:spacing w:val="-3"/>
                <w:sz w:val="21"/>
                <w:szCs w:val="21"/>
                <w:lang w:eastAsia="zh-CN"/>
              </w:rPr>
              <w:t>在任何季节、任何气候条件下，除臭系统NH3、H2S</w:t>
            </w:r>
            <w:r>
              <w:rPr>
                <w:rFonts w:ascii="宋体" w:hAnsi="宋体" w:eastAsia="宋体" w:cs="宋体"/>
                <w:color w:val="auto"/>
                <w:sz w:val="21"/>
                <w:szCs w:val="21"/>
                <w:lang w:eastAsia="zh-CN"/>
              </w:rPr>
              <w:t>等重点控制物浓度符合</w:t>
            </w:r>
          </w:p>
          <w:p>
            <w:pPr>
              <w:pStyle w:val="27"/>
              <w:tabs>
                <w:tab w:val="left" w:pos="1992"/>
              </w:tabs>
              <w:spacing w:before="10" w:line="278" w:lineRule="auto"/>
              <w:ind w:left="100" w:right="1001"/>
              <w:rPr>
                <w:rFonts w:ascii="宋体" w:hAnsi="宋体" w:eastAsia="宋体" w:cs="宋体"/>
                <w:color w:val="auto"/>
                <w:sz w:val="21"/>
                <w:szCs w:val="21"/>
                <w:lang w:eastAsia="zh-CN"/>
              </w:rPr>
            </w:pPr>
            <w:r>
              <w:rPr>
                <w:rFonts w:ascii="宋体" w:hAnsi="宋体" w:eastAsia="宋体" w:cs="宋体"/>
                <w:color w:val="auto"/>
                <w:spacing w:val="-1"/>
                <w:sz w:val="21"/>
                <w:szCs w:val="21"/>
                <w:lang w:eastAsia="zh-CN"/>
              </w:rPr>
              <w:t>GB18918-2002</w:t>
            </w:r>
            <w:r>
              <w:rPr>
                <w:rFonts w:ascii="宋体" w:hAnsi="宋体" w:eastAsia="宋体" w:cs="宋体"/>
                <w:color w:val="auto"/>
                <w:spacing w:val="-1"/>
                <w:sz w:val="21"/>
                <w:szCs w:val="21"/>
                <w:lang w:eastAsia="zh-CN"/>
              </w:rPr>
              <w:tab/>
            </w:r>
            <w:r>
              <w:rPr>
                <w:rFonts w:ascii="宋体" w:hAnsi="宋体" w:eastAsia="宋体" w:cs="宋体"/>
                <w:color w:val="auto"/>
                <w:spacing w:val="-2"/>
                <w:sz w:val="21"/>
                <w:szCs w:val="21"/>
                <w:lang w:eastAsia="zh-CN"/>
              </w:rPr>
              <w:t>城镇污水处理厂污染物排放标准</w:t>
            </w:r>
            <w:r>
              <w:rPr>
                <w:rFonts w:ascii="宋体" w:hAnsi="宋体" w:eastAsia="宋体" w:cs="宋体"/>
                <w:color w:val="auto"/>
                <w:sz w:val="21"/>
                <w:szCs w:val="21"/>
                <w:lang w:eastAsia="zh-CN"/>
              </w:rPr>
              <w:t>GB16297-1996</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大气污染物综合排放标准</w:t>
            </w:r>
          </w:p>
          <w:p>
            <w:pPr>
              <w:pStyle w:val="27"/>
              <w:tabs>
                <w:tab w:val="left" w:pos="1992"/>
              </w:tabs>
              <w:spacing w:before="10" w:line="360" w:lineRule="auto"/>
              <w:ind w:left="100"/>
              <w:rPr>
                <w:rFonts w:ascii="宋体" w:hAnsi="宋体" w:eastAsia="宋体" w:cs="宋体"/>
                <w:color w:val="auto"/>
                <w:sz w:val="21"/>
                <w:szCs w:val="21"/>
                <w:lang w:eastAsia="zh-CN"/>
              </w:rPr>
            </w:pPr>
            <w:r>
              <w:rPr>
                <w:rFonts w:ascii="宋体" w:hAnsi="宋体" w:eastAsia="宋体" w:cs="宋体"/>
                <w:color w:val="auto"/>
                <w:sz w:val="21"/>
                <w:szCs w:val="21"/>
                <w:lang w:eastAsia="zh-CN"/>
              </w:rPr>
              <w:t>GB14554-93</w:t>
            </w:r>
            <w:r>
              <w:rPr>
                <w:rFonts w:ascii="宋体" w:hAnsi="宋体" w:eastAsia="宋体" w:cs="宋体"/>
                <w:color w:val="auto"/>
                <w:sz w:val="21"/>
                <w:szCs w:val="21"/>
                <w:lang w:eastAsia="zh-CN"/>
              </w:rPr>
              <w:tab/>
            </w:r>
            <w:r>
              <w:rPr>
                <w:rFonts w:ascii="宋体" w:hAnsi="宋体" w:eastAsia="宋体" w:cs="宋体"/>
                <w:color w:val="auto"/>
                <w:sz w:val="21"/>
                <w:szCs w:val="21"/>
                <w:lang w:eastAsia="zh-CN"/>
              </w:rPr>
              <w:t>恶臭污染物排放标准值</w:t>
            </w:r>
          </w:p>
        </w:tc>
        <w:tc>
          <w:tcPr>
            <w:tcW w:w="1743" w:type="dxa"/>
            <w:tcBorders>
              <w:top w:val="single" w:color="000000" w:sz="6" w:space="0"/>
              <w:left w:val="single" w:color="000000" w:sz="6" w:space="0"/>
              <w:bottom w:val="single" w:color="000000" w:sz="6" w:space="0"/>
              <w:right w:val="single" w:color="000000" w:sz="4" w:space="0"/>
            </w:tcBorders>
            <w:vAlign w:val="center"/>
          </w:tcPr>
          <w:p>
            <w:pPr>
              <w:pStyle w:val="27"/>
              <w:spacing w:line="360" w:lineRule="auto"/>
              <w:ind w:left="103" w:right="-7" w:firstLine="26"/>
              <w:rPr>
                <w:rFonts w:ascii="宋体" w:hAnsi="宋体" w:eastAsia="宋体" w:cs="宋体"/>
                <w:color w:val="auto"/>
                <w:sz w:val="21"/>
                <w:szCs w:val="21"/>
                <w:lang w:eastAsia="zh-CN"/>
              </w:rPr>
            </w:pPr>
          </w:p>
        </w:tc>
      </w:tr>
    </w:tbl>
    <w:p>
      <w:pPr>
        <w:pStyle w:val="28"/>
        <w:spacing w:before="120" w:after="120"/>
        <w:rPr>
          <w:b/>
          <w:color w:val="auto"/>
        </w:rPr>
      </w:pPr>
      <w:bookmarkStart w:id="277" w:name="_Toc117181381"/>
      <w:r>
        <w:rPr>
          <w:b/>
          <w:color w:val="auto"/>
        </w:rPr>
        <w:t>电气设备的相关要求</w:t>
      </w:r>
      <w:bookmarkEnd w:id="277"/>
    </w:p>
    <w:tbl>
      <w:tblPr>
        <w:tblStyle w:val="23"/>
        <w:tblW w:w="8655" w:type="dxa"/>
        <w:tblInd w:w="93" w:type="dxa"/>
        <w:tblLayout w:type="fixed"/>
        <w:tblCellMar>
          <w:top w:w="0" w:type="dxa"/>
          <w:left w:w="108" w:type="dxa"/>
          <w:bottom w:w="0" w:type="dxa"/>
          <w:right w:w="108" w:type="dxa"/>
        </w:tblCellMar>
      </w:tblPr>
      <w:tblGrid>
        <w:gridCol w:w="692"/>
        <w:gridCol w:w="1325"/>
        <w:gridCol w:w="3006"/>
        <w:gridCol w:w="946"/>
        <w:gridCol w:w="992"/>
        <w:gridCol w:w="1694"/>
      </w:tblGrid>
      <w:tr>
        <w:tblPrEx>
          <w:tblLayout w:type="fixed"/>
          <w:tblCellMar>
            <w:top w:w="0" w:type="dxa"/>
            <w:left w:w="108" w:type="dxa"/>
            <w:bottom w:w="0" w:type="dxa"/>
            <w:right w:w="108" w:type="dxa"/>
          </w:tblCellMar>
        </w:tblPrEx>
        <w:trPr>
          <w:trHeight w:val="270" w:hRule="atLeast"/>
          <w:tblHeader/>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序号</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名   称</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型  号   规   格</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规  格</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数 量</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rPr>
              <w:t>推荐品牌</w:t>
            </w: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高压真空开关柜</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KYN 28-12(WxDxH=800X1500X2200)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15</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lang w:eastAsia="zh-CN"/>
              </w:rPr>
            </w:pPr>
            <w:r>
              <w:rPr>
                <w:rFonts w:ascii="Times New Roman" w:hAnsi="Times New Roman" w:cs="Times New Roman"/>
                <w:color w:val="auto"/>
                <w:spacing w:val="-1"/>
                <w:sz w:val="21"/>
                <w:szCs w:val="21"/>
                <w:lang w:eastAsia="zh-CN"/>
              </w:rPr>
              <w:t>施耐德，</w:t>
            </w:r>
            <w:r>
              <w:rPr>
                <w:rFonts w:ascii="Times New Roman" w:hAnsi="Times New Roman" w:cs="Times New Roman"/>
                <w:color w:val="auto"/>
                <w:sz w:val="21"/>
                <w:szCs w:val="21"/>
                <w:lang w:eastAsia="zh-CN"/>
              </w:rPr>
              <w:t xml:space="preserve"> ABB，GE</w:t>
            </w: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西门子，</w:t>
            </w:r>
            <w:r>
              <w:rPr>
                <w:rFonts w:hint="eastAsia" w:ascii="Times New Roman" w:hAnsi="Times New Roman" w:cs="Times New Roman"/>
                <w:color w:val="auto"/>
                <w:sz w:val="21"/>
                <w:szCs w:val="21"/>
                <w:lang w:eastAsia="zh-CN"/>
              </w:rPr>
              <w:t>广东金铭利、广东基业、南京大全、广州雷诺尔、广东粤科、白云电器、顺特电气</w:t>
            </w: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干式变压器</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SCB14-NX2-1250 10/0.4KV</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4</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lang w:eastAsia="zh-CN"/>
              </w:rPr>
            </w:pPr>
            <w:r>
              <w:rPr>
                <w:rFonts w:ascii="Times New Roman" w:hAnsi="Times New Roman" w:cs="Times New Roman"/>
                <w:color w:val="auto"/>
                <w:spacing w:val="-1"/>
                <w:sz w:val="21"/>
                <w:szCs w:val="21"/>
                <w:lang w:eastAsia="zh-CN"/>
              </w:rPr>
              <w:t>施耐德，</w:t>
            </w:r>
            <w:r>
              <w:rPr>
                <w:rFonts w:ascii="Times New Roman" w:hAnsi="Times New Roman" w:cs="Times New Roman"/>
                <w:color w:val="auto"/>
                <w:sz w:val="21"/>
                <w:szCs w:val="21"/>
                <w:lang w:eastAsia="zh-CN"/>
              </w:rPr>
              <w:t xml:space="preserve"> ABB，GE</w:t>
            </w: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西门子，</w:t>
            </w:r>
            <w:r>
              <w:rPr>
                <w:rFonts w:hint="eastAsia" w:ascii="Times New Roman" w:hAnsi="Times New Roman" w:cs="Times New Roman"/>
                <w:color w:val="auto"/>
                <w:sz w:val="21"/>
                <w:szCs w:val="21"/>
                <w:lang w:eastAsia="zh-CN"/>
              </w:rPr>
              <w:t>广东金铭利、广东基业、南京大全、广州雷诺尔、广东粤科、白云电器、顺特电气</w:t>
            </w: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低压MNS柜</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MNS(WxDxH=800x1000x2200)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37</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lang w:eastAsia="zh-CN"/>
              </w:rPr>
            </w:pPr>
            <w:r>
              <w:rPr>
                <w:rFonts w:ascii="Times New Roman" w:hAnsi="Times New Roman" w:cs="Times New Roman"/>
                <w:color w:val="auto"/>
                <w:spacing w:val="-1"/>
                <w:sz w:val="21"/>
                <w:szCs w:val="21"/>
                <w:lang w:eastAsia="zh-CN"/>
              </w:rPr>
              <w:t>施耐德，</w:t>
            </w:r>
            <w:r>
              <w:rPr>
                <w:rFonts w:ascii="Times New Roman" w:hAnsi="Times New Roman" w:cs="Times New Roman"/>
                <w:color w:val="auto"/>
                <w:sz w:val="21"/>
                <w:szCs w:val="21"/>
                <w:lang w:eastAsia="zh-CN"/>
              </w:rPr>
              <w:t xml:space="preserve"> ABB，GE</w:t>
            </w: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西门子，</w:t>
            </w:r>
            <w:r>
              <w:rPr>
                <w:rFonts w:hint="eastAsia" w:ascii="Times New Roman" w:hAnsi="Times New Roman" w:cs="Times New Roman"/>
                <w:color w:val="auto"/>
                <w:sz w:val="21"/>
                <w:szCs w:val="21"/>
                <w:lang w:eastAsia="zh-CN"/>
              </w:rPr>
              <w:t>广东金铭利、广东基业、南京大全、广州雷诺尔、广东粤科、白云电器、顺特电气</w:t>
            </w: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4</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低压补偿柜</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HIEC-SVG-400KVAR-APF-250A有源滤波柜</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4</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108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5</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GGD配电柜</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lang w:eastAsia="zh-CN" w:bidi="ar"/>
              </w:rPr>
            </w:pPr>
            <w:r>
              <w:rPr>
                <w:rFonts w:ascii="Times New Roman" w:hAnsi="Times New Roman" w:cs="Times New Roman"/>
                <w:color w:val="auto"/>
                <w:sz w:val="21"/>
                <w:szCs w:val="21"/>
                <w:lang w:eastAsia="zh-CN" w:bidi="ar"/>
              </w:rPr>
              <w:t>GGD(WxDxH=800x1000x2200)</w:t>
            </w:r>
          </w:p>
          <w:p>
            <w:pPr>
              <w:widowControl/>
              <w:jc w:val="center"/>
              <w:textAlignment w:val="center"/>
              <w:rPr>
                <w:rFonts w:ascii="Times New Roman" w:hAnsi="Times New Roman" w:cs="Times New Roman"/>
                <w:color w:val="auto"/>
                <w:sz w:val="21"/>
                <w:szCs w:val="21"/>
                <w:lang w:eastAsia="zh-CN" w:bidi="ar"/>
              </w:rPr>
            </w:pPr>
            <w:r>
              <w:rPr>
                <w:rFonts w:ascii="Times New Roman" w:hAnsi="Times New Roman" w:cs="Times New Roman"/>
                <w:color w:val="auto"/>
                <w:sz w:val="21"/>
                <w:szCs w:val="21"/>
                <w:lang w:eastAsia="zh-CN" w:bidi="ar"/>
              </w:rPr>
              <w:t>包括变频器37KW/3台,55KW/2台,110KW/3台,</w:t>
            </w:r>
          </w:p>
          <w:p>
            <w:pPr>
              <w:widowControl/>
              <w:jc w:val="center"/>
              <w:textAlignment w:val="center"/>
              <w:rPr>
                <w:rFonts w:ascii="Times New Roman" w:hAnsi="Times New Roman" w:cs="Times New Roman"/>
                <w:color w:val="auto"/>
                <w:sz w:val="21"/>
                <w:szCs w:val="21"/>
                <w:lang w:eastAsia="zh-CN" w:bidi="ar"/>
              </w:rPr>
            </w:pPr>
            <w:r>
              <w:rPr>
                <w:rFonts w:ascii="Times New Roman" w:hAnsi="Times New Roman" w:cs="Times New Roman"/>
                <w:color w:val="auto"/>
                <w:sz w:val="21"/>
                <w:szCs w:val="21"/>
                <w:lang w:eastAsia="zh-CN" w:bidi="ar"/>
              </w:rPr>
              <w:t>250KW/3台。</w:t>
            </w:r>
          </w:p>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包括软起动器55KW/2台，75KW/3台，250KW/3台。</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41</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6</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直流屏</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40AH</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7</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电控箱</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成套提供，按需订制</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115</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8</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起重机电控箱</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成套提供，按需订制</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12</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9</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按钮箱</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成套提供，按需订制</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71</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54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照明箱</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kern w:val="2"/>
                <w:sz w:val="21"/>
                <w:szCs w:val="21"/>
                <w:lang w:eastAsia="zh-CN"/>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台</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26</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11</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检修箱</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kern w:val="2"/>
                <w:sz w:val="21"/>
                <w:szCs w:val="21"/>
                <w:lang w:eastAsia="zh-CN"/>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台</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17</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12</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双电源切换箱</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20A~80A</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台</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45</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13</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双电源切换箱</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160~2000A</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台</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16</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14</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T接箱</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20A~80A</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台</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89</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15</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封闭母线槽(耐火型)</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2500A/5P</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90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54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16</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封闭母线槽(耐火型)</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2000A/5P</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350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54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17</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封闭母线槽(耐火型)</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1600A/5P</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220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54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18</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封闭母线槽(耐火型)</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1250A/5P</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260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54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19</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封闭母线槽(耐火型)</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800A/5P</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230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54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封闭母线槽(耐火型)</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630A/5P</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320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54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21</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封闭母线槽(耐火型)</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250A/5P</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50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54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22</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封闭母线槽(耐火型)</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200A/5P</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300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54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23</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封闭母线槽(耐火型)</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100A/5P</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40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54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24</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WDZB-YJV-1KV-2(3X95+2X50)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456</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25</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WDZB-YJV-1KV-3X240+2X120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247</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26</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WDZB-YJV-1KV-3X35+2X16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266</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27</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WDZB-YJV-1KV-3X25+2X16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516</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28</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WDZB-YJV-1KV-5X16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698</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29</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WDZB-YJV-1KV-5X10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2956</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WDZB-YJV-1KV-5X6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1765</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31</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WDZB-YJV-1KV-5X4</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1155</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32</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WDZB-YJV-1KV-5X2.5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209</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33</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WDZB-YJV-1KV-4X185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500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34</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WDZB-YJV-1KV-4X120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80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35</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WDZB-YJV-1KV-4X70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250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36</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WDZB-YJV-1KV-4X25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360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37</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WDZB-YJV-1KV-4X16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550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38</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WDZB-YJV-1KV-4X10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128</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39</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WDZB-YJV-1KV-4X6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1550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40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WDZB-YJV-1KV-4X4</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462</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41</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WDZB-YJV-1KV-4X2.5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4148</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42</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WDZN-YJY-1KV-2(3X95+2X50)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120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43</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WDZN-YJY-1KV-3x70+2x35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15</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44</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WDZN-YJY-1KV-3X50+1X25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45</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WDZN-YJY-1KV-5X4</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32</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46</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WDZN-BYJ-4x6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160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47</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WDZN-BYJ-4x10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572</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48</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WDZN-BYJ-4x2.5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315</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49</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WDZB-YJV-1KV-4X240+1X120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900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50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WDZB-YJV-1KV-4X185+1X95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51</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WDZB-YJV-1KV-4X50+1X25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52</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WDZB-YJV-1KV-4X35+1X16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1650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53</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WDZB-YJV-1KV-4X25+1X16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250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54</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WDZB-YJV-1KV-5X16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1700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55</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WDZB-YJV-1KV-5X10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500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56</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WDZN-BYJ-4x4</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180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57</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WDZN-BYJ-3x2.5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610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58</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WDZN-BYJ-5x6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158</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59</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WDZN-BYJ-5x4</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80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60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WDZN-BYJ-5x2.5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30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61</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WDZN-BYJ-6x1.5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430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62</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WDZN-BYJ-3x1.5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430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63</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WDZN-BYJ-2x1.5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189</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64</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ZR-BYJ-3X2.5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12000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65</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电力电缆</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ZR-BYJ-3X1.5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5000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kern w:val="2"/>
                <w:sz w:val="21"/>
                <w:szCs w:val="21"/>
                <w:lang w:eastAsia="zh-CN"/>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66</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S316不锈钢桥架</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W800xH200(壁厚2.2mm)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350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含支架、弯头等配件</w:t>
            </w: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67</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S316不锈钢桥架</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W600xH200(壁厚2.0mm)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500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含支架、弯头等配件</w:t>
            </w: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68</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S316不锈钢桥架</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W400xH100(壁厚1.5mm)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300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含支架、弯头等配件</w:t>
            </w: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69</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S316不锈钢桥架</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W500xH100(壁厚1.5mm)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300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含支架、弯头等配件</w:t>
            </w: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70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S316不锈钢桥架</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W300xH100(壁厚1.2mm)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320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含支架、弯头等配件</w:t>
            </w: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71</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S316不锈钢桥架</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W200xH100(壁厚1.2mm)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1500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含支架、弯头等配件</w:t>
            </w: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72</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S316不锈钢桥架(消防专用，防火型)</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W100xH50(壁厚1.0mm)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300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含支架、弯头等配件</w:t>
            </w:r>
          </w:p>
        </w:tc>
      </w:tr>
      <w:tr>
        <w:tblPrEx>
          <w:tblLayout w:type="fixed"/>
          <w:tblCellMar>
            <w:top w:w="0" w:type="dxa"/>
            <w:left w:w="108" w:type="dxa"/>
            <w:bottom w:w="0" w:type="dxa"/>
            <w:right w:w="108" w:type="dxa"/>
          </w:tblCellMar>
        </w:tblPrEx>
        <w:trPr>
          <w:trHeight w:val="81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73</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S316不锈钢桥架(消防专用，防火型)</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W400xH100(壁厚1.5mm)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150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含支架、弯头等配件</w:t>
            </w:r>
          </w:p>
        </w:tc>
      </w:tr>
      <w:tr>
        <w:tblPrEx>
          <w:tblLayout w:type="fixed"/>
          <w:tblCellMar>
            <w:top w:w="0" w:type="dxa"/>
            <w:left w:w="108" w:type="dxa"/>
            <w:bottom w:w="0" w:type="dxa"/>
            <w:right w:w="108" w:type="dxa"/>
          </w:tblCellMar>
        </w:tblPrEx>
        <w:trPr>
          <w:trHeight w:val="81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74</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S316不锈钢桥架(消防专用，防火型)</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W300xH100(壁厚1.2mm)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150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含支架、弯头等配件</w:t>
            </w:r>
          </w:p>
        </w:tc>
      </w:tr>
      <w:tr>
        <w:tblPrEx>
          <w:tblLayout w:type="fixed"/>
          <w:tblCellMar>
            <w:top w:w="0" w:type="dxa"/>
            <w:left w:w="108" w:type="dxa"/>
            <w:bottom w:w="0" w:type="dxa"/>
            <w:right w:w="108" w:type="dxa"/>
          </w:tblCellMar>
        </w:tblPrEx>
        <w:trPr>
          <w:trHeight w:val="81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75</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S316不锈钢桥架(消防专用，防火型)</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W200xH100(壁厚1.2mm)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500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含支架、弯头等配件</w:t>
            </w:r>
          </w:p>
        </w:tc>
      </w:tr>
      <w:tr>
        <w:tblPrEx>
          <w:tblLayout w:type="fixed"/>
          <w:tblCellMar>
            <w:top w:w="0" w:type="dxa"/>
            <w:left w:w="108" w:type="dxa"/>
            <w:bottom w:w="0" w:type="dxa"/>
            <w:right w:w="108" w:type="dxa"/>
          </w:tblCellMar>
        </w:tblPrEx>
        <w:trPr>
          <w:trHeight w:val="81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76</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S316不锈钢桥架(消防专用，防火型)</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W100xH50(壁厚1.0mm)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200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含支架、弯头等配件</w:t>
            </w:r>
          </w:p>
        </w:tc>
      </w:tr>
      <w:tr>
        <w:tblPrEx>
          <w:tblLayout w:type="fixed"/>
          <w:tblCellMar>
            <w:top w:w="0" w:type="dxa"/>
            <w:left w:w="108" w:type="dxa"/>
            <w:bottom w:w="0" w:type="dxa"/>
            <w:right w:w="108" w:type="dxa"/>
          </w:tblCellMar>
        </w:tblPrEx>
        <w:trPr>
          <w:trHeight w:val="81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77</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热镀锌钢管</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SC150(壁厚4.5mm)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850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kern w:val="2"/>
                <w:sz w:val="21"/>
                <w:szCs w:val="21"/>
                <w:lang w:eastAsia="zh-CN"/>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78</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热镀锌钢管</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SC100(壁厚4mm)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900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kern w:val="2"/>
                <w:sz w:val="21"/>
                <w:szCs w:val="21"/>
                <w:lang w:eastAsia="zh-CN"/>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79</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热镀锌钢管</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SC50(壁厚3mm)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4000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kern w:val="2"/>
                <w:sz w:val="21"/>
                <w:szCs w:val="21"/>
                <w:lang w:eastAsia="zh-CN"/>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80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热镀锌钢管</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SC32(壁厚2.5mm)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5000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kern w:val="2"/>
                <w:sz w:val="21"/>
                <w:szCs w:val="21"/>
                <w:lang w:eastAsia="zh-CN"/>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81</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热镀锌钢管</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SC20(壁厚2.5mm)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5000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82</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防爆软管</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Ф100(壁厚4mm)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600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83</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防爆软管</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Ф50(壁厚3mm)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500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84</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防爆软管</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Ф32(壁厚2.5mm)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600</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85</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PVC管</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Ф63(壁厚3mm)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687</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86</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PVC管</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Ф32(壁厚2.5mm)</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米</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kern w:val="2"/>
                <w:sz w:val="21"/>
                <w:szCs w:val="21"/>
                <w:lang w:eastAsia="zh-CN"/>
              </w:rPr>
            </w:pPr>
            <w:r>
              <w:rPr>
                <w:rFonts w:ascii="Times New Roman" w:hAnsi="Times New Roman" w:cs="Times New Roman"/>
                <w:color w:val="auto"/>
                <w:sz w:val="21"/>
                <w:szCs w:val="21"/>
                <w:lang w:eastAsia="zh-CN" w:bidi="ar"/>
              </w:rPr>
              <w:t>1207</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87</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lang w:eastAsia="zh-CN" w:bidi="ar"/>
              </w:rPr>
            </w:pPr>
            <w:r>
              <w:rPr>
                <w:rFonts w:ascii="Times New Roman" w:hAnsi="Times New Roman" w:cs="Times New Roman"/>
                <w:color w:val="auto"/>
                <w:sz w:val="21"/>
                <w:szCs w:val="21"/>
                <w:lang w:eastAsia="zh-CN" w:bidi="ar"/>
              </w:rPr>
              <w:t>照明系统</w:t>
            </w:r>
          </w:p>
        </w:tc>
        <w:tc>
          <w:tcPr>
            <w:tcW w:w="3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lang w:eastAsia="zh-CN" w:bidi="ar"/>
              </w:rPr>
            </w:pPr>
            <w:r>
              <w:rPr>
                <w:rFonts w:ascii="Times New Roman" w:hAnsi="Times New Roman" w:cs="Times New Roman"/>
                <w:color w:val="auto"/>
                <w:sz w:val="21"/>
                <w:szCs w:val="21"/>
                <w:lang w:eastAsia="zh-CN" w:bidi="ar"/>
              </w:rPr>
              <w:t>室内面积约41000平方米,照明灯具(三防灯具)、插座、开关等</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lang w:eastAsia="zh-CN" w:bidi="ar"/>
              </w:rPr>
            </w:pPr>
            <w:r>
              <w:rPr>
                <w:rFonts w:ascii="Times New Roman" w:hAnsi="Times New Roman" w:cs="Times New Roman"/>
                <w:color w:val="auto"/>
                <w:sz w:val="21"/>
                <w:szCs w:val="21"/>
                <w:lang w:eastAsia="zh-CN" w:bidi="ar"/>
              </w:rPr>
              <w:t>项</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lang w:eastAsia="zh-CN" w:bidi="ar"/>
              </w:rPr>
            </w:pPr>
            <w:r>
              <w:rPr>
                <w:rFonts w:ascii="Times New Roman" w:hAnsi="Times New Roman" w:cs="Times New Roman"/>
                <w:color w:val="auto"/>
                <w:sz w:val="21"/>
                <w:szCs w:val="21"/>
                <w:lang w:eastAsia="zh-CN" w:bidi="ar"/>
              </w:rPr>
              <w:t>1</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70" w:hRule="atLeast"/>
        </w:trPr>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88</w:t>
            </w:r>
          </w:p>
        </w:tc>
        <w:tc>
          <w:tcPr>
            <w:tcW w:w="1325"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center"/>
              <w:rPr>
                <w:rFonts w:ascii="Times New Roman" w:hAnsi="Times New Roman" w:cs="Times New Roman"/>
                <w:color w:val="auto"/>
                <w:sz w:val="21"/>
                <w:szCs w:val="21"/>
                <w:lang w:eastAsia="zh-CN" w:bidi="ar"/>
              </w:rPr>
            </w:pPr>
            <w:r>
              <w:rPr>
                <w:rFonts w:ascii="Times New Roman" w:hAnsi="Times New Roman" w:cs="Times New Roman"/>
                <w:color w:val="auto"/>
                <w:sz w:val="21"/>
                <w:szCs w:val="21"/>
                <w:lang w:eastAsia="zh-CN" w:bidi="ar"/>
              </w:rPr>
              <w:t>型钢</w:t>
            </w:r>
          </w:p>
        </w:tc>
        <w:tc>
          <w:tcPr>
            <w:tcW w:w="3006"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center"/>
              <w:rPr>
                <w:rFonts w:ascii="Times New Roman" w:hAnsi="Times New Roman" w:cs="Times New Roman"/>
                <w:color w:val="auto"/>
                <w:sz w:val="21"/>
                <w:szCs w:val="21"/>
                <w:lang w:eastAsia="zh-CN" w:bidi="ar"/>
              </w:rPr>
            </w:pPr>
            <w:r>
              <w:rPr>
                <w:rFonts w:ascii="Times New Roman" w:hAnsi="Times New Roman" w:cs="Times New Roman"/>
                <w:color w:val="auto"/>
                <w:sz w:val="21"/>
                <w:szCs w:val="21"/>
                <w:lang w:eastAsia="zh-CN" w:bidi="ar"/>
              </w:rPr>
              <w:t>各种规格</w:t>
            </w:r>
          </w:p>
        </w:tc>
        <w:tc>
          <w:tcPr>
            <w:tcW w:w="946"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center"/>
              <w:rPr>
                <w:rFonts w:ascii="Times New Roman" w:hAnsi="Times New Roman" w:cs="Times New Roman"/>
                <w:color w:val="auto"/>
                <w:sz w:val="21"/>
                <w:szCs w:val="21"/>
                <w:lang w:eastAsia="zh-CN" w:bidi="ar"/>
              </w:rPr>
            </w:pPr>
            <w:r>
              <w:rPr>
                <w:rFonts w:ascii="Times New Roman" w:hAnsi="Times New Roman" w:cs="Times New Roman"/>
                <w:color w:val="auto"/>
                <w:sz w:val="21"/>
                <w:szCs w:val="21"/>
                <w:lang w:eastAsia="zh-CN" w:bidi="ar"/>
              </w:rPr>
              <w:t>3 吨</w:t>
            </w:r>
          </w:p>
        </w:tc>
        <w:tc>
          <w:tcPr>
            <w:tcW w:w="992"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center"/>
              <w:rPr>
                <w:rFonts w:ascii="Times New Roman" w:hAnsi="Times New Roman" w:cs="Times New Roman"/>
                <w:color w:val="auto"/>
                <w:sz w:val="21"/>
                <w:szCs w:val="21"/>
                <w:lang w:eastAsia="zh-CN" w:bidi="ar"/>
              </w:rPr>
            </w:pPr>
            <w:r>
              <w:rPr>
                <w:rFonts w:ascii="Times New Roman" w:hAnsi="Times New Roman" w:cs="Times New Roman"/>
                <w:color w:val="auto"/>
                <w:sz w:val="21"/>
                <w:szCs w:val="21"/>
                <w:lang w:eastAsia="zh-CN" w:bidi="ar"/>
              </w:rPr>
              <w:t>热镀锌</w:t>
            </w:r>
          </w:p>
        </w:tc>
        <w:tc>
          <w:tcPr>
            <w:tcW w:w="16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cs="Times New Roman"/>
                <w:color w:val="auto"/>
                <w:sz w:val="21"/>
                <w:szCs w:val="21"/>
              </w:rPr>
            </w:pPr>
          </w:p>
        </w:tc>
      </w:tr>
    </w:tbl>
    <w:p>
      <w:pPr>
        <w:pStyle w:val="29"/>
        <w:ind w:firstLine="472"/>
        <w:rPr>
          <w:color w:val="auto"/>
        </w:rPr>
      </w:pPr>
    </w:p>
    <w:p>
      <w:pPr>
        <w:pStyle w:val="29"/>
        <w:ind w:firstLine="472"/>
        <w:rPr>
          <w:color w:val="auto"/>
        </w:rPr>
      </w:pPr>
      <w:r>
        <w:rPr>
          <w:color w:val="auto"/>
        </w:rPr>
        <w:t>注</w:t>
      </w:r>
      <w:r>
        <w:rPr>
          <w:color w:val="auto"/>
          <w:spacing w:val="-19"/>
        </w:rPr>
        <w:t xml:space="preserve"> </w:t>
      </w:r>
      <w:r>
        <w:rPr>
          <w:rFonts w:ascii="Calibri" w:hAnsi="Calibri" w:eastAsia="Calibri" w:cs="Calibri"/>
          <w:color w:val="auto"/>
        </w:rPr>
        <w:t>1</w:t>
      </w:r>
      <w:r>
        <w:rPr>
          <w:color w:val="auto"/>
        </w:rPr>
        <w:t>：本表所列电气设备仅对应于本节所述方案的主要电气设备，投标人投 标人须根据投标方案合理调整电气设备材料，并包含在合同报价之内。</w:t>
      </w:r>
    </w:p>
    <w:p>
      <w:pPr>
        <w:pStyle w:val="28"/>
        <w:spacing w:before="120" w:after="120"/>
        <w:rPr>
          <w:color w:val="auto"/>
        </w:rPr>
      </w:pPr>
      <w:bookmarkStart w:id="278" w:name="_Toc117181382"/>
      <w:r>
        <w:rPr>
          <w:color w:val="auto"/>
        </w:rPr>
        <w:t>仪表自控设备的相关要求</w:t>
      </w:r>
      <w:bookmarkEnd w:id="278"/>
    </w:p>
    <w:p>
      <w:pPr>
        <w:pStyle w:val="33"/>
        <w:rPr>
          <w:color w:val="auto"/>
        </w:rPr>
      </w:pPr>
      <w:r>
        <w:rPr>
          <w:rFonts w:hint="eastAsia"/>
          <w:color w:val="auto"/>
        </w:rPr>
        <w:t>厂区统一管理平台</w:t>
      </w:r>
      <w:r>
        <w:rPr>
          <w:color w:val="auto"/>
        </w:rPr>
        <w:t>仪表设备表</w:t>
      </w:r>
    </w:p>
    <w:tbl>
      <w:tblPr>
        <w:tblStyle w:val="23"/>
        <w:tblW w:w="863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972"/>
        <w:gridCol w:w="4651"/>
        <w:gridCol w:w="468"/>
        <w:gridCol w:w="468"/>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tblHeader/>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bookmarkStart w:id="279" w:name="RANGE!A1:F29"/>
            <w:r>
              <w:rPr>
                <w:rFonts w:ascii="Times New Roman" w:hAnsi="Times New Roman" w:cs="Times New Roman"/>
                <w:color w:val="auto"/>
                <w:sz w:val="21"/>
                <w:szCs w:val="21"/>
                <w:lang w:eastAsia="zh-CN"/>
              </w:rPr>
              <w:t>序号</w:t>
            </w:r>
            <w:bookmarkEnd w:id="279"/>
          </w:p>
        </w:tc>
        <w:tc>
          <w:tcPr>
            <w:tcW w:w="97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项目</w:t>
            </w:r>
          </w:p>
        </w:tc>
        <w:tc>
          <w:tcPr>
            <w:tcW w:w="4651"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建设内容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单位</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数量</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推荐品牌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trPr>
        <w:tc>
          <w:tcPr>
            <w:tcW w:w="1440" w:type="dxa"/>
            <w:gridSpan w:val="2"/>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一、智能工艺控制</w:t>
            </w:r>
          </w:p>
        </w:tc>
        <w:tc>
          <w:tcPr>
            <w:tcW w:w="4651"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97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精确曝气系统</w:t>
            </w: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系统能根据工艺特点及运行情况，实时定量分配与控制相应曝气控制区的曝气量，满足对溶解氧/曝气量的控制需求，从而保障污水处理厂工艺的节能高效稳定运行。系统采用成套电动线性空气调节阀，并与热式气体质量流量计一体化设计，能根据中控上位机或曝气控制系统发出的控制命令，实现对各曝气区的曝气量进行控制及合理分配，以满足曝气区的工艺运行稳定对曝气量的要求，并可大大降低鼓风曝气系统的能耗，从而实现污水处理厂的节能运营。</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德国冰德</w:t>
            </w:r>
          </w:p>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赛莱默</w:t>
            </w:r>
          </w:p>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苏伊士</w:t>
            </w:r>
          </w:p>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上海美尚</w:t>
            </w:r>
          </w:p>
          <w:p>
            <w:pPr>
              <w:widowControl/>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无锡聚锐</w:t>
            </w:r>
          </w:p>
          <w:p>
            <w:pPr>
              <w:widowControl/>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宜兴文峰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3"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97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智能机器人系统</w:t>
            </w: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在生化池曝气区设置智能巡检机器人系统，监控曝气情况。智能巡检机器人系统由2台巡检机器人、充电站、通讯装置、监控后台等组成。</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法国OIS</w:t>
            </w:r>
          </w:p>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和帆</w:t>
            </w:r>
          </w:p>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浙江国自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3</w:t>
            </w:r>
          </w:p>
        </w:tc>
        <w:tc>
          <w:tcPr>
            <w:tcW w:w="97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精确除磷系统</w:t>
            </w: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应对污水厂出水总磷达标优化的控制系统，针对污水厂加药过程的大滞后、变滞后、多因子、非线性等特点，加药除磷控制系统采用了“前馈+预测模型”的多参数控制模式</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可根据处理水量及硝酸盐反馈浓度，实时调节外加碳源投加量，并在硝酸盐浓度低于一定值时，停止外加碳源的投加，实现外加碳源节约15%~25%。</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上海昊沧</w:t>
            </w:r>
          </w:p>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上海美尚</w:t>
            </w:r>
          </w:p>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赛莱默</w:t>
            </w:r>
          </w:p>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苏伊士</w:t>
            </w:r>
          </w:p>
          <w:p>
            <w:pPr>
              <w:widowControl/>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无锡聚锐</w:t>
            </w:r>
          </w:p>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val="en-US" w:eastAsia="zh-CN"/>
              </w:rPr>
              <w:t>宜兴文峰</w:t>
            </w:r>
          </w:p>
          <w:p>
            <w:pPr>
              <w:widowControl/>
              <w:jc w:val="center"/>
              <w:rPr>
                <w:rFonts w:ascii="Times New Roman" w:hAnsi="Times New Roman"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4</w:t>
            </w:r>
          </w:p>
        </w:tc>
        <w:tc>
          <w:tcPr>
            <w:tcW w:w="97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精确脱氮系统</w:t>
            </w: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应对污水厂出水总磷达标优化的控制系统，针对污水厂加药过程的大滞后、变滞后、多因子、非线性等特点，加药除磷控制系统采用了“前馈+预测模型”的多参数控制模式</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可根据处理水量及硝酸盐反馈浓度，实时调节外加碳源投加量，并在硝酸盐浓度低于一定值时，停止外加碳源的投加，实现外加碳源节约15%~25%。</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上海昊沧</w:t>
            </w:r>
          </w:p>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上海美尚</w:t>
            </w:r>
          </w:p>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赛莱默</w:t>
            </w:r>
          </w:p>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苏伊士</w:t>
            </w:r>
          </w:p>
          <w:p>
            <w:pPr>
              <w:widowControl/>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无锡聚锐</w:t>
            </w:r>
          </w:p>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val="en-US" w:eastAsia="zh-CN"/>
              </w:rPr>
              <w:t>宜兴文峰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1440" w:type="dxa"/>
            <w:gridSpan w:val="2"/>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二、智慧运营管控平台</w:t>
            </w: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上海昊沧</w:t>
            </w:r>
          </w:p>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德讯水务</w:t>
            </w:r>
          </w:p>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施耐德</w:t>
            </w:r>
          </w:p>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威立雅</w:t>
            </w:r>
          </w:p>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四川卓越新能</w:t>
            </w:r>
          </w:p>
          <w:p>
            <w:pPr>
              <w:widowControl/>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无锡聚锐</w:t>
            </w:r>
          </w:p>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val="en-US" w:eastAsia="zh-CN"/>
              </w:rPr>
              <w:t>宜兴文峰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972" w:type="dxa"/>
            <w:vMerge w:val="restart"/>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智慧运营</w:t>
            </w: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运营管控统一平台</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972" w:type="dxa"/>
            <w:vMerge w:val="continue"/>
            <w:shd w:val="clear" w:color="auto" w:fill="auto"/>
            <w:vAlign w:val="center"/>
          </w:tcPr>
          <w:p>
            <w:pPr>
              <w:widowControl/>
              <w:rPr>
                <w:rFonts w:ascii="Times New Roman" w:hAnsi="Times New Roman" w:cs="Times New Roman"/>
                <w:color w:val="auto"/>
                <w:sz w:val="21"/>
                <w:szCs w:val="21"/>
                <w:lang w:eastAsia="zh-CN"/>
              </w:rPr>
            </w:pP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全厂三维建模</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3</w:t>
            </w:r>
          </w:p>
        </w:tc>
        <w:tc>
          <w:tcPr>
            <w:tcW w:w="972" w:type="dxa"/>
            <w:vMerge w:val="restart"/>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智慧生产</w:t>
            </w: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安全管理系统</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4</w:t>
            </w:r>
          </w:p>
        </w:tc>
        <w:tc>
          <w:tcPr>
            <w:tcW w:w="972" w:type="dxa"/>
            <w:vMerge w:val="continue"/>
            <w:shd w:val="clear" w:color="auto" w:fill="auto"/>
            <w:vAlign w:val="center"/>
          </w:tcPr>
          <w:p>
            <w:pPr>
              <w:widowControl/>
              <w:rPr>
                <w:rFonts w:ascii="Times New Roman" w:hAnsi="Times New Roman" w:cs="Times New Roman"/>
                <w:color w:val="auto"/>
                <w:sz w:val="21"/>
                <w:szCs w:val="21"/>
                <w:lang w:eastAsia="zh-CN"/>
              </w:rPr>
            </w:pP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设备管理系统</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5</w:t>
            </w:r>
          </w:p>
        </w:tc>
        <w:tc>
          <w:tcPr>
            <w:tcW w:w="972" w:type="dxa"/>
            <w:vMerge w:val="continue"/>
            <w:shd w:val="clear" w:color="auto" w:fill="auto"/>
            <w:vAlign w:val="center"/>
          </w:tcPr>
          <w:p>
            <w:pPr>
              <w:widowControl/>
              <w:rPr>
                <w:rFonts w:ascii="Times New Roman" w:hAnsi="Times New Roman" w:cs="Times New Roman"/>
                <w:color w:val="auto"/>
                <w:sz w:val="21"/>
                <w:szCs w:val="21"/>
                <w:lang w:eastAsia="zh-CN"/>
              </w:rPr>
            </w:pP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实验室管理系统</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6</w:t>
            </w:r>
          </w:p>
        </w:tc>
        <w:tc>
          <w:tcPr>
            <w:tcW w:w="97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基础平台</w:t>
            </w: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物联网平台</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7</w:t>
            </w:r>
          </w:p>
        </w:tc>
        <w:tc>
          <w:tcPr>
            <w:tcW w:w="972" w:type="dxa"/>
            <w:vMerge w:val="restart"/>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移动应用开发</w:t>
            </w: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生产监控轻应用</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8</w:t>
            </w:r>
          </w:p>
        </w:tc>
        <w:tc>
          <w:tcPr>
            <w:tcW w:w="972" w:type="dxa"/>
            <w:vMerge w:val="continue"/>
            <w:shd w:val="clear" w:color="auto" w:fill="auto"/>
            <w:vAlign w:val="center"/>
          </w:tcPr>
          <w:p>
            <w:pPr>
              <w:widowControl/>
              <w:rPr>
                <w:rFonts w:ascii="Times New Roman" w:hAnsi="Times New Roman" w:cs="Times New Roman"/>
                <w:color w:val="auto"/>
                <w:sz w:val="21"/>
                <w:szCs w:val="21"/>
                <w:lang w:eastAsia="zh-CN"/>
              </w:rPr>
            </w:pP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安全管理轻应用</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9</w:t>
            </w:r>
          </w:p>
        </w:tc>
        <w:tc>
          <w:tcPr>
            <w:tcW w:w="972" w:type="dxa"/>
            <w:vMerge w:val="continue"/>
            <w:shd w:val="clear" w:color="auto" w:fill="auto"/>
            <w:vAlign w:val="center"/>
          </w:tcPr>
          <w:p>
            <w:pPr>
              <w:widowControl/>
              <w:rPr>
                <w:rFonts w:ascii="Times New Roman" w:hAnsi="Times New Roman" w:cs="Times New Roman"/>
                <w:color w:val="auto"/>
                <w:sz w:val="21"/>
                <w:szCs w:val="21"/>
                <w:lang w:eastAsia="zh-CN"/>
              </w:rPr>
            </w:pP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设备管理轻应用</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10</w:t>
            </w:r>
          </w:p>
        </w:tc>
        <w:tc>
          <w:tcPr>
            <w:tcW w:w="972" w:type="dxa"/>
            <w:vMerge w:val="restart"/>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集成开发</w:t>
            </w: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与web门户、移动门户集成开发</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11</w:t>
            </w:r>
          </w:p>
        </w:tc>
        <w:tc>
          <w:tcPr>
            <w:tcW w:w="972" w:type="dxa"/>
            <w:vMerge w:val="continue"/>
            <w:shd w:val="clear" w:color="auto" w:fill="auto"/>
            <w:vAlign w:val="center"/>
          </w:tcPr>
          <w:p>
            <w:pPr>
              <w:widowControl/>
              <w:rPr>
                <w:rFonts w:ascii="Times New Roman" w:hAnsi="Times New Roman" w:cs="Times New Roman"/>
                <w:color w:val="auto"/>
                <w:sz w:val="21"/>
                <w:szCs w:val="21"/>
                <w:lang w:eastAsia="zh-CN"/>
              </w:rPr>
            </w:pP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与视频系统集成开发</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12</w:t>
            </w:r>
          </w:p>
        </w:tc>
        <w:tc>
          <w:tcPr>
            <w:tcW w:w="972" w:type="dxa"/>
            <w:vMerge w:val="continue"/>
            <w:shd w:val="clear" w:color="auto" w:fill="auto"/>
            <w:vAlign w:val="center"/>
          </w:tcPr>
          <w:p>
            <w:pPr>
              <w:widowControl/>
              <w:rPr>
                <w:rFonts w:ascii="Times New Roman" w:hAnsi="Times New Roman" w:cs="Times New Roman"/>
                <w:color w:val="auto"/>
                <w:sz w:val="21"/>
                <w:szCs w:val="21"/>
                <w:lang w:eastAsia="zh-CN"/>
              </w:rPr>
            </w:pP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与scada系统集成开发</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13</w:t>
            </w:r>
          </w:p>
        </w:tc>
        <w:tc>
          <w:tcPr>
            <w:tcW w:w="972" w:type="dxa"/>
            <w:vMerge w:val="continue"/>
            <w:shd w:val="clear" w:color="auto" w:fill="auto"/>
            <w:vAlign w:val="center"/>
          </w:tcPr>
          <w:p>
            <w:pPr>
              <w:widowControl/>
              <w:rPr>
                <w:rFonts w:ascii="Times New Roman" w:hAnsi="Times New Roman" w:cs="Times New Roman"/>
                <w:color w:val="auto"/>
                <w:sz w:val="21"/>
                <w:szCs w:val="21"/>
                <w:lang w:eastAsia="zh-CN"/>
              </w:rPr>
            </w:pP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与人员定位系统集成开发</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14</w:t>
            </w:r>
          </w:p>
        </w:tc>
        <w:tc>
          <w:tcPr>
            <w:tcW w:w="972" w:type="dxa"/>
            <w:vMerge w:val="continue"/>
            <w:shd w:val="clear" w:color="auto" w:fill="auto"/>
            <w:vAlign w:val="center"/>
          </w:tcPr>
          <w:p>
            <w:pPr>
              <w:widowControl/>
              <w:rPr>
                <w:rFonts w:ascii="Times New Roman" w:hAnsi="Times New Roman" w:cs="Times New Roman"/>
                <w:color w:val="auto"/>
                <w:sz w:val="21"/>
                <w:szCs w:val="21"/>
                <w:lang w:eastAsia="zh-CN"/>
              </w:rPr>
            </w:pP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与智能照明系统集成开发</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15</w:t>
            </w:r>
          </w:p>
        </w:tc>
        <w:tc>
          <w:tcPr>
            <w:tcW w:w="972" w:type="dxa"/>
            <w:vMerge w:val="continue"/>
            <w:shd w:val="clear" w:color="auto" w:fill="auto"/>
            <w:vAlign w:val="center"/>
          </w:tcPr>
          <w:p>
            <w:pPr>
              <w:widowControl/>
              <w:rPr>
                <w:rFonts w:ascii="Times New Roman" w:hAnsi="Times New Roman" w:cs="Times New Roman"/>
                <w:color w:val="auto"/>
                <w:sz w:val="21"/>
                <w:szCs w:val="21"/>
                <w:lang w:eastAsia="zh-CN"/>
              </w:rPr>
            </w:pP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与通风控制系统集成开发</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16</w:t>
            </w:r>
          </w:p>
        </w:tc>
        <w:tc>
          <w:tcPr>
            <w:tcW w:w="972" w:type="dxa"/>
            <w:vMerge w:val="continue"/>
            <w:shd w:val="clear" w:color="auto" w:fill="auto"/>
            <w:vAlign w:val="center"/>
          </w:tcPr>
          <w:p>
            <w:pPr>
              <w:widowControl/>
              <w:rPr>
                <w:rFonts w:ascii="Times New Roman" w:hAnsi="Times New Roman" w:cs="Times New Roman"/>
                <w:color w:val="auto"/>
                <w:sz w:val="21"/>
                <w:szCs w:val="21"/>
                <w:lang w:eastAsia="zh-CN"/>
              </w:rPr>
            </w:pP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与工艺仿真系统集成开发</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 w:hRule="atLeast"/>
        </w:trPr>
        <w:tc>
          <w:tcPr>
            <w:tcW w:w="1440" w:type="dxa"/>
            <w:gridSpan w:val="2"/>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三、智慧运行环境（硬件）</w:t>
            </w: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97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核心交换机</w:t>
            </w: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三层管理型以太网交换机；千兆光口x4，千兆电口x24，配光模块；支持基于IEC62439-2/3/6的冗余环网协议，自愈时间＜20ms，交换延迟＜5us；工作温度-40~+85℃</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东土、MOXA、赫斯曼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97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接入交换机</w:t>
            </w: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二层网管型以太网交换机，千兆光口x2，千兆电口x8，配光模块；支持基于IEC62439-2/3/6的冗余环网协议，自愈时间＜20ms，交换延迟＜5us；工作温度-40~+85℃</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东土、MOXA、赫斯曼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4</w:t>
            </w:r>
          </w:p>
        </w:tc>
        <w:tc>
          <w:tcPr>
            <w:tcW w:w="97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智慧运营应用服务器</w:t>
            </w: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CPU：配置2颗Intel至强金牌5120(2.2GHz/14-core/19.25MB/105W)或以上128GB DDR4 内存/至少2*500GB SSD硬盘，5*900GB/10000转 SAS硬盘/支持RAID 0、1、5、6、50、60、10等，1GB以上缓存/网络接口： 至少2*1GbE电口/三年质保，含操作系统</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台</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浪潮、华为、联想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5</w:t>
            </w:r>
          </w:p>
        </w:tc>
        <w:tc>
          <w:tcPr>
            <w:tcW w:w="97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三维渲染工作站</w:t>
            </w: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主板华硕z690-p Wi-Fi/CPU I7 12700kf/金士顿骇客 32Ｇ*2/三星 500 pcie4.0/3070TI/机箱+额定1000电源/风扇 酷冷 360 水冷</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台</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戴尔 联想  新华三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trPr>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6</w:t>
            </w:r>
          </w:p>
        </w:tc>
        <w:tc>
          <w:tcPr>
            <w:tcW w:w="97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服务器柜</w:t>
            </w:r>
          </w:p>
        </w:tc>
        <w:tc>
          <w:tcPr>
            <w:tcW w:w="4651"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IP40，控制柜42U，2200HX600WX1000D(MM),前后开门下进线，2MM冷轧板,含8PDU电源，HUB配线架</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468"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605"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bl>
    <w:p>
      <w:pPr>
        <w:pStyle w:val="33"/>
        <w:rPr>
          <w:color w:val="auto"/>
        </w:rPr>
      </w:pPr>
      <w:r>
        <w:rPr>
          <w:rFonts w:hint="eastAsia"/>
          <w:color w:val="auto"/>
        </w:rPr>
        <w:t>中控室设备表</w:t>
      </w:r>
    </w:p>
    <w:tbl>
      <w:tblPr>
        <w:tblStyle w:val="23"/>
        <w:tblW w:w="869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
        <w:gridCol w:w="1042"/>
        <w:gridCol w:w="5057"/>
        <w:gridCol w:w="454"/>
        <w:gridCol w:w="454"/>
        <w:gridCol w:w="1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blHeader/>
        </w:trPr>
        <w:tc>
          <w:tcPr>
            <w:tcW w:w="45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序号</w:t>
            </w:r>
          </w:p>
        </w:tc>
        <w:tc>
          <w:tcPr>
            <w:tcW w:w="104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名  称</w:t>
            </w:r>
          </w:p>
        </w:tc>
        <w:tc>
          <w:tcPr>
            <w:tcW w:w="5057"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型号及规格（技术要求及配置）</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单位</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数量</w:t>
            </w:r>
          </w:p>
        </w:tc>
        <w:tc>
          <w:tcPr>
            <w:tcW w:w="123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trPr>
        <w:tc>
          <w:tcPr>
            <w:tcW w:w="45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04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主控室大屏幕</w:t>
            </w:r>
          </w:p>
        </w:tc>
        <w:tc>
          <w:tcPr>
            <w:tcW w:w="5057"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全彩LED显示屏，三合一金线封装，像素间距≤1.27mm，4880m(宽) ×2744mm(高)，整屏分辨率3840*2160，配供拼接处理器、控制软件、配电箱、钢架及电缆等辅材</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23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利亚德、大华、海康威视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45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104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工程师站</w:t>
            </w:r>
          </w:p>
        </w:tc>
        <w:tc>
          <w:tcPr>
            <w:tcW w:w="5057"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i7双核/16GB/512G SSD+1TB HDD/425W/键盘鼠标/P400，双网卡，24英寸液晶显示器，预装Win10 Pro for Workstations版，3年专业支持</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23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戴尔、联想、新华三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45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3</w:t>
            </w:r>
          </w:p>
        </w:tc>
        <w:tc>
          <w:tcPr>
            <w:tcW w:w="104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操作员站</w:t>
            </w:r>
          </w:p>
        </w:tc>
        <w:tc>
          <w:tcPr>
            <w:tcW w:w="5057"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i7双核/16GB/512G SSD+1TB HDD/425W/键盘鼠标/P400，双网卡，24英寸液晶显示器，预装Win10 Pro for Workstations版，3年专业支持</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4</w:t>
            </w:r>
          </w:p>
        </w:tc>
        <w:tc>
          <w:tcPr>
            <w:tcW w:w="123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戴尔、联想、新华三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45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4</w:t>
            </w:r>
          </w:p>
        </w:tc>
        <w:tc>
          <w:tcPr>
            <w:tcW w:w="104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便携式电脑</w:t>
            </w:r>
          </w:p>
        </w:tc>
        <w:tc>
          <w:tcPr>
            <w:tcW w:w="5057"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i7双核处理器，内存16GB，500G固态硬盘+1TSATA硬盘，预装win10专业版</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23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戴尔、联想、新华三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8" w:hRule="atLeast"/>
        </w:trPr>
        <w:tc>
          <w:tcPr>
            <w:tcW w:w="45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5</w:t>
            </w:r>
          </w:p>
        </w:tc>
        <w:tc>
          <w:tcPr>
            <w:tcW w:w="104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容错型运行服务器</w:t>
            </w:r>
          </w:p>
        </w:tc>
        <w:tc>
          <w:tcPr>
            <w:tcW w:w="5057"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机架式全硬件冗余工业标准容错服务器，可靠性 99.9998%以上，电源、CPU、内存、I/O 控制组件采用冗余配置。每个模块配置一个Intel Xeon Silver 4210处理器，10核2.2GHz；UPI 9.6GT/s；32GB DDR4内存；最大内存带宽76.8 GB/s；2个100M/1000M自适应以太网口，可以两两配对成冗余网卡，并自动负载切换；工业标准热插拔内置硬盘并作 RAID1保护，1块800G SAS企业级SSD硬盘，11.2TSAS１０K企业级硬盘，并可根据需求扩展磁盘或磁盘阵列；配置相应的服务器驱动管理软件AUL。支持模块化的方式进行热插拔。支持Windows Server2016/2019; Redhat Enterprise Linux 8.4; VMware7.0.1/7.0.2等操作系统。</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23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H&amp;i SERVER、NEC、惠普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trPr>
        <w:tc>
          <w:tcPr>
            <w:tcW w:w="45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6</w:t>
            </w:r>
          </w:p>
        </w:tc>
        <w:tc>
          <w:tcPr>
            <w:tcW w:w="104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冗余历史服务器</w:t>
            </w:r>
          </w:p>
        </w:tc>
        <w:tc>
          <w:tcPr>
            <w:tcW w:w="5057"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英特尔至强银牌4210(2.2GHz/10-Core/13.75MB/85W),32GB内存，6*600G SAS硬盘(支持RAID1，5)，热插拔电源，千兆网卡,配置操作系统和系统管理软件</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123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浪潮、华为、联想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trPr>
        <w:tc>
          <w:tcPr>
            <w:tcW w:w="45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7</w:t>
            </w:r>
          </w:p>
        </w:tc>
        <w:tc>
          <w:tcPr>
            <w:tcW w:w="104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应用服务器</w:t>
            </w:r>
          </w:p>
        </w:tc>
        <w:tc>
          <w:tcPr>
            <w:tcW w:w="5057"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英特尔至强银牌4210(2.2GHz/10-Core/13.75MB/85W),32GB内存，6*600G SAS硬盘(支持RAID1，5)，热插拔电源，千兆网卡,配置操作系统和系统管理软件</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台</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123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浪潮、华为、联想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trPr>
        <w:tc>
          <w:tcPr>
            <w:tcW w:w="45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8</w:t>
            </w:r>
          </w:p>
        </w:tc>
        <w:tc>
          <w:tcPr>
            <w:tcW w:w="104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自控核心交换机</w:t>
            </w:r>
          </w:p>
        </w:tc>
        <w:tc>
          <w:tcPr>
            <w:tcW w:w="5057"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三层管理型工业以太网交换机；千兆光口x4，千兆电口x24，配光模块；支持基于IEC62439-2/3/6的冗余环网协议，自愈时间＜20ms，交换延迟＜5us；工作温度-40~+85℃</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123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东土、MOXA、赫斯曼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trPr>
        <w:tc>
          <w:tcPr>
            <w:tcW w:w="45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9</w:t>
            </w:r>
          </w:p>
        </w:tc>
        <w:tc>
          <w:tcPr>
            <w:tcW w:w="104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自控接入交换机</w:t>
            </w:r>
          </w:p>
        </w:tc>
        <w:tc>
          <w:tcPr>
            <w:tcW w:w="5057"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二层网管型工业以太网交换机，千兆光口x2，千兆电口x8，配光模块；支持基于IEC62439-2/3/6的冗余环网协议，自愈时间＜20ms，交换延迟＜5us；工作温度-40~+85℃</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123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东土、MOXA、赫斯曼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45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10</w:t>
            </w:r>
          </w:p>
        </w:tc>
        <w:tc>
          <w:tcPr>
            <w:tcW w:w="104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UPS电源柜</w:t>
            </w:r>
          </w:p>
        </w:tc>
        <w:tc>
          <w:tcPr>
            <w:tcW w:w="5057"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 2200*800*600，不锈钢柜体，钢板厚度不低于2mm，防护等级IP40，含断路器、开关电源、防雷接地、端子等全套配件；</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2、在线式UPS，15KVA，</w:t>
            </w:r>
            <w:r>
              <w:rPr>
                <w:rFonts w:hint="eastAsia" w:ascii="Times New Roman" w:hAnsi="Times New Roman" w:cs="Times New Roman"/>
                <w:color w:val="auto"/>
                <w:sz w:val="21"/>
                <w:szCs w:val="21"/>
                <w:lang w:eastAsia="zh-CN"/>
              </w:rPr>
              <w:t>120</w:t>
            </w:r>
            <w:r>
              <w:rPr>
                <w:rFonts w:ascii="Times New Roman" w:hAnsi="Times New Roman" w:cs="Times New Roman"/>
                <w:color w:val="auto"/>
                <w:sz w:val="21"/>
                <w:szCs w:val="21"/>
                <w:lang w:eastAsia="zh-CN"/>
              </w:rPr>
              <w:t>分钟备电</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23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易士特、华为、山特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45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11</w:t>
            </w:r>
          </w:p>
        </w:tc>
        <w:tc>
          <w:tcPr>
            <w:tcW w:w="104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激光打印机</w:t>
            </w:r>
          </w:p>
        </w:tc>
        <w:tc>
          <w:tcPr>
            <w:tcW w:w="5057"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激光打印机，A3、A4幅面，支持有线网络打印</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台</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23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惠普、佳能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45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12</w:t>
            </w:r>
          </w:p>
        </w:tc>
        <w:tc>
          <w:tcPr>
            <w:tcW w:w="104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卫星同步时钟</w:t>
            </w:r>
          </w:p>
        </w:tc>
        <w:tc>
          <w:tcPr>
            <w:tcW w:w="5057"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2个RJ45网络授时（NTP），北斗时间源</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台</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23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训鹏、凡木、赛思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45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13</w:t>
            </w:r>
          </w:p>
        </w:tc>
        <w:tc>
          <w:tcPr>
            <w:tcW w:w="104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控制台及座椅</w:t>
            </w:r>
          </w:p>
        </w:tc>
        <w:tc>
          <w:tcPr>
            <w:tcW w:w="5057"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定制，含7把椅子,与中控室整体协调，大方、美观</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23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45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14</w:t>
            </w:r>
          </w:p>
        </w:tc>
        <w:tc>
          <w:tcPr>
            <w:tcW w:w="104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SCADA系统软件</w:t>
            </w:r>
          </w:p>
        </w:tc>
        <w:tc>
          <w:tcPr>
            <w:tcW w:w="5057"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含冗余功能，无限点，1套开发版，3套客户端，1套服务器端</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5</w:t>
            </w:r>
          </w:p>
        </w:tc>
        <w:tc>
          <w:tcPr>
            <w:tcW w:w="123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与PLC一致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45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15</w:t>
            </w:r>
          </w:p>
        </w:tc>
        <w:tc>
          <w:tcPr>
            <w:tcW w:w="104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PLC编程软件</w:t>
            </w:r>
          </w:p>
        </w:tc>
        <w:tc>
          <w:tcPr>
            <w:tcW w:w="5057" w:type="dxa"/>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开发版1套，编程源代码必须完整提供给甲方</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23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与PLC一致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4" w:hRule="atLeast"/>
        </w:trPr>
        <w:tc>
          <w:tcPr>
            <w:tcW w:w="453"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16</w:t>
            </w:r>
          </w:p>
        </w:tc>
        <w:tc>
          <w:tcPr>
            <w:tcW w:w="104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数据库软件</w:t>
            </w:r>
          </w:p>
        </w:tc>
        <w:tc>
          <w:tcPr>
            <w:tcW w:w="5057"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中文版，不少于10个用户，open liecence版本。为整个控制系统的过程数据完成历史数据的收集与服务功能。具有历史数据、数据追忆、SOE、报警日志、报表等功能。同时提供大容量的存储和检索，所有过程数据可以以0.1秒或1秒的时间间隔扫描和存储，最高可处理400000点数据。</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454"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232" w:type="dxa"/>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平台或PLC配供</w:t>
            </w:r>
          </w:p>
        </w:tc>
      </w:tr>
    </w:tbl>
    <w:p>
      <w:pPr>
        <w:pStyle w:val="29"/>
        <w:ind w:firstLine="472"/>
        <w:rPr>
          <w:color w:val="auto"/>
        </w:rPr>
      </w:pPr>
    </w:p>
    <w:p>
      <w:pPr>
        <w:pStyle w:val="33"/>
        <w:rPr>
          <w:color w:val="auto"/>
        </w:rPr>
      </w:pPr>
      <w:r>
        <w:rPr>
          <w:rFonts w:hint="eastAsia"/>
          <w:color w:val="auto"/>
        </w:rPr>
        <w:t>就地控制站设备表</w:t>
      </w:r>
    </w:p>
    <w:tbl>
      <w:tblPr>
        <w:tblStyle w:val="23"/>
        <w:tblW w:w="8788" w:type="dxa"/>
        <w:tblInd w:w="113" w:type="dxa"/>
        <w:tblLayout w:type="fixed"/>
        <w:tblCellMar>
          <w:top w:w="0" w:type="dxa"/>
          <w:left w:w="108" w:type="dxa"/>
          <w:bottom w:w="0" w:type="dxa"/>
          <w:right w:w="108" w:type="dxa"/>
        </w:tblCellMar>
      </w:tblPr>
      <w:tblGrid>
        <w:gridCol w:w="846"/>
        <w:gridCol w:w="849"/>
        <w:gridCol w:w="5012"/>
        <w:gridCol w:w="563"/>
        <w:gridCol w:w="563"/>
        <w:gridCol w:w="955"/>
      </w:tblGrid>
      <w:tr>
        <w:tblPrEx>
          <w:tblLayout w:type="fixed"/>
          <w:tblCellMar>
            <w:top w:w="0" w:type="dxa"/>
            <w:left w:w="108" w:type="dxa"/>
            <w:bottom w:w="0" w:type="dxa"/>
            <w:right w:w="108" w:type="dxa"/>
          </w:tblCellMar>
        </w:tblPrEx>
        <w:trPr>
          <w:trHeight w:val="435" w:hRule="atLeast"/>
          <w:tblHeader/>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序号</w:t>
            </w:r>
          </w:p>
        </w:tc>
        <w:tc>
          <w:tcPr>
            <w:tcW w:w="849"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设备名称</w:t>
            </w:r>
          </w:p>
        </w:tc>
        <w:tc>
          <w:tcPr>
            <w:tcW w:w="5012"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规格及型号（技术要求及配置）</w:t>
            </w:r>
          </w:p>
        </w:tc>
        <w:tc>
          <w:tcPr>
            <w:tcW w:w="563"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单位</w:t>
            </w:r>
          </w:p>
        </w:tc>
        <w:tc>
          <w:tcPr>
            <w:tcW w:w="563"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数量</w:t>
            </w:r>
          </w:p>
        </w:tc>
        <w:tc>
          <w:tcPr>
            <w:tcW w:w="955"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备注</w:t>
            </w:r>
          </w:p>
        </w:tc>
      </w:tr>
      <w:tr>
        <w:tblPrEx>
          <w:tblLayout w:type="fixed"/>
          <w:tblCellMar>
            <w:top w:w="0" w:type="dxa"/>
            <w:left w:w="108" w:type="dxa"/>
            <w:bottom w:w="0" w:type="dxa"/>
            <w:right w:w="108" w:type="dxa"/>
          </w:tblCellMar>
        </w:tblPrEx>
        <w:trPr>
          <w:trHeight w:val="435" w:hRule="atLeast"/>
        </w:trPr>
        <w:tc>
          <w:tcPr>
            <w:tcW w:w="84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LCU01</w:t>
            </w:r>
          </w:p>
        </w:tc>
        <w:tc>
          <w:tcPr>
            <w:tcW w:w="849"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预处理系统</w:t>
            </w:r>
          </w:p>
        </w:tc>
        <w:tc>
          <w:tcPr>
            <w:tcW w:w="5012"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95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1419" w:hRule="atLeast"/>
        </w:trPr>
        <w:tc>
          <w:tcPr>
            <w:tcW w:w="84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849"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就地控制站</w:t>
            </w:r>
          </w:p>
        </w:tc>
        <w:tc>
          <w:tcPr>
            <w:tcW w:w="5012"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1、PLC机柜 2200*800*600，不锈钢柜体，钢板厚度不低于2.5mm，防护等级IP40，含全部配件；</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2、大型PLC，防腐型，CPU、网络模块、电源模块冗余配置；包括主机架、电源模块、CPU模块、I/O模块、通讯模块等。配置点数：450；</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3、配置二层网管型工业交换机，2光口+16电口；</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4、配置12英吋真彩触摸屏</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5、PLC、触摸屏程序开发，功能满足生产流程和用户需求</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面</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95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施耐德、西门子、AB</w:t>
            </w:r>
          </w:p>
        </w:tc>
      </w:tr>
      <w:tr>
        <w:tblPrEx>
          <w:tblLayout w:type="fixed"/>
          <w:tblCellMar>
            <w:top w:w="0" w:type="dxa"/>
            <w:left w:w="108" w:type="dxa"/>
            <w:bottom w:w="0" w:type="dxa"/>
            <w:right w:w="108" w:type="dxa"/>
          </w:tblCellMar>
        </w:tblPrEx>
        <w:trPr>
          <w:trHeight w:val="709" w:hRule="atLeast"/>
        </w:trPr>
        <w:tc>
          <w:tcPr>
            <w:tcW w:w="84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849"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UPS电源柜</w:t>
            </w:r>
          </w:p>
        </w:tc>
        <w:tc>
          <w:tcPr>
            <w:tcW w:w="5012"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 2200*800*600，不锈钢柜体，钢板厚度不低于2.5mm，防护等级IP40，含断路器、开关电源、防雷接地、端子等全套配件；</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2、在线式UPS，3KVA，</w:t>
            </w:r>
            <w:r>
              <w:rPr>
                <w:rFonts w:hint="eastAsia" w:ascii="Times New Roman" w:hAnsi="Times New Roman" w:cs="Times New Roman"/>
                <w:color w:val="auto"/>
                <w:sz w:val="21"/>
                <w:szCs w:val="21"/>
                <w:lang w:eastAsia="zh-CN"/>
              </w:rPr>
              <w:t>120</w:t>
            </w:r>
            <w:r>
              <w:rPr>
                <w:rFonts w:ascii="Times New Roman" w:hAnsi="Times New Roman" w:cs="Times New Roman"/>
                <w:color w:val="auto"/>
                <w:sz w:val="21"/>
                <w:szCs w:val="21"/>
                <w:lang w:eastAsia="zh-CN"/>
              </w:rPr>
              <w:t>分钟备电</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95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易士特、华为、山特</w:t>
            </w:r>
          </w:p>
        </w:tc>
      </w:tr>
      <w:tr>
        <w:tblPrEx>
          <w:tblLayout w:type="fixed"/>
          <w:tblCellMar>
            <w:top w:w="0" w:type="dxa"/>
            <w:left w:w="108" w:type="dxa"/>
            <w:bottom w:w="0" w:type="dxa"/>
            <w:right w:w="108" w:type="dxa"/>
          </w:tblCellMar>
        </w:tblPrEx>
        <w:trPr>
          <w:trHeight w:val="435" w:hRule="atLeast"/>
        </w:trPr>
        <w:tc>
          <w:tcPr>
            <w:tcW w:w="84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LCU02</w:t>
            </w:r>
          </w:p>
        </w:tc>
        <w:tc>
          <w:tcPr>
            <w:tcW w:w="849"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生化池</w:t>
            </w:r>
          </w:p>
        </w:tc>
        <w:tc>
          <w:tcPr>
            <w:tcW w:w="5012"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95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1419" w:hRule="atLeast"/>
        </w:trPr>
        <w:tc>
          <w:tcPr>
            <w:tcW w:w="84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849"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就地控制站</w:t>
            </w:r>
          </w:p>
        </w:tc>
        <w:tc>
          <w:tcPr>
            <w:tcW w:w="5012"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1、PLC机柜 2200*800*600，不锈钢柜体，钢板厚度不低于2.5mm，防护等级IP40，含全部配件；</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2、大型PLC，防腐型，CPU、网络模块、电源模块冗余配置；包括主机架、电源模块、CPU模块、I/O模块、通讯模块等。配置点数：300；</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3、配置二层网管型工业交换机，2光口+16电口；</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4、配置12英吋真彩触摸屏</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5、PLC、触摸屏程序开发，功能满足生产流程和用户需求</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面</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95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施耐德、西门子、AB</w:t>
            </w:r>
          </w:p>
        </w:tc>
      </w:tr>
      <w:tr>
        <w:tblPrEx>
          <w:tblLayout w:type="fixed"/>
          <w:tblCellMar>
            <w:top w:w="0" w:type="dxa"/>
            <w:left w:w="108" w:type="dxa"/>
            <w:bottom w:w="0" w:type="dxa"/>
            <w:right w:w="108" w:type="dxa"/>
          </w:tblCellMar>
        </w:tblPrEx>
        <w:trPr>
          <w:trHeight w:val="709" w:hRule="atLeast"/>
        </w:trPr>
        <w:tc>
          <w:tcPr>
            <w:tcW w:w="84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849"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UPS电源柜</w:t>
            </w:r>
          </w:p>
        </w:tc>
        <w:tc>
          <w:tcPr>
            <w:tcW w:w="5012"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 2200*800*600，不锈钢柜体，钢板厚度不低于2.5mm，防护等级IP40，含断路器、开关电源、防雷接地、端子等全套配件；</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2、在线式UPS，3KVA，</w:t>
            </w:r>
            <w:r>
              <w:rPr>
                <w:rFonts w:hint="eastAsia" w:ascii="Times New Roman" w:hAnsi="Times New Roman" w:cs="Times New Roman"/>
                <w:color w:val="auto"/>
                <w:sz w:val="21"/>
                <w:szCs w:val="21"/>
                <w:lang w:eastAsia="zh-CN"/>
              </w:rPr>
              <w:t>120</w:t>
            </w:r>
            <w:r>
              <w:rPr>
                <w:rFonts w:ascii="Times New Roman" w:hAnsi="Times New Roman" w:cs="Times New Roman"/>
                <w:color w:val="auto"/>
                <w:sz w:val="21"/>
                <w:szCs w:val="21"/>
                <w:lang w:eastAsia="zh-CN"/>
              </w:rPr>
              <w:t>分钟备电</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95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易士特、华为、山特</w:t>
            </w:r>
          </w:p>
        </w:tc>
      </w:tr>
      <w:tr>
        <w:tblPrEx>
          <w:tblLayout w:type="fixed"/>
          <w:tblCellMar>
            <w:top w:w="0" w:type="dxa"/>
            <w:left w:w="108" w:type="dxa"/>
            <w:bottom w:w="0" w:type="dxa"/>
            <w:right w:w="108" w:type="dxa"/>
          </w:tblCellMar>
        </w:tblPrEx>
        <w:trPr>
          <w:trHeight w:val="435" w:hRule="atLeast"/>
        </w:trPr>
        <w:tc>
          <w:tcPr>
            <w:tcW w:w="84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LCU03</w:t>
            </w:r>
          </w:p>
        </w:tc>
        <w:tc>
          <w:tcPr>
            <w:tcW w:w="849"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二沉池</w:t>
            </w:r>
          </w:p>
        </w:tc>
        <w:tc>
          <w:tcPr>
            <w:tcW w:w="5012"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95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1419" w:hRule="atLeast"/>
        </w:trPr>
        <w:tc>
          <w:tcPr>
            <w:tcW w:w="84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849"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就地控制站</w:t>
            </w:r>
          </w:p>
        </w:tc>
        <w:tc>
          <w:tcPr>
            <w:tcW w:w="5012"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1、PLC机柜 2200*800*600，不锈钢柜体，钢板厚度不低于2.5mm，防护等级IP40，含全部配件；</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2、大型PLC，防腐型，CPU、网络模块、电源模块冗余配置；包括主机架、电源模块、CPU模块、I/O模块、通讯模块等。配置点数：200；</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3、配置二层网管型工业交换机，2光口+16电口；</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4、配置12英吋真彩触摸屏</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5、PLC、触摸屏程序开发，功能满足生产流程和用户需求</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面</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95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施耐德、西门子、AB</w:t>
            </w:r>
          </w:p>
        </w:tc>
      </w:tr>
      <w:tr>
        <w:tblPrEx>
          <w:tblLayout w:type="fixed"/>
          <w:tblCellMar>
            <w:top w:w="0" w:type="dxa"/>
            <w:left w:w="108" w:type="dxa"/>
            <w:bottom w:w="0" w:type="dxa"/>
            <w:right w:w="108" w:type="dxa"/>
          </w:tblCellMar>
        </w:tblPrEx>
        <w:trPr>
          <w:trHeight w:val="709" w:hRule="atLeast"/>
        </w:trPr>
        <w:tc>
          <w:tcPr>
            <w:tcW w:w="84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849"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UPS电源柜</w:t>
            </w:r>
          </w:p>
        </w:tc>
        <w:tc>
          <w:tcPr>
            <w:tcW w:w="5012"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 2200*800*600，不锈钢柜体，钢板厚度不低于2.5mm，防护等级IP40，含断路器、开关电源、防雷接地、端子等全套配件；</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2、在线式UPS，3KVA，</w:t>
            </w:r>
            <w:r>
              <w:rPr>
                <w:rFonts w:hint="eastAsia" w:ascii="Times New Roman" w:hAnsi="Times New Roman" w:cs="Times New Roman"/>
                <w:color w:val="auto"/>
                <w:sz w:val="21"/>
                <w:szCs w:val="21"/>
                <w:lang w:eastAsia="zh-CN"/>
              </w:rPr>
              <w:t>120</w:t>
            </w:r>
            <w:r>
              <w:rPr>
                <w:rFonts w:ascii="Times New Roman" w:hAnsi="Times New Roman" w:cs="Times New Roman"/>
                <w:color w:val="auto"/>
                <w:sz w:val="21"/>
                <w:szCs w:val="21"/>
                <w:lang w:eastAsia="zh-CN"/>
              </w:rPr>
              <w:t>分钟备电</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95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易士特、华为、山特</w:t>
            </w:r>
          </w:p>
        </w:tc>
      </w:tr>
      <w:tr>
        <w:tblPrEx>
          <w:tblLayout w:type="fixed"/>
          <w:tblCellMar>
            <w:top w:w="0" w:type="dxa"/>
            <w:left w:w="108" w:type="dxa"/>
            <w:bottom w:w="0" w:type="dxa"/>
            <w:right w:w="108" w:type="dxa"/>
          </w:tblCellMar>
        </w:tblPrEx>
        <w:trPr>
          <w:trHeight w:val="435" w:hRule="atLeast"/>
        </w:trPr>
        <w:tc>
          <w:tcPr>
            <w:tcW w:w="84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LCU04</w:t>
            </w:r>
          </w:p>
        </w:tc>
        <w:tc>
          <w:tcPr>
            <w:tcW w:w="849"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深度处理及出水</w:t>
            </w:r>
          </w:p>
        </w:tc>
        <w:tc>
          <w:tcPr>
            <w:tcW w:w="5012"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95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1419" w:hRule="atLeast"/>
        </w:trPr>
        <w:tc>
          <w:tcPr>
            <w:tcW w:w="84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849"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就地控制站</w:t>
            </w:r>
          </w:p>
        </w:tc>
        <w:tc>
          <w:tcPr>
            <w:tcW w:w="5012"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1、PLC机柜 2200*800*600，不锈钢柜体，钢板厚度不低于2.5mm，防护等级IP40，含全部配件；</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2、大型PLC，防腐型，CPU、网络模块、电源模块冗余配置；包括主机架、电源模块、CPU模块、I/O模块、通讯模块等。配置点数：250；</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3、配置二层网管型工业交换机，2光口+16电口；</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4、配置12英吋真彩触摸屏</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5、PLC、触摸屏程序开发，功能满足生产流程和用户需求</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面</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95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施耐德、西门子、AB</w:t>
            </w:r>
          </w:p>
        </w:tc>
      </w:tr>
      <w:tr>
        <w:tblPrEx>
          <w:tblLayout w:type="fixed"/>
          <w:tblCellMar>
            <w:top w:w="0" w:type="dxa"/>
            <w:left w:w="108" w:type="dxa"/>
            <w:bottom w:w="0" w:type="dxa"/>
            <w:right w:w="108" w:type="dxa"/>
          </w:tblCellMar>
        </w:tblPrEx>
        <w:trPr>
          <w:trHeight w:val="709" w:hRule="atLeast"/>
        </w:trPr>
        <w:tc>
          <w:tcPr>
            <w:tcW w:w="84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849"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UPS电源柜</w:t>
            </w:r>
          </w:p>
        </w:tc>
        <w:tc>
          <w:tcPr>
            <w:tcW w:w="5012"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 2200*800*600，不锈钢柜体，钢板厚度不低于2.5mm，防护等级IP40，含断路器、开关电源、防雷接地、端子等全套配件；</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2、在线式UPS，3KVA，</w:t>
            </w:r>
            <w:r>
              <w:rPr>
                <w:rFonts w:hint="eastAsia" w:ascii="Times New Roman" w:hAnsi="Times New Roman" w:cs="Times New Roman"/>
                <w:color w:val="auto"/>
                <w:sz w:val="21"/>
                <w:szCs w:val="21"/>
                <w:lang w:eastAsia="zh-CN"/>
              </w:rPr>
              <w:t>120</w:t>
            </w:r>
            <w:r>
              <w:rPr>
                <w:rFonts w:ascii="Times New Roman" w:hAnsi="Times New Roman" w:cs="Times New Roman"/>
                <w:color w:val="auto"/>
                <w:sz w:val="21"/>
                <w:szCs w:val="21"/>
                <w:lang w:eastAsia="zh-CN"/>
              </w:rPr>
              <w:t>分钟备电</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95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易士特、华为、山特</w:t>
            </w:r>
          </w:p>
        </w:tc>
      </w:tr>
      <w:tr>
        <w:tblPrEx>
          <w:tblLayout w:type="fixed"/>
          <w:tblCellMar>
            <w:top w:w="0" w:type="dxa"/>
            <w:left w:w="108" w:type="dxa"/>
            <w:bottom w:w="0" w:type="dxa"/>
            <w:right w:w="108" w:type="dxa"/>
          </w:tblCellMar>
        </w:tblPrEx>
        <w:trPr>
          <w:trHeight w:val="435" w:hRule="atLeast"/>
        </w:trPr>
        <w:tc>
          <w:tcPr>
            <w:tcW w:w="84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LCU05</w:t>
            </w:r>
          </w:p>
        </w:tc>
        <w:tc>
          <w:tcPr>
            <w:tcW w:w="849"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污泥处理系统</w:t>
            </w:r>
          </w:p>
        </w:tc>
        <w:tc>
          <w:tcPr>
            <w:tcW w:w="5012"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c>
          <w:tcPr>
            <w:tcW w:w="95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1419" w:hRule="atLeast"/>
        </w:trPr>
        <w:tc>
          <w:tcPr>
            <w:tcW w:w="84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849"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就地控制站</w:t>
            </w:r>
          </w:p>
        </w:tc>
        <w:tc>
          <w:tcPr>
            <w:tcW w:w="5012"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1、PLC机柜 2200*800*600，不锈钢柜体，钢板厚度不低于2.5mm，防护等级IP40，含全部配件；</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2、大型PLC，防腐型，CPU、网络模块、电源模块冗余配置；包括主机架、电源模块、CPU模块、I/O模块、通讯模块等。配置点数：100；</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3、配置二层网管型工业交换机，2光口+16电口；</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4、配置12英吋真彩触摸屏</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5、PLC、触摸屏程序开发，功能满足生产流程和用户需求</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面</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95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施耐德、西门子、AB</w:t>
            </w:r>
          </w:p>
        </w:tc>
      </w:tr>
      <w:tr>
        <w:tblPrEx>
          <w:tblLayout w:type="fixed"/>
          <w:tblCellMar>
            <w:top w:w="0" w:type="dxa"/>
            <w:left w:w="108" w:type="dxa"/>
            <w:bottom w:w="0" w:type="dxa"/>
            <w:right w:w="108" w:type="dxa"/>
          </w:tblCellMar>
        </w:tblPrEx>
        <w:trPr>
          <w:trHeight w:val="709" w:hRule="atLeast"/>
        </w:trPr>
        <w:tc>
          <w:tcPr>
            <w:tcW w:w="84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849"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UPS电源柜</w:t>
            </w:r>
          </w:p>
        </w:tc>
        <w:tc>
          <w:tcPr>
            <w:tcW w:w="5012"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 2200*800*600，不锈钢柜体，钢板厚度不低于2.5mm，防护等级IP40，含断路器、开关电源、防雷接地、端子等全套配件；</w:t>
            </w:r>
          </w:p>
          <w:p>
            <w:pPr>
              <w:widowControl/>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2、在线式UPS，3KVA，</w:t>
            </w:r>
            <w:r>
              <w:rPr>
                <w:rFonts w:hint="eastAsia" w:ascii="Times New Roman" w:hAnsi="Times New Roman" w:cs="Times New Roman"/>
                <w:color w:val="auto"/>
                <w:sz w:val="21"/>
                <w:szCs w:val="21"/>
                <w:lang w:eastAsia="zh-CN"/>
              </w:rPr>
              <w:t>120</w:t>
            </w:r>
            <w:r>
              <w:rPr>
                <w:rFonts w:ascii="Times New Roman" w:hAnsi="Times New Roman" w:cs="Times New Roman"/>
                <w:color w:val="auto"/>
                <w:sz w:val="21"/>
                <w:szCs w:val="21"/>
                <w:lang w:eastAsia="zh-CN"/>
              </w:rPr>
              <w:t>分钟备电</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56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955"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易士特、华为、山特</w:t>
            </w:r>
          </w:p>
        </w:tc>
      </w:tr>
    </w:tbl>
    <w:p>
      <w:pPr>
        <w:pStyle w:val="29"/>
        <w:ind w:firstLine="472"/>
        <w:rPr>
          <w:color w:val="auto"/>
        </w:rPr>
      </w:pPr>
    </w:p>
    <w:p>
      <w:pPr>
        <w:pStyle w:val="33"/>
        <w:rPr>
          <w:color w:val="auto"/>
        </w:rPr>
      </w:pPr>
      <w:r>
        <w:rPr>
          <w:color w:val="auto"/>
        </w:rPr>
        <w:t>厂区仪表表</w:t>
      </w:r>
    </w:p>
    <w:tbl>
      <w:tblPr>
        <w:tblStyle w:val="23"/>
        <w:tblW w:w="8709" w:type="dxa"/>
        <w:tblInd w:w="113" w:type="dxa"/>
        <w:tblLayout w:type="fixed"/>
        <w:tblCellMar>
          <w:top w:w="0" w:type="dxa"/>
          <w:left w:w="108" w:type="dxa"/>
          <w:bottom w:w="0" w:type="dxa"/>
          <w:right w:w="108" w:type="dxa"/>
        </w:tblCellMar>
      </w:tblPr>
      <w:tblGrid>
        <w:gridCol w:w="501"/>
        <w:gridCol w:w="1105"/>
        <w:gridCol w:w="4931"/>
        <w:gridCol w:w="501"/>
        <w:gridCol w:w="501"/>
        <w:gridCol w:w="1170"/>
      </w:tblGrid>
      <w:tr>
        <w:tblPrEx>
          <w:tblLayout w:type="fixed"/>
          <w:tblCellMar>
            <w:top w:w="0" w:type="dxa"/>
            <w:left w:w="108" w:type="dxa"/>
            <w:bottom w:w="0" w:type="dxa"/>
            <w:right w:w="108" w:type="dxa"/>
          </w:tblCellMar>
        </w:tblPrEx>
        <w:trPr>
          <w:trHeight w:val="348" w:hRule="atLeast"/>
          <w:tblHeader/>
        </w:trPr>
        <w:tc>
          <w:tcPr>
            <w:tcW w:w="5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序号</w:t>
            </w:r>
          </w:p>
        </w:tc>
        <w:tc>
          <w:tcPr>
            <w:tcW w:w="1105"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仪表名称</w:t>
            </w:r>
          </w:p>
        </w:tc>
        <w:tc>
          <w:tcPr>
            <w:tcW w:w="4931"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型号及规范</w:t>
            </w:r>
          </w:p>
        </w:tc>
        <w:tc>
          <w:tcPr>
            <w:tcW w:w="501"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单位</w:t>
            </w:r>
          </w:p>
        </w:tc>
        <w:tc>
          <w:tcPr>
            <w:tcW w:w="501"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数量</w:t>
            </w:r>
          </w:p>
        </w:tc>
        <w:tc>
          <w:tcPr>
            <w:tcW w:w="1170"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一</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粗格栅及提升泵站</w:t>
            </w:r>
          </w:p>
        </w:tc>
        <w:tc>
          <w:tcPr>
            <w:tcW w:w="493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雷达液位计</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量程0-15米；雷达原理，信号4~20mA；两线制; 防护等级IP68；测量精度+/- 5 mm ；分辨率1mm；</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分体式超声波液位差计</w:t>
            </w:r>
          </w:p>
        </w:tc>
        <w:tc>
          <w:tcPr>
            <w:tcW w:w="4931"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传感器：分体式，0~8m，IP68，波束角不大于6°，螺纹连接，塑料外壳，配15m电缆；前后各2只。</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变送器：盘装，精度±0.25%FS，IP65，220VAC供电，LCD显示，两路4~20mA输出，带RS485接口和报警输出</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隔膜密封压力变送器</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智能式；HART协议，LCD表头；量程：0~160KPa；输出：4~20mA；配远传膜片，接液材质316L，3米低密度硅油毛细管，带DN50、PN10双法兰</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取样系统</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包括采样泵，流通池，预处理系统</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项</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5</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pH在线分析仪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0~14，4~20mA输出,带RS485接口，220VAC供电,带安装配件,防护等级：IP68，带温度检测</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6</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悬浮物在线分析仪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量程范围：0~500mg/L,4~20mA输出,带RS485接口,220VAC供电,带安装配件,防护等级：IP68</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7</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氨氮在线分析仪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量程范围：0~100mg/L,4~20mA输出,带RS485接口,220VAC供电,带安装配件,防护等级：IP68</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8</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化学需氧量在线分析仪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量程范围：0~5000mg/L,4~20mA输出,带RS485接口,220VAC供电,带安装配件,防护等级：IP68</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9</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总磷在线分析仪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量程范围：0~20mg/L,4~20mA输出,带RS485接口,220VAC供电,带安装配件,防护等级：IP68</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10</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总氮在线分析仪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量程范围：0~100mg/L,4~20mA输出,带RS485接口,220VAC供电,带安装配件,防护等级：IP68</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11</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数据采集器</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按当地环保部门要求配置</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二</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细格栅及旋流沉砂池</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05" w:type="dxa"/>
            <w:tcBorders>
              <w:top w:val="nil"/>
              <w:left w:val="nil"/>
              <w:bottom w:val="single" w:color="auto" w:sz="4" w:space="0"/>
              <w:right w:val="nil"/>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分体式超声波液位差计</w:t>
            </w:r>
          </w:p>
        </w:tc>
        <w:tc>
          <w:tcPr>
            <w:tcW w:w="4931" w:type="dxa"/>
            <w:tcBorders>
              <w:top w:val="nil"/>
              <w:left w:val="single" w:color="auto" w:sz="4" w:space="0"/>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传感器：分体式，0~3m，IP68，波束角不大于6°，螺纹连接，塑料外壳，配15m电缆；前后各2只。</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变送器：盘装，精度±0.25%FS，IP65，220VAC供电，LCD显示，两路4~20mA输出，带RS485接口和报警输出</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压力变送器</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0~100KPa，精度：±0.1%，两线制4~20mADC输出，带指示表，接液材质：不锈钢，带过程转换接头，接管14×2，带L型安装支架，带电气接口M20内螺纹</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热式质量流量计</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插入式，DN150，配套一体式变送器，精度1%，带截止球阀等全套安装附件</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分体式电磁流量计</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DN1400 PN10法兰连接，IP68，精度±0.5%FS，316L电极，输出信号4-20mA，带RS485接口，聚四氟乙烯衬里，带自动除垢装置，配15米电缆</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三</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A2O池</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ORP检测仪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-1500~1500mV，复合电极，内置前置放大器和测温元件，精度±20mV，IP68，不锈钢，带安装附件和10m电缆；</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壁挂式分析仪，,IP65,220VAC供电，LCD显示，4~20mA输出，带RS485接口和报警输出</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8</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MLSS检测仪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0~20g/L，光束散射光法传感器，精度±5%，分辨率0.01IP68，不锈钢，带自清洗装置和10m电缆；</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壁挂式分析仪，,IP65,220VAC供电，LCD显示，4~20mA输出，带RS485接口和报警输出</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硝氮在线分析仪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电极法，0~100mg/L，精度±5%，4~20mA输出,带RS485接口,220VAC供电,带安装配件,防护等级：IP68</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氨氮在线分析仪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电极法，0~100mg/L，精度±5%，4~20mA输出,带RS485接口,220VAC供电,带安装配件,防护等级：IP68</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5</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溶解氧仪表</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荧光法传感器，0~20.00ppm，带10米电缆；</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控制器， 1个通道，数字，220VAC，4~20mA输出，带RS485接口和报警输出</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8</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6</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MLSS检测仪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0~50g/L，光束散射光法传感器，精度±5%，分辨率0.01IP68，不锈钢，带自清洗装置和10m电缆；壁挂式分析仪，,</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IP65,220VAC供电，LCD显示，4~20mA输出，带RS485接口和报警输出</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7</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SV30智能在线测定仪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测量范围：0-100%，精度：±2%，工作环境：1-45°C，支持MODBUS-RTU 和Ethernet协议</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中建智能</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8</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超声波明渠流量计</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分体式，超声波测量，4~20mA输出，带RS485接口和报警输出</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四</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鼓风机房</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压力变送器</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0~160KPa，精度：±0.1%，两线制4~20mADC输出，带指示表，接液材质：不锈钢，带过程转换接头，接管14×2，带L型安装支架，带电气接口M20内螺纹</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温度变送器</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测温元件：Pt100，单支，三线制，L/l=550/400mm，铠装绝缘式元件，I级，Φ12保护管，防尘帽、配一体化温度变送器，4~20mA输出</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热式质量流量计</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插入式，DN800，配套一体式变送器，精度1%，4~20mA输出，带RS485接口和报警输出，带截止球阀等全套安装附件</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五</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二沉池</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超声波污泥界面仪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超声波分体式，0.2~8.0米，波束角≦6°，精度1%，自清洁，防护等级IP68，带控制器和15米电缆，4~20mA输出，带RS485接口和报警输出</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5</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六</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中间提升泵房</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分体式电磁流量计</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DN1000 PN10法兰连接，IP68，精度±0.5%FS，316L电极，输出信号4-20mA+RS485，聚四氟乙烯衬里，带自动除垢装置，配15米电缆</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雷达液位计</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量程0~8米；雷达原理，信号4~20mA；两线制; 防护等级IP68；测量精度+/- 5 mm ；分辨率1mm；</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压力变送器</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0~160KPa，精度：±0.1%，两线制4~20mADC输出，带指示表，接液材质：不锈钢，带过程转换接头，接管14×2，带L型安装支架，带电气接口M20内螺纹</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七</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废水池</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雷达液位计</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量程0-8米；雷达原理，信号4~20mA；两线制; 防护等级IP68；测量精度+/- 5 mm ；分辨率1mm；</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隔膜密封压力变送器</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智能式；HART协议，LCD表头；量程：0~0.5KPa；输出：4~20mA；配远传膜片，接液材质316L，3米低密度硅油毛细</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管，带DN50、PN10双法兰</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八</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消毒池及中水回用系统</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余氯分析仪</w:t>
            </w:r>
          </w:p>
        </w:tc>
        <w:tc>
          <w:tcPr>
            <w:tcW w:w="4931" w:type="dxa"/>
            <w:tcBorders>
              <w:top w:val="nil"/>
              <w:left w:val="nil"/>
              <w:bottom w:val="single" w:color="000000" w:sz="4" w:space="0"/>
              <w:right w:val="single" w:color="000000" w:sz="4" w:space="0"/>
            </w:tcBorders>
            <w:shd w:val="clear" w:color="auto" w:fill="auto"/>
            <w:vAlign w:val="center"/>
          </w:tcPr>
          <w:p>
            <w:pPr>
              <w:pStyle w:val="29"/>
              <w:widowControl/>
              <w:ind w:firstLine="420"/>
              <w:rPr>
                <w:rFonts w:cs="Times New Roman"/>
                <w:color w:val="auto"/>
                <w:sz w:val="21"/>
                <w:szCs w:val="21"/>
              </w:rPr>
            </w:pPr>
            <w:r>
              <w:rPr>
                <w:rFonts w:hint="eastAsia" w:cs="Times New Roman"/>
                <w:color w:val="auto"/>
                <w:spacing w:val="0"/>
                <w:sz w:val="21"/>
                <w:szCs w:val="21"/>
              </w:rPr>
              <w:t>DPD比色法，LED光源，测量范围：0-10mg/L的余氯或总氯；精度：读数的±5%；</w:t>
            </w:r>
            <w:r>
              <w:rPr>
                <w:rFonts w:hint="eastAsia" w:cs="Times New Roman"/>
                <w:color w:val="auto"/>
                <w:sz w:val="21"/>
                <w:szCs w:val="21"/>
              </w:rPr>
              <w:t>,4~20mA输出,带RS485接口,220VAC供电,带安装配件</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雷达液位计</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量程0-8米；雷达原理，信号4~20mA；两线制; 防护等级IP68；测量精度+/- 5 mm ；分辨率1mm；</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压力变送器</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0~160KPa，精度：±0.1%，两线制4~20mADC输出，带指示表，接液材质：不锈钢，带过程转换接头，接管14×2，带L型安装支架，带电气接口M20内螺纹</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分体式电磁流量计</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DN800 PN10法兰连接，IP68，精度±0.5%FS，316L电极，输出信号4-20mA，带RS485接口，聚四氟乙烯衬里，带自动除垢装置，配15米电缆</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九</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尾水提升泵房</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分体式电磁流量计</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DN1200 PN10法兰连接，IP68，精度±0.5%FS，316L电极，输出信号4-20mA，带RS485接口，聚四氟乙烯衬里，带自动除垢装置，配15米电缆</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雷达液位计</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量程0-8米；雷达原理，信号4~20mA；两线制; 防护等级IP68；测量精度+/- 5 mm ；分辨率1mm；</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压力变送器</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0~250KPa，精度：±0.1%，两线制4~20mADC输出，带指示表，接液材质：不锈钢，带过程转换接头，接管14×2，带L型安装支架，带电气接口M20内螺纹</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取样系统</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包括采样泵，流通池，预处理系统</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项</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5</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pH在线分析仪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0~14，4~20mA输出,带RS485接口，220VAC供电,带安装配件,防护等级：IP68，带温度检测</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6</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悬浮物在线分析仪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量程范围：0~500mg/L,4~20mA输出,带RS485接口,220VAC供电,带安装配件,防护等级：IP68</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7</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氨氮在线分析仪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量程范围：0~100mg/L,4~20mA输出,带RS485接口,220VAC供电,带安装配件,防护等级：IP68</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8</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化学需氧量在线分析仪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量程范围：0~5000mg/L,4~20mA输出,带RS485接口,220VAC供电,带安装配件,防护等级：IP68</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9</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总磷在线分析仪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量程范围：0~20mg/L,4~20mA输出,带RS485接口,220VAC供电,带安装配件,防护等级：IP68</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10</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总氮在线分析仪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量程范围：0~100mg/L,4~20mA输出,带RS485接口,220VAC供电,带安装配件,防护等级：IP68</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十</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加药间</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分体式超声波液位计</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随加药系统主设备配供</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15</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一体式电磁流量计</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随加药系统主设备配供</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10</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十一</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污泥浓缩池</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64"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超声波污泥界面仪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超声波分体式，0.2~8.0米，波束角≦6°，精度1%，4~20mA输出,带RS485接口，自清洁，防护等级IP68，带控制器和15米电缆</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MLSS检测仪</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0~40g/L，DN150 光束散射光法传感器，精度±5%，分辨率0.01IP68，不锈钢，带自清洗装置和10m电缆；</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壁挂式分析仪，IP65,220VAC供电，LCD显示，4~20mA输出，带RS485接口和报警输出</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哈希、E+H、WTW</w:t>
            </w:r>
          </w:p>
        </w:tc>
      </w:tr>
      <w:tr>
        <w:tblPrEx>
          <w:tblLayout w:type="fixed"/>
          <w:tblCellMar>
            <w:top w:w="0" w:type="dxa"/>
            <w:left w:w="108" w:type="dxa"/>
            <w:bottom w:w="0" w:type="dxa"/>
            <w:right w:w="108" w:type="dxa"/>
          </w:tblCellMar>
        </w:tblPrEx>
        <w:trPr>
          <w:trHeight w:val="526" w:hRule="atLeast"/>
        </w:trPr>
        <w:tc>
          <w:tcPr>
            <w:tcW w:w="5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105"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分体式电磁流量计</w:t>
            </w:r>
          </w:p>
        </w:tc>
        <w:tc>
          <w:tcPr>
            <w:tcW w:w="4931"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DN150 PN10法兰连接，IP68，精度±0.5%FS，316L电极，输出信号4-20mA,带RS485接口，聚四氟乙烯衬里，带自动除垢装置，配15米电缆</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0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70"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E+H、罗斯蒙特、西门子</w:t>
            </w:r>
          </w:p>
        </w:tc>
      </w:tr>
    </w:tbl>
    <w:p>
      <w:pPr>
        <w:pStyle w:val="29"/>
        <w:ind w:firstLine="472"/>
        <w:rPr>
          <w:color w:val="auto"/>
        </w:rPr>
      </w:pPr>
    </w:p>
    <w:p>
      <w:pPr>
        <w:pStyle w:val="33"/>
        <w:rPr>
          <w:color w:val="auto"/>
        </w:rPr>
      </w:pPr>
      <w:r>
        <w:rPr>
          <w:color w:val="auto"/>
        </w:rPr>
        <w:t>生产区电力监控表</w:t>
      </w:r>
    </w:p>
    <w:tbl>
      <w:tblPr>
        <w:tblStyle w:val="23"/>
        <w:tblW w:w="8648" w:type="dxa"/>
        <w:tblInd w:w="113" w:type="dxa"/>
        <w:tblLayout w:type="fixed"/>
        <w:tblCellMar>
          <w:top w:w="0" w:type="dxa"/>
          <w:left w:w="108" w:type="dxa"/>
          <w:bottom w:w="0" w:type="dxa"/>
          <w:right w:w="108" w:type="dxa"/>
        </w:tblCellMar>
      </w:tblPr>
      <w:tblGrid>
        <w:gridCol w:w="728"/>
        <w:gridCol w:w="1282"/>
        <w:gridCol w:w="3468"/>
        <w:gridCol w:w="728"/>
        <w:gridCol w:w="728"/>
        <w:gridCol w:w="1714"/>
      </w:tblGrid>
      <w:tr>
        <w:tblPrEx>
          <w:tblLayout w:type="fixed"/>
          <w:tblCellMar>
            <w:top w:w="0" w:type="dxa"/>
            <w:left w:w="108" w:type="dxa"/>
            <w:bottom w:w="0" w:type="dxa"/>
            <w:right w:w="108" w:type="dxa"/>
          </w:tblCellMar>
        </w:tblPrEx>
        <w:trPr>
          <w:trHeight w:val="381" w:hRule="atLeast"/>
        </w:trPr>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序号</w:t>
            </w:r>
          </w:p>
        </w:tc>
        <w:tc>
          <w:tcPr>
            <w:tcW w:w="1282"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名称</w:t>
            </w:r>
          </w:p>
        </w:tc>
        <w:tc>
          <w:tcPr>
            <w:tcW w:w="3468"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规   格</w:t>
            </w:r>
          </w:p>
        </w:tc>
        <w:tc>
          <w:tcPr>
            <w:tcW w:w="728"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单位</w:t>
            </w:r>
          </w:p>
        </w:tc>
        <w:tc>
          <w:tcPr>
            <w:tcW w:w="728"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数量</w:t>
            </w:r>
          </w:p>
        </w:tc>
        <w:tc>
          <w:tcPr>
            <w:tcW w:w="1714"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备注</w:t>
            </w:r>
          </w:p>
        </w:tc>
      </w:tr>
      <w:tr>
        <w:tblPrEx>
          <w:tblLayout w:type="fixed"/>
        </w:tblPrEx>
        <w:trPr>
          <w:trHeight w:val="201" w:hRule="atLeast"/>
        </w:trPr>
        <w:tc>
          <w:tcPr>
            <w:tcW w:w="728"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28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智能通讯管理机</w:t>
            </w:r>
          </w:p>
        </w:tc>
        <w:tc>
          <w:tcPr>
            <w:tcW w:w="346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2个10/100M自适应以太网口，16个下行接口</w:t>
            </w:r>
          </w:p>
        </w:tc>
        <w:tc>
          <w:tcPr>
            <w:tcW w:w="72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72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714"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安科瑞、施耐德、abb</w:t>
            </w:r>
          </w:p>
        </w:tc>
      </w:tr>
      <w:tr>
        <w:tblPrEx>
          <w:tblLayout w:type="fixed"/>
          <w:tblCellMar>
            <w:top w:w="0" w:type="dxa"/>
            <w:left w:w="108" w:type="dxa"/>
            <w:bottom w:w="0" w:type="dxa"/>
            <w:right w:w="108" w:type="dxa"/>
          </w:tblCellMar>
        </w:tblPrEx>
        <w:trPr>
          <w:trHeight w:val="201" w:hRule="atLeast"/>
        </w:trPr>
        <w:tc>
          <w:tcPr>
            <w:tcW w:w="728"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28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综合继保装置</w:t>
            </w:r>
          </w:p>
        </w:tc>
        <w:tc>
          <w:tcPr>
            <w:tcW w:w="346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适用于高压柜</w:t>
            </w:r>
          </w:p>
        </w:tc>
        <w:tc>
          <w:tcPr>
            <w:tcW w:w="72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72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714"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详见电气专业需求　</w:t>
            </w:r>
          </w:p>
        </w:tc>
      </w:tr>
      <w:tr>
        <w:tblPrEx>
          <w:tblLayout w:type="fixed"/>
          <w:tblCellMar>
            <w:top w:w="0" w:type="dxa"/>
            <w:left w:w="108" w:type="dxa"/>
            <w:bottom w:w="0" w:type="dxa"/>
            <w:right w:w="108" w:type="dxa"/>
          </w:tblCellMar>
        </w:tblPrEx>
        <w:trPr>
          <w:trHeight w:val="201" w:hRule="atLeast"/>
        </w:trPr>
        <w:tc>
          <w:tcPr>
            <w:tcW w:w="728"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28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智能电力仪表</w:t>
            </w:r>
          </w:p>
        </w:tc>
        <w:tc>
          <w:tcPr>
            <w:tcW w:w="346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适用于低压柜</w:t>
            </w:r>
          </w:p>
        </w:tc>
        <w:tc>
          <w:tcPr>
            <w:tcW w:w="72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72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714"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安科瑞、施耐德、abb</w:t>
            </w:r>
          </w:p>
        </w:tc>
      </w:tr>
      <w:tr>
        <w:tblPrEx>
          <w:tblLayout w:type="fixed"/>
          <w:tblCellMar>
            <w:top w:w="0" w:type="dxa"/>
            <w:left w:w="108" w:type="dxa"/>
            <w:bottom w:w="0" w:type="dxa"/>
            <w:right w:w="108" w:type="dxa"/>
          </w:tblCellMar>
        </w:tblPrEx>
        <w:trPr>
          <w:trHeight w:val="201" w:hRule="atLeast"/>
        </w:trPr>
        <w:tc>
          <w:tcPr>
            <w:tcW w:w="728"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128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智能电力仪表</w:t>
            </w:r>
          </w:p>
        </w:tc>
        <w:tc>
          <w:tcPr>
            <w:tcW w:w="346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适用于变压器柜</w:t>
            </w:r>
          </w:p>
        </w:tc>
        <w:tc>
          <w:tcPr>
            <w:tcW w:w="72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72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714"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安科瑞、施耐德、abb</w:t>
            </w:r>
          </w:p>
        </w:tc>
      </w:tr>
      <w:tr>
        <w:tblPrEx>
          <w:tblLayout w:type="fixed"/>
          <w:tblCellMar>
            <w:top w:w="0" w:type="dxa"/>
            <w:left w:w="108" w:type="dxa"/>
            <w:bottom w:w="0" w:type="dxa"/>
            <w:right w:w="108" w:type="dxa"/>
          </w:tblCellMar>
        </w:tblPrEx>
        <w:trPr>
          <w:trHeight w:val="359" w:hRule="atLeast"/>
        </w:trPr>
        <w:tc>
          <w:tcPr>
            <w:tcW w:w="728"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5</w:t>
            </w:r>
          </w:p>
        </w:tc>
        <w:tc>
          <w:tcPr>
            <w:tcW w:w="128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电缆</w:t>
            </w:r>
          </w:p>
        </w:tc>
        <w:tc>
          <w:tcPr>
            <w:tcW w:w="346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RS485专用电缆</w:t>
            </w:r>
          </w:p>
        </w:tc>
        <w:tc>
          <w:tcPr>
            <w:tcW w:w="72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72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2000</w:t>
            </w:r>
          </w:p>
        </w:tc>
        <w:tc>
          <w:tcPr>
            <w:tcW w:w="1714"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bl>
    <w:p>
      <w:pPr>
        <w:pStyle w:val="33"/>
        <w:rPr>
          <w:color w:val="auto"/>
        </w:rPr>
      </w:pPr>
      <w:r>
        <w:rPr>
          <w:rFonts w:hint="eastAsia"/>
          <w:color w:val="auto"/>
        </w:rPr>
        <w:t>自控安装材料表</w:t>
      </w:r>
    </w:p>
    <w:tbl>
      <w:tblPr>
        <w:tblStyle w:val="23"/>
        <w:tblW w:w="8677" w:type="dxa"/>
        <w:tblInd w:w="113" w:type="dxa"/>
        <w:tblLayout w:type="fixed"/>
        <w:tblCellMar>
          <w:top w:w="0" w:type="dxa"/>
          <w:left w:w="108" w:type="dxa"/>
          <w:bottom w:w="0" w:type="dxa"/>
          <w:right w:w="108" w:type="dxa"/>
        </w:tblCellMar>
      </w:tblPr>
      <w:tblGrid>
        <w:gridCol w:w="554"/>
        <w:gridCol w:w="1292"/>
        <w:gridCol w:w="4413"/>
        <w:gridCol w:w="616"/>
        <w:gridCol w:w="781"/>
        <w:gridCol w:w="1021"/>
      </w:tblGrid>
      <w:tr>
        <w:tblPrEx>
          <w:tblLayout w:type="fixed"/>
          <w:tblCellMar>
            <w:top w:w="0" w:type="dxa"/>
            <w:left w:w="108" w:type="dxa"/>
            <w:bottom w:w="0" w:type="dxa"/>
            <w:right w:w="108" w:type="dxa"/>
          </w:tblCellMar>
        </w:tblPrEx>
        <w:trPr>
          <w:trHeight w:val="221" w:hRule="atLeast"/>
          <w:tblHeader/>
        </w:trPr>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序号</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名称</w:t>
            </w:r>
          </w:p>
        </w:tc>
        <w:tc>
          <w:tcPr>
            <w:tcW w:w="4413"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型号及规格</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单位</w:t>
            </w:r>
          </w:p>
        </w:tc>
        <w:tc>
          <w:tcPr>
            <w:tcW w:w="781"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数量</w:t>
            </w:r>
          </w:p>
        </w:tc>
        <w:tc>
          <w:tcPr>
            <w:tcW w:w="1021"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备注</w:t>
            </w:r>
          </w:p>
        </w:tc>
      </w:tr>
      <w:tr>
        <w:tblPrEx>
          <w:tblLayout w:type="fixed"/>
          <w:tblCellMar>
            <w:top w:w="0" w:type="dxa"/>
            <w:left w:w="108" w:type="dxa"/>
            <w:bottom w:w="0" w:type="dxa"/>
            <w:right w:w="108" w:type="dxa"/>
          </w:tblCellMar>
        </w:tblPrEx>
        <w:trPr>
          <w:trHeight w:val="262"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xml:space="preserve">仪表箱 </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500X400X300（WXHXD）,材质:不锈钢304带观察口,厚度不小于2mm，含箱内配套元器件，仪表安装支架等配套附件</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个</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80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仪表安装支架</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80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避雷器</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电源、信号和总线型</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单模光纤</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4芯，铠装</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1500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5</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网线</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六类</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1000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6</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现场总线电缆</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RVVP-3*2.5</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5000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7</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屏蔽计算机电缆</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ZR-DJYPVP-1*2*1.5</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10000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8</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屏蔽计算机电缆</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ZR-DJYPVP-2*2*1.5</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1000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9</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屏蔽控制电缆</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ZR-KVVP-4*1.5</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3000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10</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屏蔽控制电缆</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ZR-KVVP-10*1.5</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15000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11</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屏蔽控制电缆</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ZR-KVVP-14*1.5</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800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12</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电源电缆</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ZR-YJV-3*2.5</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12000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13</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接地电缆</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BV-1*25</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14</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镀锌钢管</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DN25</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3000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15</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镀锌钢管</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DN50</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16</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镀锌钢管</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DN100</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800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17</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金属挠性软管</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DN25</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根</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18</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金属挠性软管</w:t>
            </w:r>
          </w:p>
        </w:tc>
        <w:tc>
          <w:tcPr>
            <w:tcW w:w="4413"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DN50</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根</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19</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电缆桥架</w:t>
            </w:r>
          </w:p>
        </w:tc>
        <w:tc>
          <w:tcPr>
            <w:tcW w:w="4413"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不锈钢桥架电缆槽盒，100*100，中间带隔板</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500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20</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电缆桥架</w:t>
            </w:r>
          </w:p>
        </w:tc>
        <w:tc>
          <w:tcPr>
            <w:tcW w:w="4413"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不锈钢桥架电缆槽盒，200*100，中间带隔板</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1000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21" w:hRule="atLeast"/>
        </w:trPr>
        <w:tc>
          <w:tcPr>
            <w:tcW w:w="554"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21</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电缆桥架</w:t>
            </w:r>
          </w:p>
        </w:tc>
        <w:tc>
          <w:tcPr>
            <w:tcW w:w="4413"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不锈钢桥架电缆槽盒，400*100，中间带隔板</w:t>
            </w:r>
          </w:p>
        </w:tc>
        <w:tc>
          <w:tcPr>
            <w:tcW w:w="61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78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300</w:t>
            </w:r>
          </w:p>
        </w:tc>
        <w:tc>
          <w:tcPr>
            <w:tcW w:w="102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bl>
    <w:p>
      <w:pPr>
        <w:pStyle w:val="29"/>
        <w:ind w:firstLine="472"/>
        <w:rPr>
          <w:color w:val="auto"/>
        </w:rPr>
      </w:pPr>
    </w:p>
    <w:p>
      <w:pPr>
        <w:pStyle w:val="33"/>
        <w:rPr>
          <w:color w:val="auto"/>
        </w:rPr>
      </w:pPr>
      <w:r>
        <w:rPr>
          <w:color w:val="auto"/>
        </w:rPr>
        <w:t>生产辅助系统设备表</w:t>
      </w:r>
    </w:p>
    <w:tbl>
      <w:tblPr>
        <w:tblStyle w:val="23"/>
        <w:tblW w:w="8873" w:type="dxa"/>
        <w:tblInd w:w="113" w:type="dxa"/>
        <w:tblLayout w:type="fixed"/>
        <w:tblCellMar>
          <w:top w:w="0" w:type="dxa"/>
          <w:left w:w="108" w:type="dxa"/>
          <w:bottom w:w="0" w:type="dxa"/>
          <w:right w:w="108" w:type="dxa"/>
        </w:tblCellMar>
      </w:tblPr>
      <w:tblGrid>
        <w:gridCol w:w="460"/>
        <w:gridCol w:w="890"/>
        <w:gridCol w:w="5458"/>
        <w:gridCol w:w="411"/>
        <w:gridCol w:w="606"/>
        <w:gridCol w:w="1048"/>
      </w:tblGrid>
      <w:tr>
        <w:tblPrEx>
          <w:tblLayout w:type="fixed"/>
          <w:tblCellMar>
            <w:top w:w="0" w:type="dxa"/>
            <w:left w:w="108" w:type="dxa"/>
            <w:bottom w:w="0" w:type="dxa"/>
            <w:right w:w="108" w:type="dxa"/>
          </w:tblCellMar>
        </w:tblPrEx>
        <w:trPr>
          <w:trHeight w:val="422" w:hRule="atLeast"/>
          <w:tblHeader/>
        </w:trPr>
        <w:tc>
          <w:tcPr>
            <w:tcW w:w="4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序号</w:t>
            </w:r>
          </w:p>
        </w:tc>
        <w:tc>
          <w:tcPr>
            <w:tcW w:w="8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名  称</w:t>
            </w:r>
          </w:p>
        </w:tc>
        <w:tc>
          <w:tcPr>
            <w:tcW w:w="54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型号及规格（技术要求及配置）</w:t>
            </w:r>
          </w:p>
        </w:tc>
        <w:tc>
          <w:tcPr>
            <w:tcW w:w="41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单位</w:t>
            </w:r>
          </w:p>
        </w:tc>
        <w:tc>
          <w:tcPr>
            <w:tcW w:w="6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数量</w:t>
            </w:r>
          </w:p>
        </w:tc>
        <w:tc>
          <w:tcPr>
            <w:tcW w:w="1048" w:type="dxa"/>
            <w:tcBorders>
              <w:top w:val="single" w:color="auto" w:sz="4" w:space="0"/>
              <w:left w:val="nil"/>
              <w:bottom w:val="single" w:color="auto" w:sz="4" w:space="0"/>
              <w:right w:val="nil"/>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推荐品牌</w:t>
            </w:r>
          </w:p>
        </w:tc>
      </w:tr>
      <w:tr>
        <w:tblPrEx>
          <w:tblLayout w:type="fixed"/>
          <w:tblCellMar>
            <w:top w:w="0" w:type="dxa"/>
            <w:left w:w="108" w:type="dxa"/>
            <w:bottom w:w="0" w:type="dxa"/>
            <w:right w:w="108" w:type="dxa"/>
          </w:tblCellMar>
        </w:tblPrEx>
        <w:trPr>
          <w:trHeight w:val="422"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一</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网络设备</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048" w:type="dxa"/>
            <w:tcBorders>
              <w:top w:val="nil"/>
              <w:left w:val="nil"/>
              <w:bottom w:val="single" w:color="auto" w:sz="4" w:space="0"/>
              <w:right w:val="nil"/>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472"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辅网核心交换机</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三层管理型工业以太网交换机；千兆光口x4，千兆电口x16，配光模块；支持基于IEC62439-2/3/6的冗余环网协议，自愈时间＜20ms，交换延迟＜5us；工作温度-40~+85℃</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东土、MOXA、赫斯曼</w:t>
            </w:r>
          </w:p>
        </w:tc>
      </w:tr>
      <w:tr>
        <w:tblPrEx>
          <w:tblLayout w:type="fixed"/>
          <w:tblCellMar>
            <w:top w:w="0" w:type="dxa"/>
            <w:left w:w="108" w:type="dxa"/>
            <w:bottom w:w="0" w:type="dxa"/>
            <w:right w:w="108" w:type="dxa"/>
          </w:tblCellMar>
        </w:tblPrEx>
        <w:trPr>
          <w:trHeight w:val="472"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辅网接入交换机</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二层网管型工业以太网交换机，千兆光口x2，配光模块，POE千兆电口x24；支持基于IEC62439-2/3/6的冗余环网协议，自愈时间＜20ms，交换延迟＜5us；工作温度-40~+85℃</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16</w:t>
            </w:r>
          </w:p>
        </w:tc>
        <w:tc>
          <w:tcPr>
            <w:tcW w:w="104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东土、MOXA、赫斯曼</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单模光纤</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12芯</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米</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1300</w:t>
            </w:r>
          </w:p>
        </w:tc>
        <w:tc>
          <w:tcPr>
            <w:tcW w:w="1048" w:type="dxa"/>
            <w:tcBorders>
              <w:top w:val="single" w:color="auto" w:sz="4" w:space="0"/>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422"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二</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空气质量控制</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048" w:type="dxa"/>
            <w:tcBorders>
              <w:top w:val="nil"/>
              <w:left w:val="nil"/>
              <w:bottom w:val="single" w:color="auto" w:sz="4" w:space="0"/>
              <w:right w:val="nil"/>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534"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气体检测系统</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048" w:type="dxa"/>
            <w:tcBorders>
              <w:top w:val="nil"/>
              <w:left w:val="nil"/>
              <w:bottom w:val="single" w:color="auto" w:sz="4" w:space="0"/>
              <w:right w:val="nil"/>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科尔康、德诺达、纽福斯</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1.1</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大容量报警控制器</w:t>
            </w:r>
          </w:p>
        </w:tc>
        <w:tc>
          <w:tcPr>
            <w:tcW w:w="5458" w:type="dxa"/>
            <w:tcBorders>
              <w:top w:val="single" w:color="000000" w:sz="4" w:space="0"/>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总线型，最多可接128路探测器，带声光报警及液晶显示，响应时间：可燃15s，有毒40s</w:t>
            </w:r>
          </w:p>
        </w:tc>
        <w:tc>
          <w:tcPr>
            <w:tcW w:w="411"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606" w:type="dxa"/>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1.2</w:t>
            </w:r>
          </w:p>
        </w:tc>
        <w:tc>
          <w:tcPr>
            <w:tcW w:w="89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氧气含量变送器</w:t>
            </w:r>
          </w:p>
        </w:tc>
        <w:tc>
          <w:tcPr>
            <w:tcW w:w="5458"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测量范围：0-30%vol，带现场显示和报警，总线制，4~20mA输出，配全套附件</w:t>
            </w:r>
          </w:p>
        </w:tc>
        <w:tc>
          <w:tcPr>
            <w:tcW w:w="41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只</w:t>
            </w:r>
          </w:p>
        </w:tc>
        <w:tc>
          <w:tcPr>
            <w:tcW w:w="60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17</w:t>
            </w:r>
          </w:p>
        </w:tc>
        <w:tc>
          <w:tcPr>
            <w:tcW w:w="1048"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1.3</w:t>
            </w:r>
          </w:p>
        </w:tc>
        <w:tc>
          <w:tcPr>
            <w:tcW w:w="89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CH4气体探测器</w:t>
            </w:r>
          </w:p>
        </w:tc>
        <w:tc>
          <w:tcPr>
            <w:tcW w:w="5458"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电化学式，带现场显示和报警，总线制，4~20mA输出，T90&lt;30s，配全套附件</w:t>
            </w:r>
          </w:p>
        </w:tc>
        <w:tc>
          <w:tcPr>
            <w:tcW w:w="41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只</w:t>
            </w:r>
          </w:p>
        </w:tc>
        <w:tc>
          <w:tcPr>
            <w:tcW w:w="60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17</w:t>
            </w:r>
          </w:p>
        </w:tc>
        <w:tc>
          <w:tcPr>
            <w:tcW w:w="1048"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1.4</w:t>
            </w:r>
          </w:p>
        </w:tc>
        <w:tc>
          <w:tcPr>
            <w:tcW w:w="89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H2S气体探测器</w:t>
            </w:r>
          </w:p>
        </w:tc>
        <w:tc>
          <w:tcPr>
            <w:tcW w:w="5458"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电化学式，带现场显示和报警，总线制，4~20mA输出，T90&lt;30s，配全套附件</w:t>
            </w:r>
          </w:p>
        </w:tc>
        <w:tc>
          <w:tcPr>
            <w:tcW w:w="41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只</w:t>
            </w:r>
          </w:p>
        </w:tc>
        <w:tc>
          <w:tcPr>
            <w:tcW w:w="60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17</w:t>
            </w:r>
          </w:p>
        </w:tc>
        <w:tc>
          <w:tcPr>
            <w:tcW w:w="1048"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1.5</w:t>
            </w:r>
          </w:p>
        </w:tc>
        <w:tc>
          <w:tcPr>
            <w:tcW w:w="89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氨气探测器</w:t>
            </w:r>
          </w:p>
        </w:tc>
        <w:tc>
          <w:tcPr>
            <w:tcW w:w="5458"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电化学式，带现场显示和报警，总线制，4~20mA输出，配全套附件</w:t>
            </w:r>
          </w:p>
        </w:tc>
        <w:tc>
          <w:tcPr>
            <w:tcW w:w="41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只</w:t>
            </w:r>
          </w:p>
        </w:tc>
        <w:tc>
          <w:tcPr>
            <w:tcW w:w="60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17</w:t>
            </w:r>
          </w:p>
        </w:tc>
        <w:tc>
          <w:tcPr>
            <w:tcW w:w="1048"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89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温湿度变送器</w:t>
            </w:r>
          </w:p>
        </w:tc>
        <w:tc>
          <w:tcPr>
            <w:tcW w:w="5458"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工业型，墙面安装，带液晶显示，PTFE过滤器，元件镀膜，2路4~20mA输出，以太网接口</w:t>
            </w:r>
          </w:p>
        </w:tc>
        <w:tc>
          <w:tcPr>
            <w:tcW w:w="411"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60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17</w:t>
            </w:r>
          </w:p>
        </w:tc>
        <w:tc>
          <w:tcPr>
            <w:tcW w:w="104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472"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890"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风机控制柜</w:t>
            </w:r>
          </w:p>
        </w:tc>
        <w:tc>
          <w:tcPr>
            <w:tcW w:w="54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1、壁挂式不锈钢柜体，600*500*300，含断路器、开关等全套配件；</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2、小型PLC，12DI+4DO，以太网通讯：3、</w:t>
            </w:r>
          </w:p>
        </w:tc>
        <w:tc>
          <w:tcPr>
            <w:tcW w:w="41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60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17</w:t>
            </w:r>
          </w:p>
        </w:tc>
        <w:tc>
          <w:tcPr>
            <w:tcW w:w="104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施耐德、西门子、AB</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8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安装辅材</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安装支架、RS485通讯电缆等</w:t>
            </w:r>
          </w:p>
        </w:tc>
        <w:tc>
          <w:tcPr>
            <w:tcW w:w="41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宗</w:t>
            </w:r>
          </w:p>
        </w:tc>
        <w:tc>
          <w:tcPr>
            <w:tcW w:w="6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single" w:color="auto" w:sz="4" w:space="0"/>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422"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三</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视频监控</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048" w:type="dxa"/>
            <w:tcBorders>
              <w:top w:val="nil"/>
              <w:left w:val="nil"/>
              <w:bottom w:val="single" w:color="auto" w:sz="4" w:space="0"/>
              <w:right w:val="nil"/>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335"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后端设备</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048" w:type="dxa"/>
            <w:tcBorders>
              <w:top w:val="nil"/>
              <w:left w:val="nil"/>
              <w:bottom w:val="single" w:color="auto" w:sz="4" w:space="0"/>
              <w:right w:val="nil"/>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1.1</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视频工作站</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W-2102/16GB/1TB SATA 7.2K 3.5/Quadro RTX4000/950W/KB216键盘/MS116鼠标、win10专业版，27英寸显示器，3年专业支持</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戴尔、 联想、 新华三</w:t>
            </w:r>
          </w:p>
        </w:tc>
      </w:tr>
      <w:tr>
        <w:tblPrEx>
          <w:tblLayout w:type="fixed"/>
          <w:tblCellMar>
            <w:top w:w="0" w:type="dxa"/>
            <w:left w:w="108" w:type="dxa"/>
            <w:bottom w:w="0" w:type="dxa"/>
            <w:right w:w="108" w:type="dxa"/>
          </w:tblCellMar>
        </w:tblPrEx>
        <w:trPr>
          <w:trHeight w:val="851"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1.2</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视频服务器</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(16核2.4GHz)×1/ 128GB DDR4/600GB 10K SAS×2（RAID_1）+1.8T 10K  SAS×2（RAID_1）/SAS_HBA/1GbE×4+10GbE×2/550W(1+1)/2U/16DIMM/USB-DVDP2U单路标准机架式服务器PCPU：1颗 x86架构HYGON处理器，核数≥16核，频率≥2.4GHzP内存4*32G DDR4，16根内存插槽，最大支持扩展至2TB内存P硬盘：2块600G 10K 2.5英寸SAS盘，2块1.8T 10K 2.5英寸SAS盘可选支持12块3.5寸(兼容2.5寸)热插拔SAS/SATA硬盘P阵列卡：标配SAS_HBA卡，支持RAID0/1/10P可选RAID_2G卡，支持0/1/5/6/10/50/60，可选支持断电保护PPCIE扩展：最大可支持6个PCIe扩展插槽P网口：4个千兆电口，2个万兆光口P电源：标配550W（1+1）白金冗余电源 P操作系统：HIK OSP配置一个USB-DVD光驱</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浪潮、华为、联想</w:t>
            </w:r>
          </w:p>
        </w:tc>
      </w:tr>
      <w:tr>
        <w:tblPrEx>
          <w:tblLayout w:type="fixed"/>
          <w:tblCellMar>
            <w:top w:w="0" w:type="dxa"/>
            <w:left w:w="108" w:type="dxa"/>
            <w:bottom w:w="0" w:type="dxa"/>
            <w:right w:w="108" w:type="dxa"/>
          </w:tblCellMar>
        </w:tblPrEx>
        <w:trPr>
          <w:trHeight w:val="472"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1.3</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视频系统管理平台</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iSecure Center 综合安防管理平台 ，含200路接入授权、级联模块、门禁、车辆出入、周界、基于人脸识别技术的重点人员识别、陌生人识别、高频人员识别、以脸搜脸、安全帽识别等功能</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single" w:color="auto" w:sz="4" w:space="0"/>
              <w:left w:val="nil"/>
              <w:bottom w:val="single" w:color="auto" w:sz="4" w:space="0"/>
              <w:right w:val="nil"/>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海康威视、大华、华为</w:t>
            </w:r>
          </w:p>
        </w:tc>
      </w:tr>
      <w:tr>
        <w:tblPrEx>
          <w:tblLayout w:type="fixed"/>
          <w:tblCellMar>
            <w:top w:w="0" w:type="dxa"/>
            <w:left w:w="108" w:type="dxa"/>
            <w:bottom w:w="0" w:type="dxa"/>
            <w:right w:w="108" w:type="dxa"/>
          </w:tblCellMar>
        </w:tblPrEx>
        <w:trPr>
          <w:trHeight w:val="944"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1.4</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硬盘录像机</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硬件规格：P2U标准机架式；2个HDMI，2个VGA,HDMI+VGA组内同源；8盘位，可满配8T硬盘，支持RAID0、1、5、10，支持全局热备盘；2个千兆网口；2个USB2.0接口、1个USB3.0接口；1个eSATA接口；报警IO：16进4出P软件性能：P输入带宽：320M，输出带宽：256M；开启RAID后，输入带宽：200M，输出带宽：200M；64路H.264、H.265混合接入；最大支持16×1080P解码；支持H.265、H.264解码PSmart 2.0/整机热备/ANR/智能检索/智能回放/车牌检索/人脸检索/热度图/客流量统计/分时段回放/超高倍速回放/双系统备份</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048" w:type="dxa"/>
            <w:tcBorders>
              <w:top w:val="nil"/>
              <w:left w:val="nil"/>
              <w:bottom w:val="single" w:color="auto" w:sz="4" w:space="0"/>
              <w:right w:val="nil"/>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海康威视、大华、华为</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1.5</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监控级硬盘</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8T,IntelliPower,3.5",SATA</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22</w:t>
            </w:r>
          </w:p>
        </w:tc>
        <w:tc>
          <w:tcPr>
            <w:tcW w:w="1048" w:type="dxa"/>
            <w:tcBorders>
              <w:top w:val="nil"/>
              <w:left w:val="nil"/>
              <w:bottom w:val="single" w:color="auto" w:sz="4" w:space="0"/>
              <w:right w:val="nil"/>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海康威视、大华、华为</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1.6</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服务器柜</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IP40，控制柜42U，2200HX600WX1000D(MM),前后开门下进线，2MM冷轧板,含8PDU电源，HUB配线架</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面</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nil"/>
              <w:left w:val="nil"/>
              <w:bottom w:val="single" w:color="auto" w:sz="4" w:space="0"/>
              <w:right w:val="nil"/>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335"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前端设备</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048" w:type="dxa"/>
            <w:tcBorders>
              <w:top w:val="nil"/>
              <w:left w:val="nil"/>
              <w:bottom w:val="single" w:color="auto" w:sz="4" w:space="0"/>
              <w:right w:val="nil"/>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海康威视、大华、华为</w:t>
            </w:r>
          </w:p>
        </w:tc>
      </w:tr>
      <w:tr>
        <w:tblPrEx>
          <w:tblLayout w:type="fixed"/>
          <w:tblCellMar>
            <w:top w:w="0" w:type="dxa"/>
            <w:left w:w="108" w:type="dxa"/>
            <w:bottom w:w="0" w:type="dxa"/>
            <w:right w:w="108" w:type="dxa"/>
          </w:tblCellMar>
        </w:tblPrEx>
        <w:trPr>
          <w:trHeight w:val="708"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2.1</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智能球型摄像机</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400万像素7寸23倍星光轻智能网络高清球机P采用高效补光阵列，低功耗，红外补光150mP内置加热玻璃，有效除雾P传感器类型: 1/2.8＂progressive scan CMOSP最低照度: 彩色：0.005 Lux @（F1.6，AGC ON）；黑白：0.001 Lux @（F1.6，AGC ON）；0 Lux with IRP宽动态: 120 dB超宽动态P焦距: 4.8 mm~110 mm，23倍光学变焦 P供电方式: AC24V</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60</w:t>
            </w:r>
          </w:p>
        </w:tc>
        <w:tc>
          <w:tcPr>
            <w:tcW w:w="1048" w:type="dxa"/>
            <w:tcBorders>
              <w:top w:val="nil"/>
              <w:left w:val="nil"/>
              <w:bottom w:val="single" w:color="auto" w:sz="4" w:space="0"/>
              <w:right w:val="nil"/>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2.2</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视频控制箱</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350*350*200mm，不锈钢304材质；户外防雨型，带防雷、空开等</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60</w:t>
            </w:r>
          </w:p>
        </w:tc>
        <w:tc>
          <w:tcPr>
            <w:tcW w:w="1048" w:type="dxa"/>
            <w:tcBorders>
              <w:top w:val="nil"/>
              <w:left w:val="nil"/>
              <w:bottom w:val="single" w:color="auto" w:sz="4" w:space="0"/>
              <w:right w:val="nil"/>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2.3</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光纤收发器</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单模光纤，2光口3电口，百兆，含光模块</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对</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60</w:t>
            </w:r>
          </w:p>
        </w:tc>
        <w:tc>
          <w:tcPr>
            <w:tcW w:w="1048" w:type="dxa"/>
            <w:tcBorders>
              <w:top w:val="nil"/>
              <w:left w:val="nil"/>
              <w:bottom w:val="single" w:color="auto" w:sz="4" w:space="0"/>
              <w:right w:val="nil"/>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安装辅材</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安装支架、2芯单模光纤、电源电缆等</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宗</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422"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四</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人员定位及无线系统</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048" w:type="dxa"/>
            <w:tcBorders>
              <w:top w:val="nil"/>
              <w:left w:val="nil"/>
              <w:bottom w:val="single" w:color="auto" w:sz="4" w:space="0"/>
              <w:right w:val="nil"/>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北京未来感知、江苏唐恩</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中控室设备</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1.1</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AC控制器</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4GB内存+4GB存储，6个千兆电口,2个USB接口，1个Console口，管理设备数不低于256</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472"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1.3</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解算服务器</w:t>
            </w:r>
          </w:p>
        </w:tc>
        <w:tc>
          <w:tcPr>
            <w:tcW w:w="54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英特尔至强银牌4210(2.2GHz/10-Core/13.75MB/85W),32GB内存，6*600G SAS硬盘(支持RAID1，5)，热插拔电源，千兆网卡,配置操作系统和系统管理软件</w:t>
            </w:r>
          </w:p>
        </w:tc>
        <w:tc>
          <w:tcPr>
            <w:tcW w:w="4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定位及无线设备</w:t>
            </w:r>
          </w:p>
        </w:tc>
        <w:tc>
          <w:tcPr>
            <w:tcW w:w="5458" w:type="dxa"/>
            <w:tcBorders>
              <w:top w:val="single" w:color="auto" w:sz="4" w:space="0"/>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2.1</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UWB室内定位基站</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防水型，支持POE，覆盖范围不小于500米</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160</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2.2</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UWB定位头盔标签</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锂电池充电型</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50</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472"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2.3</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UWB定位胸卡标签SOS（人员）</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锂电池充电型</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50</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2.4</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工业型 WIFI6 无线AP</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工业型</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45</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功能模块</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3.1</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xml:space="preserve">定位引擎及实时监控 </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WEB管理平台实时接入UWB网络覆盖区内的人员及物资标签卡的最新位置信息，并在地图上进行标注，地图可以使用2D或者3D建模，直观展示各类监测数据。</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项</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422"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3.2</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电子围栏</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提供电子围栏功能，实时监测人员位置信息，当人员靠近或者进入电子围栏区域时，系统可通过声光电等形式做出报警，预防危险事件发生，并在平台端生成电子报警记录。</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项</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3.3</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视频联动</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接入UWB覆盖区的视频探头，联合电子围栏进行视频联动。当监测到有非法闯入围栏区域时，系统调出周围视频探头，进行更直接的活动监视。</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项</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422"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3.4</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定位与统计</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实时定位佩带标签人员所处的位置信息。通过人员定位提供的准确位置信息。对佩戴标签的人员在各个区域内的分布情况进行实时分类数量统计，并显示相关人员详细信息。</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项</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3.5</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追踪与轨迹查询</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可以根据人员姓名、标签ID、人员编号等进行相关人员信息的查询。方便管理人员实时快速查找所需人员身份、位置、轨迹等信息。</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项</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3.6</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自检提示</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针对佩带标签，提供低电量提醒、人员卡片求助呼叫报警、标签智能休眠、人员静止检测等功能。</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项</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3.7</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API接口</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项</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3.8</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业务应用功能</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SOS一键报警、考勤辅助功能、报表统计</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项</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安装辅材</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安装支架、6类网线、电源电缆等</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宗</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422"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五</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智能照明系统</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048" w:type="dxa"/>
            <w:tcBorders>
              <w:top w:val="nil"/>
              <w:left w:val="nil"/>
              <w:bottom w:val="single" w:color="auto" w:sz="4" w:space="0"/>
              <w:right w:val="nil"/>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ABB、安科瑞</w:t>
            </w:r>
          </w:p>
        </w:tc>
      </w:tr>
      <w:tr>
        <w:tblPrEx>
          <w:tblLayout w:type="fixed"/>
          <w:tblCellMar>
            <w:top w:w="0" w:type="dxa"/>
            <w:left w:w="108" w:type="dxa"/>
            <w:bottom w:w="0" w:type="dxa"/>
            <w:right w:w="108" w:type="dxa"/>
          </w:tblCellMar>
        </w:tblPrEx>
        <w:trPr>
          <w:trHeight w:val="236" w:hRule="atLeast"/>
        </w:trPr>
        <w:tc>
          <w:tcPr>
            <w:tcW w:w="4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89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智能照明软硬件</w:t>
            </w:r>
          </w:p>
        </w:tc>
        <w:tc>
          <w:tcPr>
            <w:tcW w:w="545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全套软硬件，包括控制器、电源供应器、耦合器、现场总线等，带IP路由器，支持以太网控制</w:t>
            </w:r>
          </w:p>
        </w:tc>
        <w:tc>
          <w:tcPr>
            <w:tcW w:w="411"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60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8" w:type="dxa"/>
            <w:tcBorders>
              <w:top w:val="nil"/>
              <w:left w:val="nil"/>
              <w:bottom w:val="single" w:color="auto" w:sz="4" w:space="0"/>
              <w:right w:val="nil"/>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bl>
    <w:p>
      <w:pPr>
        <w:pStyle w:val="33"/>
        <w:rPr>
          <w:color w:val="auto"/>
        </w:rPr>
      </w:pPr>
      <w:r>
        <w:rPr>
          <w:color w:val="auto"/>
        </w:rPr>
        <w:t>网络安全设材料表</w:t>
      </w:r>
    </w:p>
    <w:tbl>
      <w:tblPr>
        <w:tblStyle w:val="23"/>
        <w:tblW w:w="8858" w:type="dxa"/>
        <w:tblInd w:w="113" w:type="dxa"/>
        <w:tblLayout w:type="fixed"/>
        <w:tblCellMar>
          <w:top w:w="0" w:type="dxa"/>
          <w:left w:w="108" w:type="dxa"/>
          <w:bottom w:w="0" w:type="dxa"/>
          <w:right w:w="108" w:type="dxa"/>
        </w:tblCellMar>
      </w:tblPr>
      <w:tblGrid>
        <w:gridCol w:w="426"/>
        <w:gridCol w:w="1044"/>
        <w:gridCol w:w="5378"/>
        <w:gridCol w:w="426"/>
        <w:gridCol w:w="426"/>
        <w:gridCol w:w="1158"/>
      </w:tblGrid>
      <w:tr>
        <w:tblPrEx>
          <w:tblLayout w:type="fixed"/>
        </w:tblPrEx>
        <w:trPr>
          <w:trHeight w:val="437" w:hRule="atLeast"/>
          <w:tblHeader/>
        </w:trPr>
        <w:tc>
          <w:tcPr>
            <w:tcW w:w="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序号</w:t>
            </w:r>
          </w:p>
        </w:tc>
        <w:tc>
          <w:tcPr>
            <w:tcW w:w="104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名称</w:t>
            </w:r>
          </w:p>
        </w:tc>
        <w:tc>
          <w:tcPr>
            <w:tcW w:w="537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描述</w:t>
            </w:r>
          </w:p>
        </w:tc>
        <w:tc>
          <w:tcPr>
            <w:tcW w:w="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单位</w:t>
            </w:r>
          </w:p>
        </w:tc>
        <w:tc>
          <w:tcPr>
            <w:tcW w:w="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数量</w:t>
            </w:r>
          </w:p>
        </w:tc>
        <w:tc>
          <w:tcPr>
            <w:tcW w:w="11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备注</w:t>
            </w:r>
          </w:p>
        </w:tc>
      </w:tr>
      <w:tr>
        <w:tblPrEx>
          <w:tblLayout w:type="fixed"/>
          <w:tblCellMar>
            <w:top w:w="0" w:type="dxa"/>
            <w:left w:w="108" w:type="dxa"/>
            <w:bottom w:w="0" w:type="dxa"/>
            <w:right w:w="108" w:type="dxa"/>
          </w:tblCellMar>
        </w:tblPrEx>
        <w:trPr>
          <w:trHeight w:val="588" w:hRule="atLeast"/>
        </w:trPr>
        <w:tc>
          <w:tcPr>
            <w:tcW w:w="4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一</w:t>
            </w:r>
          </w:p>
        </w:tc>
        <w:tc>
          <w:tcPr>
            <w:tcW w:w="1044" w:type="dxa"/>
            <w:tcBorders>
              <w:top w:val="single" w:color="000000" w:sz="4" w:space="0"/>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信息化系统网络安全</w:t>
            </w:r>
          </w:p>
        </w:tc>
        <w:tc>
          <w:tcPr>
            <w:tcW w:w="5378" w:type="dxa"/>
            <w:tcBorders>
              <w:top w:val="single" w:color="000000" w:sz="4" w:space="0"/>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426" w:type="dxa"/>
            <w:tcBorders>
              <w:top w:val="single" w:color="000000" w:sz="4" w:space="0"/>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426" w:type="dxa"/>
            <w:tcBorders>
              <w:top w:val="single" w:color="000000" w:sz="4" w:space="0"/>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158" w:type="dxa"/>
            <w:tcBorders>
              <w:top w:val="single" w:color="000000" w:sz="4" w:space="0"/>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深信服、奇安信、新华三</w:t>
            </w:r>
          </w:p>
        </w:tc>
      </w:tr>
      <w:tr>
        <w:tblPrEx>
          <w:tblLayout w:type="fixed"/>
          <w:tblCellMar>
            <w:top w:w="0" w:type="dxa"/>
            <w:left w:w="108" w:type="dxa"/>
            <w:bottom w:w="0" w:type="dxa"/>
            <w:right w:w="108" w:type="dxa"/>
          </w:tblCellMar>
        </w:tblPrEx>
        <w:trPr>
          <w:trHeight w:val="1597" w:hRule="atLeast"/>
        </w:trPr>
        <w:tc>
          <w:tcPr>
            <w:tcW w:w="42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4"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出口防火墙</w:t>
            </w:r>
          </w:p>
        </w:tc>
        <w:tc>
          <w:tcPr>
            <w:tcW w:w="5378"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1、性能参数：网络层吞吐量：3G，应用层吞吐量：250M;</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2、并发连接数：800000;</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xml:space="preserve">3、新建连接数（CPS）：18000;  </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4、IPSec VPN最大接入数：1000; 5、IPSec VPN加密速度：100M;                                                                                                                P6、硬件参数：规格：1U; 7、内存大小：2G; 8、硬盘容量：64G minisata SSD;  接口：6千兆电口。</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5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958" w:hRule="atLeast"/>
        </w:trPr>
        <w:tc>
          <w:tcPr>
            <w:tcW w:w="42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044"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区间防火墙</w:t>
            </w:r>
          </w:p>
        </w:tc>
        <w:tc>
          <w:tcPr>
            <w:tcW w:w="5378"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2*GE WAN+8*GE Combo+2*10GE SFP+,1交流电源,含SSL VPN 100用户)M.2 SSD-SATA 6Gb/s-240GB-支持热插拔P功能描述：集传统防火墙、VPN、入侵防御、防病毒、数据防泄漏、带宽管理、URL过滤等多种功能于一身，全局配置视图和一体化策略管理。</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5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639" w:hRule="atLeast"/>
        </w:trPr>
        <w:tc>
          <w:tcPr>
            <w:tcW w:w="42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044"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入侵防御系统</w:t>
            </w:r>
          </w:p>
        </w:tc>
        <w:tc>
          <w:tcPr>
            <w:tcW w:w="5378"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2U，含交流冗余电源模块，2*USB接口，1*RJ45串口，1*RJ45管理口，6*GE（Bypass）接口，1个接口扩展槽位。并发连接150万，1TB SATA硬盘</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5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1278" w:hRule="atLeast"/>
        </w:trPr>
        <w:tc>
          <w:tcPr>
            <w:tcW w:w="42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1044"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网络防病毒软件</w:t>
            </w:r>
          </w:p>
        </w:tc>
        <w:tc>
          <w:tcPr>
            <w:tcW w:w="5378"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实现终端安全系统的集中管理、策略配置、报表查看等功能,Linux、Windows服务器端授权许可，提供智能更新、定时查杀等功能,Windows客户端授权许可,提供病毒防护、漏洞管理、边界管理、软件管理、IP/MAC管控、网络管控、XP防护盾、流量管控、网址管控、资产管理、外设管控、U盘管控、远程桌面等功能. 含100个桌面操作系统端授权和100套服务器授权。</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426"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58" w:type="dxa"/>
            <w:tcBorders>
              <w:top w:val="nil"/>
              <w:left w:val="nil"/>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588" w:hRule="atLeast"/>
        </w:trPr>
        <w:tc>
          <w:tcPr>
            <w:tcW w:w="42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二</w:t>
            </w:r>
          </w:p>
        </w:tc>
        <w:tc>
          <w:tcPr>
            <w:tcW w:w="1044"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工控网络安全</w:t>
            </w:r>
          </w:p>
        </w:tc>
        <w:tc>
          <w:tcPr>
            <w:tcW w:w="5378"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426"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426"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1158" w:type="dxa"/>
            <w:tcBorders>
              <w:top w:val="nil"/>
              <w:left w:val="nil"/>
              <w:bottom w:val="single" w:color="000000" w:sz="4" w:space="0"/>
              <w:right w:val="single" w:color="000000"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威努特、长扬科技、天融信</w:t>
            </w:r>
          </w:p>
        </w:tc>
      </w:tr>
      <w:tr>
        <w:tblPrEx>
          <w:tblLayout w:type="fixed"/>
          <w:tblCellMar>
            <w:top w:w="0" w:type="dxa"/>
            <w:left w:w="108" w:type="dxa"/>
            <w:bottom w:w="0" w:type="dxa"/>
            <w:right w:w="108" w:type="dxa"/>
          </w:tblCellMar>
        </w:tblPrEx>
        <w:trPr>
          <w:trHeight w:val="487" w:hRule="atLeast"/>
        </w:trPr>
        <w:tc>
          <w:tcPr>
            <w:tcW w:w="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4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统一安全管理平台</w:t>
            </w:r>
          </w:p>
        </w:tc>
        <w:tc>
          <w:tcPr>
            <w:tcW w:w="5378" w:type="dxa"/>
            <w:tcBorders>
              <w:top w:val="single" w:color="auto" w:sz="4" w:space="0"/>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2U机架式，2个千兆电口，可扩展12光或12电、4*USB、1个console，1个VGA、1个IPMI管理口、16GB内存，2T硬盘，单电源，配套提供软件</w:t>
            </w:r>
          </w:p>
        </w:tc>
        <w:tc>
          <w:tcPr>
            <w:tcW w:w="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PrEx>
        <w:trPr>
          <w:trHeight w:val="571" w:hRule="atLeast"/>
        </w:trPr>
        <w:tc>
          <w:tcPr>
            <w:tcW w:w="42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工业防火墙</w:t>
            </w:r>
          </w:p>
        </w:tc>
        <w:tc>
          <w:tcPr>
            <w:tcW w:w="537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1U机架式，无风扇，ARM架构多核处理器，Emmc闪存，100-240V AC冗余双电源，8千兆电口+4Combo，电口全BYPASS，1*MGMT，1*Console，1*USB，2*232/422/485三合一业务串口，1*HA。，配套提供软件</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571" w:hRule="atLeast"/>
        </w:trPr>
        <w:tc>
          <w:tcPr>
            <w:tcW w:w="42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工控安全监测与审计系统</w:t>
            </w:r>
          </w:p>
        </w:tc>
        <w:tc>
          <w:tcPr>
            <w:tcW w:w="537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1U机架式，无风扇，ARM架构多核处理器，Emmc闪存，冗余双电源，8千兆电口+4Combo，1*MGMT，1*Console，1*USB，2*232/422/485三合一业务串口，1*HA独立接口。</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571" w:hRule="atLeast"/>
        </w:trPr>
        <w:tc>
          <w:tcPr>
            <w:tcW w:w="42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网络入侵防御系统</w:t>
            </w:r>
          </w:p>
        </w:tc>
        <w:tc>
          <w:tcPr>
            <w:tcW w:w="537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1U机架式，12个千兆电口，12个千兆光口，1TF卡扩展槽，1个专用带外管理口，1*USB3.0.冗余电源，网络吞吐率8Gbps，并发连接数：200万，设备默认含一年IPS、AV、WAF特征库升级授权，配套提供软件</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403" w:hRule="atLeast"/>
        </w:trPr>
        <w:tc>
          <w:tcPr>
            <w:tcW w:w="42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5</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工控主机卫士</w:t>
            </w:r>
          </w:p>
        </w:tc>
        <w:tc>
          <w:tcPr>
            <w:tcW w:w="537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工控主机卫士Windows网络版基础软件，7用户</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PrEx>
        <w:trPr>
          <w:trHeight w:val="571" w:hRule="atLeast"/>
        </w:trPr>
        <w:tc>
          <w:tcPr>
            <w:tcW w:w="42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6</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日志审计与分析系统</w:t>
            </w:r>
          </w:p>
        </w:tc>
        <w:tc>
          <w:tcPr>
            <w:tcW w:w="537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2U机架式，2个千兆电口，可扩展12光或12电，4*USB，1个console，1个VGA，1个IPMI管理口，16G内存，2T硬盘，单电源，系统默认30点授权，日志处理能力10000EPS，配套提供软件</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571" w:hRule="atLeast"/>
        </w:trPr>
        <w:tc>
          <w:tcPr>
            <w:tcW w:w="42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7</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工控漏洞扫描平台</w:t>
            </w:r>
          </w:p>
        </w:tc>
        <w:tc>
          <w:tcPr>
            <w:tcW w:w="537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工控漏扫；2U机架式，2个千兆电口，可扩展12光或12电，4*USB，1个console，1个VGA，1个IPMI管理口，16GB内存，2T硬盘，单电源，配套提供软件</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571" w:hRule="atLeast"/>
        </w:trPr>
        <w:tc>
          <w:tcPr>
            <w:tcW w:w="42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8</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安全运维管理系统</w:t>
            </w:r>
          </w:p>
        </w:tc>
        <w:tc>
          <w:tcPr>
            <w:tcW w:w="5378" w:type="dxa"/>
            <w:tcBorders>
              <w:top w:val="nil"/>
              <w:left w:val="nil"/>
              <w:bottom w:val="single" w:color="auto" w:sz="4" w:space="0"/>
              <w:right w:val="single" w:color="auto" w:sz="4" w:space="0"/>
            </w:tcBorders>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2U机架式，2个千兆电口，可扩展12光或12电，4*USB，1个console，1个VGA，1个IPMI管理口，16GB内存，2T硬盘，单电源，默认50点授权，配套提供软件</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Layout w:type="fixed"/>
          <w:tblCellMar>
            <w:top w:w="0" w:type="dxa"/>
            <w:left w:w="108" w:type="dxa"/>
            <w:bottom w:w="0" w:type="dxa"/>
            <w:right w:w="108" w:type="dxa"/>
          </w:tblCellMar>
        </w:tblPrEx>
        <w:trPr>
          <w:trHeight w:val="571" w:hRule="atLeast"/>
        </w:trPr>
        <w:tc>
          <w:tcPr>
            <w:tcW w:w="42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9</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数据库审计系统</w:t>
            </w:r>
          </w:p>
        </w:tc>
        <w:tc>
          <w:tcPr>
            <w:tcW w:w="5378" w:type="dxa"/>
            <w:tcBorders>
              <w:top w:val="nil"/>
              <w:left w:val="nil"/>
              <w:bottom w:val="single" w:color="auto" w:sz="4" w:space="0"/>
              <w:right w:val="single" w:color="auto" w:sz="4" w:space="0"/>
            </w:tcBorders>
            <w:shd w:val="clear" w:color="auto" w:fill="auto"/>
            <w:vAlign w:val="bottom"/>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2U机架式，2个千兆电口，可扩展12光或12电、4*USB、1个console，1个VGA、1个IPMI管理口、16GB内存，2T硬盘，单电源。SQL处理能力：10000条/s，SQL存储能力：35亿条；配套提供软件</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158" w:type="dxa"/>
            <w:tcBorders>
              <w:top w:val="nil"/>
              <w:left w:val="nil"/>
              <w:bottom w:val="single" w:color="auto" w:sz="4" w:space="0"/>
              <w:right w:val="single" w:color="auto" w:sz="4" w:space="0"/>
            </w:tcBorders>
            <w:shd w:val="clear" w:color="auto" w:fill="auto"/>
            <w:vAlign w:val="bottom"/>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bl>
    <w:p>
      <w:pPr>
        <w:pStyle w:val="33"/>
        <w:rPr>
          <w:color w:val="auto"/>
        </w:rPr>
      </w:pPr>
      <w:r>
        <w:rPr>
          <w:color w:val="auto"/>
        </w:rPr>
        <w:t>厂外泵站仪表</w:t>
      </w:r>
    </w:p>
    <w:tbl>
      <w:tblPr>
        <w:tblStyle w:val="23"/>
        <w:tblW w:w="882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080"/>
        <w:gridCol w:w="5152"/>
        <w:gridCol w:w="515"/>
        <w:gridCol w:w="517"/>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 w:hRule="atLeast"/>
          <w:tblHeader/>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序号</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名称</w:t>
            </w:r>
          </w:p>
        </w:tc>
        <w:tc>
          <w:tcPr>
            <w:tcW w:w="515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规格及参数</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单位</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数量</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推荐品牌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一</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控制系统</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同水厂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PLC06</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#1提升泵站</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就地控制站</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1、PLC机柜 2200*800*600，不锈钢柜体，钢板厚度不低于2.5mm，防护等级IP40，含全部配件；</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2、大型PLC，CPU、网络模块、电源模块冗余配置；包括主机架、电源模块、CPU模块、I/O模块、通讯模块等。设计点数：；每种I/O 备用点不低于20%。</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3、配置二层网管型工业交换机，2光口+16电口；</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4、配置12英吋真彩触摸屏</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5、PLC、触摸屏程序开发，功能满足生产流程和用户需求</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面</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UPS电源柜</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 2200*800*600，不锈钢柜体，钢板厚度不低于2.5mm，防护等级IP40，含断路器、开关电源、防雷接地、端子等全套配件；</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2、在线式UPS，3KVA，120分钟备电</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二</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就地仪表及材料</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同水厂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超声波液位差计</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0~15m，IP68，波束角不大于6°，螺纹连接，塑料外壳，带15m电缆</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雷达液位计</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量程0-12米；雷达原理，Bluetooth®调试，通过 App进行操作和调试，信号4-20mA；供电：两线制DC24V; 防护等级IP68；测量精度+/- 5 mm ；环境温度：–40 … +60 °C ；分辨率1mm；</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硫化氢检测器</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电化学式，量程：0-50ppm H2S，IP65，带现场显示，精度：±2%%%%%%%%%F.S.，T90&lt;30秒，DC24V二线制</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4~20mA，316不锈钢接线盒，带声光报警器，配安装附件、标定附件</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隔膜密封压力变送器</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DN50法兰连接，316L膜片，毛细管长度10米。4～20mA输出</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5</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三</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安防系统</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同水厂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序号</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名称</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规格型号</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单位</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数量</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视频以太网光纤交换机</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整机交换容量≥336Gbps，整机包转发率≥50Mpps</w:t>
            </w:r>
          </w:p>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整机固定端口支持24个10/100/1000BASE-T以太网端口，4千兆光口SFP</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个</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光纤收发器</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单模光纤，2光口3电口，百兆，含光模块</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对</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5</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网络硬盘录像机（NVR）</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高清网络硬盘录像机，16路数字视频储存，支持最大2路1080P硬盘录像同步回放,内置7块8T硬盘</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4</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图像监控计算机</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i7双核处理器，内存8GB，硬盘1TB，显卡：GTX460,显示器27</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5</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智能球型摄像机</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200万像素7寸23倍星光轻智能网络高清球机P采用高效补光阵列，低功耗，红外补光150mP内置加热玻璃，有效除雾P传感器类型: 1/2.8＂progressive scan CMOSP最低照度: 彩色：0.005 Lux @（F1.6，AGC ON）；黑白：0.001 Lux @（F1.6，AGC ON）；0 Lux with IRP宽动态: 120 dB超宽动态P焦距: 4.8 mm~110 mm，23倍光学变焦</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个</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6</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监控立杆及安装支架基础</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1、监控立杆：采用不锈钢304材质，高度为3.5米。</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个</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7</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视频控制箱</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350*350*200mm，不锈钢304材质；户外防雨型，带防雷、空开等</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个</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8</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8</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网络枪机</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200万1/2.7"CMOS 智能全彩筒型网络摄像机P最低照度:彩色：0.0005 Lux@(F1.0，AGC ON)，0 Lux with LightP焦距和视场角:P4 mm@ F1.0，水平视场角：83.6°，垂直视场角：44.6°，对角线视场角：99.1°P6 mm@ F1.0，水平视场角：54.6°，垂直视场角：29.9°，对角线视场角：63.3°P宽动态范围:120 dBP景深范围:4 mm：2.1 m~∞ ; 6 mm：5.4 m~∞P网络:1个RJ45 10 M/100 M自适应以太网口</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个</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10</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9</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电子围栏系统</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200m，支持视频联动，配套智能键盘，支持上位机联动报警，上位机设防撤防，含4线制/双防区脉冲主机包，围栏合金线、高压绝缘导线、声光报警器、警示牌、支撑杆、数据中继器等。</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10</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门禁系统</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带人脸、刷卡等功能，人员进出次数、时间等信息可上传调度；含人脸识别一体机、发卡机、卡片、电子锁及附件、门禁备用电源箱、开门按钮、安装配件等。</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套</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11</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显示器</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24寸、2K、高清液晶显示器</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台</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四</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线缆及辅材</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线缆及辅材</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包含泵站内控制线缆、电源线缆、网线、镀锌钢管、空开等辅材</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项</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五</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泵站网络建设</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自动化监控专线</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2条不同运营商专线，2M，MSTP/PTN专线，1年套餐</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条</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 w:hRule="atLeast"/>
        </w:trPr>
        <w:tc>
          <w:tcPr>
            <w:tcW w:w="812"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2</w:t>
            </w:r>
          </w:p>
        </w:tc>
        <w:tc>
          <w:tcPr>
            <w:tcW w:w="1080"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视频监控专线</w:t>
            </w:r>
          </w:p>
        </w:tc>
        <w:tc>
          <w:tcPr>
            <w:tcW w:w="5152" w:type="dxa"/>
            <w:shd w:val="clear" w:color="auto" w:fill="auto"/>
            <w:vAlign w:val="center"/>
          </w:tcPr>
          <w:p>
            <w:pPr>
              <w:widowControl/>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10M，MSTP/PTN专线，1年套餐</w:t>
            </w:r>
          </w:p>
        </w:tc>
        <w:tc>
          <w:tcPr>
            <w:tcW w:w="515"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条</w:t>
            </w:r>
          </w:p>
        </w:tc>
        <w:tc>
          <w:tcPr>
            <w:tcW w:w="517"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1</w:t>
            </w:r>
          </w:p>
        </w:tc>
        <w:tc>
          <w:tcPr>
            <w:tcW w:w="744" w:type="dxa"/>
            <w:shd w:val="clear" w:color="auto" w:fill="auto"/>
            <w:vAlign w:val="center"/>
          </w:tcPr>
          <w:p>
            <w:pPr>
              <w:widowControl/>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　</w:t>
            </w:r>
          </w:p>
        </w:tc>
      </w:tr>
    </w:tbl>
    <w:p>
      <w:pPr>
        <w:pStyle w:val="29"/>
        <w:ind w:firstLine="472"/>
        <w:rPr>
          <w:color w:val="auto"/>
        </w:rPr>
      </w:pPr>
    </w:p>
    <w:p>
      <w:pPr>
        <w:pStyle w:val="29"/>
        <w:ind w:firstLine="472"/>
        <w:rPr>
          <w:color w:val="auto"/>
        </w:rPr>
        <w:sectPr>
          <w:footerReference r:id="rId10" w:type="default"/>
          <w:pgSz w:w="11910" w:h="16840"/>
          <w:pgMar w:top="1480" w:right="1560" w:bottom="1160" w:left="1580" w:header="720" w:footer="720" w:gutter="0"/>
          <w:cols w:space="720" w:num="1"/>
          <w:docGrid w:linePitch="299" w:charSpace="0"/>
        </w:sectPr>
      </w:pPr>
    </w:p>
    <w:p>
      <w:pPr>
        <w:pStyle w:val="32"/>
        <w:spacing w:before="120" w:after="120"/>
        <w:ind w:left="0"/>
        <w:rPr>
          <w:b/>
          <w:color w:val="auto"/>
        </w:rPr>
      </w:pPr>
      <w:bookmarkStart w:id="280" w:name="_Toc117181383"/>
      <w:r>
        <w:rPr>
          <w:rFonts w:hint="eastAsia"/>
          <w:b/>
          <w:color w:val="auto"/>
        </w:rPr>
        <w:t>配套管网</w:t>
      </w:r>
      <w:r>
        <w:rPr>
          <w:b/>
          <w:color w:val="auto"/>
        </w:rPr>
        <w:t>技术要求</w:t>
      </w:r>
      <w:bookmarkEnd w:id="280"/>
    </w:p>
    <w:p>
      <w:pPr>
        <w:pStyle w:val="28"/>
        <w:spacing w:before="120" w:after="120"/>
        <w:rPr>
          <w:color w:val="auto"/>
        </w:rPr>
      </w:pPr>
      <w:bookmarkStart w:id="281" w:name="_Toc117181384"/>
      <w:r>
        <w:rPr>
          <w:rFonts w:hint="eastAsia"/>
          <w:color w:val="auto"/>
        </w:rPr>
        <w:t>主要设备材料表</w:t>
      </w:r>
      <w:bookmarkEnd w:id="281"/>
    </w:p>
    <w:tbl>
      <w:tblPr>
        <w:tblStyle w:val="23"/>
        <w:tblW w:w="1418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2950"/>
        <w:gridCol w:w="1417"/>
        <w:gridCol w:w="1134"/>
        <w:gridCol w:w="993"/>
        <w:gridCol w:w="1984"/>
        <w:gridCol w:w="1843"/>
        <w:gridCol w:w="3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blHeader/>
        </w:trPr>
        <w:tc>
          <w:tcPr>
            <w:tcW w:w="731" w:type="dxa"/>
            <w:shd w:val="clear" w:color="auto" w:fill="auto"/>
            <w:vAlign w:val="center"/>
          </w:tcPr>
          <w:p>
            <w:pPr>
              <w:widowControl/>
              <w:jc w:val="center"/>
              <w:rPr>
                <w:rFonts w:ascii="Times New Roman" w:hAnsi="Times New Roman" w:eastAsia="等线" w:cs="Times New Roman"/>
                <w:b/>
                <w:bCs/>
                <w:color w:val="auto"/>
                <w:sz w:val="21"/>
                <w:szCs w:val="21"/>
                <w:lang w:eastAsia="zh-CN"/>
              </w:rPr>
            </w:pPr>
            <w:r>
              <w:rPr>
                <w:rFonts w:hint="eastAsia" w:ascii="宋体" w:hAnsi="宋体" w:eastAsia="宋体" w:cs="Times New Roman"/>
                <w:b/>
                <w:bCs/>
                <w:color w:val="auto"/>
                <w:sz w:val="21"/>
                <w:szCs w:val="21"/>
                <w:lang w:eastAsia="zh-CN"/>
              </w:rPr>
              <w:t>编号</w:t>
            </w:r>
          </w:p>
        </w:tc>
        <w:tc>
          <w:tcPr>
            <w:tcW w:w="2950" w:type="dxa"/>
            <w:shd w:val="clear" w:color="auto" w:fill="auto"/>
            <w:vAlign w:val="center"/>
          </w:tcPr>
          <w:p>
            <w:pPr>
              <w:widowControl/>
              <w:jc w:val="center"/>
              <w:rPr>
                <w:rFonts w:ascii="Times New Roman" w:hAnsi="Times New Roman" w:eastAsia="等线" w:cs="Times New Roman"/>
                <w:b/>
                <w:bCs/>
                <w:color w:val="auto"/>
                <w:sz w:val="21"/>
                <w:szCs w:val="21"/>
                <w:lang w:eastAsia="zh-CN"/>
              </w:rPr>
            </w:pPr>
            <w:r>
              <w:rPr>
                <w:rFonts w:hint="eastAsia" w:ascii="宋体" w:hAnsi="宋体" w:eastAsia="宋体" w:cs="Times New Roman"/>
                <w:b/>
                <w:bCs/>
                <w:color w:val="auto"/>
                <w:sz w:val="21"/>
                <w:szCs w:val="21"/>
                <w:lang w:eastAsia="zh-CN"/>
              </w:rPr>
              <w:t>名称</w:t>
            </w:r>
          </w:p>
        </w:tc>
        <w:tc>
          <w:tcPr>
            <w:tcW w:w="1417" w:type="dxa"/>
            <w:shd w:val="clear" w:color="auto" w:fill="auto"/>
            <w:vAlign w:val="center"/>
          </w:tcPr>
          <w:p>
            <w:pPr>
              <w:widowControl/>
              <w:jc w:val="center"/>
              <w:rPr>
                <w:rFonts w:ascii="Times New Roman" w:hAnsi="Times New Roman" w:eastAsia="等线" w:cs="Times New Roman"/>
                <w:b/>
                <w:bCs/>
                <w:color w:val="auto"/>
                <w:sz w:val="21"/>
                <w:szCs w:val="21"/>
                <w:lang w:eastAsia="zh-CN"/>
              </w:rPr>
            </w:pPr>
            <w:r>
              <w:rPr>
                <w:rFonts w:hint="eastAsia" w:ascii="宋体" w:hAnsi="宋体" w:eastAsia="宋体" w:cs="Times New Roman"/>
                <w:b/>
                <w:bCs/>
                <w:color w:val="auto"/>
                <w:sz w:val="21"/>
                <w:szCs w:val="21"/>
                <w:lang w:eastAsia="zh-CN"/>
              </w:rPr>
              <w:t>规格</w:t>
            </w:r>
          </w:p>
        </w:tc>
        <w:tc>
          <w:tcPr>
            <w:tcW w:w="1134" w:type="dxa"/>
            <w:shd w:val="clear" w:color="auto" w:fill="auto"/>
            <w:vAlign w:val="center"/>
          </w:tcPr>
          <w:p>
            <w:pPr>
              <w:widowControl/>
              <w:jc w:val="center"/>
              <w:rPr>
                <w:rFonts w:ascii="Times New Roman" w:hAnsi="Times New Roman" w:eastAsia="等线" w:cs="Times New Roman"/>
                <w:b/>
                <w:bCs/>
                <w:color w:val="auto"/>
                <w:sz w:val="21"/>
                <w:szCs w:val="21"/>
                <w:lang w:eastAsia="zh-CN"/>
              </w:rPr>
            </w:pPr>
            <w:r>
              <w:rPr>
                <w:rFonts w:hint="eastAsia" w:ascii="宋体" w:hAnsi="宋体" w:eastAsia="宋体" w:cs="Times New Roman"/>
                <w:b/>
                <w:bCs/>
                <w:color w:val="auto"/>
                <w:sz w:val="21"/>
                <w:szCs w:val="21"/>
                <w:lang w:eastAsia="zh-CN"/>
              </w:rPr>
              <w:t>单位</w:t>
            </w:r>
          </w:p>
        </w:tc>
        <w:tc>
          <w:tcPr>
            <w:tcW w:w="993" w:type="dxa"/>
            <w:shd w:val="clear" w:color="auto" w:fill="auto"/>
            <w:vAlign w:val="center"/>
          </w:tcPr>
          <w:p>
            <w:pPr>
              <w:widowControl/>
              <w:jc w:val="center"/>
              <w:rPr>
                <w:rFonts w:ascii="Times New Roman" w:hAnsi="Times New Roman" w:eastAsia="等线" w:cs="Times New Roman"/>
                <w:b/>
                <w:bCs/>
                <w:color w:val="auto"/>
                <w:sz w:val="21"/>
                <w:szCs w:val="21"/>
                <w:lang w:eastAsia="zh-CN"/>
              </w:rPr>
            </w:pPr>
            <w:r>
              <w:rPr>
                <w:rFonts w:hint="eastAsia" w:ascii="宋体" w:hAnsi="宋体" w:eastAsia="宋体" w:cs="Times New Roman"/>
                <w:b/>
                <w:bCs/>
                <w:color w:val="auto"/>
                <w:sz w:val="21"/>
                <w:szCs w:val="21"/>
                <w:lang w:eastAsia="zh-CN"/>
              </w:rPr>
              <w:t>数量</w:t>
            </w:r>
          </w:p>
        </w:tc>
        <w:tc>
          <w:tcPr>
            <w:tcW w:w="1984" w:type="dxa"/>
            <w:shd w:val="clear" w:color="auto" w:fill="auto"/>
            <w:vAlign w:val="center"/>
          </w:tcPr>
          <w:p>
            <w:pPr>
              <w:widowControl/>
              <w:jc w:val="center"/>
              <w:rPr>
                <w:rFonts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材料</w:t>
            </w:r>
          </w:p>
        </w:tc>
        <w:tc>
          <w:tcPr>
            <w:tcW w:w="1843" w:type="dxa"/>
            <w:shd w:val="clear" w:color="auto" w:fill="auto"/>
            <w:vAlign w:val="center"/>
          </w:tcPr>
          <w:p>
            <w:pPr>
              <w:widowControl/>
              <w:jc w:val="center"/>
              <w:rPr>
                <w:rFonts w:ascii="Times New Roman" w:hAnsi="Times New Roman" w:eastAsia="等线" w:cs="Times New Roman"/>
                <w:b/>
                <w:bCs/>
                <w:color w:val="auto"/>
                <w:sz w:val="21"/>
                <w:szCs w:val="21"/>
                <w:lang w:eastAsia="zh-CN"/>
              </w:rPr>
            </w:pPr>
            <w:r>
              <w:rPr>
                <w:rFonts w:hint="eastAsia" w:ascii="宋体" w:hAnsi="宋体" w:eastAsia="宋体" w:cs="Times New Roman"/>
                <w:b/>
                <w:bCs/>
                <w:color w:val="auto"/>
                <w:sz w:val="21"/>
                <w:szCs w:val="21"/>
                <w:lang w:eastAsia="zh-CN"/>
              </w:rPr>
              <w:t>备注</w:t>
            </w:r>
          </w:p>
        </w:tc>
        <w:tc>
          <w:tcPr>
            <w:tcW w:w="3129" w:type="dxa"/>
          </w:tcPr>
          <w:p>
            <w:pPr>
              <w:widowControl/>
              <w:jc w:val="center"/>
              <w:rPr>
                <w:rFonts w:ascii="宋体" w:hAnsi="宋体" w:eastAsia="宋体" w:cs="Times New Roman"/>
                <w:b/>
                <w:bCs/>
                <w:color w:val="auto"/>
                <w:sz w:val="21"/>
                <w:szCs w:val="21"/>
                <w:lang w:eastAsia="zh-CN"/>
              </w:rPr>
            </w:pPr>
            <w:r>
              <w:rPr>
                <w:rFonts w:hint="eastAsia" w:ascii="宋体" w:hAnsi="宋体" w:eastAsia="宋体" w:cs="Times New Roman"/>
                <w:b/>
                <w:bCs/>
                <w:color w:val="auto"/>
                <w:sz w:val="21"/>
                <w:szCs w:val="21"/>
                <w:lang w:eastAsia="zh-CN"/>
              </w:rPr>
              <w:t>推荐品牌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w:t>
            </w:r>
          </w:p>
        </w:tc>
        <w:tc>
          <w:tcPr>
            <w:tcW w:w="2950" w:type="dxa"/>
            <w:vMerge w:val="restart"/>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再生水管（压力）</w:t>
            </w: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D530x10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米</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214</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焊接钢管</w:t>
            </w:r>
          </w:p>
        </w:tc>
        <w:tc>
          <w:tcPr>
            <w:tcW w:w="1843" w:type="dxa"/>
            <w:shd w:val="clear" w:color="auto" w:fill="auto"/>
            <w:vAlign w:val="center"/>
          </w:tcPr>
          <w:p>
            <w:pPr>
              <w:widowControl/>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含管件及检查井</w:t>
            </w:r>
          </w:p>
        </w:tc>
        <w:tc>
          <w:tcPr>
            <w:tcW w:w="3129" w:type="dxa"/>
            <w:vMerge w:val="restart"/>
            <w:vAlign w:val="center"/>
          </w:tcPr>
          <w:p>
            <w:pPr>
              <w:pStyle w:val="27"/>
              <w:spacing w:line="360" w:lineRule="auto"/>
              <w:ind w:left="113"/>
              <w:rPr>
                <w:rFonts w:ascii="宋体"/>
                <w:color w:val="auto"/>
                <w:sz w:val="21"/>
                <w:szCs w:val="24"/>
                <w:lang w:eastAsia="zh-CN"/>
              </w:rPr>
            </w:pPr>
            <w:r>
              <w:rPr>
                <w:rFonts w:hint="eastAsia" w:ascii="宋体"/>
                <w:color w:val="auto"/>
                <w:sz w:val="21"/>
                <w:szCs w:val="24"/>
                <w:lang w:eastAsia="zh-CN"/>
              </w:rPr>
              <w:t>广州珠江管业科技有限公司、广州荣刚金属制品有限公司、广东邦达、广东华捷钢管实业有限公司、广州祥基金属制品有限公司、佛山市鑫水源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2</w:t>
            </w:r>
          </w:p>
        </w:tc>
        <w:tc>
          <w:tcPr>
            <w:tcW w:w="2950" w:type="dxa"/>
            <w:vMerge w:val="continue"/>
            <w:vAlign w:val="center"/>
          </w:tcPr>
          <w:p>
            <w:pPr>
              <w:widowControl/>
              <w:rPr>
                <w:rFonts w:ascii="宋体" w:hAnsi="宋体" w:eastAsia="宋体" w:cs="宋体"/>
                <w:color w:val="auto"/>
                <w:sz w:val="21"/>
                <w:szCs w:val="21"/>
                <w:lang w:eastAsia="zh-CN"/>
              </w:rPr>
            </w:pP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D630x10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米</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2337</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焊接钢管</w:t>
            </w:r>
          </w:p>
        </w:tc>
        <w:tc>
          <w:tcPr>
            <w:tcW w:w="1843" w:type="dxa"/>
            <w:shd w:val="clear" w:color="auto" w:fill="auto"/>
            <w:vAlign w:val="center"/>
          </w:tcPr>
          <w:p>
            <w:pPr>
              <w:widowControl/>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含管件及检查井</w:t>
            </w:r>
          </w:p>
        </w:tc>
        <w:tc>
          <w:tcPr>
            <w:tcW w:w="3129" w:type="dxa"/>
            <w:vMerge w:val="continue"/>
          </w:tcPr>
          <w:p>
            <w:pPr>
              <w:widowControl/>
              <w:jc w:val="center"/>
              <w:rPr>
                <w:rFonts w:ascii="宋体" w:hAnsi="宋体" w:eastAsia="宋体" w:cs="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3</w:t>
            </w:r>
          </w:p>
        </w:tc>
        <w:tc>
          <w:tcPr>
            <w:tcW w:w="2950" w:type="dxa"/>
            <w:vMerge w:val="restart"/>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污水管道（压力）</w:t>
            </w: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D1020x10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米</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107</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焊接钢管</w:t>
            </w:r>
          </w:p>
        </w:tc>
        <w:tc>
          <w:tcPr>
            <w:tcW w:w="1843" w:type="dxa"/>
            <w:shd w:val="clear" w:color="auto" w:fill="auto"/>
            <w:vAlign w:val="center"/>
          </w:tcPr>
          <w:p>
            <w:pPr>
              <w:widowControl/>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含管件及检查井</w:t>
            </w:r>
          </w:p>
        </w:tc>
        <w:tc>
          <w:tcPr>
            <w:tcW w:w="3129" w:type="dxa"/>
            <w:vMerge w:val="continue"/>
          </w:tcPr>
          <w:p>
            <w:pPr>
              <w:widowControl/>
              <w:jc w:val="center"/>
              <w:rPr>
                <w:rFonts w:ascii="宋体" w:hAnsi="宋体" w:eastAsia="宋体" w:cs="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4</w:t>
            </w:r>
          </w:p>
        </w:tc>
        <w:tc>
          <w:tcPr>
            <w:tcW w:w="2950" w:type="dxa"/>
            <w:vMerge w:val="continue"/>
            <w:vAlign w:val="center"/>
          </w:tcPr>
          <w:p>
            <w:pPr>
              <w:widowControl/>
              <w:rPr>
                <w:rFonts w:ascii="宋体" w:hAnsi="宋体" w:eastAsia="宋体" w:cs="宋体"/>
                <w:color w:val="auto"/>
                <w:sz w:val="21"/>
                <w:szCs w:val="21"/>
                <w:lang w:eastAsia="zh-CN"/>
              </w:rPr>
            </w:pP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D1220x12</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米</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3787</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焊接钢管</w:t>
            </w:r>
          </w:p>
        </w:tc>
        <w:tc>
          <w:tcPr>
            <w:tcW w:w="1843" w:type="dxa"/>
            <w:shd w:val="clear" w:color="auto" w:fill="auto"/>
            <w:vAlign w:val="center"/>
          </w:tcPr>
          <w:p>
            <w:pPr>
              <w:widowControl/>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含管件及检查井</w:t>
            </w:r>
          </w:p>
        </w:tc>
        <w:tc>
          <w:tcPr>
            <w:tcW w:w="3129" w:type="dxa"/>
            <w:vMerge w:val="continue"/>
          </w:tcPr>
          <w:p>
            <w:pPr>
              <w:widowControl/>
              <w:jc w:val="center"/>
              <w:rPr>
                <w:rFonts w:ascii="宋体" w:hAnsi="宋体" w:eastAsia="宋体" w:cs="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5</w:t>
            </w:r>
          </w:p>
        </w:tc>
        <w:tc>
          <w:tcPr>
            <w:tcW w:w="2950" w:type="dxa"/>
            <w:vMerge w:val="restart"/>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污水管道（重力）</w:t>
            </w: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d1200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米</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568</w:t>
            </w:r>
          </w:p>
        </w:tc>
        <w:tc>
          <w:tcPr>
            <w:tcW w:w="1984"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III</w:t>
            </w:r>
            <w:r>
              <w:rPr>
                <w:rFonts w:hint="eastAsia" w:ascii="宋体" w:hAnsi="宋体" w:eastAsia="宋体" w:cs="Times New Roman"/>
                <w:color w:val="auto"/>
                <w:sz w:val="21"/>
                <w:szCs w:val="21"/>
                <w:lang w:eastAsia="zh-CN"/>
              </w:rPr>
              <w:t>级钢筋混凝土管</w:t>
            </w:r>
          </w:p>
        </w:tc>
        <w:tc>
          <w:tcPr>
            <w:tcW w:w="1843" w:type="dxa"/>
            <w:shd w:val="clear" w:color="auto" w:fill="auto"/>
            <w:vAlign w:val="center"/>
          </w:tcPr>
          <w:p>
            <w:pPr>
              <w:widowControl/>
              <w:rPr>
                <w:rFonts w:ascii="宋体" w:hAnsi="宋体" w:eastAsia="宋体" w:cs="宋体"/>
                <w:color w:val="auto"/>
                <w:sz w:val="21"/>
                <w:szCs w:val="21"/>
                <w:lang w:eastAsia="zh-CN"/>
              </w:rPr>
            </w:pPr>
          </w:p>
        </w:tc>
        <w:tc>
          <w:tcPr>
            <w:tcW w:w="3129" w:type="dxa"/>
          </w:tcPr>
          <w:p>
            <w:pPr>
              <w:widowControl/>
              <w:jc w:val="center"/>
              <w:rPr>
                <w:rFonts w:ascii="宋体" w:hAnsi="宋体" w:eastAsia="宋体" w:cs="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6</w:t>
            </w:r>
          </w:p>
        </w:tc>
        <w:tc>
          <w:tcPr>
            <w:tcW w:w="2950" w:type="dxa"/>
            <w:vMerge w:val="continue"/>
            <w:vAlign w:val="center"/>
          </w:tcPr>
          <w:p>
            <w:pPr>
              <w:widowControl/>
              <w:rPr>
                <w:rFonts w:ascii="宋体" w:hAnsi="宋体" w:eastAsia="宋体" w:cs="宋体"/>
                <w:color w:val="auto"/>
                <w:sz w:val="21"/>
                <w:szCs w:val="21"/>
                <w:lang w:eastAsia="zh-CN"/>
              </w:rPr>
            </w:pP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d1500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米</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132</w:t>
            </w:r>
          </w:p>
        </w:tc>
        <w:tc>
          <w:tcPr>
            <w:tcW w:w="1984"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III</w:t>
            </w:r>
            <w:r>
              <w:rPr>
                <w:rFonts w:hint="eastAsia" w:ascii="宋体" w:hAnsi="宋体" w:eastAsia="宋体" w:cs="Times New Roman"/>
                <w:color w:val="auto"/>
                <w:sz w:val="21"/>
                <w:szCs w:val="21"/>
                <w:lang w:eastAsia="zh-CN"/>
              </w:rPr>
              <w:t>级钢筋混凝土管</w:t>
            </w:r>
          </w:p>
        </w:tc>
        <w:tc>
          <w:tcPr>
            <w:tcW w:w="1843" w:type="dxa"/>
            <w:shd w:val="clear" w:color="auto" w:fill="auto"/>
            <w:vAlign w:val="center"/>
          </w:tcPr>
          <w:p>
            <w:pPr>
              <w:widowControl/>
              <w:rPr>
                <w:rFonts w:ascii="宋体" w:hAnsi="宋体" w:eastAsia="宋体" w:cs="宋体"/>
                <w:color w:val="auto"/>
                <w:sz w:val="21"/>
                <w:szCs w:val="21"/>
                <w:lang w:eastAsia="zh-CN"/>
              </w:rPr>
            </w:pPr>
          </w:p>
        </w:tc>
        <w:tc>
          <w:tcPr>
            <w:tcW w:w="3129" w:type="dxa"/>
          </w:tcPr>
          <w:p>
            <w:pPr>
              <w:widowControl/>
              <w:jc w:val="center"/>
              <w:rPr>
                <w:rFonts w:ascii="宋体" w:hAnsi="宋体" w:eastAsia="宋体" w:cs="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7</w:t>
            </w:r>
          </w:p>
        </w:tc>
        <w:tc>
          <w:tcPr>
            <w:tcW w:w="2950" w:type="dxa"/>
            <w:vMerge w:val="continue"/>
            <w:vAlign w:val="center"/>
          </w:tcPr>
          <w:p>
            <w:pPr>
              <w:widowControl/>
              <w:rPr>
                <w:rFonts w:ascii="宋体" w:hAnsi="宋体" w:eastAsia="宋体" w:cs="宋体"/>
                <w:color w:val="auto"/>
                <w:sz w:val="21"/>
                <w:szCs w:val="21"/>
                <w:lang w:eastAsia="zh-CN"/>
              </w:rPr>
            </w:pP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d2000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米</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151</w:t>
            </w:r>
          </w:p>
        </w:tc>
        <w:tc>
          <w:tcPr>
            <w:tcW w:w="1984"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III</w:t>
            </w:r>
            <w:r>
              <w:rPr>
                <w:rFonts w:hint="eastAsia" w:ascii="宋体" w:hAnsi="宋体" w:eastAsia="宋体" w:cs="Times New Roman"/>
                <w:color w:val="auto"/>
                <w:sz w:val="21"/>
                <w:szCs w:val="21"/>
                <w:lang w:eastAsia="zh-CN"/>
              </w:rPr>
              <w:t>级钢筋混凝土管</w:t>
            </w:r>
          </w:p>
        </w:tc>
        <w:tc>
          <w:tcPr>
            <w:tcW w:w="1843"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　</w:t>
            </w:r>
          </w:p>
        </w:tc>
        <w:tc>
          <w:tcPr>
            <w:tcW w:w="3129" w:type="dxa"/>
          </w:tcPr>
          <w:p>
            <w:pPr>
              <w:widowControl/>
              <w:jc w:val="center"/>
              <w:rPr>
                <w:rFonts w:ascii="宋体" w:hAnsi="宋体" w:eastAsia="宋体" w:cs="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8</w:t>
            </w:r>
          </w:p>
        </w:tc>
        <w:tc>
          <w:tcPr>
            <w:tcW w:w="2950"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检查井（压力）</w:t>
            </w: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1600×1600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座</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6</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钢筋混凝土</w:t>
            </w:r>
          </w:p>
        </w:tc>
        <w:tc>
          <w:tcPr>
            <w:tcW w:w="1843"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　</w:t>
            </w:r>
          </w:p>
        </w:tc>
        <w:tc>
          <w:tcPr>
            <w:tcW w:w="3129" w:type="dxa"/>
          </w:tcPr>
          <w:p>
            <w:pPr>
              <w:widowControl/>
              <w:jc w:val="center"/>
              <w:rPr>
                <w:rFonts w:ascii="宋体" w:hAnsi="宋体" w:eastAsia="宋体" w:cs="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9</w:t>
            </w:r>
          </w:p>
        </w:tc>
        <w:tc>
          <w:tcPr>
            <w:tcW w:w="2950"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消能井（压力）</w:t>
            </w: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　</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座</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钢筋混凝土</w:t>
            </w:r>
          </w:p>
        </w:tc>
        <w:tc>
          <w:tcPr>
            <w:tcW w:w="1843"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　</w:t>
            </w:r>
          </w:p>
        </w:tc>
        <w:tc>
          <w:tcPr>
            <w:tcW w:w="3129" w:type="dxa"/>
          </w:tcPr>
          <w:p>
            <w:pPr>
              <w:widowControl/>
              <w:jc w:val="center"/>
              <w:rPr>
                <w:rFonts w:ascii="宋体" w:hAnsi="宋体" w:eastAsia="宋体" w:cs="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10</w:t>
            </w:r>
          </w:p>
        </w:tc>
        <w:tc>
          <w:tcPr>
            <w:tcW w:w="2950" w:type="dxa"/>
            <w:vMerge w:val="restart"/>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电动蝶阀</w:t>
            </w: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DN600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4</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184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　</w:t>
            </w:r>
          </w:p>
        </w:tc>
        <w:tc>
          <w:tcPr>
            <w:tcW w:w="3129" w:type="dxa"/>
            <w:vMerge w:val="restart"/>
            <w:vAlign w:val="center"/>
          </w:tcPr>
          <w:p>
            <w:pPr>
              <w:widowControl/>
              <w:jc w:val="both"/>
              <w:rPr>
                <w:rFonts w:ascii="Times New Roman" w:hAnsi="Times New Roman" w:eastAsia="等线" w:cs="Times New Roman"/>
                <w:color w:val="auto"/>
                <w:sz w:val="21"/>
                <w:szCs w:val="21"/>
                <w:lang w:eastAsia="zh-CN"/>
              </w:rPr>
            </w:pPr>
            <w:r>
              <w:rPr>
                <w:rFonts w:ascii="Times New Roman" w:hAnsi="Times New Roman" w:cs="Times New Roman"/>
                <w:color w:val="auto"/>
                <w:sz w:val="21"/>
                <w:szCs w:val="21"/>
                <w:lang w:eastAsia="zh-CN"/>
              </w:rPr>
              <w:t>电动启闭装置采用德国欧玛（AUMA）、英国罗托克（ROTORK）、德国西博思(SIPOS)等相同或优于该品牌的产品，阀体采用</w:t>
            </w:r>
            <w:r>
              <w:rPr>
                <w:rFonts w:hint="eastAsia" w:ascii="Times New Roman" w:hAnsi="Times New Roman" w:cs="Times New Roman"/>
                <w:color w:val="auto"/>
                <w:sz w:val="21"/>
                <w:szCs w:val="21"/>
                <w:lang w:val="en-US" w:eastAsia="zh-CN"/>
              </w:rPr>
              <w:t>上海冠龙、</w:t>
            </w:r>
            <w:r>
              <w:rPr>
                <w:rFonts w:ascii="Times New Roman" w:hAnsi="Times New Roman" w:cs="Times New Roman"/>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11</w:t>
            </w:r>
          </w:p>
        </w:tc>
        <w:tc>
          <w:tcPr>
            <w:tcW w:w="2950" w:type="dxa"/>
            <w:vMerge w:val="continue"/>
            <w:vAlign w:val="center"/>
          </w:tcPr>
          <w:p>
            <w:pPr>
              <w:widowControl/>
              <w:rPr>
                <w:rFonts w:ascii="宋体" w:hAnsi="宋体" w:eastAsia="宋体" w:cs="宋体"/>
                <w:color w:val="auto"/>
                <w:sz w:val="21"/>
                <w:szCs w:val="21"/>
                <w:lang w:eastAsia="zh-CN"/>
              </w:rPr>
            </w:pP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DN1200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2</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184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　</w:t>
            </w:r>
          </w:p>
        </w:tc>
        <w:tc>
          <w:tcPr>
            <w:tcW w:w="3129" w:type="dxa"/>
            <w:vMerge w:val="continue"/>
            <w:vAlign w:val="center"/>
          </w:tcPr>
          <w:p>
            <w:pPr>
              <w:widowControl/>
              <w:jc w:val="both"/>
              <w:rPr>
                <w:rFonts w:ascii="Times New Roman" w:hAnsi="Times New Roman" w:eastAsia="等线"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12</w:t>
            </w:r>
          </w:p>
        </w:tc>
        <w:tc>
          <w:tcPr>
            <w:tcW w:w="2950"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排气阀</w:t>
            </w: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DN100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15</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184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　</w:t>
            </w:r>
          </w:p>
        </w:tc>
        <w:tc>
          <w:tcPr>
            <w:tcW w:w="3129" w:type="dxa"/>
            <w:vAlign w:val="center"/>
          </w:tcPr>
          <w:p>
            <w:pPr>
              <w:widowControl/>
              <w:jc w:val="both"/>
              <w:rPr>
                <w:rFonts w:ascii="Times New Roman" w:hAnsi="Times New Roman" w:eastAsia="等线" w:cs="Times New Roman"/>
                <w:color w:val="auto"/>
                <w:sz w:val="21"/>
                <w:szCs w:val="21"/>
                <w:lang w:eastAsia="zh-CN"/>
              </w:rPr>
            </w:pPr>
            <w:r>
              <w:rPr>
                <w:rFonts w:ascii="Times New Roman" w:hAnsi="Times New Roman" w:cs="Times New Roman"/>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13</w:t>
            </w:r>
          </w:p>
        </w:tc>
        <w:tc>
          <w:tcPr>
            <w:tcW w:w="2950" w:type="dxa"/>
            <w:vMerge w:val="restart"/>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排泥阀</w:t>
            </w: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DN150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5</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1843"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　</w:t>
            </w:r>
          </w:p>
        </w:tc>
        <w:tc>
          <w:tcPr>
            <w:tcW w:w="3129" w:type="dxa"/>
            <w:vMerge w:val="restart"/>
            <w:vAlign w:val="center"/>
          </w:tcPr>
          <w:p>
            <w:pPr>
              <w:widowControl/>
              <w:jc w:val="both"/>
              <w:rPr>
                <w:rFonts w:ascii="宋体" w:hAnsi="宋体" w:eastAsia="宋体" w:cs="宋体"/>
                <w:color w:val="auto"/>
                <w:sz w:val="21"/>
                <w:szCs w:val="21"/>
                <w:lang w:eastAsia="zh-CN"/>
              </w:rPr>
            </w:pPr>
            <w:r>
              <w:rPr>
                <w:rFonts w:hint="eastAsia" w:ascii="Times New Roman" w:hAnsi="Times New Roman" w:cs="Times New Roman"/>
                <w:color w:val="auto"/>
                <w:sz w:val="21"/>
                <w:szCs w:val="21"/>
                <w:lang w:val="en-US" w:eastAsia="zh-CN"/>
              </w:rPr>
              <w:t>上海冠龙、</w:t>
            </w:r>
            <w:r>
              <w:rPr>
                <w:rFonts w:ascii="Times New Roman" w:hAnsi="Times New Roman" w:cs="Times New Roman"/>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14</w:t>
            </w:r>
          </w:p>
        </w:tc>
        <w:tc>
          <w:tcPr>
            <w:tcW w:w="2950" w:type="dxa"/>
            <w:vMerge w:val="continue"/>
            <w:vAlign w:val="center"/>
          </w:tcPr>
          <w:p>
            <w:pPr>
              <w:widowControl/>
              <w:rPr>
                <w:rFonts w:ascii="宋体" w:hAnsi="宋体" w:eastAsia="宋体" w:cs="宋体"/>
                <w:color w:val="auto"/>
                <w:sz w:val="21"/>
                <w:szCs w:val="21"/>
                <w:lang w:eastAsia="zh-CN"/>
              </w:rPr>
            </w:pP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DN500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4</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1843"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　</w:t>
            </w:r>
          </w:p>
        </w:tc>
        <w:tc>
          <w:tcPr>
            <w:tcW w:w="3129" w:type="dxa"/>
            <w:vMerge w:val="continue"/>
            <w:vAlign w:val="center"/>
          </w:tcPr>
          <w:p>
            <w:pPr>
              <w:widowControl/>
              <w:jc w:val="both"/>
              <w:rPr>
                <w:rFonts w:ascii="宋体" w:hAnsi="宋体" w:eastAsia="宋体" w:cs="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15</w:t>
            </w:r>
          </w:p>
        </w:tc>
        <w:tc>
          <w:tcPr>
            <w:tcW w:w="2950" w:type="dxa"/>
            <w:vMerge w:val="restart"/>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闸阀</w:t>
            </w: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DN400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9</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184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　</w:t>
            </w:r>
          </w:p>
        </w:tc>
        <w:tc>
          <w:tcPr>
            <w:tcW w:w="3129" w:type="dxa"/>
            <w:vMerge w:val="restart"/>
            <w:vAlign w:val="center"/>
          </w:tcPr>
          <w:p>
            <w:pPr>
              <w:widowControl/>
              <w:jc w:val="both"/>
              <w:rPr>
                <w:rFonts w:ascii="Times New Roman" w:hAnsi="Times New Roman" w:eastAsia="等线" w:cs="Times New Roman"/>
                <w:color w:val="auto"/>
                <w:sz w:val="21"/>
                <w:szCs w:val="21"/>
                <w:lang w:eastAsia="zh-CN"/>
              </w:rPr>
            </w:pPr>
            <w:r>
              <w:rPr>
                <w:rFonts w:hint="eastAsia" w:ascii="Times New Roman" w:hAnsi="Times New Roman" w:cs="Times New Roman"/>
                <w:color w:val="auto"/>
                <w:sz w:val="21"/>
                <w:szCs w:val="21"/>
                <w:lang w:val="en-US" w:eastAsia="zh-CN"/>
              </w:rPr>
              <w:t>上海冠龙、</w:t>
            </w:r>
            <w:r>
              <w:rPr>
                <w:rFonts w:ascii="Times New Roman" w:hAnsi="Times New Roman" w:cs="Times New Roman"/>
                <w:color w:val="auto"/>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16</w:t>
            </w:r>
          </w:p>
        </w:tc>
        <w:tc>
          <w:tcPr>
            <w:tcW w:w="2950" w:type="dxa"/>
            <w:vMerge w:val="continue"/>
            <w:vAlign w:val="center"/>
          </w:tcPr>
          <w:p>
            <w:pPr>
              <w:widowControl/>
              <w:rPr>
                <w:rFonts w:ascii="宋体" w:hAnsi="宋体" w:eastAsia="宋体" w:cs="宋体"/>
                <w:color w:val="auto"/>
                <w:sz w:val="21"/>
                <w:szCs w:val="21"/>
                <w:lang w:eastAsia="zh-CN"/>
              </w:rPr>
            </w:pP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DN600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4</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184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　</w:t>
            </w:r>
          </w:p>
        </w:tc>
        <w:tc>
          <w:tcPr>
            <w:tcW w:w="3129" w:type="dxa"/>
            <w:vMerge w:val="continue"/>
          </w:tcPr>
          <w:p>
            <w:pPr>
              <w:widowControl/>
              <w:jc w:val="center"/>
              <w:rPr>
                <w:rFonts w:ascii="Times New Roman" w:hAnsi="Times New Roman" w:eastAsia="等线"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17</w:t>
            </w:r>
          </w:p>
        </w:tc>
        <w:tc>
          <w:tcPr>
            <w:tcW w:w="2950" w:type="dxa"/>
            <w:vMerge w:val="continue"/>
            <w:vAlign w:val="center"/>
          </w:tcPr>
          <w:p>
            <w:pPr>
              <w:widowControl/>
              <w:rPr>
                <w:rFonts w:ascii="宋体" w:hAnsi="宋体" w:eastAsia="宋体" w:cs="宋体"/>
                <w:color w:val="auto"/>
                <w:sz w:val="21"/>
                <w:szCs w:val="21"/>
                <w:lang w:eastAsia="zh-CN"/>
              </w:rPr>
            </w:pP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DN1200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个</w:t>
            </w:r>
          </w:p>
        </w:tc>
        <w:tc>
          <w:tcPr>
            <w:tcW w:w="184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　</w:t>
            </w:r>
          </w:p>
        </w:tc>
        <w:tc>
          <w:tcPr>
            <w:tcW w:w="3129" w:type="dxa"/>
            <w:vMerge w:val="continue"/>
          </w:tcPr>
          <w:p>
            <w:pPr>
              <w:widowControl/>
              <w:jc w:val="center"/>
              <w:rPr>
                <w:rFonts w:ascii="Times New Roman" w:hAnsi="Times New Roman" w:eastAsia="等线"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18</w:t>
            </w:r>
          </w:p>
        </w:tc>
        <w:tc>
          <w:tcPr>
            <w:tcW w:w="2950" w:type="dxa"/>
            <w:vMerge w:val="restart"/>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普通顶管圆形工作井（沉井）</w:t>
            </w: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Φ7000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座</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钢筋混凝土</w:t>
            </w:r>
          </w:p>
        </w:tc>
        <w:tc>
          <w:tcPr>
            <w:tcW w:w="184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　</w:t>
            </w:r>
          </w:p>
        </w:tc>
        <w:tc>
          <w:tcPr>
            <w:tcW w:w="3129" w:type="dxa"/>
          </w:tcPr>
          <w:p>
            <w:pPr>
              <w:widowControl/>
              <w:jc w:val="center"/>
              <w:rPr>
                <w:rFonts w:ascii="Times New Roman" w:hAnsi="Times New Roman" w:eastAsia="等线"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19</w:t>
            </w:r>
          </w:p>
        </w:tc>
        <w:tc>
          <w:tcPr>
            <w:tcW w:w="2950" w:type="dxa"/>
            <w:vMerge w:val="continue"/>
            <w:vAlign w:val="center"/>
          </w:tcPr>
          <w:p>
            <w:pPr>
              <w:widowControl/>
              <w:rPr>
                <w:rFonts w:ascii="宋体" w:hAnsi="宋体" w:eastAsia="宋体" w:cs="宋体"/>
                <w:color w:val="auto"/>
                <w:sz w:val="21"/>
                <w:szCs w:val="21"/>
                <w:lang w:eastAsia="zh-CN"/>
              </w:rPr>
            </w:pP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Φ7500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座</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2</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钢筋混凝土</w:t>
            </w:r>
          </w:p>
        </w:tc>
        <w:tc>
          <w:tcPr>
            <w:tcW w:w="184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　</w:t>
            </w:r>
          </w:p>
        </w:tc>
        <w:tc>
          <w:tcPr>
            <w:tcW w:w="3129" w:type="dxa"/>
          </w:tcPr>
          <w:p>
            <w:pPr>
              <w:widowControl/>
              <w:jc w:val="center"/>
              <w:rPr>
                <w:rFonts w:ascii="Times New Roman" w:hAnsi="Times New Roman" w:eastAsia="等线"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20</w:t>
            </w:r>
          </w:p>
        </w:tc>
        <w:tc>
          <w:tcPr>
            <w:tcW w:w="2950" w:type="dxa"/>
            <w:vMerge w:val="continue"/>
            <w:vAlign w:val="center"/>
          </w:tcPr>
          <w:p>
            <w:pPr>
              <w:widowControl/>
              <w:rPr>
                <w:rFonts w:ascii="宋体" w:hAnsi="宋体" w:eastAsia="宋体" w:cs="宋体"/>
                <w:color w:val="auto"/>
                <w:sz w:val="21"/>
                <w:szCs w:val="21"/>
                <w:lang w:eastAsia="zh-CN"/>
              </w:rPr>
            </w:pP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Φ8000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座</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4</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钢筋混凝土</w:t>
            </w:r>
          </w:p>
        </w:tc>
        <w:tc>
          <w:tcPr>
            <w:tcW w:w="184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　</w:t>
            </w:r>
          </w:p>
        </w:tc>
        <w:tc>
          <w:tcPr>
            <w:tcW w:w="3129" w:type="dxa"/>
          </w:tcPr>
          <w:p>
            <w:pPr>
              <w:widowControl/>
              <w:jc w:val="center"/>
              <w:rPr>
                <w:rFonts w:ascii="Times New Roman" w:hAnsi="Times New Roman" w:eastAsia="等线"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21</w:t>
            </w:r>
          </w:p>
        </w:tc>
        <w:tc>
          <w:tcPr>
            <w:tcW w:w="2950" w:type="dxa"/>
            <w:vMerge w:val="restart"/>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普通顶管圆形接收井（沉井）</w:t>
            </w: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Φ4500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座</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5</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钢筋混凝土</w:t>
            </w:r>
          </w:p>
        </w:tc>
        <w:tc>
          <w:tcPr>
            <w:tcW w:w="184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　</w:t>
            </w:r>
          </w:p>
        </w:tc>
        <w:tc>
          <w:tcPr>
            <w:tcW w:w="3129" w:type="dxa"/>
          </w:tcPr>
          <w:p>
            <w:pPr>
              <w:widowControl/>
              <w:jc w:val="center"/>
              <w:rPr>
                <w:rFonts w:ascii="Times New Roman" w:hAnsi="Times New Roman" w:eastAsia="等线"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22</w:t>
            </w:r>
          </w:p>
        </w:tc>
        <w:tc>
          <w:tcPr>
            <w:tcW w:w="2950" w:type="dxa"/>
            <w:vMerge w:val="continue"/>
            <w:vAlign w:val="center"/>
          </w:tcPr>
          <w:p>
            <w:pPr>
              <w:widowControl/>
              <w:rPr>
                <w:rFonts w:ascii="宋体" w:hAnsi="宋体" w:eastAsia="宋体" w:cs="宋体"/>
                <w:color w:val="auto"/>
                <w:sz w:val="21"/>
                <w:szCs w:val="21"/>
                <w:lang w:eastAsia="zh-CN"/>
              </w:rPr>
            </w:pP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Φ5000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座</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6</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钢筋混凝土</w:t>
            </w:r>
          </w:p>
        </w:tc>
        <w:tc>
          <w:tcPr>
            <w:tcW w:w="184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　</w:t>
            </w:r>
          </w:p>
        </w:tc>
        <w:tc>
          <w:tcPr>
            <w:tcW w:w="3129" w:type="dxa"/>
          </w:tcPr>
          <w:p>
            <w:pPr>
              <w:widowControl/>
              <w:jc w:val="center"/>
              <w:rPr>
                <w:rFonts w:ascii="Times New Roman" w:hAnsi="Times New Roman" w:eastAsia="等线"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23</w:t>
            </w:r>
          </w:p>
        </w:tc>
        <w:tc>
          <w:tcPr>
            <w:tcW w:w="2950" w:type="dxa"/>
            <w:vMerge w:val="continue"/>
            <w:vAlign w:val="center"/>
          </w:tcPr>
          <w:p>
            <w:pPr>
              <w:widowControl/>
              <w:rPr>
                <w:rFonts w:ascii="宋体" w:hAnsi="宋体" w:eastAsia="宋体" w:cs="宋体"/>
                <w:color w:val="auto"/>
                <w:sz w:val="21"/>
                <w:szCs w:val="21"/>
                <w:lang w:eastAsia="zh-CN"/>
              </w:rPr>
            </w:pP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Φ5500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座</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3</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钢筋混凝土</w:t>
            </w:r>
          </w:p>
        </w:tc>
        <w:tc>
          <w:tcPr>
            <w:tcW w:w="184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　</w:t>
            </w:r>
          </w:p>
        </w:tc>
        <w:tc>
          <w:tcPr>
            <w:tcW w:w="3129" w:type="dxa"/>
          </w:tcPr>
          <w:p>
            <w:pPr>
              <w:widowControl/>
              <w:jc w:val="center"/>
              <w:rPr>
                <w:rFonts w:ascii="Times New Roman" w:hAnsi="Times New Roman" w:eastAsia="等线"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31"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24</w:t>
            </w:r>
          </w:p>
        </w:tc>
        <w:tc>
          <w:tcPr>
            <w:tcW w:w="2950"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普通顶管矩形工作井（沉井）</w:t>
            </w:r>
          </w:p>
        </w:tc>
        <w:tc>
          <w:tcPr>
            <w:tcW w:w="1417"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7000x4000</w:t>
            </w:r>
          </w:p>
        </w:tc>
        <w:tc>
          <w:tcPr>
            <w:tcW w:w="113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座</w:t>
            </w:r>
          </w:p>
        </w:tc>
        <w:tc>
          <w:tcPr>
            <w:tcW w:w="99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7</w:t>
            </w:r>
          </w:p>
        </w:tc>
        <w:tc>
          <w:tcPr>
            <w:tcW w:w="1984" w:type="dxa"/>
            <w:shd w:val="clear" w:color="auto" w:fill="auto"/>
            <w:vAlign w:val="center"/>
          </w:tcPr>
          <w:p>
            <w:pPr>
              <w:widowControl/>
              <w:jc w:val="center"/>
              <w:rPr>
                <w:rFonts w:ascii="宋体" w:hAnsi="宋体" w:eastAsia="宋体" w:cs="宋体"/>
                <w:color w:val="auto"/>
                <w:sz w:val="21"/>
                <w:szCs w:val="21"/>
                <w:lang w:eastAsia="zh-CN"/>
              </w:rPr>
            </w:pPr>
            <w:r>
              <w:rPr>
                <w:rFonts w:hint="eastAsia" w:ascii="宋体" w:hAnsi="宋体" w:eastAsia="宋体" w:cs="宋体"/>
                <w:color w:val="auto"/>
                <w:sz w:val="21"/>
                <w:szCs w:val="21"/>
                <w:lang w:eastAsia="zh-CN"/>
              </w:rPr>
              <w:t>钢筋混凝土</w:t>
            </w:r>
          </w:p>
        </w:tc>
        <w:tc>
          <w:tcPr>
            <w:tcW w:w="1843" w:type="dxa"/>
            <w:shd w:val="clear" w:color="auto" w:fill="auto"/>
            <w:vAlign w:val="center"/>
          </w:tcPr>
          <w:p>
            <w:pPr>
              <w:widowControl/>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　</w:t>
            </w:r>
          </w:p>
        </w:tc>
        <w:tc>
          <w:tcPr>
            <w:tcW w:w="3129" w:type="dxa"/>
          </w:tcPr>
          <w:p>
            <w:pPr>
              <w:widowControl/>
              <w:jc w:val="center"/>
              <w:rPr>
                <w:rFonts w:ascii="Times New Roman" w:hAnsi="Times New Roman" w:eastAsia="等线" w:cs="Times New Roman"/>
                <w:color w:val="auto"/>
                <w:sz w:val="21"/>
                <w:szCs w:val="21"/>
                <w:lang w:eastAsia="zh-CN"/>
              </w:rPr>
            </w:pPr>
          </w:p>
        </w:tc>
      </w:tr>
    </w:tbl>
    <w:p>
      <w:pPr>
        <w:pStyle w:val="29"/>
        <w:ind w:firstLine="472"/>
        <w:rPr>
          <w:color w:val="auto"/>
        </w:rPr>
        <w:sectPr>
          <w:pgSz w:w="16840" w:h="11910" w:orient="landscape"/>
          <w:pgMar w:top="1580" w:right="1480" w:bottom="1560" w:left="1160" w:header="720" w:footer="720" w:gutter="0"/>
          <w:cols w:space="720" w:num="1"/>
          <w:docGrid w:linePitch="299" w:charSpace="0"/>
        </w:sectPr>
      </w:pPr>
    </w:p>
    <w:p>
      <w:pPr>
        <w:pStyle w:val="28"/>
        <w:spacing w:before="120" w:after="120"/>
        <w:rPr>
          <w:b/>
          <w:color w:val="auto"/>
        </w:rPr>
      </w:pPr>
      <w:bookmarkStart w:id="282" w:name="_Toc117181385"/>
      <w:r>
        <w:rPr>
          <w:b/>
          <w:color w:val="auto"/>
        </w:rPr>
        <w:t>钢管</w:t>
      </w:r>
      <w:bookmarkEnd w:id="282"/>
    </w:p>
    <w:p>
      <w:pPr>
        <w:pStyle w:val="29"/>
        <w:ind w:firstLine="472"/>
        <w:rPr>
          <w:rFonts w:cs="Times New Roman"/>
          <w:color w:val="auto"/>
        </w:rPr>
      </w:pPr>
      <w:r>
        <w:rPr>
          <w:rFonts w:ascii="Segoe UI Symbol" w:hAnsi="Segoe UI Symbol" w:cs="Segoe UI Symbol"/>
          <w:color w:val="auto"/>
        </w:rPr>
        <w:t>★</w:t>
      </w:r>
      <w:r>
        <w:rPr>
          <w:rFonts w:cs="Times New Roman"/>
          <w:color w:val="auto"/>
        </w:rPr>
        <w:t>1、供货商提供的钢管管材、管件等产品，在满足下列标准要求的前提下，应满足或高于本招标技术要求的规定。</w:t>
      </w:r>
    </w:p>
    <w:p>
      <w:pPr>
        <w:pStyle w:val="29"/>
        <w:ind w:firstLine="472"/>
        <w:rPr>
          <w:rFonts w:cs="Times New Roman"/>
          <w:color w:val="auto"/>
        </w:rPr>
      </w:pPr>
      <w:r>
        <w:rPr>
          <w:rFonts w:cs="Times New Roman"/>
          <w:color w:val="auto"/>
        </w:rPr>
        <w:t>GB/T700-2006碳素结构钢</w:t>
      </w:r>
    </w:p>
    <w:p>
      <w:pPr>
        <w:pStyle w:val="29"/>
        <w:ind w:firstLine="472"/>
        <w:rPr>
          <w:rFonts w:cs="Times New Roman"/>
          <w:color w:val="auto"/>
        </w:rPr>
      </w:pPr>
      <w:r>
        <w:rPr>
          <w:rFonts w:cs="Times New Roman"/>
          <w:color w:val="auto"/>
        </w:rPr>
        <w:t>GB/T709—2006热轧钢板和钢带的尺寸、外形、重量及允许偏差GB1591—2008低合金高强度结构钢</w:t>
      </w:r>
    </w:p>
    <w:p>
      <w:pPr>
        <w:pStyle w:val="29"/>
        <w:ind w:firstLine="472"/>
        <w:rPr>
          <w:rFonts w:cs="Times New Roman"/>
          <w:color w:val="auto"/>
        </w:rPr>
      </w:pPr>
      <w:r>
        <w:rPr>
          <w:rFonts w:cs="Times New Roman"/>
          <w:color w:val="auto"/>
        </w:rPr>
        <w:t>GB10854—89钢结构焊缝外形尺寸</w:t>
      </w:r>
    </w:p>
    <w:p>
      <w:pPr>
        <w:pStyle w:val="29"/>
        <w:ind w:firstLine="472"/>
        <w:rPr>
          <w:rFonts w:cs="Times New Roman"/>
          <w:color w:val="auto"/>
        </w:rPr>
      </w:pPr>
      <w:r>
        <w:rPr>
          <w:rFonts w:cs="Times New Roman"/>
          <w:color w:val="auto"/>
        </w:rPr>
        <w:t>GB986—1988埋弧焊焊缝坡口的基本尺寸和形式、尺寸GB985—1988气焊手工电弧焊及气体保护焊缝坡口的基本尺寸与形式</w:t>
      </w:r>
      <w:r>
        <w:rPr>
          <w:rFonts w:cs="Times New Roman"/>
          <w:color w:val="auto"/>
          <w:spacing w:val="-1"/>
        </w:rPr>
        <w:t>GB2651－1989</w:t>
      </w:r>
      <w:r>
        <w:rPr>
          <w:rFonts w:cs="Times New Roman"/>
          <w:color w:val="auto"/>
          <w:spacing w:val="-1"/>
        </w:rPr>
        <w:tab/>
      </w:r>
      <w:r>
        <w:rPr>
          <w:rFonts w:cs="Times New Roman"/>
          <w:color w:val="auto"/>
          <w:spacing w:val="-2"/>
        </w:rPr>
        <w:t>焊接接头拉伸试验方法</w:t>
      </w:r>
    </w:p>
    <w:p>
      <w:pPr>
        <w:pStyle w:val="29"/>
        <w:ind w:firstLine="478"/>
        <w:rPr>
          <w:rFonts w:cs="Times New Roman"/>
          <w:color w:val="auto"/>
        </w:rPr>
      </w:pPr>
      <w:r>
        <w:rPr>
          <w:rFonts w:cs="Times New Roman"/>
          <w:color w:val="auto"/>
          <w:spacing w:val="-1"/>
        </w:rPr>
        <w:t>GB2653－1989</w:t>
      </w:r>
      <w:r>
        <w:rPr>
          <w:rFonts w:cs="Times New Roman"/>
          <w:color w:val="auto"/>
          <w:spacing w:val="-1"/>
        </w:rPr>
        <w:tab/>
      </w:r>
      <w:r>
        <w:rPr>
          <w:rFonts w:cs="Times New Roman"/>
          <w:color w:val="auto"/>
          <w:spacing w:val="-2"/>
        </w:rPr>
        <w:t>焊接接头弯曲及压扁试验方法</w:t>
      </w:r>
    </w:p>
    <w:p>
      <w:pPr>
        <w:pStyle w:val="29"/>
        <w:ind w:firstLine="472"/>
        <w:rPr>
          <w:rFonts w:cs="Times New Roman"/>
          <w:color w:val="auto"/>
        </w:rPr>
      </w:pPr>
      <w:r>
        <w:rPr>
          <w:rFonts w:cs="Times New Roman"/>
          <w:color w:val="auto"/>
        </w:rPr>
        <w:t>GB/T3323-2005钢熔化焊对接接头射线照相及质量分级GB/T241—1990钢管液压试验方法</w:t>
      </w:r>
    </w:p>
    <w:p>
      <w:pPr>
        <w:pStyle w:val="29"/>
        <w:ind w:firstLine="472"/>
        <w:rPr>
          <w:rFonts w:cs="Times New Roman"/>
          <w:color w:val="auto"/>
        </w:rPr>
      </w:pPr>
      <w:r>
        <w:rPr>
          <w:rFonts w:cs="Times New Roman"/>
          <w:color w:val="auto"/>
        </w:rPr>
        <w:t>GB/T228.1—2010金属材料拉伸试验第1部分：室温试验方法</w:t>
      </w:r>
    </w:p>
    <w:p>
      <w:pPr>
        <w:pStyle w:val="29"/>
        <w:ind w:firstLine="472"/>
        <w:rPr>
          <w:rFonts w:cs="Times New Roman"/>
          <w:color w:val="auto"/>
        </w:rPr>
      </w:pPr>
      <w:r>
        <w:rPr>
          <w:rFonts w:cs="Times New Roman"/>
          <w:color w:val="auto"/>
        </w:rPr>
        <w:t>GB/T20066—2006《钢和铁化学成分测定用试样的取样和制样方法》GB/T222—2006钢的成品化学成分允许偏差</w:t>
      </w:r>
    </w:p>
    <w:p>
      <w:pPr>
        <w:pStyle w:val="29"/>
        <w:ind w:firstLine="472"/>
        <w:rPr>
          <w:rFonts w:cs="Times New Roman"/>
          <w:color w:val="auto"/>
        </w:rPr>
      </w:pPr>
      <w:r>
        <w:rPr>
          <w:rFonts w:cs="Times New Roman"/>
          <w:color w:val="auto"/>
        </w:rPr>
        <w:t>GB/T6397—1986拉伸试验试样</w:t>
      </w:r>
    </w:p>
    <w:p>
      <w:pPr>
        <w:pStyle w:val="29"/>
        <w:ind w:firstLine="472"/>
        <w:rPr>
          <w:rFonts w:cs="Times New Roman"/>
          <w:color w:val="auto"/>
        </w:rPr>
      </w:pPr>
      <w:r>
        <w:rPr>
          <w:rFonts w:cs="Times New Roman"/>
          <w:color w:val="auto"/>
        </w:rPr>
        <w:t>GB/T5293—1999埋弧焊用碳钢焊丝和焊剂GB/T14957—1994熔化焊用焊丝GB8164—87焊接钢管用钢带</w:t>
      </w:r>
    </w:p>
    <w:p>
      <w:pPr>
        <w:pStyle w:val="29"/>
        <w:ind w:firstLine="472"/>
        <w:rPr>
          <w:rFonts w:cs="Times New Roman"/>
          <w:color w:val="auto"/>
        </w:rPr>
      </w:pPr>
      <w:r>
        <w:rPr>
          <w:rFonts w:cs="Times New Roman"/>
          <w:color w:val="auto"/>
        </w:rPr>
        <w:t>SY/T0407-2012涂装前钢材表面预处理规范</w:t>
      </w:r>
    </w:p>
    <w:p>
      <w:pPr>
        <w:pStyle w:val="29"/>
        <w:ind w:firstLine="472"/>
        <w:rPr>
          <w:rFonts w:cs="Times New Roman"/>
          <w:color w:val="auto"/>
        </w:rPr>
      </w:pPr>
      <w:r>
        <w:rPr>
          <w:rFonts w:cs="Times New Roman"/>
          <w:color w:val="auto"/>
        </w:rPr>
        <w:t>SY/T0447--1996埋地钢质管道环氧煤沥青防腐层技术标准GB50268—</w:t>
      </w:r>
      <w:r>
        <w:rPr>
          <w:rFonts w:eastAsia="Calibri" w:cs="Times New Roman"/>
          <w:color w:val="auto"/>
        </w:rPr>
        <w:t>2008</w:t>
      </w:r>
      <w:r>
        <w:rPr>
          <w:rFonts w:cs="Times New Roman"/>
          <w:color w:val="auto"/>
        </w:rPr>
        <w:t>给水排水管道工程施工及验收规范</w:t>
      </w:r>
    </w:p>
    <w:p>
      <w:pPr>
        <w:pStyle w:val="29"/>
        <w:ind w:firstLine="474"/>
        <w:rPr>
          <w:rFonts w:cs="Times New Roman"/>
          <w:color w:val="auto"/>
        </w:rPr>
      </w:pPr>
      <w:r>
        <w:rPr>
          <w:rFonts w:eastAsia="Calibri" w:cs="Times New Roman"/>
          <w:color w:val="auto"/>
          <w:spacing w:val="-3"/>
        </w:rPr>
        <w:t>SY/T0457-2000</w:t>
      </w:r>
      <w:r>
        <w:rPr>
          <w:rFonts w:cs="Times New Roman"/>
          <w:color w:val="auto"/>
        </w:rPr>
        <w:t>钢质管道液体环氧涂料内防腐层技术标准</w:t>
      </w:r>
    </w:p>
    <w:p>
      <w:pPr>
        <w:pStyle w:val="29"/>
        <w:ind w:firstLine="476"/>
        <w:rPr>
          <w:rFonts w:cs="Times New Roman"/>
          <w:color w:val="auto"/>
        </w:rPr>
      </w:pPr>
      <w:r>
        <w:rPr>
          <w:rFonts w:eastAsia="Calibri" w:cs="Times New Roman"/>
          <w:color w:val="auto"/>
          <w:spacing w:val="-2"/>
        </w:rPr>
        <w:t>GB/T17219-2001</w:t>
      </w:r>
      <w:r>
        <w:rPr>
          <w:rFonts w:cs="Times New Roman"/>
          <w:color w:val="auto"/>
          <w:spacing w:val="-2"/>
        </w:rPr>
        <w:t>生活饮用水输配水设备及防护材料的安全性评价标准</w:t>
      </w:r>
    </w:p>
    <w:p>
      <w:pPr>
        <w:pStyle w:val="29"/>
        <w:ind w:firstLine="472"/>
        <w:rPr>
          <w:rFonts w:cs="Times New Roman"/>
          <w:color w:val="auto"/>
        </w:rPr>
      </w:pPr>
      <w:r>
        <w:rPr>
          <w:rFonts w:ascii="Segoe UI Symbol" w:hAnsi="Segoe UI Symbol" w:cs="Segoe UI Symbol"/>
          <w:color w:val="auto"/>
        </w:rPr>
        <w:t>★</w:t>
      </w:r>
      <w:r>
        <w:rPr>
          <w:rFonts w:cs="Times New Roman"/>
          <w:color w:val="auto"/>
        </w:rPr>
        <w:t>供货商提供的管材、管件等产品，必须获得省级以上(含省级)卫生部门颁发的涉及饮用水卫生安全产品“卫生许可批件”。</w:t>
      </w:r>
    </w:p>
    <w:p>
      <w:pPr>
        <w:pStyle w:val="29"/>
        <w:ind w:firstLine="472"/>
        <w:rPr>
          <w:rFonts w:cs="Times New Roman"/>
          <w:color w:val="auto"/>
        </w:rPr>
      </w:pPr>
      <w:r>
        <w:rPr>
          <w:rFonts w:eastAsia="Calibri" w:cs="Times New Roman"/>
          <w:color w:val="auto"/>
        </w:rPr>
        <w:t>2</w:t>
      </w:r>
      <w:r>
        <w:rPr>
          <w:rFonts w:cs="Times New Roman"/>
          <w:color w:val="auto"/>
        </w:rPr>
        <w:t>、材质要求</w:t>
      </w:r>
    </w:p>
    <w:p>
      <w:pPr>
        <w:pStyle w:val="29"/>
        <w:ind w:firstLine="472"/>
        <w:rPr>
          <w:rFonts w:cs="Times New Roman"/>
          <w:color w:val="auto"/>
        </w:rPr>
      </w:pPr>
      <w:r>
        <w:rPr>
          <w:rFonts w:ascii="Segoe UI Symbol" w:hAnsi="Segoe UI Symbol" w:cs="Segoe UI Symbol"/>
          <w:color w:val="auto"/>
        </w:rPr>
        <w:t>★</w:t>
      </w:r>
      <w:r>
        <w:rPr>
          <w:rFonts w:cs="Times New Roman"/>
          <w:color w:val="auto"/>
        </w:rPr>
        <w:t>钢板：采用Q235B牌号材料。严禁使用回收再用的板材，需提供板材出厂证明及材料检验报告，且板材的化学成份、力学性能、制造﹑检验必须符合GB/T700-2006规定，尺寸偏差必须符合GB/T709—2006规定。</w:t>
      </w:r>
    </w:p>
    <w:p>
      <w:pPr>
        <w:pStyle w:val="29"/>
        <w:ind w:firstLine="472"/>
        <w:rPr>
          <w:rFonts w:cs="Times New Roman"/>
          <w:color w:val="auto"/>
        </w:rPr>
      </w:pPr>
      <w:r>
        <w:rPr>
          <w:rFonts w:cs="Times New Roman"/>
          <w:color w:val="auto"/>
        </w:rPr>
        <w:t>焊丝：化学成份按GB/T14957—1994的规定。焊剂：熔敷金属的拉伸试验和冲击试验按GB/T228—2002的规定。</w:t>
      </w:r>
    </w:p>
    <w:p>
      <w:pPr>
        <w:pStyle w:val="29"/>
        <w:ind w:firstLine="474"/>
        <w:rPr>
          <w:rFonts w:cs="Times New Roman"/>
          <w:color w:val="auto"/>
        </w:rPr>
      </w:pPr>
      <w:r>
        <w:rPr>
          <w:rFonts w:ascii="Segoe UI Symbol" w:hAnsi="Segoe UI Symbol" w:cs="Segoe UI Symbol"/>
          <w:color w:val="auto"/>
          <w:spacing w:val="-3"/>
        </w:rPr>
        <w:t>★</w:t>
      </w:r>
      <w:r>
        <w:rPr>
          <w:rFonts w:cs="Times New Roman"/>
          <w:color w:val="auto"/>
          <w:spacing w:val="-3"/>
        </w:rPr>
        <w:t>必须提供主要材料配套厂家的相关资料（厂名、工商营业执照、通过</w:t>
      </w:r>
      <w:r>
        <w:rPr>
          <w:rFonts w:cs="Times New Roman"/>
          <w:color w:val="auto"/>
        </w:rPr>
        <w:t>ISO9001认证、</w:t>
      </w:r>
      <w:r>
        <w:rPr>
          <w:rFonts w:cs="Times New Roman"/>
          <w:color w:val="auto"/>
          <w:spacing w:val="-7"/>
        </w:rPr>
        <w:t>公司情况介绍、经营状况、质量证明书等）。</w:t>
      </w:r>
    </w:p>
    <w:p>
      <w:pPr>
        <w:pStyle w:val="29"/>
        <w:ind w:firstLine="472"/>
        <w:rPr>
          <w:rFonts w:cs="Times New Roman"/>
          <w:color w:val="auto"/>
        </w:rPr>
      </w:pPr>
      <w:r>
        <w:rPr>
          <w:rFonts w:ascii="Segoe UI Symbol" w:hAnsi="Segoe UI Symbol" w:cs="Segoe UI Symbol"/>
          <w:color w:val="auto"/>
        </w:rPr>
        <w:t>★</w:t>
      </w:r>
      <w:r>
        <w:rPr>
          <w:rFonts w:eastAsia="Calibri" w:cs="Times New Roman"/>
          <w:color w:val="auto"/>
        </w:rPr>
        <w:t>3</w:t>
      </w:r>
      <w:r>
        <w:rPr>
          <w:rFonts w:cs="Times New Roman"/>
          <w:color w:val="auto"/>
        </w:rPr>
        <w:t>、尺寸规格要求</w:t>
      </w:r>
      <w:r>
        <w:rPr>
          <w:rFonts w:cs="Times New Roman"/>
          <w:color w:val="auto"/>
          <w:spacing w:val="-2"/>
        </w:rPr>
        <w:t>规格：根据合同的具体要求。</w:t>
      </w:r>
      <w:r>
        <w:rPr>
          <w:rFonts w:cs="Times New Roman"/>
          <w:color w:val="auto"/>
        </w:rPr>
        <w:t>尺寸偏差及要求：</w:t>
      </w:r>
    </w:p>
    <w:p>
      <w:pPr>
        <w:pStyle w:val="29"/>
        <w:ind w:firstLine="472"/>
        <w:rPr>
          <w:rFonts w:cs="Times New Roman"/>
          <w:color w:val="auto"/>
        </w:rPr>
      </w:pPr>
      <w:r>
        <w:rPr>
          <w:rFonts w:hint="eastAsia" w:ascii="宋体" w:hAnsi="宋体" w:eastAsia="宋体" w:cs="宋体"/>
          <w:color w:val="auto"/>
        </w:rPr>
        <w:t>①</w:t>
      </w:r>
      <w:r>
        <w:rPr>
          <w:rFonts w:cs="Times New Roman"/>
          <w:color w:val="auto"/>
        </w:rPr>
        <w:t>对接形式:直径偏差≤±0.006D；端口的端面偏差≤3mm。</w:t>
      </w:r>
    </w:p>
    <w:p>
      <w:pPr>
        <w:pStyle w:val="29"/>
        <w:ind w:firstLine="472"/>
        <w:rPr>
          <w:rFonts w:cs="Times New Roman"/>
          <w:color w:val="auto"/>
        </w:rPr>
      </w:pPr>
      <w:r>
        <w:rPr>
          <w:rFonts w:hint="eastAsia" w:ascii="宋体" w:hAnsi="宋体" w:eastAsia="宋体" w:cs="宋体"/>
          <w:color w:val="auto"/>
        </w:rPr>
        <w:t>②</w:t>
      </w:r>
      <w:r>
        <w:rPr>
          <w:rFonts w:cs="Times New Roman"/>
          <w:color w:val="auto"/>
        </w:rPr>
        <w:t>长</w:t>
      </w:r>
      <w:r>
        <w:rPr>
          <w:rFonts w:cs="Times New Roman"/>
          <w:color w:val="auto"/>
          <w:spacing w:val="-3"/>
        </w:rPr>
        <w:t>度</w:t>
      </w:r>
      <w:r>
        <w:rPr>
          <w:rFonts w:cs="Times New Roman"/>
          <w:color w:val="auto"/>
          <w:spacing w:val="-1"/>
        </w:rPr>
        <w:t>：</w:t>
      </w:r>
      <w:r>
        <w:rPr>
          <w:rFonts w:cs="Times New Roman"/>
          <w:color w:val="auto"/>
        </w:rPr>
        <w:t>5</w:t>
      </w:r>
      <w:r>
        <w:rPr>
          <w:rFonts w:cs="Times New Roman"/>
          <w:color w:val="auto"/>
          <w:spacing w:val="-3"/>
        </w:rPr>
        <w:t>0</w:t>
      </w:r>
      <w:r>
        <w:rPr>
          <w:rFonts w:cs="Times New Roman"/>
          <w:color w:val="auto"/>
        </w:rPr>
        <w:t>0</w:t>
      </w:r>
      <w:r>
        <w:rPr>
          <w:rFonts w:cs="Times New Roman"/>
          <w:color w:val="auto"/>
          <w:spacing w:val="-1"/>
        </w:rPr>
        <w:t>0</w:t>
      </w:r>
      <w:r>
        <w:rPr>
          <w:rFonts w:cs="Times New Roman"/>
          <w:color w:val="auto"/>
          <w:spacing w:val="-3"/>
        </w:rPr>
        <w:t>～</w:t>
      </w:r>
      <w:r>
        <w:rPr>
          <w:rFonts w:cs="Times New Roman"/>
          <w:color w:val="auto"/>
        </w:rPr>
        <w:t>100</w:t>
      </w:r>
      <w:r>
        <w:rPr>
          <w:rFonts w:cs="Times New Roman"/>
          <w:color w:val="auto"/>
          <w:spacing w:val="-3"/>
        </w:rPr>
        <w:t>0</w:t>
      </w:r>
      <w:r>
        <w:rPr>
          <w:rFonts w:cs="Times New Roman"/>
          <w:color w:val="auto"/>
        </w:rPr>
        <w:t>0m</w:t>
      </w:r>
      <w:r>
        <w:rPr>
          <w:rFonts w:cs="Times New Roman"/>
          <w:color w:val="auto"/>
          <w:spacing w:val="-2"/>
        </w:rPr>
        <w:t>m</w:t>
      </w:r>
      <w:r>
        <w:rPr>
          <w:rFonts w:cs="Times New Roman"/>
          <w:color w:val="auto"/>
          <w:spacing w:val="-3"/>
        </w:rPr>
        <w:t>，</w:t>
      </w:r>
      <w:r>
        <w:rPr>
          <w:rFonts w:cs="Times New Roman"/>
          <w:color w:val="auto"/>
        </w:rPr>
        <w:t>偏差</w:t>
      </w:r>
      <w:r>
        <w:rPr>
          <w:rFonts w:cs="Times New Roman"/>
          <w:color w:val="auto"/>
          <w:spacing w:val="-3"/>
        </w:rPr>
        <w:t>≤</w:t>
      </w:r>
      <w:r>
        <w:rPr>
          <w:rFonts w:cs="Times New Roman"/>
          <w:color w:val="auto"/>
          <w:spacing w:val="-1"/>
        </w:rPr>
        <w:t>±</w:t>
      </w:r>
      <w:r>
        <w:rPr>
          <w:rFonts w:cs="Times New Roman"/>
          <w:color w:val="auto"/>
        </w:rPr>
        <w:t>3</w:t>
      </w:r>
      <w:r>
        <w:rPr>
          <w:rFonts w:cs="Times New Roman"/>
          <w:color w:val="auto"/>
          <w:spacing w:val="-3"/>
        </w:rPr>
        <w:t>0</w:t>
      </w:r>
      <w:r>
        <w:rPr>
          <w:rFonts w:cs="Times New Roman"/>
          <w:color w:val="auto"/>
        </w:rPr>
        <w:t>m</w:t>
      </w:r>
      <w:r>
        <w:rPr>
          <w:rFonts w:cs="Times New Roman"/>
          <w:color w:val="auto"/>
          <w:spacing w:val="-1"/>
        </w:rPr>
        <w:t>m</w:t>
      </w:r>
      <w:r>
        <w:rPr>
          <w:rFonts w:cs="Times New Roman"/>
          <w:color w:val="auto"/>
          <w:spacing w:val="-3"/>
        </w:rPr>
        <w:t>（</w:t>
      </w:r>
      <w:r>
        <w:rPr>
          <w:rFonts w:cs="Times New Roman"/>
          <w:color w:val="auto"/>
        </w:rPr>
        <w:t>以</w:t>
      </w:r>
      <w:r>
        <w:rPr>
          <w:rFonts w:cs="Times New Roman"/>
          <w:color w:val="auto"/>
          <w:spacing w:val="-3"/>
        </w:rPr>
        <w:t>合</w:t>
      </w:r>
      <w:r>
        <w:rPr>
          <w:rFonts w:cs="Times New Roman"/>
          <w:color w:val="auto"/>
        </w:rPr>
        <w:t>同</w:t>
      </w:r>
      <w:r>
        <w:rPr>
          <w:rFonts w:cs="Times New Roman"/>
          <w:color w:val="auto"/>
          <w:spacing w:val="-3"/>
        </w:rPr>
        <w:t>具</w:t>
      </w:r>
      <w:r>
        <w:rPr>
          <w:rFonts w:cs="Times New Roman"/>
          <w:color w:val="auto"/>
        </w:rPr>
        <w:t>体要</w:t>
      </w:r>
      <w:r>
        <w:rPr>
          <w:rFonts w:cs="Times New Roman"/>
          <w:color w:val="auto"/>
          <w:spacing w:val="-3"/>
        </w:rPr>
        <w:t>求</w:t>
      </w:r>
      <w:r>
        <w:rPr>
          <w:rFonts w:cs="Times New Roman"/>
          <w:color w:val="auto"/>
        </w:rPr>
        <w:t>为</w:t>
      </w:r>
      <w:r>
        <w:rPr>
          <w:rFonts w:cs="Times New Roman"/>
          <w:color w:val="auto"/>
          <w:spacing w:val="-3"/>
        </w:rPr>
        <w:t>准</w:t>
      </w:r>
      <w:r>
        <w:rPr>
          <w:rFonts w:cs="Times New Roman"/>
          <w:color w:val="auto"/>
          <w:spacing w:val="-106"/>
        </w:rPr>
        <w:t>）</w:t>
      </w:r>
      <w:r>
        <w:rPr>
          <w:rFonts w:cs="Times New Roman"/>
          <w:color w:val="auto"/>
        </w:rPr>
        <w:t>。</w:t>
      </w:r>
    </w:p>
    <w:p>
      <w:pPr>
        <w:pStyle w:val="29"/>
        <w:ind w:firstLine="472"/>
        <w:rPr>
          <w:rFonts w:cs="Times New Roman"/>
          <w:color w:val="auto"/>
        </w:rPr>
      </w:pPr>
      <w:r>
        <w:rPr>
          <w:rFonts w:hint="eastAsia" w:ascii="宋体" w:hAnsi="宋体" w:eastAsia="宋体" w:cs="宋体"/>
          <w:color w:val="auto"/>
        </w:rPr>
        <w:t>③</w:t>
      </w:r>
      <w:r>
        <w:rPr>
          <w:rFonts w:cs="Times New Roman"/>
          <w:color w:val="auto"/>
        </w:rPr>
        <w:t>壁厚</w:t>
      </w:r>
      <w:r>
        <w:rPr>
          <w:rFonts w:eastAsia="Arial" w:cs="Times New Roman"/>
          <w:color w:val="auto"/>
        </w:rPr>
        <w:t>δ</w:t>
      </w:r>
      <w:r>
        <w:rPr>
          <w:rFonts w:cs="Times New Roman"/>
          <w:color w:val="auto"/>
        </w:rPr>
        <w:t>:最后成型钢管的壁厚与公称壁厚之差≤0.8mm。</w:t>
      </w:r>
    </w:p>
    <w:p>
      <w:pPr>
        <w:pStyle w:val="29"/>
        <w:ind w:firstLine="476"/>
        <w:rPr>
          <w:rFonts w:cs="Times New Roman"/>
          <w:color w:val="auto"/>
        </w:rPr>
      </w:pPr>
      <w:r>
        <w:rPr>
          <w:rFonts w:hint="eastAsia" w:ascii="宋体" w:hAnsi="宋体" w:eastAsia="宋体" w:cs="宋体"/>
          <w:color w:val="auto"/>
          <w:spacing w:val="-2"/>
        </w:rPr>
        <w:t>④</w:t>
      </w:r>
      <w:r>
        <w:rPr>
          <w:rFonts w:cs="Times New Roman"/>
          <w:color w:val="auto"/>
          <w:spacing w:val="-2"/>
        </w:rPr>
        <w:t>钢管环向长度允许公差±0.001C(C为钢管外径的周长)。</w:t>
      </w:r>
    </w:p>
    <w:p>
      <w:pPr>
        <w:pStyle w:val="29"/>
        <w:ind w:firstLine="476"/>
        <w:rPr>
          <w:rFonts w:cs="Times New Roman"/>
          <w:color w:val="auto"/>
        </w:rPr>
      </w:pPr>
      <w:r>
        <w:rPr>
          <w:rFonts w:hint="eastAsia" w:ascii="宋体" w:hAnsi="宋体" w:eastAsia="宋体" w:cs="宋体"/>
          <w:color w:val="auto"/>
          <w:spacing w:val="-2"/>
        </w:rPr>
        <w:t>⑤</w:t>
      </w:r>
      <w:r>
        <w:rPr>
          <w:rFonts w:cs="Times New Roman"/>
          <w:color w:val="auto"/>
          <w:spacing w:val="-2"/>
        </w:rPr>
        <w:t>每节钢管最多允许两块钢板拼接，但任何一块钢板的宽度应＞300mm（适用于</w:t>
      </w:r>
      <w:r>
        <w:rPr>
          <w:rFonts w:cs="Times New Roman"/>
          <w:color w:val="auto"/>
          <w:spacing w:val="-1"/>
        </w:rPr>
        <w:t>DN200</w:t>
      </w:r>
      <w:r>
        <w:rPr>
          <w:rFonts w:cs="Times New Roman"/>
          <w:color w:val="auto"/>
        </w:rPr>
        <w:t>及以上管道）。两节以上的钢管组装，其相邻两节的纵焊缝应相互错开，DN≥600mm</w:t>
      </w:r>
      <w:r>
        <w:rPr>
          <w:rFonts w:cs="Times New Roman"/>
          <w:color w:val="auto"/>
          <w:spacing w:val="-1"/>
        </w:rPr>
        <w:t>时，纵焊缝应间距＞300mm，DN＜600mm</w:t>
      </w:r>
      <w:r>
        <w:rPr>
          <w:rFonts w:cs="Times New Roman"/>
          <w:color w:val="auto"/>
          <w:spacing w:val="-2"/>
        </w:rPr>
        <w:t>时，纵焊缝应间距＞100mm。</w:t>
      </w:r>
    </w:p>
    <w:p>
      <w:pPr>
        <w:pStyle w:val="29"/>
        <w:ind w:firstLine="472"/>
        <w:rPr>
          <w:rFonts w:cs="Times New Roman"/>
          <w:color w:val="auto"/>
        </w:rPr>
      </w:pPr>
      <w:r>
        <w:rPr>
          <w:rFonts w:hint="eastAsia" w:ascii="宋体" w:hAnsi="宋体" w:eastAsia="宋体" w:cs="宋体"/>
          <w:color w:val="auto"/>
        </w:rPr>
        <w:t>⑥</w:t>
      </w:r>
      <w:r>
        <w:rPr>
          <w:rFonts w:cs="Times New Roman"/>
          <w:color w:val="auto"/>
        </w:rPr>
        <w:t>钢管的最大与最小外径之差同最大外径之比（椭圆度）≤1.5%。</w:t>
      </w:r>
    </w:p>
    <w:p>
      <w:pPr>
        <w:pStyle w:val="29"/>
        <w:ind w:firstLine="472"/>
        <w:rPr>
          <w:rFonts w:cs="Times New Roman"/>
          <w:color w:val="auto"/>
        </w:rPr>
      </w:pPr>
      <w:r>
        <w:rPr>
          <w:rFonts w:hint="eastAsia" w:ascii="宋体" w:hAnsi="宋体" w:eastAsia="宋体" w:cs="宋体"/>
          <w:color w:val="auto"/>
        </w:rPr>
        <w:t>⑦</w:t>
      </w:r>
      <w:r>
        <w:rPr>
          <w:rFonts w:cs="Times New Roman"/>
          <w:color w:val="auto"/>
        </w:rPr>
        <w:t>环缝间隙：</w:t>
      </w:r>
    </w:p>
    <w:p>
      <w:pPr>
        <w:pStyle w:val="29"/>
        <w:ind w:firstLine="472"/>
        <w:rPr>
          <w:rFonts w:cs="Times New Roman"/>
          <w:color w:val="auto"/>
        </w:rPr>
      </w:pPr>
      <w:r>
        <w:rPr>
          <w:rFonts w:cs="Times New Roman"/>
          <w:color w:val="auto"/>
        </w:rPr>
        <w:t>a)公称口径DN≤700mm，环缝间隙1±0.5mm。b)公称口径在DN800～1100mm，环缝间隙1.5±0.5mm。c)公称口径DN&gt;1100mm，环缝间隙2±0.5mm。</w:t>
      </w:r>
    </w:p>
    <w:p>
      <w:pPr>
        <w:pStyle w:val="29"/>
        <w:ind w:firstLine="472"/>
        <w:rPr>
          <w:rFonts w:cs="Times New Roman"/>
          <w:color w:val="auto"/>
        </w:rPr>
      </w:pPr>
      <w:r>
        <w:rPr>
          <w:rFonts w:hint="eastAsia" w:ascii="宋体" w:hAnsi="宋体" w:eastAsia="宋体" w:cs="宋体"/>
          <w:color w:val="auto"/>
        </w:rPr>
        <w:t>⑨</w:t>
      </w:r>
      <w:r>
        <w:rPr>
          <w:rFonts w:cs="Times New Roman"/>
          <w:color w:val="auto"/>
        </w:rPr>
        <w:t>平直度偏差≤1mm/m。</w:t>
      </w:r>
    </w:p>
    <w:p>
      <w:pPr>
        <w:pStyle w:val="29"/>
        <w:ind w:firstLine="472"/>
        <w:rPr>
          <w:rFonts w:cs="Times New Roman"/>
          <w:color w:val="auto"/>
        </w:rPr>
      </w:pPr>
      <w:r>
        <w:rPr>
          <w:rFonts w:ascii="Segoe UI Symbol" w:hAnsi="Segoe UI Symbol" w:cs="Segoe UI Symbol"/>
          <w:color w:val="auto"/>
        </w:rPr>
        <w:t>★</w:t>
      </w:r>
      <w:r>
        <w:rPr>
          <w:rFonts w:eastAsia="Calibri" w:cs="Times New Roman"/>
          <w:color w:val="auto"/>
        </w:rPr>
        <w:t>4</w:t>
      </w:r>
      <w:r>
        <w:rPr>
          <w:rFonts w:cs="Times New Roman"/>
          <w:color w:val="auto"/>
        </w:rPr>
        <w:t>、钢管外观</w:t>
      </w:r>
    </w:p>
    <w:p>
      <w:pPr>
        <w:pStyle w:val="29"/>
        <w:ind w:firstLine="476"/>
        <w:rPr>
          <w:rFonts w:cs="Times New Roman"/>
          <w:color w:val="auto"/>
        </w:rPr>
      </w:pPr>
      <w:r>
        <w:rPr>
          <w:rFonts w:cs="Times New Roman"/>
          <w:color w:val="auto"/>
          <w:spacing w:val="-2"/>
        </w:rPr>
        <w:t>基本金属：内外表面均无肉眼可见的表面缺陷；端口平整、无缺陷、无杂质。</w:t>
      </w:r>
      <w:r>
        <w:rPr>
          <w:rFonts w:cs="Times New Roman"/>
          <w:color w:val="auto"/>
        </w:rPr>
        <w:t>焊接：</w:t>
      </w:r>
    </w:p>
    <w:p>
      <w:pPr>
        <w:pStyle w:val="29"/>
        <w:ind w:firstLine="470"/>
        <w:rPr>
          <w:rFonts w:cs="Times New Roman"/>
          <w:color w:val="auto"/>
        </w:rPr>
      </w:pPr>
      <w:r>
        <w:rPr>
          <w:rFonts w:hint="eastAsia" w:ascii="宋体" w:hAnsi="宋体" w:eastAsia="宋体" w:cs="宋体"/>
          <w:color w:val="auto"/>
          <w:spacing w:val="-5"/>
        </w:rPr>
        <w:t>①</w:t>
      </w:r>
      <w:r>
        <w:rPr>
          <w:rFonts w:cs="Times New Roman"/>
          <w:color w:val="auto"/>
          <w:spacing w:val="-5"/>
        </w:rPr>
        <w:t>焊缝和热影响区表面无裂纹、气孔、弧坑、夹渣且焊道均匀，焊缝与基本金属过渡平</w:t>
      </w:r>
      <w:r>
        <w:rPr>
          <w:rFonts w:cs="Times New Roman"/>
          <w:color w:val="auto"/>
        </w:rPr>
        <w:t>缓。</w:t>
      </w:r>
    </w:p>
    <w:p>
      <w:pPr>
        <w:pStyle w:val="29"/>
        <w:ind w:firstLine="476"/>
        <w:rPr>
          <w:rFonts w:cs="Times New Roman"/>
          <w:color w:val="auto"/>
        </w:rPr>
      </w:pPr>
      <w:r>
        <w:rPr>
          <w:rFonts w:hint="eastAsia" w:ascii="宋体" w:hAnsi="宋体" w:eastAsia="宋体" w:cs="宋体"/>
          <w:color w:val="auto"/>
          <w:spacing w:val="-2"/>
        </w:rPr>
        <w:t>②</w:t>
      </w:r>
      <w:r>
        <w:rPr>
          <w:rFonts w:cs="Times New Roman"/>
          <w:color w:val="auto"/>
          <w:spacing w:val="-2"/>
        </w:rPr>
        <w:t>咬边深度≤</w:t>
      </w:r>
      <w:r>
        <w:rPr>
          <w:rFonts w:eastAsia="Calibri" w:cs="Times New Roman"/>
          <w:color w:val="auto"/>
          <w:spacing w:val="-2"/>
        </w:rPr>
        <w:t>1mm</w:t>
      </w:r>
      <w:r>
        <w:rPr>
          <w:rFonts w:cs="Times New Roman"/>
          <w:color w:val="auto"/>
          <w:spacing w:val="-2"/>
        </w:rPr>
        <w:t>，焊缝两侧咬边总长不得超过焊缝长度得</w:t>
      </w:r>
      <w:r>
        <w:rPr>
          <w:rFonts w:eastAsia="Calibri" w:cs="Times New Roman"/>
          <w:color w:val="auto"/>
          <w:spacing w:val="-1"/>
        </w:rPr>
        <w:t>10%</w:t>
      </w:r>
      <w:r>
        <w:rPr>
          <w:rFonts w:cs="Times New Roman"/>
          <w:color w:val="auto"/>
          <w:spacing w:val="-1"/>
        </w:rPr>
        <w:t>。</w:t>
      </w:r>
    </w:p>
    <w:p>
      <w:pPr>
        <w:pStyle w:val="29"/>
        <w:ind w:firstLine="472"/>
        <w:rPr>
          <w:rFonts w:cs="Times New Roman"/>
          <w:color w:val="auto"/>
        </w:rPr>
      </w:pPr>
      <w:r>
        <w:rPr>
          <w:rFonts w:hint="eastAsia" w:ascii="宋体" w:hAnsi="宋体" w:eastAsia="宋体" w:cs="宋体"/>
          <w:color w:val="auto"/>
        </w:rPr>
        <w:t>③</w:t>
      </w:r>
      <w:r>
        <w:rPr>
          <w:rFonts w:cs="Times New Roman"/>
          <w:color w:val="auto"/>
        </w:rPr>
        <w:t>错边≤0.1</w:t>
      </w:r>
      <w:r>
        <w:rPr>
          <w:rFonts w:eastAsia="Arial" w:cs="Times New Roman"/>
          <w:color w:val="auto"/>
        </w:rPr>
        <w:t>δ</w:t>
      </w:r>
      <w:r>
        <w:rPr>
          <w:rFonts w:cs="Times New Roman"/>
          <w:color w:val="auto"/>
        </w:rPr>
        <w:t>，且≤2mm。</w:t>
      </w:r>
    </w:p>
    <w:p>
      <w:pPr>
        <w:pStyle w:val="29"/>
        <w:ind w:firstLine="472"/>
        <w:rPr>
          <w:rFonts w:cs="Times New Roman"/>
          <w:color w:val="auto"/>
        </w:rPr>
      </w:pPr>
      <w:r>
        <w:rPr>
          <w:rFonts w:hint="eastAsia" w:ascii="宋体" w:hAnsi="宋体" w:eastAsia="宋体" w:cs="宋体"/>
          <w:color w:val="auto"/>
        </w:rPr>
        <w:t>④</w:t>
      </w:r>
      <w:r>
        <w:rPr>
          <w:rFonts w:cs="Times New Roman"/>
          <w:color w:val="auto"/>
        </w:rPr>
        <w:t>宽度:开坡口时，应焊出坡口边缘2～3mm</w:t>
      </w:r>
      <w:r>
        <w:rPr>
          <w:rFonts w:cs="Times New Roman"/>
          <w:color w:val="auto"/>
          <w:spacing w:val="-6"/>
        </w:rPr>
        <w:t>以上；不开坡口时，焊缝宽度应达到</w:t>
      </w:r>
      <w:r>
        <w:rPr>
          <w:rFonts w:cs="Times New Roman"/>
          <w:color w:val="auto"/>
        </w:rPr>
        <w:t>2</w:t>
      </w:r>
      <w:r>
        <w:rPr>
          <w:rFonts w:eastAsia="Arial" w:cs="Times New Roman"/>
          <w:color w:val="auto"/>
        </w:rPr>
        <w:t>δ</w:t>
      </w:r>
      <w:r>
        <w:rPr>
          <w:rFonts w:cs="Times New Roman"/>
          <w:color w:val="auto"/>
        </w:rPr>
        <w:t>±3mm。</w:t>
      </w:r>
    </w:p>
    <w:p>
      <w:pPr>
        <w:pStyle w:val="29"/>
        <w:ind w:firstLine="472"/>
        <w:rPr>
          <w:rFonts w:cs="Times New Roman"/>
          <w:color w:val="auto"/>
        </w:rPr>
      </w:pPr>
      <w:r>
        <w:rPr>
          <w:rFonts w:hint="eastAsia" w:ascii="宋体" w:hAnsi="宋体" w:eastAsia="宋体" w:cs="宋体"/>
          <w:color w:val="auto"/>
        </w:rPr>
        <w:t>⑤</w:t>
      </w:r>
      <w:r>
        <w:rPr>
          <w:rFonts w:cs="Times New Roman"/>
          <w:color w:val="auto"/>
        </w:rPr>
        <w:t>表面余高：≤1+0.2倍坡口边缘宽度，且≤3mm。</w:t>
      </w:r>
    </w:p>
    <w:p>
      <w:pPr>
        <w:pStyle w:val="29"/>
        <w:ind w:firstLine="472"/>
        <w:rPr>
          <w:rFonts w:cs="Times New Roman"/>
          <w:color w:val="auto"/>
        </w:rPr>
      </w:pPr>
      <w:r>
        <w:rPr>
          <w:rFonts w:hint="eastAsia" w:ascii="宋体" w:hAnsi="宋体" w:eastAsia="宋体" w:cs="宋体"/>
          <w:color w:val="auto"/>
        </w:rPr>
        <w:t>⑥</w:t>
      </w:r>
      <w:r>
        <w:rPr>
          <w:rFonts w:cs="Times New Roman"/>
          <w:color w:val="auto"/>
        </w:rPr>
        <w:t>不允许出现未焊满现象。</w:t>
      </w:r>
    </w:p>
    <w:p>
      <w:pPr>
        <w:pStyle w:val="29"/>
        <w:ind w:firstLine="472"/>
        <w:rPr>
          <w:rFonts w:cs="Times New Roman"/>
          <w:color w:val="auto"/>
        </w:rPr>
      </w:pPr>
      <w:r>
        <w:rPr>
          <w:rFonts w:ascii="Segoe UI Symbol" w:hAnsi="Segoe UI Symbol" w:cs="Segoe UI Symbol"/>
          <w:color w:val="auto"/>
        </w:rPr>
        <w:t>★</w:t>
      </w:r>
      <w:r>
        <w:rPr>
          <w:rFonts w:eastAsia="Calibri" w:cs="Times New Roman"/>
          <w:color w:val="auto"/>
        </w:rPr>
        <w:t>5</w:t>
      </w:r>
      <w:r>
        <w:rPr>
          <w:rFonts w:cs="Times New Roman"/>
          <w:color w:val="auto"/>
        </w:rPr>
        <w:t>、力学性能</w:t>
      </w:r>
    </w:p>
    <w:p>
      <w:pPr>
        <w:pStyle w:val="29"/>
        <w:ind w:firstLine="472"/>
        <w:rPr>
          <w:rFonts w:cs="Times New Roman"/>
          <w:color w:val="auto"/>
        </w:rPr>
      </w:pPr>
      <w:r>
        <w:rPr>
          <w:rFonts w:eastAsia="Calibri" w:cs="Times New Roman"/>
          <w:color w:val="auto"/>
        </w:rPr>
        <w:t>1</w:t>
      </w:r>
      <w:r>
        <w:rPr>
          <w:rFonts w:cs="Times New Roman"/>
          <w:color w:val="auto"/>
        </w:rPr>
        <w:t>）管材：拉伸、弯曲试验须符合GB/T700-2006《碳素结构钢》5.4条。</w:t>
      </w:r>
    </w:p>
    <w:p>
      <w:pPr>
        <w:pStyle w:val="29"/>
        <w:ind w:firstLine="476"/>
        <w:rPr>
          <w:rFonts w:cs="Times New Roman"/>
          <w:color w:val="auto"/>
        </w:rPr>
      </w:pPr>
      <w:r>
        <w:rPr>
          <w:rFonts w:eastAsia="Calibri" w:cs="Times New Roman"/>
          <w:color w:val="auto"/>
          <w:spacing w:val="-2"/>
        </w:rPr>
        <w:t>2</w:t>
      </w:r>
      <w:r>
        <w:rPr>
          <w:rFonts w:cs="Times New Roman"/>
          <w:color w:val="auto"/>
          <w:spacing w:val="-2"/>
        </w:rPr>
        <w:t>）焊缝：力学性能不低于管材，试验方法按</w:t>
      </w:r>
      <w:r>
        <w:rPr>
          <w:rFonts w:cs="Times New Roman"/>
          <w:color w:val="auto"/>
          <w:spacing w:val="-6"/>
        </w:rPr>
        <w:t>GB2651-1989《焊接接头拉伸试验方法》、</w:t>
      </w:r>
      <w:r>
        <w:rPr>
          <w:rFonts w:cs="Times New Roman"/>
          <w:color w:val="auto"/>
        </w:rPr>
        <w:t>GB2653-1989《焊接接头弯曲及压扁试验方法》执行。</w:t>
      </w:r>
    </w:p>
    <w:p>
      <w:pPr>
        <w:pStyle w:val="29"/>
        <w:ind w:firstLine="472"/>
        <w:rPr>
          <w:rFonts w:cs="Times New Roman"/>
          <w:color w:val="auto"/>
        </w:rPr>
      </w:pPr>
      <w:r>
        <w:rPr>
          <w:rFonts w:ascii="Segoe UI Symbol" w:hAnsi="Segoe UI Symbol" w:cs="Segoe UI Symbol"/>
          <w:color w:val="auto"/>
        </w:rPr>
        <w:t>★</w:t>
      </w:r>
      <w:r>
        <w:rPr>
          <w:rFonts w:eastAsia="Calibri" w:cs="Times New Roman"/>
          <w:color w:val="auto"/>
        </w:rPr>
        <w:t>6</w:t>
      </w:r>
      <w:r>
        <w:rPr>
          <w:rFonts w:cs="Times New Roman"/>
          <w:color w:val="auto"/>
        </w:rPr>
        <w:t>、坡口及防腐</w:t>
      </w:r>
    </w:p>
    <w:p>
      <w:pPr>
        <w:pStyle w:val="29"/>
        <w:ind w:firstLine="472"/>
        <w:rPr>
          <w:rFonts w:cs="Times New Roman"/>
          <w:color w:val="auto"/>
        </w:rPr>
      </w:pPr>
      <w:r>
        <w:rPr>
          <w:rFonts w:cs="Times New Roman"/>
          <w:color w:val="auto"/>
        </w:rPr>
        <w:t>当</w:t>
      </w:r>
      <w:r>
        <w:rPr>
          <w:rFonts w:eastAsia="Calibri" w:cs="Times New Roman"/>
          <w:color w:val="auto"/>
        </w:rPr>
        <w:t>DN</w:t>
      </w:r>
      <w:r>
        <w:rPr>
          <w:rFonts w:cs="Times New Roman"/>
          <w:color w:val="auto"/>
        </w:rPr>
        <w:t>≥800mm时，应采用双面焊。</w:t>
      </w:r>
    </w:p>
    <w:p>
      <w:pPr>
        <w:pStyle w:val="29"/>
        <w:ind w:firstLine="472"/>
        <w:rPr>
          <w:rFonts w:cs="Times New Roman"/>
          <w:color w:val="auto"/>
        </w:rPr>
      </w:pPr>
      <w:r>
        <w:rPr>
          <w:rFonts w:cs="Times New Roman"/>
          <w:color w:val="auto"/>
        </w:rPr>
        <w:t>当</w:t>
      </w:r>
      <w:r>
        <w:rPr>
          <w:rFonts w:eastAsia="Arial" w:cs="Times New Roman"/>
          <w:color w:val="auto"/>
        </w:rPr>
        <w:t>δ</w:t>
      </w:r>
      <w:r>
        <w:rPr>
          <w:rFonts w:cs="Times New Roman"/>
          <w:color w:val="auto"/>
        </w:rPr>
        <w:t>≤10mm钢管或DN≤600mm时，必须开单面30度角外坡口；</w:t>
      </w:r>
      <w:r>
        <w:rPr>
          <w:rFonts w:eastAsia="Arial" w:cs="Times New Roman"/>
          <w:color w:val="auto"/>
        </w:rPr>
        <w:t>δ</w:t>
      </w:r>
      <w:r>
        <w:rPr>
          <w:rFonts w:cs="Times New Roman"/>
          <w:color w:val="auto"/>
        </w:rPr>
        <w:t>≥12mm钢管，坡口形式必须开双面30度角坡口，钝边均为2mm。</w:t>
      </w:r>
    </w:p>
    <w:p>
      <w:pPr>
        <w:pStyle w:val="29"/>
        <w:ind w:firstLine="472"/>
        <w:rPr>
          <w:rFonts w:cs="Times New Roman"/>
          <w:color w:val="auto"/>
        </w:rPr>
      </w:pPr>
      <w:r>
        <w:rPr>
          <w:rFonts w:cs="Times New Roman"/>
          <w:color w:val="auto"/>
        </w:rPr>
        <w:t>表面预处理：涂装前的钢管表面必须进行处理，清除油污、灰渣、铁锈、氧化铁皮，采用人工除锈时，其质量标准应达到</w:t>
      </w:r>
      <w:r>
        <w:rPr>
          <w:rFonts w:eastAsia="Calibri" w:cs="Times New Roman"/>
          <w:color w:val="auto"/>
        </w:rPr>
        <w:t>St3</w:t>
      </w:r>
      <w:r>
        <w:rPr>
          <w:rFonts w:cs="Times New Roman"/>
          <w:color w:val="auto"/>
        </w:rPr>
        <w:t>级，机械除锈时，其质量标准应达到</w:t>
      </w:r>
      <w:r>
        <w:rPr>
          <w:rFonts w:eastAsia="Calibri" w:cs="Times New Roman"/>
          <w:color w:val="auto"/>
        </w:rPr>
        <w:t>Sa2.5</w:t>
      </w:r>
      <w:r>
        <w:rPr>
          <w:rFonts w:cs="Times New Roman"/>
          <w:color w:val="auto"/>
        </w:rPr>
        <w:t>级。表</w:t>
      </w:r>
      <w:r>
        <w:rPr>
          <w:rFonts w:cs="Times New Roman"/>
          <w:color w:val="auto"/>
          <w:spacing w:val="-5"/>
        </w:rPr>
        <w:t>面预处理应符合《涂装前钢材表面预处理规范》（</w:t>
      </w:r>
      <w:r>
        <w:rPr>
          <w:rFonts w:eastAsia="Calibri" w:cs="Times New Roman"/>
          <w:color w:val="auto"/>
          <w:spacing w:val="-5"/>
        </w:rPr>
        <w:t>SY/T0407-2012</w:t>
      </w:r>
      <w:r>
        <w:rPr>
          <w:rFonts w:cs="Times New Roman"/>
          <w:color w:val="auto"/>
          <w:spacing w:val="-5"/>
        </w:rPr>
        <w:t>）的规定。</w:t>
      </w:r>
    </w:p>
    <w:p>
      <w:pPr>
        <w:pStyle w:val="29"/>
        <w:ind w:firstLine="472"/>
        <w:rPr>
          <w:rFonts w:cs="Times New Roman"/>
          <w:color w:val="auto"/>
        </w:rPr>
      </w:pPr>
      <w:r>
        <w:rPr>
          <w:rFonts w:cs="Times New Roman"/>
          <w:color w:val="auto"/>
        </w:rPr>
        <w:t>管道内表面处理后，应在钢管两端</w:t>
      </w:r>
      <w:r>
        <w:rPr>
          <w:rFonts w:eastAsia="Calibri" w:cs="Times New Roman"/>
          <w:color w:val="auto"/>
        </w:rPr>
        <w:t>60~100mm</w:t>
      </w:r>
      <w:r>
        <w:rPr>
          <w:rFonts w:cs="Times New Roman"/>
          <w:color w:val="auto"/>
        </w:rPr>
        <w:t>范围内涂刷硅酸锌或其他可焊性防锈涂料，干膜厚度为</w:t>
      </w:r>
      <w:r>
        <w:rPr>
          <w:rFonts w:eastAsia="Calibri" w:cs="Times New Roman"/>
          <w:color w:val="auto"/>
        </w:rPr>
        <w:t>20~40</w:t>
      </w:r>
      <w:r>
        <w:rPr>
          <w:rFonts w:cs="Times New Roman"/>
          <w:color w:val="auto"/>
        </w:rPr>
        <w:t>µ</w:t>
      </w:r>
      <w:r>
        <w:rPr>
          <w:rFonts w:eastAsia="Calibri" w:cs="Times New Roman"/>
          <w:color w:val="auto"/>
        </w:rPr>
        <w:t>m</w:t>
      </w:r>
      <w:r>
        <w:rPr>
          <w:rFonts w:cs="Times New Roman"/>
          <w:color w:val="auto"/>
        </w:rPr>
        <w:t>。</w:t>
      </w:r>
    </w:p>
    <w:p>
      <w:pPr>
        <w:pStyle w:val="29"/>
        <w:ind w:firstLine="472"/>
        <w:rPr>
          <w:rFonts w:cs="Times New Roman"/>
          <w:color w:val="auto"/>
        </w:rPr>
      </w:pPr>
      <w:r>
        <w:rPr>
          <w:rFonts w:cs="Times New Roman"/>
          <w:color w:val="auto"/>
        </w:rPr>
        <w:t>内防腐：小于DN2000管道内壁涂水泥砂浆衬里，水泥砂浆衬里技术要求按CECS10:89。</w:t>
      </w:r>
    </w:p>
    <w:p>
      <w:pPr>
        <w:pStyle w:val="29"/>
        <w:ind w:firstLine="472"/>
        <w:rPr>
          <w:rFonts w:cs="Times New Roman"/>
          <w:color w:val="auto"/>
        </w:rPr>
      </w:pPr>
      <w:r>
        <w:rPr>
          <w:rFonts w:cs="Times New Roman"/>
          <w:color w:val="auto"/>
        </w:rPr>
        <w:t>《埋地给水钢管道水泥砂浆衬里技术标准》执行。大于等于DN2000管道，内防腐采用无毒环氧类涂料，防腐等级为特加强级，二底四面，总干膜厚度大于等于0.3</w:t>
      </w:r>
      <w:r>
        <w:rPr>
          <w:rFonts w:cs="Times New Roman"/>
          <w:color w:val="auto"/>
          <w:spacing w:val="-7"/>
        </w:rPr>
        <w:t>毫米。按照《钢质</w:t>
      </w:r>
      <w:r>
        <w:rPr>
          <w:rFonts w:cs="Times New Roman"/>
          <w:color w:val="auto"/>
          <w:spacing w:val="-6"/>
        </w:rPr>
        <w:t>管道液体环氧涂料内防腐层技术标准》（SY/T</w:t>
      </w:r>
      <w:r>
        <w:rPr>
          <w:rFonts w:cs="Times New Roman"/>
          <w:color w:val="auto"/>
          <w:spacing w:val="-2"/>
        </w:rPr>
        <w:t>0457-2010）有关规定执行。内防腐涂料必须具有优良的卫生安全可靠性,化学检验结果必须符合国家《生活饮用水卫生标准》的规定及</w:t>
      </w:r>
      <w:r>
        <w:rPr>
          <w:rFonts w:cs="Times New Roman"/>
          <w:color w:val="auto"/>
        </w:rPr>
        <w:t>卫生部"生活饮用水输配设备及防护材料的安全性评价标准"规定的全部指标。必须具有国家卫生部"涉及饮用水卫生安全国产产品"卫生许可批件。内防腐完成后的管道内壁粗糙系数应≤</w:t>
      </w:r>
      <w:r>
        <w:rPr>
          <w:rFonts w:eastAsia="Calibri" w:cs="Times New Roman"/>
          <w:color w:val="auto"/>
        </w:rPr>
        <w:t>0.0105</w:t>
      </w:r>
      <w:r>
        <w:rPr>
          <w:rFonts w:cs="Times New Roman"/>
          <w:color w:val="auto"/>
        </w:rPr>
        <w:t>。</w:t>
      </w:r>
    </w:p>
    <w:p>
      <w:pPr>
        <w:pStyle w:val="29"/>
        <w:ind w:firstLine="472"/>
        <w:rPr>
          <w:rFonts w:cs="Times New Roman"/>
          <w:color w:val="auto"/>
        </w:rPr>
      </w:pPr>
      <w:r>
        <w:rPr>
          <w:rFonts w:cs="Times New Roman"/>
          <w:color w:val="auto"/>
        </w:rPr>
        <w:t>外防腐层：</w:t>
      </w:r>
      <w:r>
        <w:rPr>
          <w:rFonts w:eastAsia="Calibri" w:cs="Times New Roman"/>
          <w:color w:val="auto"/>
        </w:rPr>
        <w:t>D3020×16</w:t>
      </w:r>
      <w:r>
        <w:rPr>
          <w:rFonts w:cs="Times New Roman"/>
          <w:color w:val="auto"/>
        </w:rPr>
        <w:t>外壁采用外涂无机改性水泥浆临时防护，干膜厚度</w:t>
      </w:r>
      <w:r>
        <w:rPr>
          <w:rFonts w:eastAsia="Calibri" w:cs="Times New Roman"/>
          <w:color w:val="auto"/>
        </w:rPr>
        <w:t>0.3~0.5mm</w:t>
      </w:r>
      <w:r>
        <w:rPr>
          <w:rFonts w:cs="Times New Roman"/>
          <w:color w:val="auto"/>
        </w:rPr>
        <w:t>。</w:t>
      </w:r>
      <w:r>
        <w:rPr>
          <w:rFonts w:cs="Times New Roman"/>
          <w:color w:val="auto"/>
          <w:spacing w:val="-2"/>
        </w:rPr>
        <w:t>顶管段外防腐采用环氧富锌底漆二道，干膜厚度不少于</w:t>
      </w:r>
      <w:r>
        <w:rPr>
          <w:rFonts w:eastAsia="Calibri" w:cs="Times New Roman"/>
          <w:color w:val="auto"/>
          <w:spacing w:val="-2"/>
        </w:rPr>
        <w:t>70um</w:t>
      </w:r>
      <w:r>
        <w:rPr>
          <w:rFonts w:cs="Times New Roman"/>
          <w:color w:val="auto"/>
          <w:spacing w:val="-2"/>
        </w:rPr>
        <w:t>；环氧玻璃磷片重防腐涂料三</w:t>
      </w:r>
      <w:r>
        <w:rPr>
          <w:rFonts w:cs="Times New Roman"/>
          <w:color w:val="auto"/>
        </w:rPr>
        <w:t>道，干膜厚度不少于</w:t>
      </w:r>
      <w:r>
        <w:rPr>
          <w:rFonts w:eastAsia="Calibri" w:cs="Times New Roman"/>
          <w:color w:val="auto"/>
        </w:rPr>
        <w:t>450um</w:t>
      </w:r>
      <w:r>
        <w:rPr>
          <w:rFonts w:cs="Times New Roman"/>
          <w:color w:val="auto"/>
        </w:rPr>
        <w:t>。总干膜厚度不少于</w:t>
      </w:r>
      <w:r>
        <w:rPr>
          <w:rFonts w:eastAsia="Calibri" w:cs="Times New Roman"/>
          <w:color w:val="auto"/>
        </w:rPr>
        <w:t>520um</w:t>
      </w:r>
      <w:r>
        <w:rPr>
          <w:rFonts w:cs="Times New Roman"/>
          <w:color w:val="auto"/>
        </w:rPr>
        <w:t>。其它埋地管段采用环氧煤沥青特</w:t>
      </w:r>
      <w:r>
        <w:rPr>
          <w:rFonts w:cs="Times New Roman"/>
          <w:color w:val="auto"/>
          <w:spacing w:val="-7"/>
        </w:rPr>
        <w:t>加强级防腐（六油二布），干膜厚度大于等于</w:t>
      </w:r>
      <w:r>
        <w:rPr>
          <w:rFonts w:eastAsia="Calibri" w:cs="Times New Roman"/>
          <w:color w:val="auto"/>
          <w:spacing w:val="-1"/>
        </w:rPr>
        <w:t>0.6</w:t>
      </w:r>
      <w:r>
        <w:rPr>
          <w:rFonts w:cs="Times New Roman"/>
          <w:color w:val="auto"/>
          <w:spacing w:val="-2"/>
        </w:rPr>
        <w:t>毫米；玻璃布采用中碱，无捻、无腊的玻</w:t>
      </w:r>
      <w:r>
        <w:rPr>
          <w:rFonts w:cs="Times New Roman"/>
          <w:color w:val="auto"/>
          <w:spacing w:val="-3"/>
        </w:rPr>
        <w:t>璃纤维布，其经纬密度为</w:t>
      </w:r>
      <w:r>
        <w:rPr>
          <w:rFonts w:eastAsia="Calibri" w:cs="Times New Roman"/>
          <w:color w:val="auto"/>
          <w:spacing w:val="-1"/>
          <w:w w:val="120"/>
        </w:rPr>
        <w:t>12</w:t>
      </w:r>
      <w:r>
        <w:rPr>
          <w:rFonts w:cs="Times New Roman"/>
          <w:color w:val="auto"/>
          <w:spacing w:val="-1"/>
          <w:w w:val="120"/>
        </w:rPr>
        <w:t>³</w:t>
      </w:r>
      <w:r>
        <w:rPr>
          <w:rFonts w:eastAsia="Calibri" w:cs="Times New Roman"/>
          <w:color w:val="auto"/>
          <w:spacing w:val="-1"/>
          <w:w w:val="120"/>
        </w:rPr>
        <w:t>12</w:t>
      </w:r>
      <w:r>
        <w:rPr>
          <w:rFonts w:cs="Times New Roman"/>
          <w:color w:val="auto"/>
          <w:spacing w:val="-3"/>
        </w:rPr>
        <w:t>根</w:t>
      </w:r>
      <w:r>
        <w:rPr>
          <w:rFonts w:eastAsia="Calibri" w:cs="Times New Roman"/>
          <w:color w:val="auto"/>
          <w:spacing w:val="-3"/>
        </w:rPr>
        <w:t>/cm</w:t>
      </w:r>
      <w:r>
        <w:rPr>
          <w:rFonts w:eastAsia="Calibri" w:cs="Times New Roman"/>
          <w:color w:val="auto"/>
          <w:spacing w:val="-3"/>
          <w:position w:val="10"/>
          <w:sz w:val="14"/>
          <w:szCs w:val="14"/>
        </w:rPr>
        <w:t>2</w:t>
      </w:r>
      <w:r>
        <w:rPr>
          <w:rFonts w:cs="Times New Roman"/>
          <w:color w:val="auto"/>
          <w:spacing w:val="-3"/>
        </w:rPr>
        <w:t>。符合</w:t>
      </w:r>
      <w:r>
        <w:rPr>
          <w:rFonts w:cs="Times New Roman"/>
          <w:color w:val="auto"/>
          <w:spacing w:val="-1"/>
        </w:rPr>
        <w:t>SY/T0447-1996</w:t>
      </w:r>
      <w:r>
        <w:rPr>
          <w:rFonts w:cs="Times New Roman"/>
          <w:color w:val="auto"/>
          <w:spacing w:val="-2"/>
        </w:rPr>
        <w:t>《埋地钢制管道环氧煤沥青</w:t>
      </w:r>
      <w:r>
        <w:rPr>
          <w:rFonts w:cs="Times New Roman"/>
          <w:color w:val="auto"/>
        </w:rPr>
        <w:t>防腐层技术标准》特加强级，厚度≥0.6mm。涂层测试：执行SY/T0447-1996标准特加强级要求：3000V。</w:t>
      </w:r>
    </w:p>
    <w:p>
      <w:pPr>
        <w:pStyle w:val="29"/>
        <w:ind w:firstLine="472"/>
        <w:rPr>
          <w:rFonts w:cs="Times New Roman"/>
          <w:color w:val="auto"/>
        </w:rPr>
      </w:pPr>
      <w:r>
        <w:rPr>
          <w:rFonts w:eastAsia="Calibri" w:cs="Times New Roman"/>
          <w:color w:val="auto"/>
        </w:rPr>
        <w:t>7</w:t>
      </w:r>
      <w:r>
        <w:rPr>
          <w:rFonts w:cs="Times New Roman"/>
          <w:color w:val="auto"/>
        </w:rPr>
        <w:t>、检验</w:t>
      </w:r>
    </w:p>
    <w:p>
      <w:pPr>
        <w:pStyle w:val="29"/>
        <w:ind w:firstLine="466"/>
        <w:rPr>
          <w:rFonts w:cs="Times New Roman"/>
          <w:color w:val="auto"/>
        </w:rPr>
      </w:pPr>
      <w:r>
        <w:rPr>
          <w:rFonts w:ascii="Segoe UI Symbol" w:hAnsi="Segoe UI Symbol" w:cs="Segoe UI Symbol"/>
          <w:color w:val="auto"/>
          <w:spacing w:val="-7"/>
        </w:rPr>
        <w:t>★</w:t>
      </w:r>
      <w:r>
        <w:rPr>
          <w:rFonts w:cs="Times New Roman"/>
          <w:color w:val="auto"/>
          <w:spacing w:val="-7"/>
        </w:rPr>
        <w:t>焊缝无损探伤：超声波（</w:t>
      </w:r>
      <w:r>
        <w:rPr>
          <w:rFonts w:eastAsia="Calibri" w:cs="Times New Roman"/>
          <w:color w:val="auto"/>
          <w:spacing w:val="-7"/>
        </w:rPr>
        <w:t>UT</w:t>
      </w:r>
      <w:r>
        <w:rPr>
          <w:rFonts w:cs="Times New Roman"/>
          <w:color w:val="auto"/>
          <w:spacing w:val="-7"/>
        </w:rPr>
        <w:t>）抽检比例为</w:t>
      </w:r>
      <w:r>
        <w:rPr>
          <w:rFonts w:eastAsia="Calibri" w:cs="Times New Roman"/>
          <w:color w:val="auto"/>
          <w:spacing w:val="-7"/>
        </w:rPr>
        <w:t>100%</w:t>
      </w:r>
      <w:r>
        <w:rPr>
          <w:rFonts w:cs="Times New Roman"/>
          <w:color w:val="auto"/>
          <w:spacing w:val="-7"/>
        </w:rPr>
        <w:t>，按《焊缝无损检测</w:t>
      </w:r>
      <w:r>
        <w:rPr>
          <w:rFonts w:cs="Times New Roman"/>
          <w:color w:val="auto"/>
        </w:rPr>
        <w:t>超声检测技术、</w:t>
      </w:r>
      <w:r>
        <w:rPr>
          <w:rFonts w:cs="Times New Roman"/>
          <w:color w:val="auto"/>
          <w:spacing w:val="-5"/>
        </w:rPr>
        <w:t>检测等级和评定》（</w:t>
      </w:r>
      <w:r>
        <w:rPr>
          <w:rFonts w:eastAsia="Calibri" w:cs="Times New Roman"/>
          <w:color w:val="auto"/>
          <w:spacing w:val="-5"/>
        </w:rPr>
        <w:t>GB11345-2013</w:t>
      </w:r>
      <w:r>
        <w:rPr>
          <w:rFonts w:cs="Times New Roman"/>
          <w:color w:val="auto"/>
          <w:spacing w:val="-5"/>
        </w:rPr>
        <w:t>）的有关规定执行</w:t>
      </w:r>
      <w:r>
        <w:rPr>
          <w:rFonts w:eastAsia="Calibri" w:cs="Times New Roman"/>
          <w:color w:val="auto"/>
          <w:spacing w:val="-5"/>
        </w:rPr>
        <w:t>,</w:t>
      </w:r>
      <w:r>
        <w:rPr>
          <w:rFonts w:cs="Times New Roman"/>
          <w:color w:val="auto"/>
          <w:spacing w:val="-5"/>
        </w:rPr>
        <w:t>检验等级为</w:t>
      </w:r>
      <w:r>
        <w:rPr>
          <w:rFonts w:eastAsia="Calibri" w:cs="Times New Roman"/>
          <w:color w:val="auto"/>
        </w:rPr>
        <w:t>B</w:t>
      </w:r>
      <w:r>
        <w:rPr>
          <w:rFonts w:cs="Times New Roman"/>
          <w:color w:val="auto"/>
          <w:spacing w:val="-2"/>
        </w:rPr>
        <w:t>级，验收等级为Ⅱ级。</w:t>
      </w:r>
    </w:p>
    <w:p>
      <w:pPr>
        <w:pStyle w:val="29"/>
        <w:ind w:firstLine="472"/>
        <w:rPr>
          <w:rFonts w:cs="Times New Roman"/>
          <w:color w:val="auto"/>
        </w:rPr>
      </w:pPr>
      <w:r>
        <w:rPr>
          <w:rFonts w:ascii="Segoe UI Symbol" w:hAnsi="Segoe UI Symbol" w:cs="Segoe UI Symbol"/>
          <w:color w:val="auto"/>
        </w:rPr>
        <w:t>★</w:t>
      </w:r>
      <w:r>
        <w:rPr>
          <w:rFonts w:cs="Times New Roman"/>
          <w:color w:val="auto"/>
        </w:rPr>
        <w:t>工作压力：</w:t>
      </w:r>
      <w:r>
        <w:rPr>
          <w:rFonts w:eastAsia="Calibri" w:cs="Times New Roman"/>
          <w:color w:val="auto"/>
        </w:rPr>
        <w:t>1.0MPa</w:t>
      </w:r>
      <w:r>
        <w:rPr>
          <w:rFonts w:cs="Times New Roman"/>
          <w:color w:val="auto"/>
        </w:rPr>
        <w:t>。</w:t>
      </w:r>
    </w:p>
    <w:p>
      <w:pPr>
        <w:pStyle w:val="29"/>
        <w:ind w:firstLine="472"/>
        <w:rPr>
          <w:rFonts w:cs="Times New Roman"/>
          <w:color w:val="auto"/>
        </w:rPr>
      </w:pPr>
      <w:r>
        <w:rPr>
          <w:rFonts w:ascii="Segoe UI Symbol" w:hAnsi="Segoe UI Symbol" w:cs="Segoe UI Symbol"/>
          <w:color w:val="auto"/>
        </w:rPr>
        <w:t>★</w:t>
      </w:r>
      <w:r>
        <w:rPr>
          <w:rFonts w:cs="Times New Roman"/>
          <w:color w:val="auto"/>
        </w:rPr>
        <w:t>出厂前试验水压力：</w:t>
      </w:r>
      <w:r>
        <w:rPr>
          <w:rFonts w:eastAsia="Calibri" w:cs="Times New Roman"/>
          <w:color w:val="auto"/>
        </w:rPr>
        <w:t>1.15MPa</w:t>
      </w:r>
      <w:r>
        <w:rPr>
          <w:rFonts w:cs="Times New Roman"/>
          <w:color w:val="auto"/>
        </w:rPr>
        <w:t>；按GB/T241—2007《金属管液压试验方法》执行。</w:t>
      </w:r>
    </w:p>
    <w:p>
      <w:pPr>
        <w:pStyle w:val="28"/>
        <w:spacing w:before="120" w:after="120"/>
        <w:rPr>
          <w:b/>
          <w:color w:val="auto"/>
        </w:rPr>
      </w:pPr>
      <w:bookmarkStart w:id="283" w:name="_Toc117181386"/>
      <w:r>
        <w:rPr>
          <w:b/>
          <w:color w:val="auto"/>
        </w:rPr>
        <w:t>复合式排气阀</w:t>
      </w:r>
      <w:bookmarkEnd w:id="283"/>
    </w:p>
    <w:p>
      <w:pPr>
        <w:pStyle w:val="29"/>
        <w:ind w:firstLine="472"/>
        <w:rPr>
          <w:rFonts w:cs="Times New Roman"/>
          <w:color w:val="auto"/>
        </w:rPr>
      </w:pPr>
      <w:r>
        <w:rPr>
          <w:rFonts w:cs="Times New Roman"/>
          <w:color w:val="auto"/>
        </w:rPr>
        <w:t>1、复合式排气阀性能总体要求</w:t>
      </w:r>
    </w:p>
    <w:p>
      <w:pPr>
        <w:pStyle w:val="29"/>
        <w:ind w:firstLine="472"/>
        <w:rPr>
          <w:rFonts w:cs="Times New Roman"/>
          <w:color w:val="auto"/>
        </w:rPr>
      </w:pPr>
      <w:r>
        <w:rPr>
          <w:rFonts w:cs="Times New Roman"/>
          <w:color w:val="auto"/>
        </w:rPr>
        <w:t>1）复合式排气阀选用等级及工作参数根据所提供的运行工况，符合设计要求及有关法规和标准。</w:t>
      </w:r>
    </w:p>
    <w:p>
      <w:pPr>
        <w:pStyle w:val="29"/>
        <w:ind w:firstLine="472"/>
        <w:rPr>
          <w:rFonts w:cs="Times New Roman"/>
          <w:color w:val="auto"/>
        </w:rPr>
      </w:pPr>
      <w:r>
        <w:rPr>
          <w:rFonts w:cs="Times New Roman"/>
          <w:color w:val="auto"/>
        </w:rPr>
        <w:t>2）本工程复合式排气阀压力等级除特殊要求外，均为1.0MPa。</w:t>
      </w:r>
    </w:p>
    <w:p>
      <w:pPr>
        <w:pStyle w:val="29"/>
        <w:ind w:firstLine="472"/>
        <w:rPr>
          <w:rFonts w:cs="Times New Roman"/>
          <w:color w:val="auto"/>
        </w:rPr>
      </w:pPr>
      <w:r>
        <w:rPr>
          <w:rFonts w:cs="Times New Roman"/>
          <w:color w:val="auto"/>
        </w:rPr>
        <w:t>3）</w:t>
      </w:r>
      <w:r>
        <w:rPr>
          <w:rFonts w:ascii="Segoe UI Symbol" w:hAnsi="Segoe UI Symbol" w:cs="Segoe UI Symbol"/>
          <w:color w:val="auto"/>
        </w:rPr>
        <w:t>★</w:t>
      </w:r>
      <w:r>
        <w:rPr>
          <w:rFonts w:cs="Times New Roman"/>
          <w:color w:val="auto"/>
        </w:rPr>
        <w:t>复合式排气阀所有零部件、密封件、防腐涂料均不得采用可能对饮用水造成污染的材料，须提供由省级或以上卫生部门出具关于投标产品所用的防腐涂料满足GB/T17219-2001《生活饮用输配水设备及防护材料的安全性能评价标准》要求的卫生安全性检验报告，并提供密封橡胶、防腐材料的生产厂家，进口橡胶和防腐涂料须提供原产地证明或进口报关证明文件。</w:t>
      </w:r>
    </w:p>
    <w:p>
      <w:pPr>
        <w:pStyle w:val="29"/>
        <w:ind w:firstLine="472"/>
        <w:rPr>
          <w:rFonts w:cs="Times New Roman"/>
          <w:color w:val="auto"/>
        </w:rPr>
      </w:pPr>
      <w:r>
        <w:rPr>
          <w:rFonts w:cs="Times New Roman"/>
          <w:color w:val="auto"/>
        </w:rPr>
        <w:t>4）使用期限</w:t>
      </w:r>
    </w:p>
    <w:p>
      <w:pPr>
        <w:pStyle w:val="29"/>
        <w:ind w:firstLine="472"/>
        <w:rPr>
          <w:rFonts w:cs="Times New Roman"/>
          <w:color w:val="auto"/>
        </w:rPr>
      </w:pPr>
      <w:r>
        <w:rPr>
          <w:rFonts w:cs="Times New Roman"/>
          <w:color w:val="auto"/>
        </w:rPr>
        <w:t>复合式排气阀设备正常使用寿命至少为30年,轴承寿命不少于15年，密封橡胶圈寿命不少于15年。</w:t>
      </w:r>
    </w:p>
    <w:p>
      <w:pPr>
        <w:pStyle w:val="29"/>
        <w:ind w:firstLine="472"/>
        <w:rPr>
          <w:rFonts w:cs="Times New Roman"/>
          <w:color w:val="auto"/>
        </w:rPr>
      </w:pPr>
      <w:r>
        <w:rPr>
          <w:rFonts w:cs="Times New Roman"/>
          <w:color w:val="auto"/>
        </w:rPr>
        <w:t>在保质期（3年）内，供方免费修理并负责更换有缺陷零件或整机。供应商需派员到安装现场与复合式排气阀安装的工程技术人员对复合式排气阀进行检验，并签署工地验收报告，从验收之日起进入复合式排气阀的保质期。</w:t>
      </w:r>
    </w:p>
    <w:p>
      <w:pPr>
        <w:pStyle w:val="29"/>
        <w:ind w:firstLine="472"/>
        <w:rPr>
          <w:rFonts w:cs="Times New Roman"/>
          <w:color w:val="auto"/>
        </w:rPr>
      </w:pPr>
      <w:r>
        <w:rPr>
          <w:rFonts w:cs="Times New Roman"/>
          <w:color w:val="auto"/>
        </w:rPr>
        <w:t>5）设备的性能完全达到本规范中的各项技术要求。</w:t>
      </w:r>
    </w:p>
    <w:p>
      <w:pPr>
        <w:pStyle w:val="29"/>
        <w:ind w:firstLine="472"/>
        <w:rPr>
          <w:rFonts w:cs="Times New Roman"/>
          <w:color w:val="auto"/>
        </w:rPr>
      </w:pPr>
      <w:r>
        <w:rPr>
          <w:rFonts w:cs="Times New Roman"/>
          <w:color w:val="auto"/>
        </w:rPr>
        <w:t>6）产品到达现场后，不须解体检查即可安装。供方保证复合式排气阀不泄漏。</w:t>
      </w:r>
    </w:p>
    <w:p>
      <w:pPr>
        <w:pStyle w:val="29"/>
        <w:ind w:firstLine="472"/>
        <w:rPr>
          <w:rFonts w:cs="Times New Roman"/>
          <w:color w:val="auto"/>
        </w:rPr>
      </w:pPr>
      <w:r>
        <w:rPr>
          <w:rFonts w:cs="Times New Roman"/>
          <w:color w:val="auto"/>
        </w:rPr>
        <w:t>2、制造工艺和设计的一般规定</w:t>
      </w:r>
    </w:p>
    <w:p>
      <w:pPr>
        <w:pStyle w:val="29"/>
        <w:ind w:firstLine="472"/>
        <w:rPr>
          <w:rFonts w:cs="Times New Roman"/>
          <w:color w:val="auto"/>
        </w:rPr>
      </w:pPr>
      <w:r>
        <w:rPr>
          <w:rFonts w:cs="Times New Roman"/>
          <w:color w:val="auto"/>
        </w:rPr>
        <w:t>2.1设备和装置设计卖方所提供的应该是全新的设备和装置，是具有可靠的工艺以及良好的设计并能够适应现场气候条件的高质量和高等级的设备和装置。</w:t>
      </w:r>
    </w:p>
    <w:p>
      <w:pPr>
        <w:pStyle w:val="29"/>
        <w:ind w:firstLine="472"/>
        <w:rPr>
          <w:rFonts w:cs="Times New Roman"/>
          <w:color w:val="auto"/>
        </w:rPr>
      </w:pPr>
      <w:r>
        <w:rPr>
          <w:rFonts w:cs="Times New Roman"/>
          <w:color w:val="auto"/>
        </w:rPr>
        <w:t>2.1.1</w:t>
      </w:r>
      <w:r>
        <w:rPr>
          <w:rFonts w:ascii="Segoe UI Symbol" w:hAnsi="Segoe UI Symbol" w:cs="Segoe UI Symbol"/>
          <w:color w:val="auto"/>
        </w:rPr>
        <w:t>★</w:t>
      </w:r>
      <w:r>
        <w:rPr>
          <w:rFonts w:cs="Times New Roman"/>
          <w:color w:val="auto"/>
        </w:rPr>
        <w:t>自动排气阀要求能满足现场使用环境的要求，公称压力为1.0MPa，采用法兰连接。</w:t>
      </w:r>
    </w:p>
    <w:p>
      <w:pPr>
        <w:pStyle w:val="29"/>
        <w:ind w:firstLine="472"/>
        <w:rPr>
          <w:rFonts w:cs="Times New Roman"/>
          <w:color w:val="auto"/>
        </w:rPr>
      </w:pPr>
      <w:r>
        <w:rPr>
          <w:rFonts w:cs="Times New Roman"/>
          <w:color w:val="auto"/>
        </w:rPr>
        <w:t>自动排气阀主要由阀体、阀盖、阀座、手动排气组件、浮球组件等部件组成。</w:t>
      </w:r>
    </w:p>
    <w:p>
      <w:pPr>
        <w:pStyle w:val="29"/>
        <w:ind w:firstLine="472"/>
        <w:rPr>
          <w:rFonts w:cs="Times New Roman"/>
          <w:color w:val="auto"/>
        </w:rPr>
      </w:pPr>
      <w:r>
        <w:rPr>
          <w:rFonts w:cs="Times New Roman"/>
          <w:color w:val="auto"/>
        </w:rPr>
        <w:t>2.1.2</w:t>
      </w:r>
      <w:r>
        <w:rPr>
          <w:rFonts w:ascii="Segoe UI Symbol" w:hAnsi="Segoe UI Symbol" w:cs="Segoe UI Symbol"/>
          <w:color w:val="auto"/>
        </w:rPr>
        <w:t>★</w:t>
      </w:r>
      <w:r>
        <w:rPr>
          <w:rFonts w:cs="Times New Roman"/>
          <w:color w:val="auto"/>
        </w:rPr>
        <w:t>材质要求</w:t>
      </w:r>
    </w:p>
    <w:p>
      <w:pPr>
        <w:pStyle w:val="29"/>
        <w:ind w:firstLine="472"/>
        <w:rPr>
          <w:rFonts w:cs="Times New Roman"/>
          <w:color w:val="auto"/>
        </w:rPr>
      </w:pPr>
      <w:r>
        <w:rPr>
          <w:rFonts w:cs="Times New Roman"/>
          <w:color w:val="auto"/>
        </w:rPr>
        <w:t>（以下的材料要求，投标单位应注明所有材料的具体牌号。）阀体、阀盖：材质采用球墨铸铁QT450－10或性能更优的材料，铸造工艺为树脂沙型，铸件过流表面应保证光滑，要符合GB/T1222-2005规定的技术条件，铸件要求进行热处理以消除内应力。商标及材质牌号铸在阀体上。活塞浮球：材质采用不锈钢1Cr18Ni9或性能更优的材料。排气阀内的材料采用不锈钢1Cr18Ni9或性能更优的材料。排气阀内密封(口)垫座的材质采用铝青铜或性能更优的材料。阀帽：材质采用球墨铸铁或性能更优的材料。</w:t>
      </w:r>
    </w:p>
    <w:p>
      <w:pPr>
        <w:pStyle w:val="29"/>
        <w:ind w:firstLine="472"/>
        <w:rPr>
          <w:rFonts w:cs="Times New Roman"/>
          <w:color w:val="auto"/>
        </w:rPr>
      </w:pPr>
      <w:r>
        <w:rPr>
          <w:rFonts w:cs="Times New Roman"/>
          <w:color w:val="auto"/>
        </w:rPr>
        <w:t>密封圈：密封圈采用三元乙丙烯聚合橡胶（EPDM）或丁晴橡胶(NBR)，其密封试验应按相应的国家标准要求执行。</w:t>
      </w:r>
    </w:p>
    <w:p>
      <w:pPr>
        <w:pStyle w:val="29"/>
        <w:ind w:firstLine="472"/>
        <w:rPr>
          <w:rFonts w:cs="Times New Roman"/>
          <w:color w:val="auto"/>
        </w:rPr>
      </w:pPr>
      <w:r>
        <w:rPr>
          <w:rFonts w:cs="Times New Roman"/>
          <w:color w:val="auto"/>
        </w:rPr>
        <w:t>复合式排气阀采用的所有橡胶应有良好的耐磨性，抗腐蚀性，抗冲击性、抗嗅氧、抗微生物侵蚀及抗老化等性能，正常使用寿命不少于20年。严禁采用再生橡胶。</w:t>
      </w:r>
    </w:p>
    <w:p>
      <w:pPr>
        <w:pStyle w:val="29"/>
        <w:ind w:firstLine="472"/>
        <w:rPr>
          <w:rFonts w:cs="Times New Roman"/>
          <w:color w:val="auto"/>
        </w:rPr>
      </w:pPr>
      <w:r>
        <w:rPr>
          <w:rFonts w:cs="Times New Roman"/>
          <w:color w:val="auto"/>
        </w:rPr>
        <w:t>橡胶成分中，应不含植物油、植物油衍生物、动物脂和动物油，铜离子含量不应超过百万分之八，并且应含有铜的抑制剂，以防止铜使橡胶材质老化。橡胶成分中，每100个单位烃中含蜡量不应超过1.5%。</w:t>
      </w:r>
    </w:p>
    <w:p>
      <w:pPr>
        <w:pStyle w:val="29"/>
        <w:ind w:firstLine="472"/>
        <w:rPr>
          <w:rFonts w:cs="Times New Roman"/>
          <w:color w:val="auto"/>
        </w:rPr>
      </w:pPr>
      <w:r>
        <w:rPr>
          <w:rFonts w:cs="Times New Roman"/>
          <w:color w:val="auto"/>
        </w:rPr>
        <w:t>2.1.3</w:t>
      </w:r>
      <w:r>
        <w:rPr>
          <w:rFonts w:ascii="Segoe UI Symbol" w:hAnsi="Segoe UI Symbol" w:cs="Segoe UI Symbol"/>
          <w:color w:val="auto"/>
        </w:rPr>
        <w:t>★</w:t>
      </w:r>
      <w:r>
        <w:rPr>
          <w:rFonts w:cs="Times New Roman"/>
          <w:color w:val="auto"/>
        </w:rPr>
        <w:t>自动排气阀要求做压力试验，试验要符合《工业复合式排气阀压力试验GB/T13927-2008》的规定。</w:t>
      </w:r>
    </w:p>
    <w:p>
      <w:pPr>
        <w:pStyle w:val="29"/>
        <w:ind w:firstLine="472"/>
        <w:rPr>
          <w:rFonts w:cs="Times New Roman"/>
          <w:color w:val="auto"/>
        </w:rPr>
      </w:pPr>
      <w:r>
        <w:rPr>
          <w:rFonts w:cs="Times New Roman"/>
          <w:color w:val="auto"/>
        </w:rPr>
        <w:t>2.1.4设备常规要求</w:t>
      </w:r>
    </w:p>
    <w:p>
      <w:pPr>
        <w:pStyle w:val="29"/>
        <w:ind w:firstLine="472"/>
        <w:rPr>
          <w:rFonts w:cs="Times New Roman"/>
          <w:color w:val="auto"/>
        </w:rPr>
      </w:pPr>
      <w:r>
        <w:rPr>
          <w:rFonts w:cs="Times New Roman"/>
          <w:color w:val="auto"/>
        </w:rPr>
        <w:t>设备所有部件的制造都应有严格的精度要求，并且类似设备上的部件应当具有互换性。设备的设计，应能够使设备可以达到超长时间连续运行但仅需要少量维修。可能要求卖方用相似设备的使用记录或大量的实验记录，来证明其所提供的部件能够达到这种要求。在选择装置的施工材料时，应当考虑到装置所处的位置和所承担的工作。如果装置将用来输送水时，应特别注意不同施工材料之间可能发生的电解反应，以及由于水的侵蚀而使水中所含杂质产生的腐蚀作用。</w:t>
      </w:r>
    </w:p>
    <w:p>
      <w:pPr>
        <w:pStyle w:val="29"/>
        <w:ind w:firstLine="472"/>
        <w:rPr>
          <w:rFonts w:cs="Times New Roman"/>
          <w:color w:val="auto"/>
        </w:rPr>
      </w:pPr>
      <w:r>
        <w:rPr>
          <w:rFonts w:cs="Times New Roman"/>
          <w:color w:val="auto"/>
        </w:rPr>
        <w:t>设备的设计中，应当使用能够将腐蚀和侵蚀的影响控制在最小范围内的合适材料、运行速度、零部件构造和表面油漆。对于防腐要求较高的连续浸泡在水中使用的钢材，应该使用符合BS970316S12等级的不锈钢材料。</w:t>
      </w:r>
    </w:p>
    <w:p>
      <w:pPr>
        <w:pStyle w:val="29"/>
        <w:ind w:firstLine="472"/>
        <w:rPr>
          <w:rFonts w:cs="Times New Roman"/>
          <w:color w:val="auto"/>
        </w:rPr>
      </w:pPr>
      <w:r>
        <w:rPr>
          <w:rFonts w:cs="Times New Roman"/>
          <w:color w:val="auto"/>
        </w:rPr>
        <w:t>如果设备在正常运行中有可能发生磨损，则其设计中应当确保只需要更换该可能受影响的部分，而不必更换整个部件。任何可能发生磨损的部件。从新部件使用到需要更换或修理时的连续正常运转的使用寿命或累计使用寿命不小于三年，当需要进行总的拆卸来更换的部件时，其使用寿命不得小于十年。所有齿轮和轴承应具备十万(100,000)小时的设计寿命，且设计负荷应为工作负荷的125%。</w:t>
      </w:r>
    </w:p>
    <w:p>
      <w:pPr>
        <w:pStyle w:val="28"/>
        <w:spacing w:before="120" w:after="120"/>
        <w:rPr>
          <w:b/>
          <w:color w:val="auto"/>
        </w:rPr>
      </w:pPr>
      <w:bookmarkStart w:id="284" w:name="_Toc117181387"/>
      <w:r>
        <w:rPr>
          <w:b/>
          <w:color w:val="auto"/>
        </w:rPr>
        <w:t>手动弹性座封闸阀</w:t>
      </w:r>
      <w:bookmarkEnd w:id="284"/>
    </w:p>
    <w:p>
      <w:pPr>
        <w:pStyle w:val="29"/>
        <w:ind w:firstLine="472"/>
        <w:rPr>
          <w:rFonts w:cs="Times New Roman"/>
          <w:color w:val="auto"/>
        </w:rPr>
      </w:pPr>
      <w:r>
        <w:rPr>
          <w:rFonts w:cs="Times New Roman"/>
          <w:color w:val="auto"/>
        </w:rPr>
        <w:t>1、结构形式:应为法兰连接，暗杆型。</w:t>
      </w:r>
    </w:p>
    <w:p>
      <w:pPr>
        <w:pStyle w:val="29"/>
        <w:ind w:firstLine="472"/>
        <w:rPr>
          <w:rFonts w:cs="Times New Roman"/>
          <w:color w:val="auto"/>
        </w:rPr>
      </w:pPr>
      <w:r>
        <w:rPr>
          <w:rFonts w:cs="Times New Roman"/>
          <w:color w:val="auto"/>
        </w:rPr>
        <w:t>2、阀体结构长度应符合EN558-1系列14，相当于GB12221-89标准。</w:t>
      </w:r>
    </w:p>
    <w:p>
      <w:pPr>
        <w:pStyle w:val="29"/>
        <w:ind w:firstLine="472"/>
        <w:rPr>
          <w:rFonts w:cs="Times New Roman"/>
          <w:color w:val="auto"/>
        </w:rPr>
      </w:pPr>
      <w:r>
        <w:rPr>
          <w:rFonts w:cs="Times New Roman"/>
          <w:color w:val="auto"/>
        </w:rPr>
        <w:t>3、闸阀的密封形式应为软密封，阀座为平底设计无凹槽；阀板应为EPDM或NBR100%包覆球墨铸铁，橡胶厚度超过4mm，完全避免流水与阀板基体球墨铸铁表面直接接触，防止锈蚀；橡胶阀板与阀体阀座接触面应形成良好的弹性座封效果，以达到安全止水功能。</w:t>
      </w:r>
    </w:p>
    <w:p>
      <w:pPr>
        <w:pStyle w:val="29"/>
        <w:ind w:firstLine="472"/>
        <w:rPr>
          <w:rFonts w:cs="Times New Roman"/>
          <w:color w:val="auto"/>
        </w:rPr>
      </w:pPr>
      <w:r>
        <w:rPr>
          <w:rFonts w:cs="Times New Roman"/>
          <w:color w:val="auto"/>
        </w:rPr>
        <w:t>4、阀体阀体应采用高强度球墨铸铁材料，整体树脂砂型铸造工艺铸造而成，不得采用灰铸铁。</w:t>
      </w:r>
    </w:p>
    <w:p>
      <w:pPr>
        <w:pStyle w:val="29"/>
        <w:ind w:firstLine="472"/>
        <w:rPr>
          <w:rFonts w:cs="Times New Roman"/>
          <w:color w:val="auto"/>
        </w:rPr>
      </w:pPr>
      <w:r>
        <w:rPr>
          <w:rFonts w:ascii="Segoe UI Symbol" w:hAnsi="Segoe UI Symbol" w:cs="Segoe UI Symbol"/>
          <w:color w:val="auto"/>
        </w:rPr>
        <w:t>★</w:t>
      </w:r>
      <w:r>
        <w:rPr>
          <w:rFonts w:cs="Times New Roman"/>
          <w:color w:val="auto"/>
        </w:rPr>
        <w:t>5、阀板</w:t>
      </w:r>
    </w:p>
    <w:p>
      <w:pPr>
        <w:pStyle w:val="29"/>
        <w:ind w:firstLine="472"/>
        <w:rPr>
          <w:rFonts w:cs="Times New Roman"/>
          <w:color w:val="auto"/>
        </w:rPr>
      </w:pPr>
      <w:r>
        <w:rPr>
          <w:rFonts w:cs="Times New Roman"/>
          <w:color w:val="auto"/>
        </w:rPr>
        <w:t>应采用EPDM完全包覆球墨铸铁，阀板的基体与橡胶结合应牢固可靠，即使阀板受到频繁的挤压应力，包胶也永不脱落。橡胶需提供DVGW-W270、KTW和WRAS认证。阀板的两侧与阀体的结构应采用具有导向作用的滑靴式结构，以减小操作力矩和防止操作时对闸阀的磨损。</w:t>
      </w:r>
    </w:p>
    <w:p>
      <w:pPr>
        <w:pStyle w:val="29"/>
        <w:ind w:firstLine="472"/>
        <w:rPr>
          <w:rFonts w:cs="Times New Roman"/>
          <w:color w:val="auto"/>
        </w:rPr>
      </w:pPr>
      <w:r>
        <w:rPr>
          <w:rFonts w:cs="Times New Roman"/>
          <w:color w:val="auto"/>
        </w:rPr>
        <w:t>6、阀轴</w:t>
      </w:r>
    </w:p>
    <w:p>
      <w:pPr>
        <w:pStyle w:val="29"/>
        <w:ind w:firstLine="472"/>
        <w:rPr>
          <w:rFonts w:cs="Times New Roman"/>
          <w:color w:val="auto"/>
        </w:rPr>
      </w:pPr>
      <w:r>
        <w:rPr>
          <w:rFonts w:cs="Times New Roman"/>
          <w:color w:val="auto"/>
        </w:rPr>
        <w:t>阀轴材质为不锈钢2Cr13，阀轴上的梯形螺纹应采用滚压成形(非普通车加工)，以保证其有足够的强度，应能承受2倍的最大操作扭矩试验。</w:t>
      </w:r>
    </w:p>
    <w:p>
      <w:pPr>
        <w:pStyle w:val="29"/>
        <w:ind w:firstLine="472"/>
        <w:rPr>
          <w:rFonts w:cs="Times New Roman"/>
          <w:color w:val="auto"/>
        </w:rPr>
      </w:pPr>
      <w:r>
        <w:rPr>
          <w:rFonts w:cs="Times New Roman"/>
          <w:color w:val="auto"/>
        </w:rPr>
        <w:t>7、为了适应管道压力变化对闸阀阀杆的冲击，减少操作扭矩，阀板和铜螺母采用分离式结构，以便在操作时能够自动补位公差并克服阀板承压后对阀杆产生的径向力，使操作顺畅，可延长阀门使用寿命。</w:t>
      </w:r>
    </w:p>
    <w:p>
      <w:pPr>
        <w:pStyle w:val="29"/>
        <w:ind w:firstLine="472"/>
        <w:rPr>
          <w:rFonts w:cs="Times New Roman"/>
          <w:color w:val="auto"/>
        </w:rPr>
      </w:pPr>
      <w:r>
        <w:rPr>
          <w:rFonts w:cs="Times New Roman"/>
          <w:color w:val="auto"/>
        </w:rPr>
        <w:t>8、闸阀阀杆至少采用3道O型密封圈密封，密封性能良好且至少有两道密封圈可在不断水情况下进行更换。</w:t>
      </w:r>
    </w:p>
    <w:p>
      <w:pPr>
        <w:pStyle w:val="29"/>
        <w:ind w:firstLine="472"/>
        <w:rPr>
          <w:rFonts w:cs="Times New Roman"/>
          <w:color w:val="auto"/>
        </w:rPr>
      </w:pPr>
      <w:r>
        <w:rPr>
          <w:rFonts w:cs="Times New Roman"/>
          <w:color w:val="auto"/>
        </w:rPr>
        <w:t>9、间隙套筒应采用锡青铜材料，保证良好的耐腐蚀性和自润滑功能</w:t>
      </w:r>
    </w:p>
    <w:p>
      <w:pPr>
        <w:pStyle w:val="29"/>
        <w:ind w:firstLine="472"/>
        <w:rPr>
          <w:rFonts w:cs="Times New Roman"/>
          <w:color w:val="auto"/>
        </w:rPr>
      </w:pPr>
      <w:r>
        <w:rPr>
          <w:rFonts w:cs="Times New Roman"/>
          <w:color w:val="auto"/>
        </w:rPr>
        <w:t>10、阀门关闭及开启力矩小，无论口径大小、无须用延长杆即可轻松关闭或开启。</w:t>
      </w:r>
    </w:p>
    <w:p>
      <w:pPr>
        <w:pStyle w:val="29"/>
        <w:ind w:firstLine="472"/>
        <w:rPr>
          <w:rFonts w:cs="Times New Roman"/>
          <w:color w:val="auto"/>
        </w:rPr>
      </w:pPr>
      <w:r>
        <w:rPr>
          <w:rFonts w:ascii="Segoe UI Symbol" w:hAnsi="Segoe UI Symbol" w:cs="Segoe UI Symbol"/>
          <w:color w:val="auto"/>
        </w:rPr>
        <w:t>★</w:t>
      </w:r>
      <w:r>
        <w:rPr>
          <w:rFonts w:cs="Times New Roman"/>
          <w:color w:val="auto"/>
        </w:rPr>
        <w:t>11、涂层防腐要求闸阀的内外表面（除了精加工表面或阀的密封面）均采用静电喷涂蓝色环氧树脂粉末，涂层厚度不少于0.25mm，其喷涂处理过程应符合GSK标准，并应提供证书。喷涂完成后必须对涂层质量进行涂层厚度、绝缘性、抗冲击性能、附着性、黏附强度及网格测试，以确保阀门经表面处理后有优良的防腐性能，表面处理寿命不小于30年，须在投标书中对阀门喷涂涂层测试方法进行具体说明并提供测试图片证明。12、所有阀门在出厂前应进行强度测试及密封性能测试，具体如下：</w:t>
      </w:r>
    </w:p>
    <w:p>
      <w:pPr>
        <w:pStyle w:val="29"/>
        <w:ind w:firstLine="472"/>
        <w:rPr>
          <w:rFonts w:cs="Times New Roman"/>
          <w:color w:val="auto"/>
        </w:rPr>
      </w:pPr>
      <w:r>
        <w:rPr>
          <w:rFonts w:cs="Times New Roman"/>
          <w:color w:val="auto"/>
        </w:rPr>
        <w:t>阀体：1.5倍额定压力的强度测试</w:t>
      </w:r>
    </w:p>
    <w:p>
      <w:pPr>
        <w:pStyle w:val="29"/>
        <w:ind w:firstLine="472"/>
        <w:rPr>
          <w:rFonts w:cs="Times New Roman"/>
          <w:color w:val="auto"/>
        </w:rPr>
      </w:pPr>
      <w:r>
        <w:rPr>
          <w:rFonts w:cs="Times New Roman"/>
          <w:color w:val="auto"/>
        </w:rPr>
        <w:t>密封：1.1倍额定压力的双向密封测试，最大允许泄漏量应达到A级，在试验持续时间内无可见泄漏13、每台阀门必须贴有防伪条形码，来保证每台阀门的真实身份和产品质量的全程可追溯性。</w:t>
      </w:r>
    </w:p>
    <w:p>
      <w:pPr>
        <w:pStyle w:val="29"/>
        <w:ind w:firstLine="472"/>
        <w:rPr>
          <w:rFonts w:cs="Times New Roman"/>
          <w:color w:val="auto"/>
        </w:rPr>
      </w:pPr>
      <w:r>
        <w:rPr>
          <w:rFonts w:cs="Times New Roman"/>
          <w:color w:val="auto"/>
        </w:rPr>
        <w:t>14、主要部件材质</w:t>
      </w:r>
    </w:p>
    <w:p>
      <w:pPr>
        <w:pStyle w:val="29"/>
        <w:numPr>
          <w:ilvl w:val="0"/>
          <w:numId w:val="23"/>
        </w:numPr>
        <w:ind w:firstLineChars="0"/>
        <w:rPr>
          <w:rFonts w:cs="Times New Roman"/>
          <w:color w:val="auto"/>
        </w:rPr>
      </w:pPr>
      <w:r>
        <w:rPr>
          <w:rFonts w:cs="Times New Roman"/>
          <w:color w:val="auto"/>
        </w:rPr>
        <w:t>阀体：球墨铸铁GGG-40</w:t>
      </w:r>
    </w:p>
    <w:p>
      <w:pPr>
        <w:pStyle w:val="29"/>
        <w:numPr>
          <w:ilvl w:val="0"/>
          <w:numId w:val="23"/>
        </w:numPr>
        <w:ind w:firstLineChars="0"/>
        <w:rPr>
          <w:rFonts w:cs="Times New Roman"/>
          <w:color w:val="auto"/>
        </w:rPr>
      </w:pPr>
      <w:r>
        <w:rPr>
          <w:rFonts w:cs="Times New Roman"/>
          <w:color w:val="auto"/>
        </w:rPr>
        <w:t>阀板：球墨铸铁GGG40</w:t>
      </w:r>
    </w:p>
    <w:p>
      <w:pPr>
        <w:pStyle w:val="29"/>
        <w:numPr>
          <w:ilvl w:val="0"/>
          <w:numId w:val="23"/>
        </w:numPr>
        <w:ind w:firstLineChars="0"/>
        <w:rPr>
          <w:rFonts w:cs="Times New Roman"/>
          <w:color w:val="auto"/>
        </w:rPr>
      </w:pPr>
      <w:r>
        <w:rPr>
          <w:rFonts w:cs="Times New Roman"/>
          <w:color w:val="auto"/>
        </w:rPr>
        <w:t>阀轴：奥氏体不锈钢（2cr13）</w:t>
      </w:r>
    </w:p>
    <w:p>
      <w:pPr>
        <w:pStyle w:val="29"/>
        <w:numPr>
          <w:ilvl w:val="0"/>
          <w:numId w:val="23"/>
        </w:numPr>
        <w:ind w:firstLineChars="0"/>
        <w:rPr>
          <w:rFonts w:cs="Times New Roman"/>
          <w:color w:val="auto"/>
        </w:rPr>
      </w:pPr>
      <w:r>
        <w:rPr>
          <w:rFonts w:cs="Times New Roman"/>
          <w:color w:val="auto"/>
        </w:rPr>
        <w:t>密封橡胶：EPDM或NBR</w:t>
      </w:r>
    </w:p>
    <w:p>
      <w:pPr>
        <w:pStyle w:val="29"/>
        <w:numPr>
          <w:ilvl w:val="0"/>
          <w:numId w:val="23"/>
        </w:numPr>
        <w:ind w:firstLineChars="0"/>
        <w:rPr>
          <w:rFonts w:cs="Times New Roman"/>
          <w:color w:val="auto"/>
        </w:rPr>
      </w:pPr>
      <w:r>
        <w:rPr>
          <w:rFonts w:cs="Times New Roman"/>
          <w:color w:val="auto"/>
        </w:rPr>
        <w:t>间隙套筒：采用锡青铜</w:t>
      </w:r>
    </w:p>
    <w:p>
      <w:pPr>
        <w:pStyle w:val="29"/>
        <w:numPr>
          <w:ilvl w:val="0"/>
          <w:numId w:val="23"/>
        </w:numPr>
        <w:ind w:firstLineChars="0"/>
        <w:rPr>
          <w:rFonts w:cs="Times New Roman"/>
          <w:color w:val="auto"/>
        </w:rPr>
      </w:pPr>
      <w:r>
        <w:rPr>
          <w:rFonts w:cs="Times New Roman"/>
          <w:color w:val="auto"/>
        </w:rPr>
        <w:t>主轴螺母：黄铜</w:t>
      </w:r>
    </w:p>
    <w:p>
      <w:pPr>
        <w:pStyle w:val="28"/>
        <w:spacing w:before="120" w:after="120"/>
        <w:rPr>
          <w:b/>
          <w:color w:val="auto"/>
        </w:rPr>
      </w:pPr>
      <w:bookmarkStart w:id="285" w:name="_Toc117181388"/>
      <w:r>
        <w:rPr>
          <w:b/>
          <w:color w:val="auto"/>
        </w:rPr>
        <w:t>手动/电动软密封法兰蝶阀</w:t>
      </w:r>
      <w:bookmarkEnd w:id="285"/>
    </w:p>
    <w:p>
      <w:pPr>
        <w:pStyle w:val="29"/>
        <w:ind w:firstLine="472"/>
        <w:rPr>
          <w:rFonts w:cs="Times New Roman"/>
          <w:color w:val="auto"/>
        </w:rPr>
      </w:pPr>
      <w:r>
        <w:rPr>
          <w:rFonts w:cs="Times New Roman"/>
          <w:color w:val="auto"/>
        </w:rPr>
        <w:t>1、工作原理、结构蝶阀的蝶板安装于管道的直径方向，用于管路的启闭和流量的调节。通过传动手轮经蜗</w:t>
      </w:r>
    </w:p>
    <w:p>
      <w:pPr>
        <w:pStyle w:val="29"/>
        <w:ind w:firstLine="472"/>
        <w:rPr>
          <w:rFonts w:cs="Times New Roman"/>
          <w:color w:val="auto"/>
        </w:rPr>
      </w:pPr>
      <w:r>
        <w:rPr>
          <w:rFonts w:cs="Times New Roman"/>
          <w:color w:val="auto"/>
        </w:rPr>
        <w:t>轮副等机构减速，带动阀轴、蝶板转动，其调节范围为0°~90°之间。阀门的关闭和开启位置均有限位机构限位，并有指示机构同步显示蝶板的开度状态。蝶阀主要由阀体、蝶板、阀轴、阀座、密封圈、传动机构组成。</w:t>
      </w:r>
    </w:p>
    <w:p>
      <w:pPr>
        <w:pStyle w:val="29"/>
        <w:ind w:firstLine="472"/>
        <w:rPr>
          <w:rFonts w:cs="Times New Roman"/>
          <w:color w:val="auto"/>
        </w:rPr>
      </w:pPr>
      <w:r>
        <w:rPr>
          <w:rFonts w:cs="Times New Roman"/>
          <w:color w:val="auto"/>
        </w:rPr>
        <w:t>2、整体规格、性能要求</w:t>
      </w:r>
    </w:p>
    <w:p>
      <w:pPr>
        <w:pStyle w:val="29"/>
        <w:ind w:firstLine="472"/>
        <w:rPr>
          <w:rFonts w:cs="Times New Roman"/>
          <w:color w:val="auto"/>
        </w:rPr>
      </w:pPr>
      <w:r>
        <w:rPr>
          <w:rFonts w:cs="Times New Roman"/>
          <w:color w:val="auto"/>
        </w:rPr>
        <w:t>1)蝶阀的设计和制造应遵照GB12238-2008标准的规定。</w:t>
      </w:r>
    </w:p>
    <w:p>
      <w:pPr>
        <w:pStyle w:val="29"/>
        <w:ind w:firstLine="472"/>
        <w:rPr>
          <w:rFonts w:cs="Times New Roman"/>
          <w:color w:val="auto"/>
        </w:rPr>
      </w:pPr>
      <w:r>
        <w:rPr>
          <w:rFonts w:cs="Times New Roman"/>
          <w:color w:val="auto"/>
        </w:rPr>
        <w:t>2)阀体的结构长度按照GB12221-2005标准的规定。</w:t>
      </w:r>
    </w:p>
    <w:p>
      <w:pPr>
        <w:pStyle w:val="29"/>
        <w:ind w:firstLine="472"/>
        <w:rPr>
          <w:rFonts w:cs="Times New Roman"/>
          <w:color w:val="auto"/>
        </w:rPr>
      </w:pPr>
      <w:r>
        <w:rPr>
          <w:rFonts w:cs="Times New Roman"/>
          <w:color w:val="auto"/>
        </w:rPr>
        <w:t>3)阀体的法兰连接尺寸按照GB/T17241.6-98。</w:t>
      </w:r>
    </w:p>
    <w:p>
      <w:pPr>
        <w:pStyle w:val="29"/>
        <w:ind w:firstLine="472"/>
        <w:rPr>
          <w:rFonts w:cs="Times New Roman"/>
          <w:color w:val="auto"/>
        </w:rPr>
      </w:pPr>
      <w:r>
        <w:rPr>
          <w:rFonts w:cs="Times New Roman"/>
          <w:color w:val="auto"/>
        </w:rPr>
        <w:t>4)</w:t>
      </w:r>
      <w:r>
        <w:rPr>
          <w:rFonts w:ascii="Segoe UI Symbol" w:hAnsi="Segoe UI Symbol" w:cs="Segoe UI Symbol"/>
          <w:color w:val="auto"/>
        </w:rPr>
        <w:t>★</w:t>
      </w:r>
      <w:r>
        <w:rPr>
          <w:rFonts w:cs="Times New Roman"/>
          <w:color w:val="auto"/>
        </w:rPr>
        <w:t>空气管道阀门工作介质温度为80℃，最高120℃。</w:t>
      </w:r>
    </w:p>
    <w:p>
      <w:pPr>
        <w:pStyle w:val="29"/>
        <w:ind w:firstLine="472"/>
        <w:rPr>
          <w:rFonts w:cs="Times New Roman"/>
          <w:color w:val="auto"/>
        </w:rPr>
      </w:pPr>
      <w:r>
        <w:rPr>
          <w:rFonts w:cs="Times New Roman"/>
          <w:color w:val="auto"/>
        </w:rPr>
        <w:t>5)要求蝶阀的最高工作压力详清单，其它要求按照规范执行。</w:t>
      </w:r>
    </w:p>
    <w:p>
      <w:pPr>
        <w:pStyle w:val="29"/>
        <w:ind w:firstLine="472"/>
        <w:rPr>
          <w:rFonts w:cs="Times New Roman"/>
          <w:color w:val="auto"/>
        </w:rPr>
      </w:pPr>
      <w:r>
        <w:rPr>
          <w:rFonts w:cs="Times New Roman"/>
          <w:color w:val="auto"/>
        </w:rPr>
        <w:t>3、</w:t>
      </w:r>
      <w:r>
        <w:rPr>
          <w:rFonts w:ascii="Segoe UI Symbol" w:hAnsi="Segoe UI Symbol" w:cs="Segoe UI Symbol"/>
          <w:color w:val="auto"/>
        </w:rPr>
        <w:t>★</w:t>
      </w:r>
      <w:r>
        <w:rPr>
          <w:rFonts w:cs="Times New Roman"/>
          <w:color w:val="auto"/>
        </w:rPr>
        <w:t>技术要求</w:t>
      </w:r>
    </w:p>
    <w:p>
      <w:pPr>
        <w:pStyle w:val="29"/>
        <w:ind w:firstLine="472"/>
        <w:rPr>
          <w:rFonts w:cs="Times New Roman"/>
          <w:color w:val="auto"/>
        </w:rPr>
      </w:pPr>
      <w:r>
        <w:rPr>
          <w:rFonts w:cs="Times New Roman"/>
          <w:color w:val="auto"/>
        </w:rPr>
        <w:t>1）阀体：</w:t>
      </w:r>
    </w:p>
    <w:p>
      <w:pPr>
        <w:pStyle w:val="29"/>
        <w:ind w:firstLine="472"/>
        <w:rPr>
          <w:rFonts w:cs="Times New Roman"/>
          <w:color w:val="auto"/>
        </w:rPr>
      </w:pPr>
      <w:r>
        <w:rPr>
          <w:rFonts w:cs="Times New Roman"/>
          <w:color w:val="auto"/>
        </w:rPr>
        <w:t>阀体最小壁厚应保证在承受1.5倍以上的额定工作压力时所有部件不发生变形及泄漏。材料为球墨铸铁QT400-15或等效材料。法兰与阀体铸为一体，法兰盘连接尺寸应符合ISO5752标准（公制）或相应GB标准的规定。阀门阀体上的适当地方应原始浇铸有阀门口径，工作压力和生产厂家LOGO。。</w:t>
      </w:r>
    </w:p>
    <w:p>
      <w:pPr>
        <w:pStyle w:val="29"/>
        <w:ind w:firstLine="472"/>
        <w:rPr>
          <w:rFonts w:cs="Times New Roman"/>
          <w:color w:val="auto"/>
        </w:rPr>
      </w:pPr>
      <w:r>
        <w:rPr>
          <w:rFonts w:cs="Times New Roman"/>
          <w:color w:val="auto"/>
        </w:rPr>
        <w:t>2）阀板（蝶板）</w:t>
      </w:r>
    </w:p>
    <w:p>
      <w:pPr>
        <w:pStyle w:val="29"/>
        <w:ind w:firstLine="472"/>
        <w:rPr>
          <w:rFonts w:cs="Times New Roman"/>
          <w:color w:val="auto"/>
        </w:rPr>
      </w:pPr>
      <w:r>
        <w:rPr>
          <w:rFonts w:ascii="Segoe UI Symbol" w:hAnsi="Segoe UI Symbol" w:cs="Segoe UI Symbol"/>
          <w:color w:val="auto"/>
        </w:rPr>
        <w:t>★</w:t>
      </w:r>
      <w:r>
        <w:rPr>
          <w:rFonts w:cs="Times New Roman"/>
          <w:color w:val="auto"/>
        </w:rPr>
        <w:t>蝶阀的蝶板采用双偏心的设计，材料采用球墨铸铁QT400-15。为确保阀门过流能力，蝶板应采用薄型设计，不得采用通轴结构。阀板边缘应球形抛光。蝶板两端与轴连接部分应采用盲孔设计，以确保蝶板与阀轴连接部分不受液体腐蚀；蝶板的设计应力应能承受作用在</w:t>
      </w:r>
    </w:p>
    <w:p>
      <w:pPr>
        <w:pStyle w:val="29"/>
        <w:ind w:firstLine="472"/>
        <w:rPr>
          <w:rFonts w:cs="Times New Roman"/>
          <w:color w:val="auto"/>
        </w:rPr>
      </w:pPr>
      <w:r>
        <w:rPr>
          <w:rFonts w:cs="Times New Roman"/>
          <w:color w:val="auto"/>
        </w:rPr>
        <w:t>关闭蝶阀上的全部压差，而所产生的工作应力不超过使用材料的抗拉强度的1/5。蝶板全开状态时必须与水流方向平行。蝶板造形应合理，具有噪声低，振动小和气蚀小等特点。</w:t>
      </w:r>
    </w:p>
    <w:p>
      <w:pPr>
        <w:pStyle w:val="29"/>
        <w:ind w:firstLine="472"/>
        <w:rPr>
          <w:rFonts w:cs="Times New Roman"/>
          <w:color w:val="auto"/>
        </w:rPr>
      </w:pPr>
      <w:r>
        <w:rPr>
          <w:rFonts w:cs="Times New Roman"/>
          <w:color w:val="auto"/>
        </w:rPr>
        <w:t>3）阀轴</w:t>
      </w:r>
    </w:p>
    <w:p>
      <w:pPr>
        <w:pStyle w:val="29"/>
        <w:ind w:firstLine="472"/>
        <w:rPr>
          <w:rFonts w:cs="Times New Roman"/>
          <w:color w:val="auto"/>
        </w:rPr>
      </w:pPr>
      <w:r>
        <w:rPr>
          <w:rFonts w:cs="Times New Roman"/>
          <w:color w:val="auto"/>
        </w:rPr>
        <w:t>阀轴是为两根分别插入阀板中的短轴。阀轴的最小直径应满足力矩及有关参数的要求。阀轴材料采用不锈钢2Cr13材料。</w:t>
      </w:r>
    </w:p>
    <w:p>
      <w:pPr>
        <w:pStyle w:val="29"/>
        <w:ind w:firstLine="472"/>
        <w:rPr>
          <w:rFonts w:cs="Times New Roman"/>
          <w:color w:val="auto"/>
        </w:rPr>
      </w:pPr>
      <w:r>
        <w:rPr>
          <w:rFonts w:ascii="Segoe UI Symbol" w:hAnsi="Segoe UI Symbol" w:cs="Segoe UI Symbol"/>
          <w:color w:val="auto"/>
        </w:rPr>
        <w:t>★</w:t>
      </w:r>
      <w:r>
        <w:rPr>
          <w:rFonts w:cs="Times New Roman"/>
          <w:color w:val="auto"/>
        </w:rPr>
        <w:t>阀轴密封应采用干轴设计，其插入阀板处被轴承整体包覆，青铜轴承内需至少有三道O形环密封（投标时须提供剖视结构图为证），以确保终生免维护。青铜轴承端面应与阀板有配合面，以确保阀板在长期运行过程中的防腐性能；</w:t>
      </w:r>
    </w:p>
    <w:p>
      <w:pPr>
        <w:pStyle w:val="29"/>
        <w:ind w:firstLine="472"/>
        <w:rPr>
          <w:rFonts w:cs="Times New Roman"/>
          <w:color w:val="auto"/>
        </w:rPr>
      </w:pPr>
      <w:r>
        <w:rPr>
          <w:rFonts w:cs="Times New Roman"/>
          <w:color w:val="auto"/>
        </w:rPr>
        <w:t>4）阀轴与阀板的连接阀轴和阀板的连接采用销连接，不得采用键或螺栓连接，以免导致松动或传动时产生剪</w:t>
      </w:r>
    </w:p>
    <w:p>
      <w:pPr>
        <w:pStyle w:val="29"/>
        <w:ind w:firstLine="472"/>
        <w:rPr>
          <w:rFonts w:cs="Times New Roman"/>
          <w:color w:val="auto"/>
        </w:rPr>
      </w:pPr>
      <w:r>
        <w:rPr>
          <w:rFonts w:cs="Times New Roman"/>
          <w:color w:val="auto"/>
        </w:rPr>
        <w:t>切力，应能满足传递相当于最小轴径扭转强度的转矩要求。轴与阀板应紧密装配，以保证在开启或关闭操作中对阀门性能不产生有害影响。</w:t>
      </w:r>
    </w:p>
    <w:p>
      <w:pPr>
        <w:pStyle w:val="29"/>
        <w:ind w:firstLine="472"/>
        <w:rPr>
          <w:rFonts w:cs="Times New Roman"/>
          <w:color w:val="auto"/>
        </w:rPr>
      </w:pPr>
      <w:r>
        <w:rPr>
          <w:rFonts w:cs="Times New Roman"/>
          <w:color w:val="auto"/>
        </w:rPr>
        <w:t>5）密封圈</w:t>
      </w:r>
    </w:p>
    <w:p>
      <w:pPr>
        <w:pStyle w:val="29"/>
        <w:ind w:firstLine="472"/>
        <w:rPr>
          <w:rFonts w:cs="Times New Roman"/>
          <w:color w:val="auto"/>
        </w:rPr>
      </w:pPr>
      <w:r>
        <w:rPr>
          <w:rFonts w:cs="Times New Roman"/>
          <w:color w:val="auto"/>
        </w:rPr>
        <w:t>密封圈设计制造必须保证在阀板关闭时，任一侧为额定工作压力，另一侧为无压力时不漏水。正反向受压和密封性试验应出具报告。</w:t>
      </w:r>
    </w:p>
    <w:p>
      <w:pPr>
        <w:pStyle w:val="29"/>
        <w:ind w:firstLine="472"/>
        <w:rPr>
          <w:rFonts w:cs="Times New Roman"/>
          <w:color w:val="auto"/>
        </w:rPr>
      </w:pPr>
      <w:r>
        <w:rPr>
          <w:rFonts w:ascii="Segoe UI Symbol" w:hAnsi="Segoe UI Symbol" w:cs="Segoe UI Symbol"/>
          <w:color w:val="auto"/>
        </w:rPr>
        <w:t>★</w:t>
      </w:r>
      <w:r>
        <w:rPr>
          <w:rFonts w:cs="Times New Roman"/>
          <w:color w:val="auto"/>
        </w:rPr>
        <w:t>橡胶密封圈应固定于阀板上，密封型式采用具有自密封功能的软密封型式。其中三元乙丙橡胶（EPDM）密封圈是以整体由压板压在阀板上，且有一定的嵌入自由度，能在一定范围内自身调节密封，实现双向密封，确保零泄漏。橡胶密封圈应能简易地拆装更换，以实现阀门使用的长效性。密封圈必须采用全新的EPDM橡胶，应有良好的耐磨性、抗腐蚀性、抗冲击性、抗微生物侵蚀及抗老化（30年以上）等性能。橡胶成份应符合DVGWW270饮用水标准，投标时须提供相应证明。</w:t>
      </w:r>
    </w:p>
    <w:p>
      <w:pPr>
        <w:pStyle w:val="29"/>
        <w:ind w:firstLine="472"/>
        <w:rPr>
          <w:rFonts w:cs="Times New Roman"/>
          <w:color w:val="auto"/>
        </w:rPr>
      </w:pPr>
      <w:r>
        <w:rPr>
          <w:rFonts w:cs="Times New Roman"/>
          <w:color w:val="auto"/>
        </w:rPr>
        <w:t>6）阀座</w:t>
      </w:r>
    </w:p>
    <w:p>
      <w:pPr>
        <w:pStyle w:val="29"/>
        <w:ind w:firstLine="472"/>
        <w:rPr>
          <w:rFonts w:cs="Times New Roman"/>
          <w:color w:val="auto"/>
        </w:rPr>
      </w:pPr>
      <w:r>
        <w:rPr>
          <w:rFonts w:ascii="Segoe UI Symbol" w:hAnsi="Segoe UI Symbol" w:cs="Segoe UI Symbol"/>
          <w:color w:val="auto"/>
        </w:rPr>
        <w:t>★</w:t>
      </w:r>
      <w:r>
        <w:rPr>
          <w:rFonts w:cs="Times New Roman"/>
          <w:color w:val="auto"/>
        </w:rPr>
        <w:t>阀体上必须设计阀座以承受阀门关闭时的高流速冲击，为消除阀座与阀体金属间的极相腐蚀，确保坚固耐用和避免阀座腐蚀对密封圈的损伤，应优先采用镍铬合金不锈钢材料堆焊阀座，不得采用上螺栓的方式固定阀座以杜绝泄漏隐患，投标时须提供阀座加工工艺图</w:t>
      </w:r>
    </w:p>
    <w:p>
      <w:pPr>
        <w:pStyle w:val="29"/>
        <w:ind w:firstLine="472"/>
        <w:rPr>
          <w:rFonts w:cs="Times New Roman"/>
          <w:color w:val="auto"/>
        </w:rPr>
      </w:pPr>
      <w:r>
        <w:rPr>
          <w:rFonts w:cs="Times New Roman"/>
          <w:color w:val="auto"/>
        </w:rPr>
        <w:t>片为证；为确保阀座有足够的韧性、刚度和耐腐蚀性，镍含量应不小于60%，铬含量不小于13%。提标时须提供材质成份报告。</w:t>
      </w:r>
    </w:p>
    <w:p>
      <w:pPr>
        <w:pStyle w:val="29"/>
        <w:ind w:firstLine="472"/>
        <w:rPr>
          <w:rFonts w:cs="Times New Roman"/>
          <w:color w:val="auto"/>
        </w:rPr>
      </w:pPr>
      <w:r>
        <w:rPr>
          <w:rFonts w:cs="Times New Roman"/>
          <w:color w:val="auto"/>
        </w:rPr>
        <w:t>7）轴承</w:t>
      </w:r>
    </w:p>
    <w:p>
      <w:pPr>
        <w:pStyle w:val="29"/>
        <w:ind w:firstLine="472"/>
        <w:rPr>
          <w:rFonts w:cs="Times New Roman"/>
          <w:color w:val="auto"/>
        </w:rPr>
      </w:pPr>
      <w:r>
        <w:rPr>
          <w:rFonts w:cs="Times New Roman"/>
          <w:color w:val="auto"/>
        </w:rPr>
        <w:t>阀体轴承应采用有自润滑的材料制成，这种材料对水与橡胶不产生有害影响。轴承与阀轴的连接，应能保证轴承有很好的性能。在最大的压力负荷下，轴承运转时磨擦系数不超过0.25。</w:t>
      </w:r>
    </w:p>
    <w:p>
      <w:pPr>
        <w:pStyle w:val="29"/>
        <w:ind w:firstLine="472"/>
        <w:rPr>
          <w:rFonts w:cs="Times New Roman"/>
          <w:color w:val="auto"/>
        </w:rPr>
      </w:pPr>
      <w:r>
        <w:rPr>
          <w:rFonts w:cs="Times New Roman"/>
          <w:color w:val="auto"/>
        </w:rPr>
        <w:t>8）轴的密封</w:t>
      </w:r>
    </w:p>
    <w:p>
      <w:pPr>
        <w:pStyle w:val="29"/>
        <w:ind w:firstLine="472"/>
        <w:rPr>
          <w:rFonts w:cs="Times New Roman"/>
          <w:color w:val="auto"/>
        </w:rPr>
      </w:pPr>
      <w:r>
        <w:rPr>
          <w:rFonts w:cs="Times New Roman"/>
          <w:color w:val="auto"/>
        </w:rPr>
        <w:t>选择耐久的轴封材料，采用新型的O型密封圈轴封形式。</w:t>
      </w:r>
    </w:p>
    <w:p>
      <w:pPr>
        <w:pStyle w:val="29"/>
        <w:ind w:firstLine="472"/>
        <w:rPr>
          <w:rFonts w:cs="Times New Roman"/>
          <w:color w:val="auto"/>
        </w:rPr>
      </w:pPr>
      <w:r>
        <w:rPr>
          <w:rFonts w:cs="Times New Roman"/>
          <w:color w:val="auto"/>
        </w:rPr>
        <w:t>4、</w:t>
      </w:r>
      <w:r>
        <w:rPr>
          <w:rFonts w:ascii="Segoe UI Symbol" w:hAnsi="Segoe UI Symbol" w:cs="Segoe UI Symbol"/>
          <w:color w:val="auto"/>
        </w:rPr>
        <w:t>★</w:t>
      </w:r>
      <w:r>
        <w:rPr>
          <w:rFonts w:cs="Times New Roman"/>
          <w:color w:val="auto"/>
        </w:rPr>
        <w:t>操作机构</w:t>
      </w:r>
    </w:p>
    <w:p>
      <w:pPr>
        <w:pStyle w:val="29"/>
        <w:ind w:firstLine="472"/>
        <w:rPr>
          <w:rFonts w:cs="Times New Roman"/>
          <w:color w:val="auto"/>
        </w:rPr>
      </w:pPr>
      <w:r>
        <w:rPr>
          <w:rFonts w:cs="Times New Roman"/>
          <w:color w:val="auto"/>
        </w:rPr>
        <w:t>阀门的传动机构为蜗轮蜗杆式，防水防尘IP67，全密封自润滑，要有足够的刚度，能承受所需的力矩，保证阀板在开启或关闭时的稳定性。所有蝶阀都应装配开启和关闭的限位器</w:t>
      </w:r>
      <w:r>
        <w:rPr>
          <w:rFonts w:cs="Times New Roman"/>
          <w:color w:val="auto"/>
          <w:spacing w:val="-7"/>
        </w:rPr>
        <w:t>和开度指示器。传动机构的支座及阀体的连接部件要有足够的刚度和强度，设计的安全系数，</w:t>
      </w:r>
      <w:r>
        <w:rPr>
          <w:rFonts w:cs="Times New Roman"/>
          <w:color w:val="auto"/>
        </w:rPr>
        <w:t>以材料的抗拉为基础时，不小于</w:t>
      </w:r>
      <w:r>
        <w:rPr>
          <w:rFonts w:eastAsia="Calibri" w:cs="Times New Roman"/>
          <w:color w:val="auto"/>
        </w:rPr>
        <w:t>5</w:t>
      </w:r>
      <w:r>
        <w:rPr>
          <w:rFonts w:cs="Times New Roman"/>
          <w:color w:val="auto"/>
        </w:rPr>
        <w:t>；以屈服强度为基础时，不小于</w:t>
      </w:r>
      <w:r>
        <w:rPr>
          <w:rFonts w:eastAsia="Calibri" w:cs="Times New Roman"/>
          <w:color w:val="auto"/>
        </w:rPr>
        <w:t>3</w:t>
      </w:r>
      <w:r>
        <w:rPr>
          <w:rFonts w:cs="Times New Roman"/>
          <w:color w:val="auto"/>
        </w:rPr>
        <w:t>。</w:t>
      </w:r>
    </w:p>
    <w:p>
      <w:pPr>
        <w:pStyle w:val="29"/>
        <w:ind w:firstLine="472"/>
        <w:rPr>
          <w:rFonts w:cs="Times New Roman"/>
          <w:color w:val="auto"/>
        </w:rPr>
      </w:pPr>
      <w:r>
        <w:rPr>
          <w:rFonts w:cs="Times New Roman"/>
          <w:color w:val="auto"/>
        </w:rPr>
        <w:t>一般在口径≥200mm以上的阀门应带有一个蜗轮蜗杆齿轮箱及显示阀门板位置的指示器。</w:t>
      </w:r>
    </w:p>
    <w:p>
      <w:pPr>
        <w:pStyle w:val="29"/>
        <w:ind w:firstLine="472"/>
        <w:rPr>
          <w:rFonts w:cs="Times New Roman"/>
          <w:color w:val="auto"/>
        </w:rPr>
      </w:pPr>
      <w:r>
        <w:rPr>
          <w:rFonts w:cs="Times New Roman"/>
          <w:color w:val="auto"/>
        </w:rPr>
        <w:t>1）、材质</w:t>
      </w:r>
    </w:p>
    <w:p>
      <w:pPr>
        <w:pStyle w:val="29"/>
        <w:ind w:firstLine="472"/>
        <w:rPr>
          <w:rFonts w:cs="Times New Roman"/>
          <w:color w:val="auto"/>
        </w:rPr>
      </w:pPr>
      <w:r>
        <w:rPr>
          <w:rFonts w:ascii="Segoe UI Symbol" w:hAnsi="Segoe UI Symbol" w:cs="Segoe UI Symbol"/>
          <w:color w:val="auto"/>
        </w:rPr>
        <w:t>★</w:t>
      </w:r>
      <w:r>
        <w:rPr>
          <w:rFonts w:cs="Times New Roman"/>
          <w:color w:val="auto"/>
        </w:rPr>
        <w:t>阀体和阀板：球墨铸铁QT400-15或等同国际标准阀轴：不锈钢2Cr13或等同国际标准。</w:t>
      </w:r>
    </w:p>
    <w:p>
      <w:pPr>
        <w:pStyle w:val="29"/>
        <w:ind w:firstLine="472"/>
        <w:rPr>
          <w:rFonts w:cs="Times New Roman"/>
          <w:color w:val="auto"/>
        </w:rPr>
      </w:pPr>
      <w:r>
        <w:rPr>
          <w:rFonts w:ascii="Segoe UI Symbol" w:hAnsi="Segoe UI Symbol" w:cs="Segoe UI Symbol"/>
          <w:color w:val="auto"/>
        </w:rPr>
        <w:t>★</w:t>
      </w:r>
      <w:r>
        <w:rPr>
          <w:rFonts w:cs="Times New Roman"/>
          <w:color w:val="auto"/>
        </w:rPr>
        <w:t>阀座：镍铬合金堆焊并精磨轴承：青铜</w:t>
      </w:r>
    </w:p>
    <w:p>
      <w:pPr>
        <w:pStyle w:val="29"/>
        <w:ind w:firstLine="472"/>
        <w:rPr>
          <w:rFonts w:cs="Times New Roman"/>
          <w:color w:val="auto"/>
        </w:rPr>
      </w:pPr>
      <w:r>
        <w:rPr>
          <w:rFonts w:cs="Times New Roman"/>
          <w:color w:val="auto"/>
        </w:rPr>
        <w:t>密封圈：EPDM</w:t>
      </w:r>
    </w:p>
    <w:p>
      <w:pPr>
        <w:pStyle w:val="29"/>
        <w:ind w:firstLine="472"/>
        <w:rPr>
          <w:rFonts w:cs="Times New Roman"/>
          <w:color w:val="auto"/>
        </w:rPr>
      </w:pPr>
      <w:r>
        <w:rPr>
          <w:rFonts w:cs="Times New Roman"/>
          <w:color w:val="auto"/>
        </w:rPr>
        <w:t>2）、工作性能试验</w:t>
      </w:r>
    </w:p>
    <w:p>
      <w:pPr>
        <w:pStyle w:val="29"/>
        <w:ind w:firstLine="472"/>
        <w:rPr>
          <w:rFonts w:cs="Times New Roman"/>
          <w:color w:val="auto"/>
        </w:rPr>
      </w:pPr>
      <w:r>
        <w:rPr>
          <w:rFonts w:cs="Times New Roman"/>
          <w:color w:val="auto"/>
        </w:rPr>
        <w:t>阀门强度实验和密封试验按国家标准执行（橡胶密封：密封试验双向达到GB13927中A级要求）。在正常工作中，阀门关闭时，要求双向零泄漏。</w:t>
      </w:r>
    </w:p>
    <w:p>
      <w:pPr>
        <w:pStyle w:val="29"/>
        <w:ind w:firstLine="472"/>
        <w:rPr>
          <w:rFonts w:cs="Times New Roman"/>
          <w:color w:val="auto"/>
        </w:rPr>
      </w:pPr>
      <w:r>
        <w:rPr>
          <w:rFonts w:cs="Times New Roman"/>
          <w:color w:val="auto"/>
        </w:rPr>
        <w:t>2.1）每一台阀门都应在工厂内进行三次全开到全闭试验以及相反三次的试验(在水不流动的情况下)，用于显示整个组装能否正常工作。</w:t>
      </w:r>
    </w:p>
    <w:p>
      <w:pPr>
        <w:pStyle w:val="29"/>
        <w:ind w:firstLine="472"/>
        <w:rPr>
          <w:rFonts w:cs="Times New Roman"/>
          <w:color w:val="auto"/>
        </w:rPr>
      </w:pPr>
      <w:r>
        <w:rPr>
          <w:rFonts w:cs="Times New Roman"/>
          <w:color w:val="auto"/>
        </w:rPr>
        <w:t>2.2）对所有阀门进行漏水试验，在阀门处于全闭的条件下，施加压力(水压)到阀板的一侧。试验压力历时至少应为5分钟，在测试期内应观察渗漏现象。</w:t>
      </w:r>
    </w:p>
    <w:p>
      <w:pPr>
        <w:pStyle w:val="29"/>
        <w:ind w:firstLine="472"/>
        <w:rPr>
          <w:rFonts w:cs="Times New Roman"/>
          <w:color w:val="auto"/>
        </w:rPr>
      </w:pPr>
      <w:r>
        <w:rPr>
          <w:rFonts w:cs="Times New Roman"/>
          <w:color w:val="auto"/>
        </w:rPr>
        <w:t>2.3）供方应与买方协商关于现场试验的方法，在考虑现场情况下，采取相应现场的试验步骤。</w:t>
      </w:r>
    </w:p>
    <w:p>
      <w:pPr>
        <w:pStyle w:val="29"/>
        <w:ind w:firstLine="472"/>
        <w:rPr>
          <w:rFonts w:cs="Times New Roman"/>
          <w:color w:val="auto"/>
        </w:rPr>
      </w:pPr>
      <w:r>
        <w:rPr>
          <w:rFonts w:cs="Times New Roman"/>
          <w:color w:val="auto"/>
        </w:rPr>
        <w:t>每台阀都要通过现场试验，供方应选派合格的技术人员到现场去参加现场试验。</w:t>
      </w:r>
    </w:p>
    <w:p>
      <w:pPr>
        <w:pStyle w:val="29"/>
        <w:ind w:firstLine="472"/>
        <w:rPr>
          <w:rFonts w:cs="Times New Roman"/>
          <w:color w:val="auto"/>
        </w:rPr>
      </w:pPr>
      <w:r>
        <w:rPr>
          <w:rFonts w:cs="Times New Roman"/>
          <w:color w:val="auto"/>
        </w:rPr>
        <w:t>3）、防腐保护</w:t>
      </w:r>
    </w:p>
    <w:p>
      <w:pPr>
        <w:pStyle w:val="29"/>
        <w:ind w:firstLine="472"/>
        <w:rPr>
          <w:rFonts w:cs="Times New Roman"/>
          <w:color w:val="auto"/>
        </w:rPr>
      </w:pPr>
      <w:r>
        <w:rPr>
          <w:rFonts w:cs="Times New Roman"/>
          <w:color w:val="auto"/>
        </w:rPr>
        <w:t>3.1)铸件必须除锈，应达到GB/T8923中规定的Sa2.5级表面处理等级。</w:t>
      </w:r>
    </w:p>
    <w:p>
      <w:pPr>
        <w:pStyle w:val="29"/>
        <w:ind w:firstLine="472"/>
        <w:rPr>
          <w:rFonts w:cs="Times New Roman"/>
          <w:color w:val="auto"/>
        </w:rPr>
      </w:pPr>
      <w:r>
        <w:rPr>
          <w:rFonts w:cs="Times New Roman"/>
          <w:color w:val="auto"/>
        </w:rPr>
        <w:t>3.2)除橡胶、铜及不锈钢外，阀体等铸件在完全除锈、除水及气体之后内外表面均须以卫生级环氧树脂粉末涂敷（静电喷涂法）。</w:t>
      </w:r>
    </w:p>
    <w:p>
      <w:pPr>
        <w:pStyle w:val="29"/>
        <w:ind w:firstLine="472"/>
        <w:rPr>
          <w:rFonts w:cs="Times New Roman"/>
          <w:color w:val="auto"/>
        </w:rPr>
      </w:pPr>
      <w:r>
        <w:rPr>
          <w:rFonts w:cs="Times New Roman"/>
          <w:color w:val="auto"/>
        </w:rPr>
        <w:t>3.3)涂层光滑均匀无缺陷，涂料干后不溶解于水，不影响水质，并不因空气温度变化而分解。</w:t>
      </w:r>
    </w:p>
    <w:p>
      <w:pPr>
        <w:pStyle w:val="29"/>
        <w:ind w:firstLine="472"/>
        <w:rPr>
          <w:rFonts w:cs="Times New Roman"/>
          <w:color w:val="auto"/>
        </w:rPr>
      </w:pPr>
      <w:r>
        <w:rPr>
          <w:rFonts w:cs="Times New Roman"/>
          <w:color w:val="auto"/>
        </w:rPr>
        <w:t>3.4)涂层厚度不低于250μm，颜色为蓝色或白色。</w:t>
      </w:r>
    </w:p>
    <w:p>
      <w:pPr>
        <w:pStyle w:val="29"/>
        <w:ind w:firstLine="472"/>
        <w:rPr>
          <w:rFonts w:cs="Times New Roman"/>
          <w:color w:val="auto"/>
        </w:rPr>
      </w:pPr>
      <w:r>
        <w:rPr>
          <w:rFonts w:cs="Times New Roman"/>
          <w:color w:val="auto"/>
        </w:rPr>
        <w:t>3.5)粉末涂料必须经过检测，符合饮用水卫生要求(GB/T17219)，并出具省级以上卫生部门的检测报告。如采用进口粉末涂料，应出具涂料生产厂家所在国提供的检测报告。</w:t>
      </w:r>
    </w:p>
    <w:p>
      <w:pPr>
        <w:pStyle w:val="29"/>
        <w:ind w:firstLine="472"/>
        <w:rPr>
          <w:rFonts w:cs="Times New Roman"/>
          <w:color w:val="auto"/>
        </w:rPr>
      </w:pPr>
      <w:r>
        <w:rPr>
          <w:rFonts w:cs="Times New Roman"/>
          <w:color w:val="auto"/>
        </w:rPr>
        <w:t>3.6)喷涂完成后必须对涂层质量进行涂层厚度、绝缘性、抗冲击性能、附着性、黏附强度及网格测试，以确保阀门经表面处理后有优良的防腐性能，表面处理寿命不小于30年，须在标书中对阀门喷涂涂层测试方法进行具体说明并提供测试图片证明</w:t>
      </w:r>
    </w:p>
    <w:p>
      <w:pPr>
        <w:pStyle w:val="29"/>
        <w:ind w:firstLine="472"/>
        <w:rPr>
          <w:rFonts w:cs="Times New Roman"/>
          <w:color w:val="auto"/>
        </w:rPr>
      </w:pPr>
      <w:r>
        <w:rPr>
          <w:rFonts w:cs="Times New Roman"/>
          <w:color w:val="auto"/>
        </w:rPr>
        <w:t>4）、电动蝶阀所配执行机构</w:t>
      </w:r>
    </w:p>
    <w:p>
      <w:pPr>
        <w:pStyle w:val="29"/>
        <w:ind w:firstLine="472"/>
        <w:rPr>
          <w:rFonts w:cs="Times New Roman"/>
          <w:color w:val="auto"/>
        </w:rPr>
      </w:pPr>
      <w:r>
        <w:rPr>
          <w:rFonts w:cs="Times New Roman"/>
          <w:color w:val="auto"/>
        </w:rPr>
        <w:t>4.1）基本要求</w:t>
      </w:r>
    </w:p>
    <w:p>
      <w:pPr>
        <w:pStyle w:val="29"/>
        <w:ind w:firstLine="472"/>
        <w:rPr>
          <w:rFonts w:cs="Times New Roman"/>
          <w:color w:val="auto"/>
        </w:rPr>
      </w:pPr>
      <w:r>
        <w:rPr>
          <w:rFonts w:ascii="Segoe UI Symbol" w:hAnsi="Segoe UI Symbol" w:cs="Segoe UI Symbol"/>
          <w:color w:val="auto"/>
        </w:rPr>
        <w:t>★</w:t>
      </w:r>
      <w:r>
        <w:rPr>
          <w:rFonts w:cs="Times New Roman"/>
          <w:color w:val="auto"/>
        </w:rPr>
        <w:t>本工程所需电动执行机构均采用国际知名原装进口品牌的智能型电动执行机构，应采用德国奥玛（AUMA），英国罗托克（ROTORK）、美国利米托克(LIMITORQUE)之一，投标时提供原产地证明或报关文件相关资料。</w:t>
      </w:r>
    </w:p>
    <w:p>
      <w:pPr>
        <w:pStyle w:val="29"/>
        <w:ind w:firstLine="472"/>
        <w:rPr>
          <w:rFonts w:cs="Times New Roman"/>
          <w:color w:val="auto"/>
        </w:rPr>
      </w:pPr>
      <w:r>
        <w:rPr>
          <w:rFonts w:cs="Times New Roman"/>
          <w:color w:val="auto"/>
        </w:rPr>
        <w:t>电机：伺服式可逆电机，F级绝缘。平均负荷不能小于阀门最大驱动力的50%。电机的工作制：间歇启动。电机应动态平衡。</w:t>
      </w:r>
    </w:p>
    <w:p>
      <w:pPr>
        <w:pStyle w:val="29"/>
        <w:ind w:firstLine="472"/>
        <w:rPr>
          <w:rFonts w:cs="Times New Roman"/>
          <w:color w:val="auto"/>
        </w:rPr>
      </w:pPr>
      <w:r>
        <w:rPr>
          <w:rFonts w:cs="Times New Roman"/>
          <w:color w:val="auto"/>
        </w:rPr>
        <w:t>电源：380V、AC、50Hz。执行应结构简单，性能可靠，便于调试、维护和维修。具有锤击功能、自锁式的输出，即使在手动模式下仍保持自锁。电动头多腔独立密封。电源电压降至负值极限时执行器能够正常启动，并保证其行程变化不大于全行程的1.5%，并按正常速度运转。电压误差在±10%，频率误差在±5Hz下，运行性能应得到保证。电动阀门驱动机构上的电机的输出扭矩要大于额定扭矩的1.5倍以上，所有电动操作机构应装有扭距限制器。安装：阀门与执行机构的连接必须灵活方便，执行机构应能安装在阀杆的水平或垂直方向。</w:t>
      </w:r>
    </w:p>
    <w:p>
      <w:pPr>
        <w:pStyle w:val="29"/>
        <w:ind w:firstLine="472"/>
        <w:rPr>
          <w:rFonts w:cs="Times New Roman"/>
          <w:color w:val="auto"/>
        </w:rPr>
      </w:pPr>
      <w:r>
        <w:rPr>
          <w:rFonts w:ascii="Segoe UI Symbol" w:hAnsi="Segoe UI Symbol" w:cs="Segoe UI Symbol"/>
          <w:color w:val="auto"/>
        </w:rPr>
        <w:t>★</w:t>
      </w:r>
      <w:r>
        <w:rPr>
          <w:rFonts w:cs="Times New Roman"/>
          <w:color w:val="auto"/>
        </w:rPr>
        <w:t>防护等级：必须达到IP68的防护等级要求。</w:t>
      </w:r>
    </w:p>
    <w:p>
      <w:pPr>
        <w:pStyle w:val="29"/>
        <w:ind w:firstLine="472"/>
        <w:rPr>
          <w:rFonts w:cs="Times New Roman"/>
          <w:color w:val="auto"/>
        </w:rPr>
      </w:pPr>
      <w:r>
        <w:rPr>
          <w:rFonts w:ascii="Segoe UI Symbol" w:hAnsi="Segoe UI Symbol" w:cs="Segoe UI Symbol"/>
          <w:color w:val="auto"/>
        </w:rPr>
        <w:t>★</w:t>
      </w:r>
      <w:r>
        <w:rPr>
          <w:rFonts w:cs="Times New Roman"/>
          <w:color w:val="auto"/>
        </w:rPr>
        <w:t>密封：应采用先进的双密封结果，保证即使在现场接线时，执行器内部不受外部环境影响。</w:t>
      </w:r>
    </w:p>
    <w:p>
      <w:pPr>
        <w:pStyle w:val="29"/>
        <w:ind w:firstLine="472"/>
        <w:rPr>
          <w:rFonts w:cs="Times New Roman"/>
          <w:color w:val="auto"/>
        </w:rPr>
      </w:pPr>
      <w:r>
        <w:rPr>
          <w:rFonts w:ascii="Segoe UI Symbol" w:hAnsi="Segoe UI Symbol" w:cs="Segoe UI Symbol"/>
          <w:color w:val="auto"/>
        </w:rPr>
        <w:t>★</w:t>
      </w:r>
      <w:r>
        <w:rPr>
          <w:rFonts w:cs="Times New Roman"/>
          <w:color w:val="auto"/>
        </w:rPr>
        <w:t>外壳材质：电动执行机构必须全部采用铸铝合金或铸铁金属壳体,不能采用塑料等其他材料</w:t>
      </w:r>
    </w:p>
    <w:p>
      <w:pPr>
        <w:pStyle w:val="29"/>
        <w:ind w:firstLine="472"/>
        <w:rPr>
          <w:rFonts w:cs="Times New Roman"/>
          <w:color w:val="auto"/>
        </w:rPr>
      </w:pPr>
      <w:r>
        <w:rPr>
          <w:rFonts w:cs="Times New Roman"/>
          <w:color w:val="auto"/>
        </w:rPr>
        <w:t>防腐：整体喷涂环氧聚氨酯，有效防腐防霉。</w:t>
      </w:r>
    </w:p>
    <w:p>
      <w:pPr>
        <w:pStyle w:val="29"/>
        <w:ind w:firstLine="472"/>
        <w:rPr>
          <w:rFonts w:cs="Times New Roman"/>
          <w:color w:val="auto"/>
        </w:rPr>
      </w:pPr>
      <w:r>
        <w:rPr>
          <w:rFonts w:cs="Times New Roman"/>
          <w:color w:val="auto"/>
        </w:rPr>
        <w:t>4.2）主体结构</w:t>
      </w:r>
    </w:p>
    <w:p>
      <w:pPr>
        <w:pStyle w:val="29"/>
        <w:ind w:firstLine="472"/>
        <w:rPr>
          <w:rFonts w:cs="Times New Roman"/>
          <w:color w:val="auto"/>
        </w:rPr>
      </w:pPr>
      <w:r>
        <w:rPr>
          <w:rFonts w:cs="Times New Roman"/>
          <w:color w:val="auto"/>
        </w:rPr>
        <w:t>主要部件应包括，电动机、力矩限制机构/行程控制机构、带背景照明的液晶显示窗口、手-电动切换机构、手轮及电气控制单元部分等。</w:t>
      </w:r>
    </w:p>
    <w:p>
      <w:pPr>
        <w:pStyle w:val="29"/>
        <w:ind w:firstLine="472"/>
        <w:rPr>
          <w:rFonts w:cs="Times New Roman"/>
          <w:color w:val="auto"/>
        </w:rPr>
      </w:pPr>
      <w:r>
        <w:rPr>
          <w:rFonts w:cs="Times New Roman"/>
          <w:color w:val="auto"/>
        </w:rPr>
        <w:t>4.2.1）电动机</w:t>
      </w:r>
    </w:p>
    <w:p>
      <w:pPr>
        <w:pStyle w:val="29"/>
        <w:ind w:firstLine="472"/>
        <w:rPr>
          <w:rFonts w:cs="Times New Roman"/>
          <w:color w:val="auto"/>
        </w:rPr>
      </w:pPr>
      <w:r>
        <w:rPr>
          <w:rFonts w:cs="Times New Roman"/>
          <w:color w:val="auto"/>
        </w:rPr>
        <w:t>所有电动机应符合JB2195、IEC60034标准。所有电动机的绝缘应采用F级绝缘，按B级绝缘考核温升。电机具有高启动力矩低惯性。采用阀门专用三相鼠笼式异步电动机，额定持续工作时间不应低于15min。电动机为整体式，定子和转子不能分开。</w:t>
      </w:r>
    </w:p>
    <w:p>
      <w:pPr>
        <w:pStyle w:val="29"/>
        <w:ind w:firstLine="472"/>
        <w:rPr>
          <w:rFonts w:cs="Times New Roman"/>
          <w:color w:val="auto"/>
        </w:rPr>
      </w:pPr>
      <w:r>
        <w:rPr>
          <w:rFonts w:cs="Times New Roman"/>
          <w:color w:val="auto"/>
        </w:rPr>
        <w:t>4.2.2）力矩限制机构/行程控制机构配置性能可靠全行程保护的力矩限制机构，接电容量为250VAC，1A。当安全力矩被超过时，力矩限制机构将切断电机电源。为了保护阀门不受损坏，安装在在阀门行程的终点的限位开关将切断电机电源。接电容量为250VAC，1A。</w:t>
      </w:r>
    </w:p>
    <w:p>
      <w:pPr>
        <w:pStyle w:val="29"/>
        <w:ind w:firstLine="472"/>
        <w:rPr>
          <w:rFonts w:cs="Times New Roman"/>
          <w:color w:val="auto"/>
        </w:rPr>
      </w:pPr>
      <w:r>
        <w:rPr>
          <w:rFonts w:ascii="Segoe UI Symbol" w:hAnsi="Segoe UI Symbol" w:cs="Segoe UI Symbol"/>
          <w:color w:val="auto"/>
        </w:rPr>
        <w:t>★</w:t>
      </w:r>
      <w:r>
        <w:rPr>
          <w:rFonts w:cs="Times New Roman"/>
          <w:color w:val="auto"/>
        </w:rPr>
        <w:t>4.2.3）电动执行机构的阀位测量及控制采用非接触式霍尔元件，能够准确测量阀位和控制阀门行程，不得采用模拟电位器；阀位显示为数字量连续指示，开度递增量为1%。</w:t>
      </w:r>
    </w:p>
    <w:p>
      <w:pPr>
        <w:pStyle w:val="29"/>
        <w:ind w:firstLine="472"/>
        <w:rPr>
          <w:rFonts w:cs="Times New Roman"/>
          <w:color w:val="auto"/>
        </w:rPr>
      </w:pPr>
      <w:r>
        <w:rPr>
          <w:rFonts w:cs="Times New Roman"/>
          <w:color w:val="auto"/>
        </w:rPr>
        <w:t>4.2.4）手-电动切换机构电动执行机构应配有手/自动切换机构，该机构不得与电机输出轴直接相连，确保在低速安全的状态下进行切换；并配有离合装置，在电动操作时手轮不会随时转动。</w:t>
      </w:r>
    </w:p>
    <w:p>
      <w:pPr>
        <w:pStyle w:val="29"/>
        <w:ind w:firstLine="472"/>
        <w:rPr>
          <w:rFonts w:cs="Times New Roman"/>
          <w:color w:val="auto"/>
        </w:rPr>
      </w:pPr>
      <w:r>
        <w:rPr>
          <w:rFonts w:cs="Times New Roman"/>
          <w:color w:val="auto"/>
        </w:rPr>
        <w:t>4.2.5）手动驱动装置</w:t>
      </w:r>
    </w:p>
    <w:p>
      <w:pPr>
        <w:pStyle w:val="29"/>
        <w:ind w:firstLine="472"/>
        <w:rPr>
          <w:rFonts w:cs="Times New Roman"/>
          <w:color w:val="auto"/>
        </w:rPr>
      </w:pPr>
      <w:r>
        <w:rPr>
          <w:rFonts w:cs="Times New Roman"/>
          <w:color w:val="auto"/>
        </w:rPr>
        <w:t>完全密闭的齿轮传动。手轮上应注明开启和关闭方向。</w:t>
      </w:r>
    </w:p>
    <w:p>
      <w:pPr>
        <w:pStyle w:val="29"/>
        <w:ind w:firstLine="472"/>
        <w:rPr>
          <w:rFonts w:cs="Times New Roman"/>
          <w:color w:val="auto"/>
        </w:rPr>
      </w:pPr>
      <w:r>
        <w:rPr>
          <w:rFonts w:ascii="Segoe UI Symbol" w:hAnsi="Segoe UI Symbol" w:cs="Segoe UI Symbol"/>
          <w:color w:val="auto"/>
        </w:rPr>
        <w:t>★</w:t>
      </w:r>
      <w:r>
        <w:rPr>
          <w:rFonts w:cs="Times New Roman"/>
          <w:color w:val="auto"/>
        </w:rPr>
        <w:t>4.2.6）开度指示机构电动执行机构带有背景照明系统液晶显示屏，通过简明的数字、字母及符号显示执行机</w:t>
      </w:r>
    </w:p>
    <w:p>
      <w:pPr>
        <w:pStyle w:val="29"/>
        <w:ind w:firstLine="472"/>
        <w:rPr>
          <w:rFonts w:cs="Times New Roman"/>
          <w:color w:val="auto"/>
        </w:rPr>
      </w:pPr>
      <w:r>
        <w:rPr>
          <w:rFonts w:cs="Times New Roman"/>
          <w:color w:val="auto"/>
        </w:rPr>
        <w:t>构状态及故障信息，应为中文菜单，方便人员操作，自带9V电池，在现场断电的情况下仍能显示阀门的状态。开度指示应为1%~99%数字量递增。</w:t>
      </w:r>
    </w:p>
    <w:p>
      <w:pPr>
        <w:pStyle w:val="29"/>
        <w:ind w:firstLine="472"/>
        <w:rPr>
          <w:rFonts w:cs="Times New Roman"/>
          <w:color w:val="auto"/>
        </w:rPr>
      </w:pPr>
      <w:r>
        <w:rPr>
          <w:rFonts w:cs="Times New Roman"/>
          <w:color w:val="auto"/>
        </w:rPr>
        <w:t>4.2.7）控制单元部分电气部分应采用机电一体化控制单元与电动执行器组合到一起，模块化结构。控制单元包括现场操作按钮、指示灯、带锁的选择开关，液晶显示等。阀门的所有设定、操作及调试都可以通过非接触式调节方式完成。</w:t>
      </w:r>
    </w:p>
    <w:p>
      <w:pPr>
        <w:pStyle w:val="29"/>
        <w:ind w:firstLine="472"/>
        <w:rPr>
          <w:rFonts w:cs="Times New Roman"/>
          <w:color w:val="auto"/>
        </w:rPr>
      </w:pPr>
      <w:r>
        <w:rPr>
          <w:rFonts w:cs="Times New Roman"/>
          <w:color w:val="auto"/>
        </w:rPr>
        <w:t>电动执行机构应含有内置的控制单元、数据记录器，具有记忆功能，可记录阀门及执行机构的运行情况及设备信息。</w:t>
      </w:r>
    </w:p>
    <w:p>
      <w:pPr>
        <w:pStyle w:val="29"/>
        <w:ind w:firstLine="472"/>
        <w:rPr>
          <w:rFonts w:cs="Times New Roman"/>
          <w:color w:val="auto"/>
        </w:rPr>
      </w:pPr>
      <w:r>
        <w:rPr>
          <w:rFonts w:cs="Times New Roman"/>
          <w:color w:val="auto"/>
        </w:rPr>
        <w:t>电动执行机构需具有可靠完善的保护功能：过力矩保护、综合报警、全开全关报警，其中电机的力矩需通过数字式压力传感器准确测量。</w:t>
      </w:r>
    </w:p>
    <w:p>
      <w:pPr>
        <w:pStyle w:val="29"/>
        <w:ind w:firstLine="472"/>
        <w:rPr>
          <w:rFonts w:cs="Times New Roman"/>
          <w:color w:val="auto"/>
        </w:rPr>
      </w:pPr>
      <w:r>
        <w:rPr>
          <w:rFonts w:cs="Times New Roman"/>
          <w:color w:val="auto"/>
        </w:rPr>
        <w:t>通过现场控面板可以进行“远方-停机-现场”的转换，并且有“开-关”现场操作和全开、全关位置到位指示灯及故障指示灯。控制单元中包括电子计时器，启动和结束步进模式，对于开方向操作和关方向操作的时间分别编程设定。</w:t>
      </w:r>
    </w:p>
    <w:p>
      <w:pPr>
        <w:pStyle w:val="29"/>
        <w:ind w:firstLine="472"/>
        <w:rPr>
          <w:rFonts w:cs="Times New Roman"/>
          <w:color w:val="auto"/>
        </w:rPr>
      </w:pPr>
      <w:r>
        <w:rPr>
          <w:rFonts w:cs="Times New Roman"/>
          <w:color w:val="auto"/>
        </w:rPr>
        <w:t>控制单元安装方向可任意调整。</w:t>
      </w:r>
    </w:p>
    <w:p>
      <w:pPr>
        <w:pStyle w:val="29"/>
        <w:ind w:firstLine="472"/>
        <w:rPr>
          <w:rFonts w:cs="Times New Roman"/>
          <w:color w:val="auto"/>
        </w:rPr>
      </w:pPr>
      <w:r>
        <w:rPr>
          <w:rFonts w:cs="Times New Roman"/>
          <w:color w:val="auto"/>
        </w:rPr>
        <w:t>4.2.8）润滑</w:t>
      </w:r>
    </w:p>
    <w:p>
      <w:pPr>
        <w:pStyle w:val="29"/>
        <w:ind w:firstLine="472"/>
        <w:rPr>
          <w:rFonts w:cs="Times New Roman"/>
          <w:color w:val="auto"/>
        </w:rPr>
      </w:pPr>
      <w:r>
        <w:rPr>
          <w:rFonts w:cs="Times New Roman"/>
          <w:color w:val="auto"/>
        </w:rPr>
        <w:t>电动执行机构的齿轮应采用润滑油，蜗轮蜗杆浸泡在油浴之中，且所有在阀杆运动传动中的转动部件都在轴承上转动。</w:t>
      </w:r>
    </w:p>
    <w:p>
      <w:pPr>
        <w:pStyle w:val="29"/>
        <w:ind w:firstLine="472"/>
        <w:rPr>
          <w:rFonts w:cs="Times New Roman"/>
          <w:color w:val="auto"/>
        </w:rPr>
      </w:pPr>
      <w:r>
        <w:rPr>
          <w:rFonts w:cs="Times New Roman"/>
          <w:color w:val="auto"/>
        </w:rPr>
        <w:t>4.2.9）防护、清扫及保护涂层</w:t>
      </w:r>
    </w:p>
    <w:p>
      <w:pPr>
        <w:pStyle w:val="29"/>
        <w:ind w:firstLine="472"/>
        <w:rPr>
          <w:rFonts w:cs="Times New Roman"/>
          <w:color w:val="auto"/>
        </w:rPr>
      </w:pPr>
      <w:r>
        <w:rPr>
          <w:rFonts w:cs="Times New Roman"/>
          <w:color w:val="auto"/>
        </w:rPr>
        <w:t>电动执行机构防护等级满足IEC60947标准，防护等级应达到IP68，完全防水防尘，适用于户外、潮湿及水下的工作环境，设备应在-30℃~+70℃环境温度范围内可靠工作。</w:t>
      </w:r>
    </w:p>
    <w:p>
      <w:pPr>
        <w:pStyle w:val="29"/>
        <w:ind w:firstLine="472"/>
        <w:rPr>
          <w:rFonts w:cs="Times New Roman"/>
          <w:color w:val="auto"/>
        </w:rPr>
      </w:pPr>
      <w:r>
        <w:rPr>
          <w:rFonts w:ascii="Segoe UI Symbol" w:hAnsi="Segoe UI Symbol" w:cs="Segoe UI Symbol"/>
          <w:color w:val="auto"/>
        </w:rPr>
        <w:t>★</w:t>
      </w:r>
      <w:r>
        <w:rPr>
          <w:rFonts w:cs="Times New Roman"/>
          <w:color w:val="auto"/>
        </w:rPr>
        <w:t>电动执行机构具有完全非侵入式设计，可通过具有红外功能的手操器进行设定，不需要打开机壳，通过手操器就可对电动执行机构进行参数整定和就地操作。且该手操器应具体数据下载功能，可将下载数据上传至PC机或PDA等掌上电脑进行数据分析。</w:t>
      </w:r>
    </w:p>
    <w:p>
      <w:pPr>
        <w:pStyle w:val="29"/>
        <w:ind w:firstLine="472"/>
        <w:rPr>
          <w:rFonts w:cs="Times New Roman"/>
          <w:color w:val="auto"/>
        </w:rPr>
      </w:pPr>
      <w:r>
        <w:rPr>
          <w:rFonts w:cs="Times New Roman"/>
          <w:color w:val="auto"/>
        </w:rPr>
        <w:t>所有设备部件出厂前应由承包商清扫干净，并根据设备部件的特点分别采取防护措施。设备表面涂漆层附着牢固、平整、光滑、色泽均匀，无油污压痕和其他机械损伤。涂底漆前的表面处理应符合相应的涂料工艺要求。</w:t>
      </w:r>
    </w:p>
    <w:p>
      <w:pPr>
        <w:pStyle w:val="29"/>
        <w:ind w:firstLine="472"/>
        <w:rPr>
          <w:rFonts w:cs="Times New Roman"/>
          <w:color w:val="auto"/>
        </w:rPr>
      </w:pPr>
      <w:r>
        <w:rPr>
          <w:rFonts w:cs="Times New Roman"/>
          <w:color w:val="auto"/>
        </w:rPr>
        <w:t>4.2.10）电动执行机构应采用至少4个无源、非接触式触点，并且可在现场通过非侵入式设计设定任意组态自定义所有触点的功能特性，以满足和匹配自控系统的要求。</w:t>
      </w:r>
    </w:p>
    <w:p>
      <w:pPr>
        <w:spacing w:before="11"/>
        <w:rPr>
          <w:rFonts w:ascii="宋体" w:hAnsi="宋体" w:eastAsia="宋体" w:cs="宋体"/>
          <w:color w:val="auto"/>
          <w:sz w:val="27"/>
          <w:szCs w:val="27"/>
          <w:lang w:eastAsia="zh-CN"/>
        </w:rPr>
        <w:sectPr>
          <w:pgSz w:w="11910" w:h="16840"/>
          <w:pgMar w:top="1480" w:right="1560" w:bottom="1160" w:left="1580" w:header="720" w:footer="720" w:gutter="0"/>
          <w:cols w:space="720" w:num="1"/>
          <w:docGrid w:linePitch="299" w:charSpace="0"/>
        </w:sectPr>
      </w:pPr>
    </w:p>
    <w:p>
      <w:pPr>
        <w:pStyle w:val="32"/>
        <w:spacing w:before="120" w:after="120"/>
        <w:ind w:left="0"/>
        <w:rPr>
          <w:b/>
          <w:color w:val="auto"/>
        </w:rPr>
      </w:pPr>
      <w:bookmarkStart w:id="286" w:name="_Toc117181389"/>
      <w:r>
        <w:rPr>
          <w:rFonts w:hint="eastAsia"/>
          <w:b/>
          <w:color w:val="auto"/>
        </w:rPr>
        <w:t>科教城</w:t>
      </w:r>
      <w:r>
        <w:rPr>
          <w:b/>
          <w:color w:val="auto"/>
        </w:rPr>
        <w:t>泵站技术要求</w:t>
      </w:r>
      <w:bookmarkEnd w:id="286"/>
    </w:p>
    <w:p>
      <w:pPr>
        <w:pStyle w:val="28"/>
        <w:spacing w:before="120" w:after="120"/>
        <w:rPr>
          <w:b/>
          <w:bCs/>
          <w:color w:val="auto"/>
        </w:rPr>
      </w:pPr>
      <w:bookmarkStart w:id="287" w:name="_Toc117181390"/>
      <w:r>
        <w:rPr>
          <w:b/>
          <w:bCs/>
          <w:color w:val="auto"/>
        </w:rPr>
        <w:t>机械设备的相关要求</w:t>
      </w:r>
      <w:bookmarkEnd w:id="287"/>
    </w:p>
    <w:p>
      <w:pPr>
        <w:pStyle w:val="30"/>
        <w:spacing w:before="120" w:after="120"/>
        <w:rPr>
          <w:rFonts w:ascii="Calibri" w:hAnsi="Calibri" w:eastAsia="Calibri" w:cs="Calibri"/>
          <w:color w:val="auto"/>
        </w:rPr>
      </w:pPr>
      <w:bookmarkStart w:id="288" w:name="_Toc117181391"/>
      <w:r>
        <w:rPr>
          <w:rFonts w:hint="eastAsia"/>
          <w:color w:val="auto"/>
        </w:rPr>
        <w:t>主要设备材料表</w:t>
      </w:r>
      <w:bookmarkEnd w:id="288"/>
    </w:p>
    <w:tbl>
      <w:tblPr>
        <w:tblStyle w:val="23"/>
        <w:tblW w:w="87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395"/>
        <w:gridCol w:w="1914"/>
        <w:gridCol w:w="660"/>
        <w:gridCol w:w="648"/>
        <w:gridCol w:w="1053"/>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blHeader/>
          <w:jc w:val="center"/>
        </w:trPr>
        <w:tc>
          <w:tcPr>
            <w:tcW w:w="69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序号</w:t>
            </w:r>
          </w:p>
        </w:tc>
        <w:tc>
          <w:tcPr>
            <w:tcW w:w="1395"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名称</w:t>
            </w:r>
          </w:p>
        </w:tc>
        <w:tc>
          <w:tcPr>
            <w:tcW w:w="1914"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规格</w:t>
            </w:r>
          </w:p>
        </w:tc>
        <w:tc>
          <w:tcPr>
            <w:tcW w:w="66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单位</w:t>
            </w:r>
          </w:p>
        </w:tc>
        <w:tc>
          <w:tcPr>
            <w:tcW w:w="64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数量</w:t>
            </w:r>
          </w:p>
        </w:tc>
        <w:tc>
          <w:tcPr>
            <w:tcW w:w="1053" w:type="dxa"/>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备注</w:t>
            </w:r>
          </w:p>
        </w:tc>
        <w:tc>
          <w:tcPr>
            <w:tcW w:w="240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推荐品牌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69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395"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钢丝绳牵引格栅除污机</w:t>
            </w:r>
          </w:p>
        </w:tc>
        <w:tc>
          <w:tcPr>
            <w:tcW w:w="1914"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渠宽1500mm，b=20mm，P=2.2kw</w:t>
            </w:r>
          </w:p>
        </w:tc>
        <w:tc>
          <w:tcPr>
            <w:tcW w:w="66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64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1053" w:type="dxa"/>
            <w:vAlign w:val="center"/>
          </w:tcPr>
          <w:p>
            <w:pPr>
              <w:widowControl/>
              <w:spacing w:line="360" w:lineRule="auto"/>
              <w:jc w:val="center"/>
              <w:rPr>
                <w:rFonts w:ascii="Times New Roman" w:hAnsi="Times New Roman" w:cs="Times New Roman"/>
                <w:color w:val="auto"/>
                <w:sz w:val="21"/>
                <w:szCs w:val="21"/>
                <w:lang w:eastAsia="zh-CN"/>
              </w:rPr>
            </w:pPr>
          </w:p>
        </w:tc>
        <w:tc>
          <w:tcPr>
            <w:tcW w:w="2400" w:type="dxa"/>
            <w:vMerge w:val="restart"/>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华都琥珀、</w:t>
            </w:r>
            <w:r>
              <w:rPr>
                <w:rFonts w:ascii="Times New Roman" w:hAnsi="Times New Roman" w:cs="Times New Roman"/>
                <w:color w:val="auto"/>
                <w:sz w:val="21"/>
                <w:szCs w:val="21"/>
                <w:lang w:eastAsia="zh-CN"/>
              </w:rPr>
              <w:t>江苏天</w:t>
            </w:r>
            <w:r>
              <w:rPr>
                <w:rFonts w:ascii="Times New Roman" w:hAnsi="Times New Roman" w:cs="Times New Roman"/>
                <w:color w:val="auto"/>
                <w:spacing w:val="-9"/>
                <w:sz w:val="21"/>
                <w:szCs w:val="21"/>
                <w:lang w:eastAsia="zh-CN"/>
              </w:rPr>
              <w:t>雨、江苏 兆盛、无</w:t>
            </w:r>
            <w:r>
              <w:rPr>
                <w:rFonts w:ascii="Times New Roman" w:hAnsi="Times New Roman" w:cs="Times New Roman"/>
                <w:color w:val="auto"/>
                <w:sz w:val="21"/>
                <w:szCs w:val="21"/>
                <w:lang w:eastAsia="zh-CN"/>
              </w:rPr>
              <w:t>锡通用、</w:t>
            </w:r>
            <w:r>
              <w:rPr>
                <w:rFonts w:hint="eastAsia" w:ascii="Times New Roman" w:hAnsi="Times New Roman" w:cs="Times New Roman"/>
                <w:color w:val="auto"/>
                <w:sz w:val="21"/>
                <w:szCs w:val="21"/>
                <w:lang w:eastAsia="zh-CN"/>
              </w:rPr>
              <w:t>新浪环保、江苏一环、新环环保、欧亚华都、江苏通环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69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1395"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无轴螺旋输送机</w:t>
            </w:r>
          </w:p>
        </w:tc>
        <w:tc>
          <w:tcPr>
            <w:tcW w:w="1914"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DN300，L＝7000mm，P=2.2kw</w:t>
            </w:r>
          </w:p>
        </w:tc>
        <w:tc>
          <w:tcPr>
            <w:tcW w:w="66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台</w:t>
            </w:r>
          </w:p>
        </w:tc>
        <w:tc>
          <w:tcPr>
            <w:tcW w:w="64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053" w:type="dxa"/>
            <w:vAlign w:val="center"/>
          </w:tcPr>
          <w:p>
            <w:pPr>
              <w:widowControl/>
              <w:spacing w:line="360" w:lineRule="auto"/>
              <w:jc w:val="center"/>
              <w:rPr>
                <w:rFonts w:ascii="Times New Roman" w:hAnsi="Times New Roman" w:cs="Times New Roman"/>
                <w:color w:val="auto"/>
                <w:sz w:val="21"/>
                <w:szCs w:val="21"/>
                <w:lang w:eastAsia="zh-CN"/>
              </w:rPr>
            </w:pPr>
          </w:p>
        </w:tc>
        <w:tc>
          <w:tcPr>
            <w:tcW w:w="2400" w:type="dxa"/>
            <w:vMerge w:val="continue"/>
            <w:shd w:val="clear" w:color="auto" w:fill="auto"/>
            <w:vAlign w:val="center"/>
          </w:tcPr>
          <w:p>
            <w:pPr>
              <w:widowControl/>
              <w:spacing w:line="360" w:lineRule="auto"/>
              <w:jc w:val="center"/>
              <w:rPr>
                <w:rFonts w:ascii="Times New Roman" w:hAnsi="Times New Roman"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69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3</w:t>
            </w:r>
          </w:p>
        </w:tc>
        <w:tc>
          <w:tcPr>
            <w:tcW w:w="1395"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无轴螺旋压榨机</w:t>
            </w:r>
          </w:p>
        </w:tc>
        <w:tc>
          <w:tcPr>
            <w:tcW w:w="1914"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DN300，P=2.2kw</w:t>
            </w:r>
          </w:p>
        </w:tc>
        <w:tc>
          <w:tcPr>
            <w:tcW w:w="66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台</w:t>
            </w:r>
          </w:p>
        </w:tc>
        <w:tc>
          <w:tcPr>
            <w:tcW w:w="64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053" w:type="dxa"/>
            <w:vAlign w:val="center"/>
          </w:tcPr>
          <w:p>
            <w:pPr>
              <w:widowControl/>
              <w:spacing w:line="360" w:lineRule="auto"/>
              <w:jc w:val="center"/>
              <w:rPr>
                <w:rFonts w:ascii="Times New Roman" w:hAnsi="Times New Roman" w:cs="Times New Roman"/>
                <w:color w:val="auto"/>
                <w:sz w:val="21"/>
                <w:szCs w:val="21"/>
                <w:lang w:eastAsia="zh-CN"/>
              </w:rPr>
            </w:pPr>
          </w:p>
        </w:tc>
        <w:tc>
          <w:tcPr>
            <w:tcW w:w="2400" w:type="dxa"/>
            <w:vMerge w:val="continue"/>
            <w:shd w:val="clear" w:color="auto" w:fill="auto"/>
            <w:vAlign w:val="center"/>
          </w:tcPr>
          <w:p>
            <w:pPr>
              <w:widowControl/>
              <w:spacing w:line="360" w:lineRule="auto"/>
              <w:jc w:val="center"/>
              <w:rPr>
                <w:rFonts w:ascii="Times New Roman" w:hAnsi="Times New Roman"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69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4</w:t>
            </w:r>
          </w:p>
        </w:tc>
        <w:tc>
          <w:tcPr>
            <w:tcW w:w="1395"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潜污泵</w:t>
            </w:r>
          </w:p>
        </w:tc>
        <w:tc>
          <w:tcPr>
            <w:tcW w:w="1914"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Q=346L/s，H=19.0m，P=102kw</w:t>
            </w:r>
          </w:p>
        </w:tc>
        <w:tc>
          <w:tcPr>
            <w:tcW w:w="66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台</w:t>
            </w:r>
          </w:p>
        </w:tc>
        <w:tc>
          <w:tcPr>
            <w:tcW w:w="64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3</w:t>
            </w:r>
          </w:p>
        </w:tc>
        <w:tc>
          <w:tcPr>
            <w:tcW w:w="1053" w:type="dxa"/>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近期2用1备，变频；</w:t>
            </w:r>
          </w:p>
        </w:tc>
        <w:tc>
          <w:tcPr>
            <w:tcW w:w="240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赛莱默、KSB、威乐、格兰富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69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5</w:t>
            </w:r>
          </w:p>
        </w:tc>
        <w:tc>
          <w:tcPr>
            <w:tcW w:w="1395"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速闭式闸门</w:t>
            </w:r>
          </w:p>
        </w:tc>
        <w:tc>
          <w:tcPr>
            <w:tcW w:w="1914"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φ1500，P=2.2kw</w:t>
            </w:r>
          </w:p>
        </w:tc>
        <w:tc>
          <w:tcPr>
            <w:tcW w:w="66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台</w:t>
            </w:r>
          </w:p>
        </w:tc>
        <w:tc>
          <w:tcPr>
            <w:tcW w:w="64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053" w:type="dxa"/>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配套一体化执行机构</w:t>
            </w:r>
          </w:p>
        </w:tc>
        <w:tc>
          <w:tcPr>
            <w:tcW w:w="2400" w:type="dxa"/>
            <w:vMerge w:val="restart"/>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江苏天雨、江苏兆盛、无锡通用</w:t>
            </w:r>
            <w:r>
              <w:rPr>
                <w:rFonts w:hint="eastAsia" w:ascii="Times New Roman" w:hAnsi="Times New Roman" w:cs="Times New Roman"/>
                <w:color w:val="auto"/>
                <w:sz w:val="21"/>
                <w:szCs w:val="21"/>
                <w:lang w:eastAsia="zh-CN"/>
              </w:rPr>
              <w:t>、</w:t>
            </w:r>
            <w:r>
              <w:rPr>
                <w:rFonts w:ascii="Times New Roman" w:hAnsi="Times New Roman" w:cs="Times New Roman"/>
                <w:color w:val="auto"/>
                <w:sz w:val="21"/>
                <w:szCs w:val="21"/>
                <w:lang w:eastAsia="zh-CN"/>
              </w:rPr>
              <w:t>新浪环保、江苏一环、欧亚华都、中威环境、江苏通环、远大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69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6</w:t>
            </w:r>
          </w:p>
        </w:tc>
        <w:tc>
          <w:tcPr>
            <w:tcW w:w="1395"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电动铸铁闸门</w:t>
            </w:r>
          </w:p>
        </w:tc>
        <w:tc>
          <w:tcPr>
            <w:tcW w:w="1914"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B×H=1200×1200，P=2.2kw</w:t>
            </w:r>
          </w:p>
        </w:tc>
        <w:tc>
          <w:tcPr>
            <w:tcW w:w="66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台</w:t>
            </w:r>
          </w:p>
        </w:tc>
        <w:tc>
          <w:tcPr>
            <w:tcW w:w="64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053" w:type="dxa"/>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配套一体化执行机构，双向受压</w:t>
            </w:r>
          </w:p>
        </w:tc>
        <w:tc>
          <w:tcPr>
            <w:tcW w:w="2400" w:type="dxa"/>
            <w:vMerge w:val="continue"/>
            <w:shd w:val="clear" w:color="auto" w:fill="auto"/>
            <w:vAlign w:val="center"/>
          </w:tcPr>
          <w:p>
            <w:pPr>
              <w:widowControl/>
              <w:spacing w:line="360" w:lineRule="auto"/>
              <w:jc w:val="center"/>
              <w:rPr>
                <w:rFonts w:ascii="Times New Roman" w:hAnsi="Times New Roman"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69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7</w:t>
            </w:r>
          </w:p>
        </w:tc>
        <w:tc>
          <w:tcPr>
            <w:tcW w:w="1395"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移动式自动抓斗</w:t>
            </w:r>
          </w:p>
        </w:tc>
        <w:tc>
          <w:tcPr>
            <w:tcW w:w="1914"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B=1200,栅隙20mm,电机N1=2kw，液压泵N2=1.5kw，行走电机N3=0.37kw</w:t>
            </w:r>
          </w:p>
        </w:tc>
        <w:tc>
          <w:tcPr>
            <w:tcW w:w="66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台</w:t>
            </w:r>
          </w:p>
        </w:tc>
        <w:tc>
          <w:tcPr>
            <w:tcW w:w="64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053" w:type="dxa"/>
            <w:vAlign w:val="center"/>
          </w:tcPr>
          <w:p>
            <w:pPr>
              <w:widowControl/>
              <w:spacing w:line="360" w:lineRule="auto"/>
              <w:jc w:val="center"/>
              <w:rPr>
                <w:rFonts w:ascii="Times New Roman" w:hAnsi="Times New Roman" w:cs="Times New Roman"/>
                <w:color w:val="auto"/>
                <w:sz w:val="21"/>
                <w:szCs w:val="21"/>
                <w:lang w:eastAsia="zh-CN"/>
              </w:rPr>
            </w:pPr>
          </w:p>
        </w:tc>
        <w:tc>
          <w:tcPr>
            <w:tcW w:w="240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pacing w:val="-5"/>
                <w:sz w:val="21"/>
                <w:szCs w:val="21"/>
                <w:lang w:eastAsia="zh-CN"/>
              </w:rPr>
              <w:t xml:space="preserve">江苏天雨、江苏兆盛、无锡通 </w:t>
            </w:r>
            <w:r>
              <w:rPr>
                <w:rFonts w:ascii="Times New Roman" w:hAnsi="Times New Roman" w:cs="Times New Roman"/>
                <w:color w:val="auto"/>
                <w:sz w:val="21"/>
                <w:szCs w:val="21"/>
                <w:lang w:eastAsia="zh-CN"/>
              </w:rPr>
              <w:t>用、宜兴泉溪、江苏新浪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69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8</w:t>
            </w:r>
          </w:p>
        </w:tc>
        <w:tc>
          <w:tcPr>
            <w:tcW w:w="1395"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电动铸铁闸门</w:t>
            </w:r>
          </w:p>
        </w:tc>
        <w:tc>
          <w:tcPr>
            <w:tcW w:w="1914"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DN1500，P=2.2kw</w:t>
            </w:r>
          </w:p>
        </w:tc>
        <w:tc>
          <w:tcPr>
            <w:tcW w:w="66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台</w:t>
            </w:r>
          </w:p>
        </w:tc>
        <w:tc>
          <w:tcPr>
            <w:tcW w:w="64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2</w:t>
            </w:r>
          </w:p>
        </w:tc>
        <w:tc>
          <w:tcPr>
            <w:tcW w:w="1053" w:type="dxa"/>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配套一体化执行机构</w:t>
            </w:r>
          </w:p>
        </w:tc>
        <w:tc>
          <w:tcPr>
            <w:tcW w:w="240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hint="eastAsia" w:ascii="Times New Roman" w:hAnsi="Times New Roman" w:cs="Times New Roman"/>
                <w:color w:val="auto"/>
                <w:spacing w:val="48"/>
                <w:sz w:val="21"/>
                <w:szCs w:val="21"/>
                <w:lang w:eastAsia="zh-CN"/>
              </w:rPr>
              <w:t>新浪环保、江苏一环、欧亚华都、中威环境、江苏通环、远大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69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9</w:t>
            </w:r>
          </w:p>
        </w:tc>
        <w:tc>
          <w:tcPr>
            <w:tcW w:w="1395"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电动葫芦</w:t>
            </w:r>
          </w:p>
        </w:tc>
        <w:tc>
          <w:tcPr>
            <w:tcW w:w="1914"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T=3t，H=18m，P=4.9kw</w:t>
            </w:r>
          </w:p>
        </w:tc>
        <w:tc>
          <w:tcPr>
            <w:tcW w:w="66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台</w:t>
            </w:r>
          </w:p>
        </w:tc>
        <w:tc>
          <w:tcPr>
            <w:tcW w:w="64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053" w:type="dxa"/>
            <w:vAlign w:val="center"/>
          </w:tcPr>
          <w:p>
            <w:pPr>
              <w:widowControl/>
              <w:spacing w:line="360" w:lineRule="auto"/>
              <w:jc w:val="center"/>
              <w:rPr>
                <w:rFonts w:ascii="Times New Roman" w:hAnsi="Times New Roman" w:cs="Times New Roman"/>
                <w:color w:val="auto"/>
                <w:sz w:val="21"/>
                <w:szCs w:val="21"/>
                <w:lang w:eastAsia="zh-CN"/>
              </w:rPr>
            </w:pPr>
          </w:p>
        </w:tc>
        <w:tc>
          <w:tcPr>
            <w:tcW w:w="240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pacing w:val="-5"/>
                <w:sz w:val="21"/>
                <w:szCs w:val="21"/>
                <w:lang w:eastAsia="zh-CN"/>
              </w:rPr>
              <w:t xml:space="preserve">广州起重机械有限公司、广州 泰克力起重机有限公司、广东 </w:t>
            </w:r>
            <w:r>
              <w:rPr>
                <w:rFonts w:ascii="Times New Roman" w:hAnsi="Times New Roman" w:cs="Times New Roman"/>
                <w:color w:val="auto"/>
                <w:spacing w:val="-2"/>
                <w:sz w:val="21"/>
                <w:szCs w:val="21"/>
                <w:lang w:eastAsia="zh-CN"/>
              </w:rPr>
              <w:t>永通起重机械实业有限公司、</w:t>
            </w:r>
            <w:r>
              <w:rPr>
                <w:rFonts w:ascii="Times New Roman" w:hAnsi="Times New Roman" w:cs="Times New Roman"/>
                <w:color w:val="auto"/>
                <w:sz w:val="21"/>
                <w:szCs w:val="21"/>
                <w:lang w:eastAsia="zh-CN"/>
              </w:rPr>
              <w:t xml:space="preserve"> 河南省矿山起重机械有限公司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69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10</w:t>
            </w:r>
          </w:p>
        </w:tc>
        <w:tc>
          <w:tcPr>
            <w:tcW w:w="1395"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垃圾桶</w:t>
            </w:r>
          </w:p>
        </w:tc>
        <w:tc>
          <w:tcPr>
            <w:tcW w:w="1914"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V≥0.6m</w:t>
            </w:r>
          </w:p>
        </w:tc>
        <w:tc>
          <w:tcPr>
            <w:tcW w:w="66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只</w:t>
            </w:r>
          </w:p>
        </w:tc>
        <w:tc>
          <w:tcPr>
            <w:tcW w:w="64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053" w:type="dxa"/>
            <w:vAlign w:val="center"/>
          </w:tcPr>
          <w:p>
            <w:pPr>
              <w:widowControl/>
              <w:spacing w:line="360" w:lineRule="auto"/>
              <w:jc w:val="center"/>
              <w:rPr>
                <w:rFonts w:ascii="Times New Roman" w:hAnsi="Times New Roman" w:cs="Times New Roman"/>
                <w:color w:val="auto"/>
                <w:sz w:val="21"/>
                <w:szCs w:val="21"/>
                <w:lang w:eastAsia="zh-CN"/>
              </w:rPr>
            </w:pPr>
          </w:p>
        </w:tc>
        <w:tc>
          <w:tcPr>
            <w:tcW w:w="240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69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11</w:t>
            </w:r>
          </w:p>
        </w:tc>
        <w:tc>
          <w:tcPr>
            <w:tcW w:w="1395"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止回阀</w:t>
            </w:r>
          </w:p>
        </w:tc>
        <w:tc>
          <w:tcPr>
            <w:tcW w:w="1914"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DN600</w:t>
            </w:r>
          </w:p>
        </w:tc>
        <w:tc>
          <w:tcPr>
            <w:tcW w:w="66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只</w:t>
            </w:r>
          </w:p>
        </w:tc>
        <w:tc>
          <w:tcPr>
            <w:tcW w:w="64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6</w:t>
            </w:r>
          </w:p>
        </w:tc>
        <w:tc>
          <w:tcPr>
            <w:tcW w:w="1053" w:type="dxa"/>
            <w:vAlign w:val="center"/>
          </w:tcPr>
          <w:p>
            <w:pPr>
              <w:widowControl/>
              <w:spacing w:line="360" w:lineRule="auto"/>
              <w:jc w:val="center"/>
              <w:rPr>
                <w:rFonts w:ascii="Times New Roman" w:hAnsi="Times New Roman" w:cs="Times New Roman"/>
                <w:color w:val="auto"/>
                <w:sz w:val="21"/>
                <w:szCs w:val="21"/>
                <w:lang w:eastAsia="zh-CN"/>
              </w:rPr>
            </w:pPr>
          </w:p>
        </w:tc>
        <w:tc>
          <w:tcPr>
            <w:tcW w:w="2400" w:type="dxa"/>
            <w:vMerge w:val="restart"/>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hint="eastAsia" w:ascii="Times New Roman" w:hAnsi="Times New Roman" w:cs="Times New Roman"/>
                <w:color w:val="auto"/>
                <w:spacing w:val="48"/>
                <w:sz w:val="21"/>
                <w:szCs w:val="21"/>
                <w:lang w:val="en-US" w:eastAsia="zh-CN"/>
              </w:rPr>
              <w:t>上海冠龙、</w:t>
            </w:r>
            <w:r>
              <w:rPr>
                <w:rFonts w:hint="eastAsia" w:ascii="Times New Roman" w:hAnsi="Times New Roman" w:cs="Times New Roman"/>
                <w:color w:val="auto"/>
                <w:spacing w:val="48"/>
                <w:sz w:val="21"/>
                <w:szCs w:val="21"/>
                <w:lang w:eastAsia="zh-CN"/>
              </w:rPr>
              <w:t>上海标一、上海良工、佛山永泉、天津瓦特斯、远大、河南上碟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69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12</w:t>
            </w:r>
          </w:p>
        </w:tc>
        <w:tc>
          <w:tcPr>
            <w:tcW w:w="1395"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手电两用蝶阀</w:t>
            </w:r>
          </w:p>
        </w:tc>
        <w:tc>
          <w:tcPr>
            <w:tcW w:w="1914"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DN600，P=1.5kW</w:t>
            </w:r>
          </w:p>
        </w:tc>
        <w:tc>
          <w:tcPr>
            <w:tcW w:w="66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只</w:t>
            </w:r>
          </w:p>
        </w:tc>
        <w:tc>
          <w:tcPr>
            <w:tcW w:w="64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6</w:t>
            </w:r>
          </w:p>
        </w:tc>
        <w:tc>
          <w:tcPr>
            <w:tcW w:w="1053" w:type="dxa"/>
            <w:vAlign w:val="center"/>
          </w:tcPr>
          <w:p>
            <w:pPr>
              <w:widowControl/>
              <w:spacing w:line="360" w:lineRule="auto"/>
              <w:jc w:val="center"/>
              <w:rPr>
                <w:rFonts w:ascii="Times New Roman" w:hAnsi="Times New Roman" w:cs="Times New Roman"/>
                <w:color w:val="auto"/>
                <w:sz w:val="21"/>
                <w:szCs w:val="21"/>
                <w:lang w:eastAsia="zh-CN"/>
              </w:rPr>
            </w:pPr>
          </w:p>
        </w:tc>
        <w:tc>
          <w:tcPr>
            <w:tcW w:w="2400" w:type="dxa"/>
            <w:vMerge w:val="continue"/>
            <w:shd w:val="clear" w:color="auto" w:fill="auto"/>
            <w:vAlign w:val="center"/>
          </w:tcPr>
          <w:p>
            <w:pPr>
              <w:widowControl/>
              <w:spacing w:line="360" w:lineRule="auto"/>
              <w:jc w:val="center"/>
              <w:rPr>
                <w:rFonts w:ascii="Times New Roman" w:hAnsi="Times New Roman"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69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13</w:t>
            </w:r>
          </w:p>
        </w:tc>
        <w:tc>
          <w:tcPr>
            <w:tcW w:w="1395"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电动单粱悬挂起重机</w:t>
            </w:r>
          </w:p>
        </w:tc>
        <w:tc>
          <w:tcPr>
            <w:tcW w:w="1914"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W=5T，S=6.5m，H=18m，P=7.5+2x0.4kw</w:t>
            </w:r>
          </w:p>
        </w:tc>
        <w:tc>
          <w:tcPr>
            <w:tcW w:w="66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台</w:t>
            </w:r>
          </w:p>
        </w:tc>
        <w:tc>
          <w:tcPr>
            <w:tcW w:w="64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053" w:type="dxa"/>
            <w:vAlign w:val="center"/>
          </w:tcPr>
          <w:p>
            <w:pPr>
              <w:widowControl/>
              <w:spacing w:line="360" w:lineRule="auto"/>
              <w:jc w:val="center"/>
              <w:rPr>
                <w:rFonts w:ascii="Times New Roman" w:hAnsi="Times New Roman" w:cs="Times New Roman"/>
                <w:color w:val="auto"/>
                <w:sz w:val="21"/>
                <w:szCs w:val="21"/>
                <w:lang w:eastAsia="zh-CN"/>
              </w:rPr>
            </w:pPr>
          </w:p>
        </w:tc>
        <w:tc>
          <w:tcPr>
            <w:tcW w:w="240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pacing w:val="-5"/>
                <w:sz w:val="21"/>
                <w:szCs w:val="21"/>
                <w:lang w:eastAsia="zh-CN"/>
              </w:rPr>
              <w:t xml:space="preserve">广州起重机械有限公司、广州 泰克力起重机有限公司、广东 </w:t>
            </w:r>
            <w:r>
              <w:rPr>
                <w:rFonts w:ascii="Times New Roman" w:hAnsi="Times New Roman" w:cs="Times New Roman"/>
                <w:color w:val="auto"/>
                <w:spacing w:val="-2"/>
                <w:sz w:val="21"/>
                <w:szCs w:val="21"/>
                <w:lang w:eastAsia="zh-CN"/>
              </w:rPr>
              <w:t>永通起重机械实业有限公司、</w:t>
            </w:r>
            <w:r>
              <w:rPr>
                <w:rFonts w:ascii="Times New Roman" w:hAnsi="Times New Roman" w:cs="Times New Roman"/>
                <w:color w:val="auto"/>
                <w:sz w:val="21"/>
                <w:szCs w:val="21"/>
                <w:lang w:eastAsia="zh-CN"/>
              </w:rPr>
              <w:t xml:space="preserve"> 河南省矿山起重机械有限公司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69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14</w:t>
            </w:r>
          </w:p>
        </w:tc>
        <w:tc>
          <w:tcPr>
            <w:tcW w:w="1395"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生物除臭</w:t>
            </w:r>
          </w:p>
        </w:tc>
        <w:tc>
          <w:tcPr>
            <w:tcW w:w="1914"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Q=10000m³/h，P=11.75kW</w:t>
            </w:r>
          </w:p>
        </w:tc>
        <w:tc>
          <w:tcPr>
            <w:tcW w:w="66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套</w:t>
            </w:r>
          </w:p>
        </w:tc>
        <w:tc>
          <w:tcPr>
            <w:tcW w:w="648"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1</w:t>
            </w:r>
          </w:p>
        </w:tc>
        <w:tc>
          <w:tcPr>
            <w:tcW w:w="1053" w:type="dxa"/>
            <w:vAlign w:val="center"/>
          </w:tcPr>
          <w:p>
            <w:pPr>
              <w:widowControl/>
              <w:spacing w:line="360" w:lineRule="auto"/>
              <w:jc w:val="center"/>
              <w:rPr>
                <w:rFonts w:ascii="Times New Roman" w:hAnsi="Times New Roman" w:cs="Times New Roman"/>
                <w:color w:val="auto"/>
                <w:sz w:val="21"/>
                <w:szCs w:val="21"/>
                <w:lang w:eastAsia="zh-CN"/>
              </w:rPr>
            </w:pPr>
          </w:p>
        </w:tc>
        <w:tc>
          <w:tcPr>
            <w:tcW w:w="2400" w:type="dxa"/>
            <w:shd w:val="clear" w:color="auto" w:fill="auto"/>
            <w:vAlign w:val="center"/>
          </w:tcPr>
          <w:p>
            <w:pPr>
              <w:widowControl/>
              <w:spacing w:line="360" w:lineRule="auto"/>
              <w:jc w:val="center"/>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新之地、南方环保、江苏博恩、西源、宜兴文峰环境、中威环境、连邦环境</w:t>
            </w:r>
          </w:p>
        </w:tc>
      </w:tr>
    </w:tbl>
    <w:p>
      <w:pPr>
        <w:ind w:firstLine="480" w:firstLineChars="200"/>
        <w:jc w:val="both"/>
        <w:rPr>
          <w:rFonts w:ascii="Calibri" w:hAnsi="Calibri" w:eastAsia="Calibri" w:cs="Calibri"/>
          <w:color w:val="auto"/>
          <w:sz w:val="24"/>
          <w:szCs w:val="24"/>
          <w:lang w:eastAsia="zh-CN"/>
        </w:rPr>
      </w:pPr>
    </w:p>
    <w:p>
      <w:pPr>
        <w:pStyle w:val="30"/>
        <w:spacing w:before="120" w:after="120"/>
        <w:rPr>
          <w:color w:val="auto"/>
        </w:rPr>
      </w:pPr>
      <w:bookmarkStart w:id="289" w:name="_Toc117181392"/>
      <w:r>
        <w:rPr>
          <w:color w:val="auto"/>
        </w:rPr>
        <w:t>潜水污水泵</w:t>
      </w:r>
      <w:bookmarkEnd w:id="289"/>
    </w:p>
    <w:tbl>
      <w:tblPr>
        <w:tblStyle w:val="23"/>
        <w:tblW w:w="87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3075"/>
        <w:gridCol w:w="4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3996" w:type="dxa"/>
            <w:gridSpan w:val="2"/>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项目</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921" w:type="dxa"/>
            <w:vMerge w:val="restart"/>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技 术 规 格</w:t>
            </w: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水泵型式</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潜水泵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数量</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3 套(2用 1 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介质</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城市污水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安装方式</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可拆卸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安装位置</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文华路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工况点设计流量(m³/h)</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扬程（m）</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工况点水泵效率(%)</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电机效率(%)</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启动方式</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软启动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叶轮型式</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无阻塞叶轮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电机功率(KW)</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电机转速（rpm）</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工作制</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24h/d 连续运行并可以间歇运行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3"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冷却方式</w:t>
            </w:r>
          </w:p>
        </w:tc>
        <w:tc>
          <w:tcPr>
            <w:tcW w:w="4738"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电机冷却需采用直接冷却，如果在停机水位不够的情况下， 采用内循环油冷却系统电机，不可以采用水冷夹套的形式。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供电电源</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3Ph/50Hz/380V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防护等级</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IP68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出口口径（mm）</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≥300,暂定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颗粒通过能力（mm）</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≥150，暂定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噪声(dB(A))</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≤80DB(A)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电缆长度</w:t>
            </w:r>
          </w:p>
        </w:tc>
        <w:tc>
          <w:tcPr>
            <w:tcW w:w="4738"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18 米/根（暂定），与水泵配套，完好无接驳口，达到规范 要求的防水等级及绝缘等级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最小绝缘等级</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机械密封的使用寿命</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不低于 30,000 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轴承寿命(L10)</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不得少于 100,000 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能够在 20m 水深下持续长 期运行安全运行时间</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至少为 20,000 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允许每小时启动次数 (次)</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≥12 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921" w:type="dxa"/>
            <w:vMerge w:val="restart"/>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材质</w:t>
            </w: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泵壳、电机壳</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不低于灰铸铁 GG25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叶轮</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不低于球墨铸铁 GGG60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主轴</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不低于不锈钢 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机械密封</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耐腐蚀碳化钨/碳化硅，介质酸碱度范围为 pH6～10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螺栓、螺母</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不低于不锈钢 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导轨</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不低于不锈钢 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吊链</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不低于不锈钢 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所有连接附件、地脚螺栓</w:t>
            </w:r>
          </w:p>
        </w:tc>
        <w:tc>
          <w:tcPr>
            <w:tcW w:w="4738"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不低于不锈钢 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3" w:hRule="atLeast"/>
          <w:jc w:val="center"/>
        </w:trPr>
        <w:tc>
          <w:tcPr>
            <w:tcW w:w="921" w:type="dxa"/>
            <w:vMerge w:val="restart"/>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附 件</w:t>
            </w: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电气专用保护元件</w:t>
            </w:r>
          </w:p>
        </w:tc>
        <w:tc>
          <w:tcPr>
            <w:tcW w:w="4738"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定子绕组温度传感器、机械密封泄漏传感器、电机湿度传 感器、轴承温度传感器和水泵综合保护器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7"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vMerge w:val="restart"/>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综合保护器</w:t>
            </w:r>
          </w:p>
        </w:tc>
        <w:tc>
          <w:tcPr>
            <w:tcW w:w="4738" w:type="dxa"/>
            <w:vMerge w:val="restart"/>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每台潜水泵均应配备原厂综合保护器，用于水泵的保护报 警信号的监控，应能向泵站控制室 PLC 传输状态显示信号 并接受 PLC 输出信号的控制，监控继电器应安装在相应的 低压配电柜。 应向中控室输出“轴承超温”报警、“电机绕组超温”报警、 “电机湿度”报警、 “密封泄漏”报警信号。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4738"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4738"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4738"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jc w:val="center"/>
        </w:trPr>
        <w:tc>
          <w:tcPr>
            <w:tcW w:w="921"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307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其它</w:t>
            </w:r>
          </w:p>
        </w:tc>
        <w:tc>
          <w:tcPr>
            <w:tcW w:w="4738"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配备综合保护器、耦合用导向杆、90°出水弯座、提升链、 水下电缆、基础螺栓等有效和安全运行所必需的附件。</w:t>
            </w:r>
          </w:p>
        </w:tc>
      </w:tr>
    </w:tbl>
    <w:p>
      <w:pPr>
        <w:spacing w:before="7"/>
        <w:rPr>
          <w:rFonts w:ascii="宋体" w:hAnsi="宋体" w:eastAsia="宋体" w:cs="宋体"/>
          <w:color w:val="auto"/>
          <w:sz w:val="28"/>
          <w:szCs w:val="28"/>
          <w:lang w:eastAsia="zh-CN"/>
        </w:rPr>
      </w:pPr>
    </w:p>
    <w:p>
      <w:pPr>
        <w:pStyle w:val="30"/>
        <w:spacing w:before="120" w:after="120"/>
        <w:rPr>
          <w:color w:val="auto"/>
        </w:rPr>
      </w:pPr>
      <w:bookmarkStart w:id="290" w:name="_Toc117181393"/>
      <w:r>
        <w:rPr>
          <w:color w:val="auto"/>
        </w:rPr>
        <w:t>格栅清污机</w:t>
      </w:r>
      <w:bookmarkEnd w:id="290"/>
    </w:p>
    <w:tbl>
      <w:tblPr>
        <w:tblStyle w:val="23"/>
        <w:tblW w:w="8726"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3382"/>
        <w:gridCol w:w="3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数量</w:t>
            </w:r>
          </w:p>
        </w:tc>
        <w:tc>
          <w:tcPr>
            <w:tcW w:w="7176" w:type="dxa"/>
            <w:gridSpan w:val="2"/>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2</w:t>
            </w:r>
            <w:r>
              <w:rPr>
                <w:rFonts w:ascii="Times New Roman" w:hAnsi="Times New Roman" w:eastAsia="宋体" w:cs="Times New Roman"/>
                <w:color w:val="auto"/>
                <w:sz w:val="21"/>
                <w:szCs w:val="21"/>
                <w:lang w:eastAsia="zh-CN"/>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项目</w:t>
            </w:r>
          </w:p>
        </w:tc>
        <w:tc>
          <w:tcPr>
            <w:tcW w:w="7176" w:type="dxa"/>
            <w:gridSpan w:val="2"/>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550" w:type="dxa"/>
            <w:vMerge w:val="restart"/>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技术规格</w:t>
            </w: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格栅形式</w:t>
            </w:r>
          </w:p>
        </w:tc>
        <w:tc>
          <w:tcPr>
            <w:tcW w:w="3794"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钢丝绳牵引式粗格栅机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介质</w:t>
            </w:r>
          </w:p>
        </w:tc>
        <w:tc>
          <w:tcPr>
            <w:tcW w:w="3794"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城市污水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格栅渠宽</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1500mm</w:t>
            </w:r>
            <w:r>
              <w:rPr>
                <w:rFonts w:ascii="Times New Roman" w:hAnsi="Times New Roman"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格栅宽</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1400mm</w:t>
            </w:r>
            <w:r>
              <w:rPr>
                <w:rFonts w:ascii="Times New Roman" w:hAnsi="Times New Roman"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渠道深度</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6.0m</w:t>
            </w:r>
            <w:r>
              <w:rPr>
                <w:rFonts w:ascii="Times New Roman" w:hAnsi="Times New Roman"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栅条间距</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20mm</w:t>
            </w:r>
            <w:r>
              <w:rPr>
                <w:rFonts w:ascii="Times New Roman" w:hAnsi="Times New Roman"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卸料口高度</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1200mm</w:t>
            </w:r>
            <w:r>
              <w:rPr>
                <w:rFonts w:ascii="Times New Roman" w:hAnsi="Times New Roman" w:eastAsia="宋体" w:cs="Times New Roman"/>
                <w:color w:val="auto"/>
                <w:sz w:val="21"/>
                <w:szCs w:val="21"/>
                <w:lang w:eastAsia="zh-CN"/>
              </w:rPr>
              <w:t>（暂定）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安装角度</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耙齿速度</w:t>
            </w:r>
          </w:p>
        </w:tc>
        <w:tc>
          <w:tcPr>
            <w:tcW w:w="3794"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≤6m/min，暂定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升降电机功率</w:t>
            </w:r>
          </w:p>
        </w:tc>
        <w:tc>
          <w:tcPr>
            <w:tcW w:w="3794"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1.5KW，暂定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开闭耙电机功率</w:t>
            </w:r>
          </w:p>
        </w:tc>
        <w:tc>
          <w:tcPr>
            <w:tcW w:w="3794"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1.5KW，暂定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电机防护等级</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IP55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电机防护等级</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 xml:space="preserve">F </w:t>
            </w:r>
            <w:r>
              <w:rPr>
                <w:rFonts w:ascii="Times New Roman" w:hAnsi="Times New Roman" w:eastAsia="宋体" w:cs="Times New Roman"/>
                <w:color w:val="auto"/>
                <w:sz w:val="21"/>
                <w:szCs w:val="21"/>
                <w:lang w:eastAsia="zh-CN"/>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550" w:type="dxa"/>
            <w:vMerge w:val="restart"/>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材质</w:t>
            </w: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机架</w:t>
            </w:r>
          </w:p>
        </w:tc>
        <w:tc>
          <w:tcPr>
            <w:tcW w:w="3794"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不锈钢 304L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格栅框架</w:t>
            </w:r>
          </w:p>
        </w:tc>
        <w:tc>
          <w:tcPr>
            <w:tcW w:w="3794"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不锈钢 304L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栅条</w:t>
            </w:r>
          </w:p>
        </w:tc>
        <w:tc>
          <w:tcPr>
            <w:tcW w:w="3794"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不锈钢 304L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拦污挡板</w:t>
            </w:r>
          </w:p>
        </w:tc>
        <w:tc>
          <w:tcPr>
            <w:tcW w:w="3794"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不锈钢 304L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钢丝绳</w:t>
            </w:r>
          </w:p>
        </w:tc>
        <w:tc>
          <w:tcPr>
            <w:tcW w:w="3794"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不锈钢 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耙齿</w:t>
            </w:r>
          </w:p>
        </w:tc>
        <w:tc>
          <w:tcPr>
            <w:tcW w:w="3794"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不锈钢 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550" w:type="dxa"/>
            <w:vMerge w:val="continue"/>
            <w:vAlign w:val="center"/>
          </w:tcPr>
          <w:p>
            <w:pPr>
              <w:widowControl/>
              <w:spacing w:line="360" w:lineRule="auto"/>
              <w:jc w:val="center"/>
              <w:rPr>
                <w:rFonts w:ascii="Times New Roman" w:hAnsi="Times New Roman" w:eastAsia="宋体" w:cs="Times New Roman"/>
                <w:color w:val="auto"/>
                <w:sz w:val="21"/>
                <w:szCs w:val="21"/>
                <w:lang w:eastAsia="zh-CN"/>
              </w:rPr>
            </w:pP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驱动保护罩</w:t>
            </w:r>
          </w:p>
        </w:tc>
        <w:tc>
          <w:tcPr>
            <w:tcW w:w="3794"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不锈钢 304L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设计安装相关标准</w:t>
            </w:r>
          </w:p>
        </w:tc>
        <w:tc>
          <w:tcPr>
            <w:tcW w:w="338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平面格栅除污机</w:t>
            </w:r>
          </w:p>
        </w:tc>
        <w:tc>
          <w:tcPr>
            <w:tcW w:w="3794" w:type="dxa"/>
            <w:shd w:val="clear" w:color="auto" w:fill="auto"/>
            <w:vAlign w:val="center"/>
          </w:tcPr>
          <w:p>
            <w:pPr>
              <w:widowControl/>
              <w:spacing w:line="360" w:lineRule="auto"/>
              <w:jc w:val="center"/>
              <w:rPr>
                <w:rFonts w:ascii="Times New Roman" w:hAnsi="Times New Roman" w:eastAsia="等线" w:cs="Times New Roman"/>
                <w:color w:val="auto"/>
                <w:sz w:val="21"/>
                <w:szCs w:val="21"/>
                <w:lang w:eastAsia="zh-CN"/>
              </w:rPr>
            </w:pPr>
            <w:r>
              <w:rPr>
                <w:rFonts w:ascii="Times New Roman" w:hAnsi="Times New Roman" w:eastAsia="等线" w:cs="Times New Roman"/>
                <w:color w:val="auto"/>
                <w:sz w:val="21"/>
                <w:szCs w:val="21"/>
                <w:lang w:eastAsia="zh-CN"/>
              </w:rPr>
              <w:t>CJ/T304L8-95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水处理设备制造 技术条件</w:t>
            </w:r>
          </w:p>
        </w:tc>
        <w:tc>
          <w:tcPr>
            <w:tcW w:w="7176" w:type="dxa"/>
            <w:gridSpan w:val="2"/>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JB2932-99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水处理设备油 漆、包装技术条 件</w:t>
            </w:r>
          </w:p>
        </w:tc>
        <w:tc>
          <w:tcPr>
            <w:tcW w:w="7176" w:type="dxa"/>
            <w:gridSpan w:val="2"/>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ZBJ98003-87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钢结构设计规范</w:t>
            </w:r>
          </w:p>
        </w:tc>
        <w:tc>
          <w:tcPr>
            <w:tcW w:w="7176" w:type="dxa"/>
            <w:gridSpan w:val="2"/>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GBJ17-88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安装机械焊接件通用技术条件</w:t>
            </w:r>
          </w:p>
        </w:tc>
        <w:tc>
          <w:tcPr>
            <w:tcW w:w="7176" w:type="dxa"/>
            <w:gridSpan w:val="2"/>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JB/ZQ3011-88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涂装前钢材表面 锈蚀等级和除锈 等级</w:t>
            </w:r>
          </w:p>
        </w:tc>
        <w:tc>
          <w:tcPr>
            <w:tcW w:w="7176" w:type="dxa"/>
            <w:gridSpan w:val="2"/>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GB 8923-88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碳素结构钢</w:t>
            </w:r>
          </w:p>
        </w:tc>
        <w:tc>
          <w:tcPr>
            <w:tcW w:w="7176" w:type="dxa"/>
            <w:gridSpan w:val="2"/>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GB700-88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不锈钢热轧钢板</w:t>
            </w:r>
          </w:p>
        </w:tc>
        <w:tc>
          <w:tcPr>
            <w:tcW w:w="7176" w:type="dxa"/>
            <w:gridSpan w:val="2"/>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GB4237-84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碳素钢焊条</w:t>
            </w:r>
          </w:p>
        </w:tc>
        <w:tc>
          <w:tcPr>
            <w:tcW w:w="7176" w:type="dxa"/>
            <w:gridSpan w:val="2"/>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GB/T5117-1995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气焊、手工电弧焊及气体保护焊焊缝坡口的基本形式和尺寸</w:t>
            </w:r>
          </w:p>
        </w:tc>
        <w:tc>
          <w:tcPr>
            <w:tcW w:w="7176" w:type="dxa"/>
            <w:gridSpan w:val="2"/>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GB985-88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焊接件通用技术 要求</w:t>
            </w:r>
          </w:p>
        </w:tc>
        <w:tc>
          <w:tcPr>
            <w:tcW w:w="7176" w:type="dxa"/>
            <w:gridSpan w:val="2"/>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JB/ZQ4000²3-86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产品检验通用技 术要求</w:t>
            </w:r>
          </w:p>
        </w:tc>
        <w:tc>
          <w:tcPr>
            <w:tcW w:w="7176" w:type="dxa"/>
            <w:gridSpan w:val="2"/>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JB/ZQ4000²1-86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低压开关设备和 控制设备 控制 电路电器和开关 元件，机电式控 制电路电器</w:t>
            </w:r>
          </w:p>
        </w:tc>
        <w:tc>
          <w:tcPr>
            <w:tcW w:w="7176" w:type="dxa"/>
            <w:gridSpan w:val="2"/>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GB14048.5-93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运行技术及工艺要求</w:t>
            </w:r>
          </w:p>
        </w:tc>
        <w:tc>
          <w:tcPr>
            <w:tcW w:w="7176" w:type="dxa"/>
            <w:gridSpan w:val="2"/>
            <w:shd w:val="clear" w:color="auto" w:fill="auto"/>
            <w:vAlign w:val="center"/>
          </w:tcPr>
          <w:p>
            <w:pPr>
              <w:widowControl/>
              <w:spacing w:line="360" w:lineRule="auto"/>
              <w:ind w:firstLine="420" w:firstLineChars="200"/>
              <w:jc w:val="both"/>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格栅机安装于渠道的整个深度，把栅面截留原污水中的垃圾等污物耙除。在正常情况下格栅除污机为间歇运行，也能连续 24 小时运行。</w:t>
            </w:r>
          </w:p>
          <w:p>
            <w:pPr>
              <w:widowControl/>
              <w:spacing w:line="360" w:lineRule="auto"/>
              <w:ind w:firstLine="420" w:firstLineChars="200"/>
              <w:jc w:val="both"/>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格栅配备带配重的安全型无噪声卸污机构，并保证能全部清除抓斗提升上来的污物，铰接结构和卸料臂钢性强，设计合理，可防止因抓斗负载过重 格栅除污机为三索钢丝绳式前耙型除污机，格栅采用间距相等的平直栅条，易去除栅条上的垃圾。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5"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电器部分</w:t>
            </w:r>
          </w:p>
        </w:tc>
        <w:tc>
          <w:tcPr>
            <w:tcW w:w="7176" w:type="dxa"/>
            <w:gridSpan w:val="2"/>
            <w:shd w:val="clear" w:color="auto" w:fill="auto"/>
            <w:vAlign w:val="center"/>
          </w:tcPr>
          <w:p>
            <w:pPr>
              <w:widowControl/>
              <w:spacing w:line="360" w:lineRule="auto"/>
              <w:ind w:firstLine="420" w:firstLineChars="200"/>
              <w:jc w:val="both"/>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电机制动、行程开关、抓斗、耙齿、卸料机构及控制系统都可 调整并方便调节。</w:t>
            </w:r>
          </w:p>
          <w:p>
            <w:pPr>
              <w:widowControl/>
              <w:spacing w:line="360" w:lineRule="auto"/>
              <w:ind w:firstLine="420" w:firstLineChars="200"/>
              <w:jc w:val="both"/>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每台格栅配备独立的控制柜，分别控制。 电控箱采用就地控制箱材质为不锈钢防护等级 IP55，控制箱内 主要元器件采用西门子公司产品。 格栅的操作方式为就地手动、自动控制，控制面板上设有自动/ 手动转换开关、控制按钮、信号灯。控制箱预留与自控系统的输入、输出接口。输入：开停机；输 出：运行、故障、自控系统准操作，接口均采用无源继电器式。电控箱设有过载保护功能，一旦出现故障，可发出报警信号。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5"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耙污机构</w:t>
            </w:r>
          </w:p>
        </w:tc>
        <w:tc>
          <w:tcPr>
            <w:tcW w:w="7176" w:type="dxa"/>
            <w:gridSpan w:val="2"/>
            <w:shd w:val="clear" w:color="auto" w:fill="auto"/>
            <w:vAlign w:val="center"/>
          </w:tcPr>
          <w:p>
            <w:pPr>
              <w:widowControl/>
              <w:spacing w:line="360" w:lineRule="auto"/>
              <w:ind w:firstLine="420" w:firstLineChars="200"/>
              <w:jc w:val="both"/>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齿耙为重载型大容量“耙斗式”结构，它由耙斗本体、耙齿及 两侧滚轮的导向车组成。除污耙及其卷扬装置提升能力不小于 100kg 的栅污物。 在耙斗两侧侧板与移动小车采用铰轴连接，铰轴的前端侧板设 有吊环，与升降兼合耙的钢索连结，靠铰轴外端的耙斗中部高 吊环，与升降兼开耙的钢索连结，耙斗在打开状态时，斗齿与栅条相距尺寸大于 400mm（暂定），保证其容量清污时的挖掘作用。材料为不锈钢 321。 齿板设置了足够数量的泄水孔，当耙板在爬升时污物不致跟随 水向两边外溢。起吊用钢丝绳采用偏心布置，以便更好的服务于清除操作，耙 污速度≤6m/min。材质为不锈钢 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0"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格栅机架</w:t>
            </w:r>
          </w:p>
        </w:tc>
        <w:tc>
          <w:tcPr>
            <w:tcW w:w="7176" w:type="dxa"/>
            <w:gridSpan w:val="2"/>
            <w:shd w:val="clear" w:color="auto" w:fill="auto"/>
            <w:vAlign w:val="center"/>
          </w:tcPr>
          <w:p>
            <w:pPr>
              <w:widowControl/>
              <w:spacing w:line="360" w:lineRule="auto"/>
              <w:ind w:firstLine="420" w:firstLineChars="200"/>
              <w:jc w:val="both"/>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除污机的机架是用不锈钢制成，采用焊接连接。格栅支架用来支撑格栅，且带有导轨和固定措施。 格栅支架两侧固定在混凝土渠道上，为拆卸式，安装方便，格 栅置入后渠道内的污水全部流经格栅，水渠两侧无死角。为使 格栅底部不积聚垃圾，格栅从井的底部安装使格栅在整个高度 内便于耙污。 栅条及支架能承受大量漂浮物体的荷载，耙污机构的运行无明 显偏移、损伤或变形。 机架上设置了各行程位置到位的接近开关，确保了设备控制的 准确与灵敏度。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trPr>
        <w:tc>
          <w:tcPr>
            <w:tcW w:w="155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驱动装置</w:t>
            </w:r>
          </w:p>
        </w:tc>
        <w:tc>
          <w:tcPr>
            <w:tcW w:w="7176" w:type="dxa"/>
            <w:gridSpan w:val="2"/>
            <w:shd w:val="clear" w:color="auto" w:fill="auto"/>
            <w:vAlign w:val="center"/>
          </w:tcPr>
          <w:p>
            <w:pPr>
              <w:widowControl/>
              <w:spacing w:line="360" w:lineRule="auto"/>
              <w:ind w:firstLine="420" w:firstLineChars="200"/>
              <w:jc w:val="both"/>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每台除污机驱动装置稳固地安装在机械平台上，减速机为齿轮 型（国际知名品牌），齿轮材料为合金结构钢，渗碳处理，齿面 硬度大于 HRC58~62，全密闭油浴式，轴承寿命（L10）10 万小 时，并具有可靠的制动特性。服务系数＞1.4，电机防护等级 IP55，F 级绝缘，B 级升温。</w:t>
            </w:r>
          </w:p>
        </w:tc>
      </w:tr>
    </w:tbl>
    <w:p>
      <w:pPr>
        <w:pStyle w:val="29"/>
        <w:ind w:firstLine="472"/>
        <w:rPr>
          <w:color w:val="auto"/>
        </w:rPr>
      </w:pPr>
    </w:p>
    <w:p>
      <w:pPr>
        <w:pStyle w:val="30"/>
        <w:spacing w:before="120" w:after="120"/>
        <w:rPr>
          <w:color w:val="auto"/>
        </w:rPr>
      </w:pPr>
      <w:bookmarkStart w:id="291" w:name="_Toc117181394"/>
      <w:r>
        <w:rPr>
          <w:color w:val="auto"/>
        </w:rPr>
        <w:t>闸门</w:t>
      </w:r>
      <w:bookmarkEnd w:id="291"/>
    </w:p>
    <w:tbl>
      <w:tblPr>
        <w:tblStyle w:val="24"/>
        <w:tblW w:w="86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552"/>
        <w:gridCol w:w="992"/>
        <w:gridCol w:w="850"/>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tcPr>
          <w:p>
            <w:pPr>
              <w:pStyle w:val="29"/>
              <w:ind w:firstLine="0" w:firstLineChars="0"/>
              <w:jc w:val="center"/>
              <w:rPr>
                <w:rFonts w:cs="Times New Roman"/>
                <w:color w:val="auto"/>
                <w:sz w:val="21"/>
                <w:szCs w:val="21"/>
              </w:rPr>
            </w:pPr>
            <w:r>
              <w:rPr>
                <w:rFonts w:cs="Times New Roman"/>
                <w:color w:val="auto"/>
                <w:sz w:val="21"/>
                <w:szCs w:val="21"/>
              </w:rPr>
              <w:t>设备名称</w:t>
            </w:r>
          </w:p>
        </w:tc>
        <w:tc>
          <w:tcPr>
            <w:tcW w:w="2552" w:type="dxa"/>
          </w:tcPr>
          <w:p>
            <w:pPr>
              <w:pStyle w:val="29"/>
              <w:ind w:firstLine="0" w:firstLineChars="0"/>
              <w:jc w:val="center"/>
              <w:rPr>
                <w:rFonts w:cs="Times New Roman"/>
                <w:color w:val="auto"/>
                <w:sz w:val="21"/>
                <w:szCs w:val="21"/>
              </w:rPr>
            </w:pPr>
            <w:r>
              <w:rPr>
                <w:rFonts w:cs="Times New Roman"/>
                <w:color w:val="auto"/>
                <w:sz w:val="21"/>
                <w:szCs w:val="21"/>
              </w:rPr>
              <w:t>规格</w:t>
            </w:r>
          </w:p>
        </w:tc>
        <w:tc>
          <w:tcPr>
            <w:tcW w:w="992" w:type="dxa"/>
          </w:tcPr>
          <w:p>
            <w:pPr>
              <w:pStyle w:val="29"/>
              <w:ind w:firstLine="0" w:firstLineChars="0"/>
              <w:jc w:val="center"/>
              <w:rPr>
                <w:rFonts w:cs="Times New Roman"/>
                <w:color w:val="auto"/>
                <w:sz w:val="21"/>
                <w:szCs w:val="21"/>
              </w:rPr>
            </w:pPr>
            <w:r>
              <w:rPr>
                <w:rFonts w:cs="Times New Roman"/>
                <w:color w:val="auto"/>
                <w:sz w:val="21"/>
                <w:szCs w:val="21"/>
              </w:rPr>
              <w:t>数量</w:t>
            </w:r>
          </w:p>
        </w:tc>
        <w:tc>
          <w:tcPr>
            <w:tcW w:w="850" w:type="dxa"/>
          </w:tcPr>
          <w:p>
            <w:pPr>
              <w:pStyle w:val="29"/>
              <w:ind w:firstLine="0" w:firstLineChars="0"/>
              <w:jc w:val="center"/>
              <w:rPr>
                <w:rFonts w:cs="Times New Roman"/>
                <w:color w:val="auto"/>
                <w:sz w:val="21"/>
                <w:szCs w:val="21"/>
              </w:rPr>
            </w:pPr>
            <w:r>
              <w:rPr>
                <w:rFonts w:cs="Times New Roman"/>
                <w:color w:val="auto"/>
                <w:sz w:val="21"/>
                <w:szCs w:val="21"/>
              </w:rPr>
              <w:t>单位</w:t>
            </w:r>
          </w:p>
        </w:tc>
        <w:tc>
          <w:tcPr>
            <w:tcW w:w="2552" w:type="dxa"/>
          </w:tcPr>
          <w:p>
            <w:pPr>
              <w:pStyle w:val="29"/>
              <w:ind w:firstLine="0" w:firstLineChars="0"/>
              <w:jc w:val="center"/>
              <w:rPr>
                <w:rFonts w:cs="Times New Roman"/>
                <w:color w:val="auto"/>
                <w:sz w:val="21"/>
                <w:szCs w:val="21"/>
              </w:rPr>
            </w:pPr>
            <w:r>
              <w:rPr>
                <w:rFonts w:cs="Times New Roman"/>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vAlign w:val="center"/>
          </w:tcPr>
          <w:p>
            <w:pPr>
              <w:pStyle w:val="29"/>
              <w:ind w:firstLine="0" w:firstLineChars="0"/>
              <w:jc w:val="center"/>
              <w:rPr>
                <w:rFonts w:cs="Times New Roman"/>
                <w:color w:val="auto"/>
                <w:sz w:val="21"/>
                <w:szCs w:val="21"/>
              </w:rPr>
            </w:pPr>
            <w:r>
              <w:rPr>
                <w:rFonts w:cs="Times New Roman"/>
                <w:color w:val="auto"/>
                <w:sz w:val="21"/>
                <w:szCs w:val="21"/>
              </w:rPr>
              <w:t>速闭式闸门</w:t>
            </w:r>
          </w:p>
        </w:tc>
        <w:tc>
          <w:tcPr>
            <w:tcW w:w="2552" w:type="dxa"/>
            <w:vAlign w:val="center"/>
          </w:tcPr>
          <w:p>
            <w:pPr>
              <w:pStyle w:val="29"/>
              <w:ind w:firstLine="0" w:firstLineChars="0"/>
              <w:jc w:val="center"/>
              <w:rPr>
                <w:rFonts w:cs="Times New Roman"/>
                <w:color w:val="auto"/>
                <w:sz w:val="21"/>
                <w:szCs w:val="21"/>
              </w:rPr>
            </w:pPr>
            <w:r>
              <w:rPr>
                <w:rFonts w:cs="Times New Roman"/>
                <w:color w:val="auto"/>
                <w:sz w:val="21"/>
                <w:szCs w:val="21"/>
              </w:rPr>
              <w:t>φ1500，P=2.2kW</w:t>
            </w:r>
          </w:p>
        </w:tc>
        <w:tc>
          <w:tcPr>
            <w:tcW w:w="992" w:type="dxa"/>
          </w:tcPr>
          <w:p>
            <w:pPr>
              <w:pStyle w:val="29"/>
              <w:ind w:firstLine="0" w:firstLineChars="0"/>
              <w:jc w:val="center"/>
              <w:rPr>
                <w:rFonts w:cs="Times New Roman"/>
                <w:color w:val="auto"/>
                <w:sz w:val="21"/>
                <w:szCs w:val="21"/>
              </w:rPr>
            </w:pPr>
            <w:r>
              <w:rPr>
                <w:rFonts w:cs="Times New Roman"/>
                <w:color w:val="auto"/>
                <w:sz w:val="21"/>
                <w:szCs w:val="21"/>
              </w:rPr>
              <w:t>1</w:t>
            </w:r>
          </w:p>
        </w:tc>
        <w:tc>
          <w:tcPr>
            <w:tcW w:w="850" w:type="dxa"/>
          </w:tcPr>
          <w:p>
            <w:pPr>
              <w:pStyle w:val="29"/>
              <w:ind w:firstLine="0" w:firstLineChars="0"/>
              <w:jc w:val="center"/>
              <w:rPr>
                <w:rFonts w:cs="Times New Roman"/>
                <w:color w:val="auto"/>
                <w:sz w:val="21"/>
                <w:szCs w:val="21"/>
              </w:rPr>
            </w:pPr>
            <w:r>
              <w:rPr>
                <w:rFonts w:cs="Times New Roman"/>
                <w:color w:val="auto"/>
                <w:sz w:val="21"/>
                <w:szCs w:val="21"/>
              </w:rPr>
              <w:t>台</w:t>
            </w:r>
          </w:p>
        </w:tc>
        <w:tc>
          <w:tcPr>
            <w:tcW w:w="2552" w:type="dxa"/>
          </w:tcPr>
          <w:p>
            <w:pPr>
              <w:pStyle w:val="29"/>
              <w:ind w:firstLine="0" w:firstLineChars="0"/>
              <w:jc w:val="center"/>
              <w:rPr>
                <w:rFonts w:cs="Times New Roman"/>
                <w:color w:val="auto"/>
                <w:sz w:val="21"/>
                <w:szCs w:val="21"/>
              </w:rPr>
            </w:pPr>
            <w:r>
              <w:rPr>
                <w:rFonts w:cs="Times New Roman"/>
                <w:color w:val="auto"/>
                <w:sz w:val="21"/>
                <w:szCs w:val="21"/>
              </w:rPr>
              <w:t>配套一体化执行机构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vAlign w:val="center"/>
          </w:tcPr>
          <w:p>
            <w:pPr>
              <w:pStyle w:val="29"/>
              <w:ind w:firstLine="0" w:firstLineChars="0"/>
              <w:jc w:val="center"/>
              <w:rPr>
                <w:rFonts w:cs="Times New Roman"/>
                <w:color w:val="auto"/>
                <w:sz w:val="21"/>
                <w:szCs w:val="21"/>
              </w:rPr>
            </w:pPr>
            <w:r>
              <w:rPr>
                <w:rFonts w:cs="Times New Roman"/>
                <w:color w:val="auto"/>
                <w:sz w:val="21"/>
                <w:szCs w:val="21"/>
              </w:rPr>
              <w:t>电动铸铁闸门</w:t>
            </w:r>
          </w:p>
        </w:tc>
        <w:tc>
          <w:tcPr>
            <w:tcW w:w="2552" w:type="dxa"/>
            <w:vAlign w:val="center"/>
          </w:tcPr>
          <w:p>
            <w:pPr>
              <w:pStyle w:val="29"/>
              <w:ind w:firstLine="0" w:firstLineChars="0"/>
              <w:jc w:val="center"/>
              <w:rPr>
                <w:rFonts w:cs="Times New Roman"/>
                <w:color w:val="auto"/>
                <w:sz w:val="21"/>
                <w:szCs w:val="21"/>
              </w:rPr>
            </w:pPr>
            <w:r>
              <w:rPr>
                <w:rFonts w:cs="Times New Roman"/>
                <w:color w:val="auto"/>
                <w:sz w:val="21"/>
                <w:szCs w:val="21"/>
              </w:rPr>
              <w:t>φ1500，P=2.2kW</w:t>
            </w:r>
          </w:p>
        </w:tc>
        <w:tc>
          <w:tcPr>
            <w:tcW w:w="992" w:type="dxa"/>
            <w:vAlign w:val="center"/>
          </w:tcPr>
          <w:p>
            <w:pPr>
              <w:pStyle w:val="29"/>
              <w:ind w:firstLine="0" w:firstLineChars="0"/>
              <w:jc w:val="center"/>
              <w:rPr>
                <w:rFonts w:cs="Times New Roman"/>
                <w:color w:val="auto"/>
                <w:sz w:val="21"/>
                <w:szCs w:val="21"/>
              </w:rPr>
            </w:pPr>
            <w:r>
              <w:rPr>
                <w:rFonts w:cs="Times New Roman"/>
                <w:color w:val="auto"/>
                <w:sz w:val="21"/>
                <w:szCs w:val="21"/>
              </w:rPr>
              <w:t>2</w:t>
            </w:r>
          </w:p>
        </w:tc>
        <w:tc>
          <w:tcPr>
            <w:tcW w:w="850" w:type="dxa"/>
          </w:tcPr>
          <w:p>
            <w:pPr>
              <w:pStyle w:val="29"/>
              <w:ind w:firstLine="0" w:firstLineChars="0"/>
              <w:jc w:val="center"/>
              <w:rPr>
                <w:rFonts w:cs="Times New Roman"/>
                <w:color w:val="auto"/>
                <w:sz w:val="21"/>
                <w:szCs w:val="21"/>
              </w:rPr>
            </w:pPr>
            <w:r>
              <w:rPr>
                <w:rFonts w:cs="Times New Roman"/>
                <w:color w:val="auto"/>
                <w:sz w:val="21"/>
                <w:szCs w:val="21"/>
              </w:rPr>
              <w:t>台</w:t>
            </w:r>
          </w:p>
        </w:tc>
        <w:tc>
          <w:tcPr>
            <w:tcW w:w="2552" w:type="dxa"/>
          </w:tcPr>
          <w:p>
            <w:pPr>
              <w:pStyle w:val="29"/>
              <w:ind w:firstLine="0" w:firstLineChars="0"/>
              <w:jc w:val="center"/>
              <w:rPr>
                <w:rFonts w:cs="Times New Roman"/>
                <w:color w:val="auto"/>
                <w:sz w:val="21"/>
                <w:szCs w:val="21"/>
              </w:rPr>
            </w:pPr>
            <w:r>
              <w:rPr>
                <w:rFonts w:cs="Times New Roman"/>
                <w:color w:val="auto"/>
                <w:sz w:val="21"/>
                <w:szCs w:val="21"/>
              </w:rPr>
              <w:t>配套一体化执行机构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vAlign w:val="center"/>
          </w:tcPr>
          <w:p>
            <w:pPr>
              <w:pStyle w:val="29"/>
              <w:ind w:firstLine="0" w:firstLineChars="0"/>
              <w:jc w:val="center"/>
              <w:rPr>
                <w:rFonts w:cs="Times New Roman"/>
                <w:color w:val="auto"/>
                <w:sz w:val="21"/>
                <w:szCs w:val="21"/>
              </w:rPr>
            </w:pPr>
            <w:r>
              <w:rPr>
                <w:rFonts w:cs="Times New Roman"/>
                <w:color w:val="auto"/>
                <w:sz w:val="21"/>
                <w:szCs w:val="21"/>
              </w:rPr>
              <w:t>电动铸铁闸门</w:t>
            </w:r>
          </w:p>
        </w:tc>
        <w:tc>
          <w:tcPr>
            <w:tcW w:w="2552" w:type="dxa"/>
            <w:vAlign w:val="center"/>
          </w:tcPr>
          <w:p>
            <w:pPr>
              <w:pStyle w:val="29"/>
              <w:ind w:firstLine="0" w:firstLineChars="0"/>
              <w:jc w:val="center"/>
              <w:rPr>
                <w:rFonts w:cs="Times New Roman"/>
                <w:color w:val="auto"/>
                <w:sz w:val="21"/>
                <w:szCs w:val="21"/>
              </w:rPr>
            </w:pPr>
            <w:r>
              <w:rPr>
                <w:rFonts w:cs="Times New Roman"/>
                <w:color w:val="auto"/>
                <w:sz w:val="21"/>
                <w:szCs w:val="21"/>
              </w:rPr>
              <w:t>B×H=1200×1200，P=2.2kW</w:t>
            </w:r>
          </w:p>
        </w:tc>
        <w:tc>
          <w:tcPr>
            <w:tcW w:w="992" w:type="dxa"/>
          </w:tcPr>
          <w:p>
            <w:pPr>
              <w:pStyle w:val="29"/>
              <w:ind w:firstLine="0" w:firstLineChars="0"/>
              <w:jc w:val="center"/>
              <w:rPr>
                <w:rFonts w:cs="Times New Roman"/>
                <w:color w:val="auto"/>
                <w:sz w:val="21"/>
                <w:szCs w:val="21"/>
              </w:rPr>
            </w:pPr>
            <w:r>
              <w:rPr>
                <w:rFonts w:cs="Times New Roman"/>
                <w:color w:val="auto"/>
                <w:sz w:val="21"/>
                <w:szCs w:val="21"/>
              </w:rPr>
              <w:t>1</w:t>
            </w:r>
          </w:p>
        </w:tc>
        <w:tc>
          <w:tcPr>
            <w:tcW w:w="850" w:type="dxa"/>
          </w:tcPr>
          <w:p>
            <w:pPr>
              <w:pStyle w:val="29"/>
              <w:ind w:firstLine="0" w:firstLineChars="0"/>
              <w:jc w:val="center"/>
              <w:rPr>
                <w:rFonts w:cs="Times New Roman"/>
                <w:color w:val="auto"/>
                <w:sz w:val="21"/>
                <w:szCs w:val="21"/>
              </w:rPr>
            </w:pPr>
            <w:r>
              <w:rPr>
                <w:rFonts w:cs="Times New Roman"/>
                <w:color w:val="auto"/>
                <w:sz w:val="21"/>
                <w:szCs w:val="21"/>
              </w:rPr>
              <w:t>台</w:t>
            </w:r>
          </w:p>
        </w:tc>
        <w:tc>
          <w:tcPr>
            <w:tcW w:w="2552" w:type="dxa"/>
          </w:tcPr>
          <w:p>
            <w:pPr>
              <w:pStyle w:val="29"/>
              <w:ind w:firstLine="0" w:firstLineChars="0"/>
              <w:jc w:val="center"/>
              <w:rPr>
                <w:rFonts w:cs="Times New Roman"/>
                <w:color w:val="auto"/>
                <w:sz w:val="21"/>
                <w:szCs w:val="21"/>
              </w:rPr>
            </w:pPr>
            <w:r>
              <w:rPr>
                <w:rFonts w:cs="Times New Roman"/>
                <w:color w:val="auto"/>
                <w:sz w:val="21"/>
                <w:szCs w:val="21"/>
              </w:rPr>
              <w:t>配套一体化执行机构，双向受压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tcPr>
          <w:p>
            <w:pPr>
              <w:pStyle w:val="29"/>
              <w:ind w:firstLine="0" w:firstLineChars="0"/>
              <w:jc w:val="center"/>
              <w:rPr>
                <w:rFonts w:cs="Times New Roman"/>
                <w:color w:val="auto"/>
                <w:sz w:val="21"/>
                <w:szCs w:val="21"/>
              </w:rPr>
            </w:pPr>
            <w:r>
              <w:rPr>
                <w:rFonts w:cs="Times New Roman"/>
                <w:color w:val="auto"/>
                <w:sz w:val="21"/>
                <w:szCs w:val="21"/>
              </w:rPr>
              <w:t>止回阀</w:t>
            </w:r>
          </w:p>
        </w:tc>
        <w:tc>
          <w:tcPr>
            <w:tcW w:w="2552" w:type="dxa"/>
          </w:tcPr>
          <w:p>
            <w:pPr>
              <w:pStyle w:val="29"/>
              <w:ind w:firstLine="0" w:firstLineChars="0"/>
              <w:jc w:val="center"/>
              <w:rPr>
                <w:rFonts w:cs="Times New Roman"/>
                <w:color w:val="auto"/>
                <w:sz w:val="21"/>
                <w:szCs w:val="21"/>
              </w:rPr>
            </w:pPr>
            <w:r>
              <w:rPr>
                <w:rFonts w:cs="Times New Roman"/>
                <w:color w:val="auto"/>
                <w:sz w:val="21"/>
                <w:szCs w:val="21"/>
              </w:rPr>
              <w:t>DN600</w:t>
            </w:r>
          </w:p>
        </w:tc>
        <w:tc>
          <w:tcPr>
            <w:tcW w:w="992" w:type="dxa"/>
          </w:tcPr>
          <w:p>
            <w:pPr>
              <w:pStyle w:val="29"/>
              <w:ind w:firstLine="0" w:firstLineChars="0"/>
              <w:jc w:val="center"/>
              <w:rPr>
                <w:rFonts w:cs="Times New Roman"/>
                <w:color w:val="auto"/>
                <w:sz w:val="21"/>
                <w:szCs w:val="21"/>
              </w:rPr>
            </w:pPr>
            <w:r>
              <w:rPr>
                <w:rFonts w:cs="Times New Roman"/>
                <w:color w:val="auto"/>
                <w:sz w:val="21"/>
                <w:szCs w:val="21"/>
              </w:rPr>
              <w:t>6</w:t>
            </w:r>
          </w:p>
        </w:tc>
        <w:tc>
          <w:tcPr>
            <w:tcW w:w="850" w:type="dxa"/>
          </w:tcPr>
          <w:p>
            <w:pPr>
              <w:pStyle w:val="29"/>
              <w:ind w:firstLine="0" w:firstLineChars="0"/>
              <w:jc w:val="center"/>
              <w:rPr>
                <w:rFonts w:cs="Times New Roman"/>
                <w:color w:val="auto"/>
                <w:sz w:val="21"/>
                <w:szCs w:val="21"/>
              </w:rPr>
            </w:pPr>
            <w:r>
              <w:rPr>
                <w:rFonts w:cs="Times New Roman"/>
                <w:color w:val="auto"/>
                <w:sz w:val="21"/>
                <w:szCs w:val="21"/>
              </w:rPr>
              <w:t>台</w:t>
            </w:r>
          </w:p>
        </w:tc>
        <w:tc>
          <w:tcPr>
            <w:tcW w:w="2552" w:type="dxa"/>
          </w:tcPr>
          <w:p>
            <w:pPr>
              <w:pStyle w:val="29"/>
              <w:ind w:firstLine="0" w:firstLineChars="0"/>
              <w:jc w:val="center"/>
              <w:rPr>
                <w:rFonts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1" w:type="dxa"/>
          </w:tcPr>
          <w:p>
            <w:pPr>
              <w:pStyle w:val="29"/>
              <w:ind w:firstLine="0" w:firstLineChars="0"/>
              <w:jc w:val="center"/>
              <w:rPr>
                <w:rFonts w:cs="Times New Roman"/>
                <w:color w:val="auto"/>
                <w:sz w:val="21"/>
                <w:szCs w:val="21"/>
              </w:rPr>
            </w:pPr>
            <w:r>
              <w:rPr>
                <w:rFonts w:hint="eastAsia" w:cs="Times New Roman"/>
                <w:color w:val="auto"/>
                <w:sz w:val="21"/>
                <w:szCs w:val="21"/>
              </w:rPr>
              <w:t>手电两用蝶阀</w:t>
            </w:r>
          </w:p>
        </w:tc>
        <w:tc>
          <w:tcPr>
            <w:tcW w:w="2552" w:type="dxa"/>
          </w:tcPr>
          <w:p>
            <w:pPr>
              <w:pStyle w:val="29"/>
              <w:ind w:firstLine="0" w:firstLineChars="0"/>
              <w:jc w:val="center"/>
              <w:rPr>
                <w:rFonts w:cs="Times New Roman"/>
                <w:color w:val="auto"/>
                <w:sz w:val="21"/>
                <w:szCs w:val="21"/>
              </w:rPr>
            </w:pPr>
            <w:r>
              <w:rPr>
                <w:rFonts w:hint="eastAsia" w:cs="Times New Roman"/>
                <w:color w:val="auto"/>
                <w:sz w:val="21"/>
                <w:szCs w:val="21"/>
              </w:rPr>
              <w:t>DN600，P=1.5kW</w:t>
            </w:r>
          </w:p>
        </w:tc>
        <w:tc>
          <w:tcPr>
            <w:tcW w:w="992" w:type="dxa"/>
          </w:tcPr>
          <w:p>
            <w:pPr>
              <w:pStyle w:val="29"/>
              <w:ind w:firstLine="0" w:firstLineChars="0"/>
              <w:jc w:val="center"/>
              <w:rPr>
                <w:rFonts w:cs="Times New Roman"/>
                <w:color w:val="auto"/>
                <w:sz w:val="21"/>
                <w:szCs w:val="21"/>
              </w:rPr>
            </w:pPr>
            <w:r>
              <w:rPr>
                <w:rFonts w:cs="Times New Roman"/>
                <w:color w:val="auto"/>
                <w:sz w:val="21"/>
                <w:szCs w:val="21"/>
              </w:rPr>
              <w:t>6</w:t>
            </w:r>
          </w:p>
        </w:tc>
        <w:tc>
          <w:tcPr>
            <w:tcW w:w="850" w:type="dxa"/>
          </w:tcPr>
          <w:p>
            <w:pPr>
              <w:pStyle w:val="29"/>
              <w:ind w:firstLine="0" w:firstLineChars="0"/>
              <w:jc w:val="center"/>
              <w:rPr>
                <w:rFonts w:cs="Times New Roman"/>
                <w:color w:val="auto"/>
                <w:sz w:val="21"/>
                <w:szCs w:val="21"/>
              </w:rPr>
            </w:pPr>
            <w:r>
              <w:rPr>
                <w:rFonts w:cs="Times New Roman"/>
                <w:color w:val="auto"/>
                <w:sz w:val="21"/>
                <w:szCs w:val="21"/>
              </w:rPr>
              <w:t>台</w:t>
            </w:r>
          </w:p>
        </w:tc>
        <w:tc>
          <w:tcPr>
            <w:tcW w:w="2552" w:type="dxa"/>
          </w:tcPr>
          <w:p>
            <w:pPr>
              <w:pStyle w:val="29"/>
              <w:ind w:firstLine="0" w:firstLineChars="0"/>
              <w:jc w:val="center"/>
              <w:rPr>
                <w:rFonts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47" w:type="dxa"/>
            <w:gridSpan w:val="5"/>
          </w:tcPr>
          <w:p>
            <w:pPr>
              <w:pStyle w:val="29"/>
              <w:ind w:firstLine="0" w:firstLineChars="0"/>
              <w:jc w:val="center"/>
              <w:rPr>
                <w:rFonts w:cs="Times New Roman"/>
                <w:b/>
                <w:bCs/>
                <w:color w:val="auto"/>
                <w:sz w:val="21"/>
                <w:szCs w:val="21"/>
              </w:rPr>
            </w:pPr>
            <w:r>
              <w:rPr>
                <w:rFonts w:cs="Times New Roman"/>
                <w:b/>
                <w:bCs/>
                <w:color w:val="auto"/>
                <w:sz w:val="21"/>
                <w:szCs w:val="21"/>
              </w:rPr>
              <w:t>相关技术说明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47" w:type="dxa"/>
            <w:gridSpan w:val="5"/>
          </w:tcPr>
          <w:p>
            <w:pPr>
              <w:pStyle w:val="29"/>
              <w:ind w:firstLine="414"/>
              <w:rPr>
                <w:rFonts w:cs="Times New Roman"/>
                <w:b/>
                <w:bCs/>
                <w:color w:val="auto"/>
                <w:sz w:val="21"/>
                <w:szCs w:val="21"/>
              </w:rPr>
            </w:pPr>
            <w:r>
              <w:rPr>
                <w:rFonts w:cs="Times New Roman"/>
                <w:b/>
                <w:bCs/>
                <w:color w:val="auto"/>
                <w:sz w:val="21"/>
                <w:szCs w:val="21"/>
              </w:rPr>
              <w:t>1、闸门</w:t>
            </w:r>
          </w:p>
          <w:p>
            <w:pPr>
              <w:pStyle w:val="29"/>
              <w:ind w:firstLine="416"/>
              <w:rPr>
                <w:rFonts w:cs="Times New Roman"/>
                <w:color w:val="auto"/>
                <w:sz w:val="21"/>
                <w:szCs w:val="21"/>
              </w:rPr>
            </w:pPr>
            <w:r>
              <w:rPr>
                <w:rFonts w:cs="Times New Roman"/>
                <w:color w:val="auto"/>
                <w:spacing w:val="-2"/>
                <w:sz w:val="21"/>
                <w:szCs w:val="21"/>
              </w:rPr>
              <w:t>1.1、闸门采用明杆式，墙式安装和孔口镶铜密封的形式，门板的密封采用橡胶对金属的密</w:t>
            </w:r>
            <w:r>
              <w:rPr>
                <w:rFonts w:cs="Times New Roman"/>
                <w:color w:val="auto"/>
                <w:sz w:val="21"/>
                <w:szCs w:val="21"/>
              </w:rPr>
              <w:t xml:space="preserve"> 封。闸门应适合于开敞的明渠安装，三边止水，闸门关闭后，门板应高于最高设计水位≥ </w:t>
            </w:r>
            <w:r>
              <w:rPr>
                <w:rFonts w:cs="Times New Roman"/>
                <w:color w:val="auto"/>
                <w:spacing w:val="-3"/>
                <w:sz w:val="21"/>
                <w:szCs w:val="21"/>
              </w:rPr>
              <w:t xml:space="preserve">100mm。门板为梁板式结构应采用 </w:t>
            </w:r>
            <w:r>
              <w:rPr>
                <w:rFonts w:cs="Times New Roman"/>
                <w:color w:val="auto"/>
                <w:sz w:val="21"/>
                <w:szCs w:val="21"/>
              </w:rPr>
              <w:t>304L</w:t>
            </w:r>
            <w:r>
              <w:rPr>
                <w:rFonts w:cs="Times New Roman"/>
                <w:color w:val="auto"/>
                <w:spacing w:val="-55"/>
                <w:sz w:val="21"/>
                <w:szCs w:val="21"/>
              </w:rPr>
              <w:t xml:space="preserve"> </w:t>
            </w:r>
            <w:r>
              <w:rPr>
                <w:rFonts w:cs="Times New Roman"/>
                <w:color w:val="auto"/>
                <w:spacing w:val="-3"/>
                <w:sz w:val="21"/>
                <w:szCs w:val="21"/>
              </w:rPr>
              <w:t>不锈钢制造，在最大受压条件下应具有足够的强度和 刚度。钢板的厚度不低于 8mm，挠度不大于</w:t>
            </w:r>
            <w:r>
              <w:rPr>
                <w:rFonts w:cs="Times New Roman"/>
                <w:color w:val="auto"/>
                <w:spacing w:val="-51"/>
                <w:sz w:val="21"/>
                <w:szCs w:val="21"/>
              </w:rPr>
              <w:t xml:space="preserve"> </w:t>
            </w:r>
            <w:r>
              <w:rPr>
                <w:rFonts w:cs="Times New Roman"/>
                <w:color w:val="auto"/>
                <w:spacing w:val="-3"/>
                <w:sz w:val="21"/>
                <w:szCs w:val="21"/>
              </w:rPr>
              <w:t xml:space="preserve">1/1000。保证受压后无变形，双向密封的泄漏量 </w:t>
            </w:r>
            <w:r>
              <w:rPr>
                <w:rFonts w:cs="Times New Roman"/>
                <w:color w:val="auto"/>
                <w:sz w:val="21"/>
                <w:szCs w:val="21"/>
              </w:rPr>
              <w:t>均不大于</w:t>
            </w:r>
            <w:r>
              <w:rPr>
                <w:rFonts w:cs="Times New Roman"/>
                <w:color w:val="auto"/>
                <w:spacing w:val="-56"/>
                <w:sz w:val="21"/>
                <w:szCs w:val="21"/>
              </w:rPr>
              <w:t xml:space="preserve"> </w:t>
            </w:r>
            <w:r>
              <w:rPr>
                <w:rFonts w:cs="Times New Roman"/>
                <w:color w:val="auto"/>
                <w:sz w:val="21"/>
                <w:szCs w:val="21"/>
              </w:rPr>
              <w:t>0.01L/min.m(密封长度)。</w:t>
            </w:r>
          </w:p>
          <w:p>
            <w:pPr>
              <w:pStyle w:val="29"/>
              <w:ind w:firstLine="412"/>
              <w:rPr>
                <w:rFonts w:cs="Times New Roman"/>
                <w:color w:val="auto"/>
                <w:sz w:val="21"/>
                <w:szCs w:val="21"/>
              </w:rPr>
            </w:pPr>
            <w:r>
              <w:rPr>
                <w:rFonts w:cs="Times New Roman"/>
                <w:color w:val="auto"/>
                <w:sz w:val="21"/>
                <w:szCs w:val="21"/>
              </w:rPr>
              <w:t>1.2、性能和结构</w:t>
            </w:r>
          </w:p>
          <w:p>
            <w:pPr>
              <w:pStyle w:val="29"/>
              <w:ind w:firstLine="412"/>
              <w:rPr>
                <w:rFonts w:cs="Times New Roman"/>
                <w:color w:val="auto"/>
                <w:sz w:val="21"/>
                <w:szCs w:val="21"/>
              </w:rPr>
            </w:pPr>
            <w:r>
              <w:rPr>
                <w:rFonts w:cs="Times New Roman"/>
                <w:color w:val="auto"/>
                <w:sz w:val="21"/>
                <w:szCs w:val="21"/>
              </w:rPr>
              <w:t>a.电动闸门的启闭速度应小于</w:t>
            </w:r>
            <w:r>
              <w:rPr>
                <w:rFonts w:cs="Times New Roman"/>
                <w:color w:val="auto"/>
                <w:spacing w:val="-55"/>
                <w:sz w:val="21"/>
                <w:szCs w:val="21"/>
              </w:rPr>
              <w:t xml:space="preserve"> </w:t>
            </w:r>
            <w:r>
              <w:rPr>
                <w:rFonts w:cs="Times New Roman"/>
                <w:color w:val="auto"/>
                <w:sz w:val="21"/>
                <w:szCs w:val="21"/>
              </w:rPr>
              <w:t>0.5m/min，大于</w:t>
            </w:r>
            <w:r>
              <w:rPr>
                <w:rFonts w:cs="Times New Roman"/>
                <w:color w:val="auto"/>
                <w:spacing w:val="-56"/>
                <w:sz w:val="21"/>
                <w:szCs w:val="21"/>
              </w:rPr>
              <w:t xml:space="preserve"> </w:t>
            </w:r>
            <w:r>
              <w:rPr>
                <w:rFonts w:cs="Times New Roman"/>
                <w:color w:val="auto"/>
                <w:sz w:val="21"/>
                <w:szCs w:val="21"/>
              </w:rPr>
              <w:t>0.2m/min。 b.闸门的泄漏量不大于1.25L/min.m（密封长度）。</w:t>
            </w:r>
          </w:p>
          <w:p>
            <w:pPr>
              <w:pStyle w:val="29"/>
              <w:ind w:firstLine="408"/>
              <w:rPr>
                <w:rFonts w:cs="Times New Roman"/>
                <w:color w:val="auto"/>
                <w:sz w:val="21"/>
                <w:szCs w:val="21"/>
              </w:rPr>
            </w:pPr>
            <w:r>
              <w:rPr>
                <w:rFonts w:cs="Times New Roman"/>
                <w:color w:val="auto"/>
                <w:spacing w:val="-6"/>
                <w:sz w:val="21"/>
                <w:szCs w:val="21"/>
              </w:rPr>
              <w:t>c.门杆的导向支承间距与门杆回转半径之比（柔度）应大于 200，且门杆直径不得小于</w:t>
            </w:r>
            <w:r>
              <w:rPr>
                <w:rFonts w:cs="Times New Roman"/>
                <w:color w:val="auto"/>
                <w:spacing w:val="-51"/>
                <w:sz w:val="21"/>
                <w:szCs w:val="21"/>
              </w:rPr>
              <w:t xml:space="preserve"> </w:t>
            </w:r>
            <w:r>
              <w:rPr>
                <w:rFonts w:cs="Times New Roman"/>
                <w:color w:val="auto"/>
                <w:sz w:val="21"/>
                <w:szCs w:val="21"/>
              </w:rPr>
              <w:t xml:space="preserve">50mm </w:t>
            </w:r>
          </w:p>
          <w:p>
            <w:pPr>
              <w:pStyle w:val="29"/>
              <w:ind w:firstLine="412"/>
              <w:rPr>
                <w:rFonts w:cs="Times New Roman"/>
                <w:color w:val="auto"/>
                <w:sz w:val="21"/>
                <w:szCs w:val="21"/>
              </w:rPr>
            </w:pPr>
            <w:r>
              <w:rPr>
                <w:rFonts w:cs="Times New Roman"/>
                <w:color w:val="auto"/>
                <w:sz w:val="21"/>
                <w:szCs w:val="21"/>
              </w:rPr>
              <w:t>d.闸门的设计和制造应遵照 CJ/T3006-92 标准的规定，电动装置的设计和制造应遵照 ZBJ16002-87</w:t>
            </w:r>
            <w:r>
              <w:rPr>
                <w:rFonts w:cs="Times New Roman"/>
                <w:color w:val="auto"/>
                <w:spacing w:val="-56"/>
                <w:sz w:val="21"/>
                <w:szCs w:val="21"/>
              </w:rPr>
              <w:t xml:space="preserve"> </w:t>
            </w:r>
            <w:r>
              <w:rPr>
                <w:rFonts w:cs="Times New Roman"/>
                <w:color w:val="auto"/>
                <w:sz w:val="21"/>
                <w:szCs w:val="21"/>
              </w:rPr>
              <w:t>标准的规定。</w:t>
            </w:r>
          </w:p>
          <w:p>
            <w:pPr>
              <w:pStyle w:val="29"/>
              <w:ind w:firstLine="412"/>
              <w:rPr>
                <w:rFonts w:cs="Times New Roman"/>
                <w:color w:val="auto"/>
                <w:sz w:val="21"/>
                <w:szCs w:val="21"/>
              </w:rPr>
            </w:pPr>
            <w:r>
              <w:rPr>
                <w:rFonts w:cs="Times New Roman"/>
                <w:color w:val="auto"/>
                <w:sz w:val="21"/>
                <w:szCs w:val="21"/>
              </w:rPr>
              <w:t>e.电动启闭装置的电机最大转矩应大于额定转矩的</w:t>
            </w:r>
            <w:r>
              <w:rPr>
                <w:rFonts w:cs="Times New Roman"/>
                <w:color w:val="auto"/>
                <w:spacing w:val="-47"/>
                <w:sz w:val="21"/>
                <w:szCs w:val="21"/>
              </w:rPr>
              <w:t xml:space="preserve"> </w:t>
            </w:r>
            <w:r>
              <w:rPr>
                <w:rFonts w:cs="Times New Roman"/>
                <w:color w:val="auto"/>
                <w:sz w:val="21"/>
                <w:szCs w:val="21"/>
              </w:rPr>
              <w:t>3</w:t>
            </w:r>
            <w:r>
              <w:rPr>
                <w:rFonts w:cs="Times New Roman"/>
                <w:color w:val="auto"/>
                <w:spacing w:val="-44"/>
                <w:sz w:val="21"/>
                <w:szCs w:val="21"/>
              </w:rPr>
              <w:t xml:space="preserve"> </w:t>
            </w:r>
            <w:r>
              <w:rPr>
                <w:rFonts w:cs="Times New Roman"/>
                <w:color w:val="auto"/>
                <w:spacing w:val="-5"/>
                <w:sz w:val="21"/>
                <w:szCs w:val="21"/>
              </w:rPr>
              <w:t xml:space="preserve">倍，应满足户外使用的要求，其防护等 </w:t>
            </w:r>
            <w:r>
              <w:rPr>
                <w:rFonts w:cs="Times New Roman"/>
                <w:color w:val="auto"/>
                <w:sz w:val="21"/>
                <w:szCs w:val="21"/>
              </w:rPr>
              <w:t>级为 IP65。电动启闭装置的机械外壳应为双密封机构，并具有防捶击保护功能。驱动电机 的连续运转时间应不低于 15 分钟。</w:t>
            </w:r>
          </w:p>
          <w:p>
            <w:pPr>
              <w:pStyle w:val="29"/>
              <w:ind w:firstLine="412"/>
              <w:rPr>
                <w:rFonts w:cs="Times New Roman"/>
                <w:color w:val="auto"/>
                <w:sz w:val="21"/>
                <w:szCs w:val="21"/>
              </w:rPr>
            </w:pPr>
            <w:r>
              <w:rPr>
                <w:rFonts w:cs="Times New Roman"/>
                <w:color w:val="auto"/>
                <w:sz w:val="21"/>
                <w:szCs w:val="21"/>
              </w:rPr>
              <w:t>f.电动启闭机应设指示开度计、双向过力矩保护装置及螺杆的护罩。</w:t>
            </w:r>
          </w:p>
          <w:p>
            <w:pPr>
              <w:pStyle w:val="29"/>
              <w:ind w:firstLine="412"/>
              <w:rPr>
                <w:rFonts w:cs="Times New Roman"/>
                <w:color w:val="auto"/>
                <w:sz w:val="21"/>
                <w:szCs w:val="21"/>
              </w:rPr>
            </w:pPr>
            <w:r>
              <w:rPr>
                <w:rFonts w:cs="Times New Roman"/>
                <w:color w:val="auto"/>
                <w:sz w:val="21"/>
                <w:szCs w:val="21"/>
              </w:rPr>
              <w:t>g.电动执行机构采用手轮操作时，手操作力不得大于 150N。 h.设备启动和运行的噪声应≤150N。</w:t>
            </w:r>
          </w:p>
          <w:p>
            <w:pPr>
              <w:pStyle w:val="29"/>
              <w:ind w:firstLine="412"/>
              <w:rPr>
                <w:rFonts w:cs="Times New Roman"/>
                <w:color w:val="auto"/>
                <w:sz w:val="21"/>
                <w:szCs w:val="21"/>
              </w:rPr>
            </w:pPr>
            <w:r>
              <w:rPr>
                <w:rFonts w:cs="Times New Roman"/>
                <w:color w:val="auto"/>
                <w:sz w:val="21"/>
                <w:szCs w:val="21"/>
              </w:rPr>
              <w:t>1.3、主要材料：</w:t>
            </w:r>
          </w:p>
          <w:p>
            <w:pPr>
              <w:pStyle w:val="29"/>
              <w:ind w:firstLine="402"/>
              <w:rPr>
                <w:rFonts w:cs="Times New Roman"/>
                <w:color w:val="auto"/>
                <w:sz w:val="21"/>
                <w:szCs w:val="21"/>
              </w:rPr>
            </w:pPr>
            <w:r>
              <w:rPr>
                <w:rFonts w:cs="Times New Roman"/>
                <w:color w:val="auto"/>
                <w:spacing w:val="-9"/>
                <w:sz w:val="21"/>
                <w:szCs w:val="21"/>
              </w:rPr>
              <w:t>门板（板与梁组合体）：不锈钢</w:t>
            </w:r>
            <w:r>
              <w:rPr>
                <w:rFonts w:cs="Times New Roman"/>
                <w:color w:val="auto"/>
                <w:spacing w:val="-51"/>
                <w:sz w:val="21"/>
                <w:szCs w:val="21"/>
              </w:rPr>
              <w:t xml:space="preserve"> </w:t>
            </w:r>
            <w:r>
              <w:rPr>
                <w:rFonts w:cs="Times New Roman"/>
                <w:color w:val="auto"/>
                <w:spacing w:val="-1"/>
                <w:sz w:val="21"/>
                <w:szCs w:val="21"/>
              </w:rPr>
              <w:t>304L；</w:t>
            </w:r>
            <w:r>
              <w:rPr>
                <w:rFonts w:cs="Times New Roman"/>
                <w:color w:val="auto"/>
                <w:spacing w:val="-2"/>
                <w:sz w:val="21"/>
                <w:szCs w:val="21"/>
              </w:rPr>
              <w:t>闸槽：不锈钢</w:t>
            </w:r>
            <w:r>
              <w:rPr>
                <w:rFonts w:cs="Times New Roman"/>
                <w:color w:val="auto"/>
                <w:spacing w:val="-50"/>
                <w:sz w:val="21"/>
                <w:szCs w:val="21"/>
              </w:rPr>
              <w:t xml:space="preserve"> </w:t>
            </w:r>
            <w:r>
              <w:rPr>
                <w:rFonts w:cs="Times New Roman"/>
                <w:color w:val="auto"/>
                <w:spacing w:val="-1"/>
                <w:sz w:val="21"/>
                <w:szCs w:val="21"/>
              </w:rPr>
              <w:t>304L；</w:t>
            </w:r>
            <w:r>
              <w:rPr>
                <w:rFonts w:cs="Times New Roman"/>
                <w:color w:val="auto"/>
                <w:spacing w:val="-2"/>
                <w:sz w:val="21"/>
                <w:szCs w:val="21"/>
              </w:rPr>
              <w:t>密封条：</w:t>
            </w:r>
            <w:r>
              <w:rPr>
                <w:rFonts w:cs="Times New Roman"/>
                <w:color w:val="auto"/>
                <w:spacing w:val="-1"/>
                <w:sz w:val="21"/>
                <w:szCs w:val="21"/>
              </w:rPr>
              <w:t xml:space="preserve"> 铜合金</w:t>
            </w:r>
            <w:r>
              <w:rPr>
                <w:rFonts w:cs="Times New Roman"/>
                <w:color w:val="auto"/>
                <w:sz w:val="21"/>
                <w:szCs w:val="21"/>
              </w:rPr>
              <w:t>门杆：不锈钢</w:t>
            </w:r>
            <w:r>
              <w:rPr>
                <w:rFonts w:cs="Times New Roman"/>
                <w:color w:val="auto"/>
                <w:spacing w:val="-53"/>
                <w:sz w:val="21"/>
                <w:szCs w:val="21"/>
              </w:rPr>
              <w:t xml:space="preserve"> </w:t>
            </w:r>
            <w:r>
              <w:rPr>
                <w:rFonts w:cs="Times New Roman"/>
                <w:color w:val="auto"/>
                <w:sz w:val="21"/>
                <w:szCs w:val="21"/>
              </w:rPr>
              <w:t>304L；推力螺母：铜合金</w:t>
            </w:r>
            <w:r>
              <w:rPr>
                <w:rFonts w:hint="eastAsia" w:cs="Times New Roman"/>
                <w:color w:val="auto"/>
                <w:sz w:val="21"/>
                <w:szCs w:val="21"/>
              </w:rPr>
              <w:t>；</w:t>
            </w:r>
            <w:r>
              <w:rPr>
                <w:rFonts w:cs="Times New Roman"/>
                <w:color w:val="auto"/>
                <w:sz w:val="21"/>
                <w:szCs w:val="21"/>
              </w:rPr>
              <w:t>门架或横梁：不锈钢</w:t>
            </w:r>
            <w:r>
              <w:rPr>
                <w:rFonts w:cs="Times New Roman"/>
                <w:color w:val="auto"/>
                <w:spacing w:val="-55"/>
                <w:sz w:val="21"/>
                <w:szCs w:val="21"/>
              </w:rPr>
              <w:t xml:space="preserve"> </w:t>
            </w:r>
            <w:r>
              <w:rPr>
                <w:rFonts w:cs="Times New Roman"/>
                <w:color w:val="auto"/>
                <w:sz w:val="21"/>
                <w:szCs w:val="21"/>
              </w:rPr>
              <w:t>304L；螺栓、螺母、垫圈：不锈钢</w:t>
            </w:r>
            <w:r>
              <w:rPr>
                <w:rFonts w:cs="Times New Roman"/>
                <w:color w:val="auto"/>
                <w:spacing w:val="-58"/>
                <w:sz w:val="21"/>
                <w:szCs w:val="21"/>
              </w:rPr>
              <w:t xml:space="preserve"> </w:t>
            </w:r>
            <w:r>
              <w:rPr>
                <w:rFonts w:cs="Times New Roman"/>
                <w:color w:val="auto"/>
                <w:sz w:val="21"/>
                <w:szCs w:val="21"/>
              </w:rPr>
              <w:t>304L；基础螺栓：不锈钢</w:t>
            </w:r>
            <w:r>
              <w:rPr>
                <w:rFonts w:cs="Times New Roman"/>
                <w:color w:val="auto"/>
                <w:spacing w:val="-55"/>
                <w:sz w:val="21"/>
                <w:szCs w:val="21"/>
              </w:rPr>
              <w:t xml:space="preserve"> </w:t>
            </w:r>
            <w:r>
              <w:rPr>
                <w:rFonts w:cs="Times New Roman"/>
                <w:color w:val="auto"/>
                <w:sz w:val="21"/>
                <w:szCs w:val="21"/>
              </w:rPr>
              <w:t xml:space="preserve">304L </w:t>
            </w:r>
          </w:p>
          <w:p>
            <w:pPr>
              <w:pStyle w:val="27"/>
              <w:spacing w:line="360" w:lineRule="auto"/>
              <w:ind w:firstLine="419"/>
              <w:jc w:val="both"/>
              <w:rPr>
                <w:rFonts w:ascii="Times New Roman" w:hAnsi="Times New Roman" w:cs="Times New Roman"/>
                <w:color w:val="auto"/>
                <w:spacing w:val="-6"/>
                <w:sz w:val="21"/>
                <w:szCs w:val="21"/>
                <w:lang w:eastAsia="zh-CN"/>
              </w:rPr>
            </w:pPr>
            <w:r>
              <w:rPr>
                <w:rFonts w:ascii="Times New Roman" w:hAnsi="Times New Roman" w:cs="Times New Roman"/>
                <w:color w:val="auto"/>
                <w:spacing w:val="-6"/>
                <w:sz w:val="21"/>
                <w:szCs w:val="21"/>
                <w:lang w:eastAsia="zh-CN"/>
              </w:rPr>
              <w:t>1.4、启闭机材质</w:t>
            </w:r>
          </w:p>
          <w:p>
            <w:pPr>
              <w:pStyle w:val="27"/>
              <w:spacing w:line="360" w:lineRule="auto"/>
              <w:ind w:firstLine="419"/>
              <w:jc w:val="both"/>
              <w:rPr>
                <w:rFonts w:ascii="Times New Roman" w:hAnsi="Times New Roman" w:cs="Times New Roman"/>
                <w:color w:val="auto"/>
                <w:spacing w:val="-6"/>
                <w:sz w:val="21"/>
                <w:szCs w:val="21"/>
                <w:lang w:eastAsia="zh-CN"/>
              </w:rPr>
            </w:pPr>
            <w:r>
              <w:rPr>
                <w:rFonts w:ascii="Times New Roman" w:hAnsi="Times New Roman" w:cs="Times New Roman"/>
                <w:color w:val="auto"/>
                <w:spacing w:val="-6"/>
                <w:sz w:val="21"/>
                <w:szCs w:val="21"/>
                <w:lang w:eastAsia="zh-CN"/>
              </w:rPr>
              <w:t>手轮:球墨铸（QT450-10）轴承座:球墨铸铁(QT450-10)、启闭架:球墨铸铁(QT450-10)丝杆:不锈钢(AISI420)。</w:t>
            </w:r>
          </w:p>
          <w:p>
            <w:pPr>
              <w:pStyle w:val="27"/>
              <w:spacing w:line="360" w:lineRule="auto"/>
              <w:ind w:firstLine="419"/>
              <w:jc w:val="both"/>
              <w:rPr>
                <w:rFonts w:ascii="Times New Roman" w:hAnsi="Times New Roman" w:cs="Times New Roman"/>
                <w:color w:val="auto"/>
                <w:spacing w:val="-6"/>
                <w:sz w:val="21"/>
                <w:szCs w:val="21"/>
                <w:lang w:eastAsia="zh-CN"/>
              </w:rPr>
            </w:pPr>
            <w:r>
              <w:rPr>
                <w:rFonts w:ascii="Times New Roman" w:hAnsi="Times New Roman" w:cs="Times New Roman"/>
                <w:color w:val="auto"/>
                <w:spacing w:val="-6"/>
                <w:sz w:val="21"/>
                <w:szCs w:val="21"/>
                <w:lang w:eastAsia="zh-CN"/>
              </w:rPr>
              <w:t>紧固件:不锈钢(AISI304L</w:t>
            </w:r>
            <w:r>
              <w:rPr>
                <w:rFonts w:hint="eastAsia" w:ascii="Times New Roman" w:hAnsi="Times New Roman" w:cs="Times New Roman"/>
                <w:color w:val="auto"/>
                <w:spacing w:val="-6"/>
                <w:sz w:val="21"/>
                <w:szCs w:val="21"/>
                <w:lang w:eastAsia="zh-CN"/>
              </w:rPr>
              <w:t>。</w:t>
            </w:r>
          </w:p>
          <w:p>
            <w:pPr>
              <w:pStyle w:val="27"/>
              <w:spacing w:line="360" w:lineRule="auto"/>
              <w:ind w:firstLine="419"/>
              <w:jc w:val="both"/>
              <w:rPr>
                <w:rFonts w:ascii="Times New Roman" w:hAnsi="Times New Roman" w:cs="Times New Roman"/>
                <w:color w:val="auto"/>
                <w:spacing w:val="-6"/>
                <w:sz w:val="21"/>
                <w:szCs w:val="21"/>
                <w:lang w:eastAsia="zh-CN"/>
              </w:rPr>
            </w:pPr>
            <w:r>
              <w:rPr>
                <w:rFonts w:ascii="Times New Roman" w:hAnsi="Times New Roman" w:cs="Times New Roman"/>
                <w:color w:val="auto"/>
                <w:spacing w:val="-6"/>
                <w:sz w:val="21"/>
                <w:szCs w:val="21"/>
                <w:lang w:eastAsia="zh-CN"/>
              </w:rPr>
              <w:t>1.5、电动启闭装置的选型应采用德国欧玛(AUMA）、英国罗托克(ROTORK)、德国西博思(SIPOS)等相同或优于该品牌的产品。</w:t>
            </w:r>
          </w:p>
          <w:p>
            <w:pPr>
              <w:pStyle w:val="29"/>
              <w:ind w:firstLine="412"/>
              <w:rPr>
                <w:rFonts w:cs="Times New Roman"/>
                <w:color w:val="auto"/>
                <w:sz w:val="21"/>
                <w:szCs w:val="21"/>
              </w:rPr>
            </w:pPr>
            <w:r>
              <w:rPr>
                <w:rFonts w:cs="Times New Roman"/>
                <w:color w:val="auto"/>
                <w:sz w:val="21"/>
                <w:szCs w:val="21"/>
              </w:rPr>
              <w:t>2、止回阀</w:t>
            </w:r>
          </w:p>
          <w:p>
            <w:pPr>
              <w:pStyle w:val="29"/>
              <w:ind w:firstLine="412"/>
              <w:rPr>
                <w:rFonts w:cs="Times New Roman"/>
                <w:color w:val="auto"/>
                <w:sz w:val="21"/>
                <w:szCs w:val="21"/>
              </w:rPr>
            </w:pPr>
            <w:r>
              <w:rPr>
                <w:rFonts w:cs="Times New Roman"/>
                <w:color w:val="auto"/>
                <w:sz w:val="21"/>
                <w:szCs w:val="21"/>
              </w:rPr>
              <w:t>2.1设计要求</w:t>
            </w:r>
          </w:p>
          <w:p>
            <w:pPr>
              <w:pStyle w:val="29"/>
              <w:ind w:firstLine="414"/>
              <w:rPr>
                <w:rFonts w:cs="Times New Roman"/>
                <w:color w:val="auto"/>
                <w:spacing w:val="-3"/>
                <w:sz w:val="21"/>
                <w:szCs w:val="21"/>
              </w:rPr>
            </w:pPr>
            <w:r>
              <w:rPr>
                <w:rFonts w:hint="eastAsia" w:cs="Times New Roman"/>
                <w:color w:val="auto"/>
                <w:spacing w:val="-3"/>
                <w:sz w:val="21"/>
                <w:szCs w:val="21"/>
              </w:rPr>
              <w:t xml:space="preserve">止回阀应安装在泵的出口，靠介质压力推动蝶板开启，靠蝶板自重和重锤以及介质倒流压力 推动蝶板，并利用油缸的阻尼作用，实行快和满二阶段关闭，总的关闭时间应小于 120s（可调） </w:t>
            </w:r>
          </w:p>
          <w:p>
            <w:pPr>
              <w:pStyle w:val="29"/>
              <w:ind w:firstLine="414"/>
              <w:rPr>
                <w:rFonts w:cs="Times New Roman"/>
                <w:color w:val="auto"/>
                <w:spacing w:val="-3"/>
                <w:sz w:val="21"/>
                <w:szCs w:val="21"/>
              </w:rPr>
            </w:pPr>
            <w:r>
              <w:rPr>
                <w:rFonts w:hint="eastAsia" w:cs="Times New Roman"/>
                <w:color w:val="auto"/>
                <w:spacing w:val="-3"/>
                <w:sz w:val="21"/>
                <w:szCs w:val="21"/>
              </w:rPr>
              <w:t>2.2、性能和结构</w:t>
            </w:r>
          </w:p>
          <w:p>
            <w:pPr>
              <w:pStyle w:val="29"/>
              <w:ind w:firstLine="414"/>
              <w:rPr>
                <w:rFonts w:cs="Times New Roman"/>
                <w:color w:val="auto"/>
                <w:spacing w:val="-3"/>
                <w:sz w:val="21"/>
                <w:szCs w:val="21"/>
              </w:rPr>
            </w:pPr>
            <w:r>
              <w:rPr>
                <w:rFonts w:hint="eastAsia" w:cs="Times New Roman"/>
                <w:color w:val="auto"/>
                <w:spacing w:val="-3"/>
                <w:sz w:val="21"/>
                <w:szCs w:val="21"/>
              </w:rPr>
              <w:t>止回阀的结构应符合 CJ/T282-200“蝶形缓闭止回阀”标准，端面法兰按 GB/T17241 PN10（Bar 的规定，结构长度按 GB/T12221-2005 的规定。</w:t>
            </w:r>
          </w:p>
          <w:p>
            <w:pPr>
              <w:pStyle w:val="29"/>
              <w:ind w:firstLine="414"/>
              <w:rPr>
                <w:rFonts w:cs="Times New Roman"/>
                <w:color w:val="auto"/>
                <w:spacing w:val="-3"/>
                <w:sz w:val="21"/>
                <w:szCs w:val="21"/>
              </w:rPr>
            </w:pPr>
            <w:r>
              <w:rPr>
                <w:rFonts w:hint="eastAsia" w:cs="Times New Roman"/>
                <w:color w:val="auto"/>
                <w:spacing w:val="-3"/>
                <w:sz w:val="21"/>
                <w:szCs w:val="21"/>
              </w:rPr>
              <w:t>阀轴采用整体轴，也可采用两个分开的“短轴”式，嵌入轴孔的长度不小于轴径的 1.5 倍， 阀轴与阀板的连接强度应保证阀轴能传递最大扭矩。</w:t>
            </w:r>
          </w:p>
          <w:p>
            <w:pPr>
              <w:pStyle w:val="29"/>
              <w:ind w:firstLine="414"/>
              <w:rPr>
                <w:rFonts w:cs="Times New Roman"/>
                <w:color w:val="auto"/>
                <w:spacing w:val="-3"/>
                <w:sz w:val="21"/>
                <w:szCs w:val="21"/>
              </w:rPr>
            </w:pPr>
            <w:r>
              <w:rPr>
                <w:rFonts w:hint="eastAsia" w:cs="Times New Roman"/>
                <w:color w:val="auto"/>
                <w:spacing w:val="-3"/>
                <w:sz w:val="21"/>
                <w:szCs w:val="21"/>
              </w:rPr>
              <w:t>阀轴的轴套应使用不需要任何外加润滑的自润滑轴承。 阀板的金属密封座为斜置方式，由不锈钢螺母和螺钉紧固在阀板上，阀体密封座可采用铸造</w:t>
            </w:r>
          </w:p>
          <w:p>
            <w:pPr>
              <w:pStyle w:val="29"/>
              <w:ind w:firstLine="414"/>
              <w:rPr>
                <w:rFonts w:cs="Times New Roman"/>
                <w:color w:val="auto"/>
                <w:spacing w:val="-3"/>
                <w:sz w:val="21"/>
                <w:szCs w:val="21"/>
              </w:rPr>
            </w:pPr>
            <w:r>
              <w:rPr>
                <w:rFonts w:hint="eastAsia" w:cs="Times New Roman"/>
                <w:color w:val="auto"/>
                <w:spacing w:val="-3"/>
                <w:sz w:val="21"/>
                <w:szCs w:val="21"/>
              </w:rPr>
              <w:t>不锈钢或堆焊的形式与阀体连成一体，阀板密封座与阀体密封座二者需有硬度差。 阀板必须具有足够的强度和刚度。</w:t>
            </w:r>
          </w:p>
          <w:p>
            <w:pPr>
              <w:pStyle w:val="29"/>
              <w:ind w:firstLine="414"/>
              <w:rPr>
                <w:rFonts w:cs="Times New Roman"/>
                <w:color w:val="auto"/>
                <w:spacing w:val="-3"/>
                <w:sz w:val="21"/>
                <w:szCs w:val="21"/>
              </w:rPr>
            </w:pPr>
            <w:r>
              <w:rPr>
                <w:rFonts w:hint="eastAsia" w:cs="Times New Roman"/>
                <w:color w:val="auto"/>
                <w:spacing w:val="-3"/>
                <w:sz w:val="21"/>
                <w:szCs w:val="21"/>
              </w:rPr>
              <w:t>轴伸出穿过阀体外，应提供轴密封装置，密封装置采用 O 型或 V 密封橡胶密封圈，且不少于 2道</w:t>
            </w:r>
            <w:r>
              <w:rPr>
                <w:rFonts w:cs="Times New Roman"/>
                <w:color w:val="auto"/>
                <w:spacing w:val="-3"/>
                <w:sz w:val="21"/>
                <w:szCs w:val="21"/>
              </w:rPr>
              <w:t>。</w:t>
            </w:r>
          </w:p>
          <w:p>
            <w:pPr>
              <w:pStyle w:val="29"/>
              <w:ind w:firstLine="412"/>
              <w:rPr>
                <w:rFonts w:cs="Times New Roman"/>
                <w:color w:val="auto"/>
                <w:sz w:val="21"/>
                <w:szCs w:val="21"/>
              </w:rPr>
            </w:pPr>
            <w:r>
              <w:rPr>
                <w:rFonts w:hint="eastAsia" w:cs="Times New Roman"/>
                <w:color w:val="auto"/>
                <w:sz w:val="21"/>
                <w:szCs w:val="21"/>
              </w:rPr>
              <w:t>2.3、主要材料：</w:t>
            </w:r>
          </w:p>
          <w:p>
            <w:pPr>
              <w:pStyle w:val="29"/>
              <w:ind w:firstLine="412"/>
              <w:rPr>
                <w:rFonts w:cs="Times New Roman"/>
                <w:color w:val="auto"/>
                <w:sz w:val="21"/>
                <w:szCs w:val="21"/>
              </w:rPr>
            </w:pPr>
            <w:r>
              <w:rPr>
                <w:rFonts w:hint="eastAsia" w:cs="Times New Roman"/>
                <w:color w:val="auto"/>
                <w:sz w:val="21"/>
                <w:szCs w:val="21"/>
              </w:rPr>
              <w:t>阀体 QT450-10 蝶板 QT450-10</w:t>
            </w:r>
          </w:p>
          <w:p>
            <w:pPr>
              <w:pStyle w:val="29"/>
              <w:ind w:firstLine="412"/>
              <w:rPr>
                <w:rFonts w:cs="Times New Roman"/>
                <w:color w:val="auto"/>
                <w:sz w:val="21"/>
                <w:szCs w:val="21"/>
              </w:rPr>
            </w:pPr>
            <w:r>
              <w:rPr>
                <w:rFonts w:hint="eastAsia" w:cs="Times New Roman"/>
                <w:color w:val="auto"/>
                <w:sz w:val="21"/>
                <w:szCs w:val="21"/>
              </w:rPr>
              <w:t>阀轴 2Cr13</w:t>
            </w:r>
          </w:p>
          <w:p>
            <w:pPr>
              <w:pStyle w:val="29"/>
              <w:ind w:firstLine="412"/>
              <w:rPr>
                <w:rFonts w:cs="Times New Roman"/>
                <w:color w:val="auto"/>
                <w:sz w:val="21"/>
                <w:szCs w:val="21"/>
              </w:rPr>
            </w:pPr>
            <w:r>
              <w:rPr>
                <w:rFonts w:hint="eastAsia" w:cs="Times New Roman"/>
                <w:color w:val="auto"/>
                <w:sz w:val="21"/>
                <w:szCs w:val="21"/>
              </w:rPr>
              <w:t>紧固件 06Cr17Ni12Mo2 阀座 06Cr17Ni12Mo2 密封圈 NBR</w:t>
            </w:r>
          </w:p>
          <w:p>
            <w:pPr>
              <w:pStyle w:val="29"/>
              <w:ind w:firstLine="412"/>
              <w:rPr>
                <w:rFonts w:cs="Times New Roman"/>
                <w:color w:val="auto"/>
                <w:sz w:val="21"/>
                <w:szCs w:val="21"/>
              </w:rPr>
            </w:pPr>
            <w:r>
              <w:rPr>
                <w:rFonts w:hint="eastAsia" w:cs="Times New Roman"/>
                <w:color w:val="auto"/>
                <w:sz w:val="21"/>
                <w:szCs w:val="21"/>
              </w:rPr>
              <w:t>轴承 ZCuAl10Fe3</w:t>
            </w:r>
          </w:p>
        </w:tc>
      </w:tr>
    </w:tbl>
    <w:p>
      <w:pPr>
        <w:pStyle w:val="30"/>
        <w:spacing w:before="120" w:after="120"/>
        <w:rPr>
          <w:color w:val="auto"/>
        </w:rPr>
      </w:pPr>
      <w:bookmarkStart w:id="292" w:name="_Toc117181395"/>
      <w:r>
        <w:rPr>
          <w:color w:val="auto"/>
        </w:rPr>
        <w:t>生物除臭系统</w:t>
      </w:r>
      <w:bookmarkEnd w:id="292"/>
    </w:p>
    <w:tbl>
      <w:tblPr>
        <w:tblStyle w:val="23"/>
        <w:tblW w:w="86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497"/>
        <w:gridCol w:w="822"/>
        <w:gridCol w:w="3206"/>
        <w:gridCol w:w="2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blHeader/>
          <w:jc w:val="center"/>
        </w:trPr>
        <w:tc>
          <w:tcPr>
            <w:tcW w:w="715" w:type="dxa"/>
            <w:shd w:val="clear" w:color="auto" w:fill="auto"/>
            <w:vAlign w:val="center"/>
          </w:tcPr>
          <w:p>
            <w:pPr>
              <w:widowControl/>
              <w:spacing w:line="360" w:lineRule="auto"/>
              <w:jc w:val="center"/>
              <w:rPr>
                <w:rFonts w:ascii="Times New Roman" w:hAnsi="Times New Roman" w:eastAsia="宋体" w:cs="Times New Roman"/>
                <w:b/>
                <w:bCs/>
                <w:color w:val="auto"/>
                <w:sz w:val="21"/>
                <w:szCs w:val="21"/>
                <w:lang w:eastAsia="zh-CN"/>
              </w:rPr>
            </w:pPr>
            <w:r>
              <w:rPr>
                <w:rFonts w:ascii="Times New Roman" w:hAnsi="Times New Roman" w:eastAsia="宋体" w:cs="Times New Roman"/>
                <w:b/>
                <w:bCs/>
                <w:color w:val="auto"/>
                <w:sz w:val="21"/>
                <w:szCs w:val="21"/>
                <w:lang w:eastAsia="zh-CN"/>
              </w:rPr>
              <w:t>序号</w:t>
            </w:r>
          </w:p>
        </w:tc>
        <w:tc>
          <w:tcPr>
            <w:tcW w:w="1497" w:type="dxa"/>
            <w:shd w:val="clear" w:color="auto" w:fill="auto"/>
            <w:vAlign w:val="center"/>
          </w:tcPr>
          <w:p>
            <w:pPr>
              <w:widowControl/>
              <w:spacing w:line="360" w:lineRule="auto"/>
              <w:jc w:val="center"/>
              <w:rPr>
                <w:rFonts w:ascii="Times New Roman" w:hAnsi="Times New Roman" w:eastAsia="宋体" w:cs="Times New Roman"/>
                <w:b/>
                <w:bCs/>
                <w:color w:val="auto"/>
                <w:sz w:val="21"/>
                <w:szCs w:val="21"/>
                <w:lang w:eastAsia="zh-CN"/>
              </w:rPr>
            </w:pPr>
            <w:r>
              <w:rPr>
                <w:rFonts w:ascii="Times New Roman" w:hAnsi="Times New Roman" w:eastAsia="宋体" w:cs="Times New Roman"/>
                <w:b/>
                <w:bCs/>
                <w:color w:val="auto"/>
                <w:sz w:val="21"/>
                <w:szCs w:val="21"/>
                <w:lang w:eastAsia="zh-CN"/>
              </w:rPr>
              <w:t>名称</w:t>
            </w:r>
          </w:p>
        </w:tc>
        <w:tc>
          <w:tcPr>
            <w:tcW w:w="822" w:type="dxa"/>
            <w:shd w:val="clear" w:color="auto" w:fill="auto"/>
            <w:vAlign w:val="center"/>
          </w:tcPr>
          <w:p>
            <w:pPr>
              <w:widowControl/>
              <w:spacing w:line="360" w:lineRule="auto"/>
              <w:jc w:val="center"/>
              <w:rPr>
                <w:rFonts w:ascii="Times New Roman" w:hAnsi="Times New Roman" w:eastAsia="宋体" w:cs="Times New Roman"/>
                <w:b/>
                <w:bCs/>
                <w:color w:val="auto"/>
                <w:sz w:val="21"/>
                <w:szCs w:val="21"/>
                <w:lang w:eastAsia="zh-CN"/>
              </w:rPr>
            </w:pPr>
            <w:r>
              <w:rPr>
                <w:rFonts w:hint="eastAsia" w:ascii="Times New Roman" w:hAnsi="Times New Roman" w:eastAsia="宋体" w:cs="Times New Roman"/>
                <w:b/>
                <w:bCs/>
                <w:color w:val="auto"/>
                <w:sz w:val="21"/>
                <w:szCs w:val="21"/>
                <w:lang w:eastAsia="zh-CN"/>
              </w:rPr>
              <w:t>数量</w:t>
            </w:r>
          </w:p>
        </w:tc>
        <w:tc>
          <w:tcPr>
            <w:tcW w:w="3206" w:type="dxa"/>
            <w:shd w:val="clear" w:color="auto" w:fill="auto"/>
            <w:vAlign w:val="center"/>
          </w:tcPr>
          <w:p>
            <w:pPr>
              <w:widowControl/>
              <w:spacing w:line="360" w:lineRule="auto"/>
              <w:jc w:val="center"/>
              <w:rPr>
                <w:rFonts w:ascii="Times New Roman" w:hAnsi="Times New Roman" w:eastAsia="宋体" w:cs="Times New Roman"/>
                <w:b/>
                <w:bCs/>
                <w:color w:val="auto"/>
                <w:sz w:val="21"/>
                <w:szCs w:val="21"/>
                <w:lang w:eastAsia="zh-CN"/>
              </w:rPr>
            </w:pPr>
            <w:r>
              <w:rPr>
                <w:rFonts w:ascii="Times New Roman" w:hAnsi="Times New Roman" w:eastAsia="宋体" w:cs="Times New Roman"/>
                <w:b/>
                <w:bCs/>
                <w:color w:val="auto"/>
                <w:sz w:val="21"/>
                <w:szCs w:val="21"/>
                <w:lang w:eastAsia="zh-CN"/>
              </w:rPr>
              <w:t>性能</w:t>
            </w:r>
          </w:p>
        </w:tc>
        <w:tc>
          <w:tcPr>
            <w:tcW w:w="2380" w:type="dxa"/>
            <w:shd w:val="clear" w:color="auto" w:fill="auto"/>
            <w:vAlign w:val="center"/>
          </w:tcPr>
          <w:p>
            <w:pPr>
              <w:widowControl/>
              <w:spacing w:line="360" w:lineRule="auto"/>
              <w:jc w:val="center"/>
              <w:rPr>
                <w:rFonts w:ascii="Times New Roman" w:hAnsi="Times New Roman" w:eastAsia="宋体" w:cs="Times New Roman"/>
                <w:b/>
                <w:bCs/>
                <w:color w:val="auto"/>
                <w:sz w:val="21"/>
                <w:szCs w:val="21"/>
                <w:lang w:eastAsia="zh-CN"/>
              </w:rPr>
            </w:pPr>
            <w:r>
              <w:rPr>
                <w:rFonts w:ascii="Times New Roman" w:hAnsi="Times New Roman" w:eastAsia="宋体" w:cs="Times New Roman"/>
                <w:b/>
                <w:bCs/>
                <w:color w:val="auto"/>
                <w:sz w:val="21"/>
                <w:szCs w:val="21"/>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 w:hRule="atLeast"/>
          <w:jc w:val="center"/>
        </w:trPr>
        <w:tc>
          <w:tcPr>
            <w:tcW w:w="71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w:t>
            </w:r>
          </w:p>
        </w:tc>
        <w:tc>
          <w:tcPr>
            <w:tcW w:w="1497"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生物滤池</w:t>
            </w:r>
          </w:p>
        </w:tc>
        <w:tc>
          <w:tcPr>
            <w:tcW w:w="82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 套</w:t>
            </w:r>
          </w:p>
        </w:tc>
        <w:tc>
          <w:tcPr>
            <w:tcW w:w="3206"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处理气量：Q=10000m³/h 滤池工艺规格：8³4³3.3m（建议） 占地：9m³8m，生物填料：不小于 50m³ 处理效率&gt;95%，臭气与生物填料的接触时间不小于 12 秒 填料厚度应不小于 1.6m。 除臭塔及填料使用寿命不低于15年。</w:t>
            </w:r>
          </w:p>
        </w:tc>
        <w:tc>
          <w:tcPr>
            <w:tcW w:w="2380"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主要由（但不 限于此）生物 滤池、离心风 机、压差计、 流量计、散水 泵、散水管道、 排放系统、硫 化氢测量仪、 风管调节阀、 玻璃钢风管及 相关附件、电 控箱组成</w:t>
            </w:r>
            <w:r>
              <w:rPr>
                <w:rFonts w:hint="eastAsia" w:ascii="Times New Roman" w:hAnsi="Times New Roman" w:eastAsia="宋体" w:cs="Times New Roman"/>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71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2</w:t>
            </w:r>
          </w:p>
        </w:tc>
        <w:tc>
          <w:tcPr>
            <w:tcW w:w="1497"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离心风机</w:t>
            </w:r>
          </w:p>
        </w:tc>
        <w:tc>
          <w:tcPr>
            <w:tcW w:w="82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 台</w:t>
            </w:r>
          </w:p>
        </w:tc>
        <w:tc>
          <w:tcPr>
            <w:tcW w:w="3206"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Q=0～10000m³/h, H=0～2.5KPa,N≈18.5kw（暂定）</w:t>
            </w:r>
          </w:p>
        </w:tc>
        <w:tc>
          <w:tcPr>
            <w:tcW w:w="2380"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知名品牌 变频电机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71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3</w:t>
            </w:r>
          </w:p>
        </w:tc>
        <w:tc>
          <w:tcPr>
            <w:tcW w:w="1497"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散水泵</w:t>
            </w:r>
          </w:p>
        </w:tc>
        <w:tc>
          <w:tcPr>
            <w:tcW w:w="82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 台</w:t>
            </w:r>
          </w:p>
        </w:tc>
        <w:tc>
          <w:tcPr>
            <w:tcW w:w="3206"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30m³/h，20m，4kw</w:t>
            </w:r>
          </w:p>
        </w:tc>
        <w:tc>
          <w:tcPr>
            <w:tcW w:w="238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71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4</w:t>
            </w:r>
          </w:p>
        </w:tc>
        <w:tc>
          <w:tcPr>
            <w:tcW w:w="1497"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水箱</w:t>
            </w:r>
          </w:p>
        </w:tc>
        <w:tc>
          <w:tcPr>
            <w:tcW w:w="82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 个</w:t>
            </w:r>
          </w:p>
        </w:tc>
        <w:tc>
          <w:tcPr>
            <w:tcW w:w="3206"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有效容积不小于 1.5m³</w:t>
            </w:r>
          </w:p>
        </w:tc>
        <w:tc>
          <w:tcPr>
            <w:tcW w:w="238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材质 PE 或 FRP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71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5</w:t>
            </w:r>
          </w:p>
        </w:tc>
        <w:tc>
          <w:tcPr>
            <w:tcW w:w="1497"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压差计</w:t>
            </w:r>
          </w:p>
        </w:tc>
        <w:tc>
          <w:tcPr>
            <w:tcW w:w="82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 台</w:t>
            </w:r>
          </w:p>
        </w:tc>
        <w:tc>
          <w:tcPr>
            <w:tcW w:w="3206"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H=0～3KPa</w:t>
            </w:r>
          </w:p>
        </w:tc>
        <w:tc>
          <w:tcPr>
            <w:tcW w:w="2380" w:type="dxa"/>
            <w:shd w:val="clear" w:color="auto" w:fill="auto"/>
            <w:vAlign w:val="center"/>
          </w:tcPr>
          <w:p>
            <w:pPr>
              <w:widowControl/>
              <w:spacing w:line="360" w:lineRule="auto"/>
              <w:rPr>
                <w:rFonts w:ascii="Times New Roman" w:hAnsi="Times New Roman" w:eastAsia="等线" w:cs="Times New Roman"/>
                <w:color w:val="auto"/>
                <w:lang w:eastAsia="zh-CN"/>
              </w:rPr>
            </w:pPr>
            <w:r>
              <w:rPr>
                <w:rFonts w:ascii="Times New Roman" w:hAnsi="Times New Roman" w:eastAsia="等线" w:cs="Times New Roman"/>
                <w:color w:val="auto"/>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71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6</w:t>
            </w:r>
          </w:p>
        </w:tc>
        <w:tc>
          <w:tcPr>
            <w:tcW w:w="1497"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流量计</w:t>
            </w:r>
          </w:p>
        </w:tc>
        <w:tc>
          <w:tcPr>
            <w:tcW w:w="82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 台</w:t>
            </w:r>
          </w:p>
        </w:tc>
        <w:tc>
          <w:tcPr>
            <w:tcW w:w="3206"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Q=0～100m³/h</w:t>
            </w:r>
          </w:p>
        </w:tc>
        <w:tc>
          <w:tcPr>
            <w:tcW w:w="238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用于测水流量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5" w:hRule="atLeast"/>
          <w:jc w:val="center"/>
        </w:trPr>
        <w:tc>
          <w:tcPr>
            <w:tcW w:w="71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7</w:t>
            </w:r>
          </w:p>
        </w:tc>
        <w:tc>
          <w:tcPr>
            <w:tcW w:w="1497"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硫化氢测量 仪</w:t>
            </w:r>
          </w:p>
        </w:tc>
        <w:tc>
          <w:tcPr>
            <w:tcW w:w="82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 台</w:t>
            </w:r>
          </w:p>
        </w:tc>
        <w:tc>
          <w:tcPr>
            <w:tcW w:w="3206"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0～10ppm</w:t>
            </w:r>
          </w:p>
        </w:tc>
        <w:tc>
          <w:tcPr>
            <w:tcW w:w="238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知名品牌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71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8</w:t>
            </w:r>
          </w:p>
        </w:tc>
        <w:tc>
          <w:tcPr>
            <w:tcW w:w="1497"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风管调节阀</w:t>
            </w:r>
          </w:p>
        </w:tc>
        <w:tc>
          <w:tcPr>
            <w:tcW w:w="82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 台</w:t>
            </w:r>
          </w:p>
        </w:tc>
        <w:tc>
          <w:tcPr>
            <w:tcW w:w="3206"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D900，PN=0.3Mpa</w:t>
            </w:r>
          </w:p>
        </w:tc>
        <w:tc>
          <w:tcPr>
            <w:tcW w:w="238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断面尺寸可调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71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9</w:t>
            </w:r>
          </w:p>
        </w:tc>
        <w:tc>
          <w:tcPr>
            <w:tcW w:w="1497"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玻璃钢风管</w:t>
            </w:r>
          </w:p>
        </w:tc>
        <w:tc>
          <w:tcPr>
            <w:tcW w:w="82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&gt;5m</w:t>
            </w:r>
          </w:p>
        </w:tc>
        <w:tc>
          <w:tcPr>
            <w:tcW w:w="3206"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D900；PN=0.3Mpa</w:t>
            </w:r>
          </w:p>
        </w:tc>
        <w:tc>
          <w:tcPr>
            <w:tcW w:w="238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断面尺寸可调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71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10</w:t>
            </w:r>
          </w:p>
        </w:tc>
        <w:tc>
          <w:tcPr>
            <w:tcW w:w="1497"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其他风管管件</w:t>
            </w:r>
          </w:p>
        </w:tc>
        <w:tc>
          <w:tcPr>
            <w:tcW w:w="82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 批</w:t>
            </w:r>
          </w:p>
        </w:tc>
        <w:tc>
          <w:tcPr>
            <w:tcW w:w="3206"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变径、弯头、三通等FRP 材质</w:t>
            </w:r>
          </w:p>
        </w:tc>
        <w:tc>
          <w:tcPr>
            <w:tcW w:w="2380"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根据详细设计定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0" w:hRule="atLeast"/>
          <w:jc w:val="center"/>
        </w:trPr>
        <w:tc>
          <w:tcPr>
            <w:tcW w:w="71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11</w:t>
            </w:r>
          </w:p>
        </w:tc>
        <w:tc>
          <w:tcPr>
            <w:tcW w:w="1497"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电控系统</w:t>
            </w:r>
          </w:p>
        </w:tc>
        <w:tc>
          <w:tcPr>
            <w:tcW w:w="822"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 套</w:t>
            </w:r>
          </w:p>
        </w:tc>
        <w:tc>
          <w:tcPr>
            <w:tcW w:w="3206"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电控系统包括所有的监测、控制元件及 报警、保险丝和主开关等。还包括电控 箱及与本设备内部的连接电缆。 柜体不锈钢 304，壁厚 1.5mmm 以上 含通讯功能 含系统内电缆（动力及通讯电缆） 电源：AC380V/50Hz/3Ph。 防护等级：IP55</w:t>
            </w:r>
          </w:p>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绝缘等级：F。</w:t>
            </w:r>
          </w:p>
        </w:tc>
        <w:tc>
          <w:tcPr>
            <w:tcW w:w="2380" w:type="dxa"/>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通讯协议种类 待定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15" w:type="dxa"/>
            <w:vMerge w:val="restart"/>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12</w:t>
            </w:r>
          </w:p>
        </w:tc>
        <w:tc>
          <w:tcPr>
            <w:tcW w:w="5525" w:type="dxa"/>
            <w:gridSpan w:val="3"/>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工作条件：</w:t>
            </w:r>
          </w:p>
        </w:tc>
        <w:tc>
          <w:tcPr>
            <w:tcW w:w="2380" w:type="dxa"/>
            <w:vMerge w:val="restart"/>
            <w:shd w:val="clear" w:color="auto" w:fill="auto"/>
            <w:vAlign w:val="center"/>
          </w:tcPr>
          <w:p>
            <w:pPr>
              <w:widowControl/>
              <w:spacing w:line="360" w:lineRule="auto"/>
              <w:rPr>
                <w:rFonts w:ascii="Times New Roman" w:hAnsi="Times New Roman" w:eastAsia="等线" w:cs="Times New Roman"/>
                <w:color w:val="auto"/>
                <w:lang w:eastAsia="zh-CN"/>
              </w:rPr>
            </w:pPr>
            <w:r>
              <w:rPr>
                <w:rFonts w:ascii="Times New Roman" w:hAnsi="Times New Roman" w:eastAsia="等线" w:cs="Times New Roman"/>
                <w:color w:val="auto"/>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15"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5525" w:type="dxa"/>
            <w:gridSpan w:val="3"/>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工作介质： 市政污水混合致臭气体，</w:t>
            </w:r>
          </w:p>
        </w:tc>
        <w:tc>
          <w:tcPr>
            <w:tcW w:w="2380" w:type="dxa"/>
            <w:vMerge w:val="continue"/>
            <w:vAlign w:val="center"/>
          </w:tcPr>
          <w:p>
            <w:pPr>
              <w:widowControl/>
              <w:spacing w:line="360" w:lineRule="auto"/>
              <w:rPr>
                <w:rFonts w:ascii="Times New Roman" w:hAnsi="Times New Roman" w:eastAsia="等线" w:cs="Times New Roman"/>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15"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5525" w:type="dxa"/>
            <w:gridSpan w:val="3"/>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工作位置： 室外；</w:t>
            </w:r>
          </w:p>
        </w:tc>
        <w:tc>
          <w:tcPr>
            <w:tcW w:w="2380" w:type="dxa"/>
            <w:vMerge w:val="continue"/>
            <w:vAlign w:val="center"/>
          </w:tcPr>
          <w:p>
            <w:pPr>
              <w:widowControl/>
              <w:spacing w:line="360" w:lineRule="auto"/>
              <w:rPr>
                <w:rFonts w:ascii="Times New Roman" w:hAnsi="Times New Roman" w:eastAsia="等线" w:cs="Times New Roman"/>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15"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5525" w:type="dxa"/>
            <w:gridSpan w:val="3"/>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空气温度： ≤100℃</w:t>
            </w:r>
          </w:p>
        </w:tc>
        <w:tc>
          <w:tcPr>
            <w:tcW w:w="2380" w:type="dxa"/>
            <w:vMerge w:val="continue"/>
            <w:vAlign w:val="center"/>
          </w:tcPr>
          <w:p>
            <w:pPr>
              <w:widowControl/>
              <w:spacing w:line="360" w:lineRule="auto"/>
              <w:rPr>
                <w:rFonts w:ascii="Times New Roman" w:hAnsi="Times New Roman" w:eastAsia="等线" w:cs="Times New Roman"/>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15"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5525" w:type="dxa"/>
            <w:gridSpan w:val="3"/>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臭气温度： -5～40℃</w:t>
            </w:r>
          </w:p>
        </w:tc>
        <w:tc>
          <w:tcPr>
            <w:tcW w:w="2380" w:type="dxa"/>
            <w:vMerge w:val="continue"/>
            <w:vAlign w:val="center"/>
          </w:tcPr>
          <w:p>
            <w:pPr>
              <w:widowControl/>
              <w:spacing w:line="360" w:lineRule="auto"/>
              <w:rPr>
                <w:rFonts w:ascii="Times New Roman" w:hAnsi="Times New Roman" w:eastAsia="等线" w:cs="Times New Roman"/>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715"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5525" w:type="dxa"/>
            <w:gridSpan w:val="3"/>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pH： 5.5~8.5</w:t>
            </w:r>
          </w:p>
        </w:tc>
        <w:tc>
          <w:tcPr>
            <w:tcW w:w="2380" w:type="dxa"/>
            <w:vMerge w:val="continue"/>
            <w:vAlign w:val="center"/>
          </w:tcPr>
          <w:p>
            <w:pPr>
              <w:widowControl/>
              <w:spacing w:line="360" w:lineRule="auto"/>
              <w:rPr>
                <w:rFonts w:ascii="Times New Roman" w:hAnsi="Times New Roman" w:eastAsia="等线" w:cs="Times New Roman"/>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15" w:type="dxa"/>
            <w:vMerge w:val="restart"/>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13</w:t>
            </w:r>
          </w:p>
        </w:tc>
        <w:tc>
          <w:tcPr>
            <w:tcW w:w="5525" w:type="dxa"/>
            <w:gridSpan w:val="3"/>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材质要求： 风机叶轮 玻璃钢</w:t>
            </w:r>
          </w:p>
        </w:tc>
        <w:tc>
          <w:tcPr>
            <w:tcW w:w="2380" w:type="dxa"/>
            <w:vMerge w:val="restart"/>
            <w:shd w:val="clear" w:color="auto" w:fill="auto"/>
            <w:vAlign w:val="center"/>
          </w:tcPr>
          <w:p>
            <w:pPr>
              <w:widowControl/>
              <w:spacing w:line="360" w:lineRule="auto"/>
              <w:rPr>
                <w:rFonts w:ascii="Times New Roman" w:hAnsi="Times New Roman" w:eastAsia="等线" w:cs="Times New Roman"/>
                <w:color w:val="auto"/>
                <w:lang w:eastAsia="zh-CN"/>
              </w:rPr>
            </w:pPr>
            <w:r>
              <w:rPr>
                <w:rFonts w:ascii="Times New Roman" w:hAnsi="Times New Roman" w:eastAsia="等线" w:cs="Times New Roman"/>
                <w:color w:val="auto"/>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15"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5525" w:type="dxa"/>
            <w:gridSpan w:val="3"/>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风机壳体 玻璃钢</w:t>
            </w:r>
          </w:p>
        </w:tc>
        <w:tc>
          <w:tcPr>
            <w:tcW w:w="2380" w:type="dxa"/>
            <w:vMerge w:val="continue"/>
            <w:vAlign w:val="center"/>
          </w:tcPr>
          <w:p>
            <w:pPr>
              <w:widowControl/>
              <w:spacing w:line="360" w:lineRule="auto"/>
              <w:rPr>
                <w:rFonts w:ascii="Times New Roman" w:hAnsi="Times New Roman" w:eastAsia="等线" w:cs="Times New Roman"/>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715"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5525" w:type="dxa"/>
            <w:gridSpan w:val="3"/>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散水泵 过流部分 SS304 不锈钢 生物滤池池体 玻璃钢和方管形钢组合件 填料支撑 玻璃钢格栅、PE 格网 生物填料 炭质单一填料</w:t>
            </w:r>
          </w:p>
        </w:tc>
        <w:tc>
          <w:tcPr>
            <w:tcW w:w="2380" w:type="dxa"/>
            <w:vMerge w:val="continue"/>
            <w:vAlign w:val="center"/>
          </w:tcPr>
          <w:p>
            <w:pPr>
              <w:widowControl/>
              <w:spacing w:line="360" w:lineRule="auto"/>
              <w:rPr>
                <w:rFonts w:ascii="Times New Roman" w:hAnsi="Times New Roman" w:eastAsia="等线" w:cs="Times New Roman"/>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715"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5525" w:type="dxa"/>
            <w:gridSpan w:val="3"/>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密封罩 不锈钢 304 骨架+耐力板 4mm 风管及管道配件 玻璃钢</w:t>
            </w:r>
          </w:p>
        </w:tc>
        <w:tc>
          <w:tcPr>
            <w:tcW w:w="2380" w:type="dxa"/>
            <w:vMerge w:val="continue"/>
            <w:vAlign w:val="center"/>
          </w:tcPr>
          <w:p>
            <w:pPr>
              <w:widowControl/>
              <w:spacing w:line="360" w:lineRule="auto"/>
              <w:rPr>
                <w:rFonts w:ascii="Times New Roman" w:hAnsi="Times New Roman" w:eastAsia="等线" w:cs="Times New Roman"/>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15"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5525" w:type="dxa"/>
            <w:gridSpan w:val="3"/>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电控柜外壳 SS304 不锈钢</w:t>
            </w:r>
          </w:p>
        </w:tc>
        <w:tc>
          <w:tcPr>
            <w:tcW w:w="2380" w:type="dxa"/>
            <w:vMerge w:val="continue"/>
            <w:vAlign w:val="center"/>
          </w:tcPr>
          <w:p>
            <w:pPr>
              <w:widowControl/>
              <w:spacing w:line="360" w:lineRule="auto"/>
              <w:rPr>
                <w:rFonts w:ascii="Times New Roman" w:hAnsi="Times New Roman" w:eastAsia="等线" w:cs="Times New Roman"/>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15"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5525" w:type="dxa"/>
            <w:gridSpan w:val="3"/>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水管 UPVC</w:t>
            </w:r>
          </w:p>
        </w:tc>
        <w:tc>
          <w:tcPr>
            <w:tcW w:w="2380" w:type="dxa"/>
            <w:vMerge w:val="continue"/>
            <w:vAlign w:val="center"/>
          </w:tcPr>
          <w:p>
            <w:pPr>
              <w:widowControl/>
              <w:spacing w:line="360" w:lineRule="auto"/>
              <w:rPr>
                <w:rFonts w:ascii="Times New Roman" w:hAnsi="Times New Roman" w:eastAsia="等线" w:cs="Times New Roman"/>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715" w:type="dxa"/>
            <w:vMerge w:val="continue"/>
            <w:vAlign w:val="center"/>
          </w:tcPr>
          <w:p>
            <w:pPr>
              <w:widowControl/>
              <w:spacing w:line="360" w:lineRule="auto"/>
              <w:rPr>
                <w:rFonts w:ascii="Times New Roman" w:hAnsi="Times New Roman" w:eastAsia="宋体" w:cs="Times New Roman"/>
                <w:color w:val="auto"/>
                <w:sz w:val="21"/>
                <w:szCs w:val="21"/>
                <w:lang w:eastAsia="zh-CN"/>
              </w:rPr>
            </w:pPr>
          </w:p>
        </w:tc>
        <w:tc>
          <w:tcPr>
            <w:tcW w:w="5525" w:type="dxa"/>
            <w:gridSpan w:val="3"/>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所有连接附件、紧固件 FRP/UPVC/ 碳钢防腐</w:t>
            </w:r>
          </w:p>
        </w:tc>
        <w:tc>
          <w:tcPr>
            <w:tcW w:w="2380" w:type="dxa"/>
            <w:vMerge w:val="continue"/>
            <w:vAlign w:val="center"/>
          </w:tcPr>
          <w:p>
            <w:pPr>
              <w:widowControl/>
              <w:spacing w:line="360" w:lineRule="auto"/>
              <w:rPr>
                <w:rFonts w:ascii="Times New Roman" w:hAnsi="Times New Roman" w:eastAsia="等线" w:cs="Times New Roman"/>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5" w:hRule="atLeast"/>
          <w:jc w:val="center"/>
        </w:trPr>
        <w:tc>
          <w:tcPr>
            <w:tcW w:w="715" w:type="dxa"/>
            <w:shd w:val="clear" w:color="auto" w:fill="auto"/>
            <w:vAlign w:val="center"/>
          </w:tcPr>
          <w:p>
            <w:pPr>
              <w:widowControl/>
              <w:spacing w:line="360" w:lineRule="auto"/>
              <w:jc w:val="center"/>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14</w:t>
            </w:r>
          </w:p>
        </w:tc>
        <w:tc>
          <w:tcPr>
            <w:tcW w:w="5525" w:type="dxa"/>
            <w:gridSpan w:val="3"/>
            <w:shd w:val="clear" w:color="auto" w:fill="auto"/>
            <w:vAlign w:val="center"/>
          </w:tcPr>
          <w:p>
            <w:pPr>
              <w:widowControl/>
              <w:spacing w:line="360" w:lineRule="auto"/>
              <w:rPr>
                <w:rFonts w:ascii="Times New Roman" w:hAnsi="Times New Roman" w:eastAsia="宋体" w:cs="Times New Roman"/>
                <w:color w:val="auto"/>
                <w:sz w:val="21"/>
                <w:szCs w:val="21"/>
                <w:lang w:eastAsia="zh-CN"/>
              </w:rPr>
            </w:pPr>
            <w:r>
              <w:rPr>
                <w:rFonts w:ascii="Times New Roman" w:hAnsi="Times New Roman" w:eastAsia="宋体" w:cs="Times New Roman"/>
                <w:color w:val="auto"/>
                <w:sz w:val="21"/>
                <w:szCs w:val="21"/>
                <w:lang w:eastAsia="zh-CN"/>
              </w:rPr>
              <w:t>在任何季节、任何气候条件下，除臭系统 NH3、H2S 等重点控制物 浓度符合GB18918-2002 城镇污水处理厂污染物排放标准、GB 16297-1996 大气污染物综合排放标准、GB 14554-93 恶臭污染物排放标准值</w:t>
            </w:r>
            <w:r>
              <w:rPr>
                <w:rFonts w:hint="eastAsia" w:ascii="Times New Roman" w:hAnsi="Times New Roman" w:eastAsia="宋体" w:cs="Times New Roman"/>
                <w:color w:val="auto"/>
                <w:sz w:val="21"/>
                <w:szCs w:val="21"/>
                <w:lang w:eastAsia="zh-CN"/>
              </w:rPr>
              <w:t>。</w:t>
            </w:r>
          </w:p>
        </w:tc>
        <w:tc>
          <w:tcPr>
            <w:tcW w:w="2380" w:type="dxa"/>
            <w:shd w:val="clear" w:color="auto" w:fill="auto"/>
            <w:vAlign w:val="center"/>
          </w:tcPr>
          <w:p>
            <w:pPr>
              <w:widowControl/>
              <w:spacing w:line="360" w:lineRule="auto"/>
              <w:rPr>
                <w:rFonts w:ascii="Times New Roman" w:hAnsi="Times New Roman" w:eastAsia="等线" w:cs="Times New Roman"/>
                <w:color w:val="auto"/>
                <w:lang w:eastAsia="zh-CN"/>
              </w:rPr>
            </w:pPr>
            <w:r>
              <w:rPr>
                <w:rFonts w:ascii="Times New Roman" w:hAnsi="Times New Roman" w:eastAsia="等线" w:cs="Times New Roman"/>
                <w:color w:val="auto"/>
                <w:lang w:eastAsia="zh-CN"/>
              </w:rPr>
              <w:t>　</w:t>
            </w:r>
          </w:p>
        </w:tc>
      </w:tr>
    </w:tbl>
    <w:p>
      <w:pPr>
        <w:pStyle w:val="28"/>
        <w:spacing w:before="120" w:after="120"/>
        <w:rPr>
          <w:b/>
          <w:bCs/>
          <w:color w:val="auto"/>
        </w:rPr>
      </w:pPr>
      <w:bookmarkStart w:id="293" w:name="_Toc117181396"/>
      <w:r>
        <w:rPr>
          <w:b/>
          <w:bCs/>
          <w:color w:val="auto"/>
        </w:rPr>
        <w:t>泵站电气设备的相关要求</w:t>
      </w:r>
      <w:bookmarkEnd w:id="293"/>
    </w:p>
    <w:tbl>
      <w:tblPr>
        <w:tblStyle w:val="23"/>
        <w:tblW w:w="8757" w:type="dxa"/>
        <w:jc w:val="center"/>
        <w:tblInd w:w="0" w:type="dxa"/>
        <w:tblLayout w:type="fixed"/>
        <w:tblCellMar>
          <w:top w:w="0" w:type="dxa"/>
          <w:left w:w="108" w:type="dxa"/>
          <w:bottom w:w="0" w:type="dxa"/>
          <w:right w:w="108" w:type="dxa"/>
        </w:tblCellMar>
      </w:tblPr>
      <w:tblGrid>
        <w:gridCol w:w="957"/>
        <w:gridCol w:w="1926"/>
        <w:gridCol w:w="3055"/>
        <w:gridCol w:w="879"/>
        <w:gridCol w:w="767"/>
        <w:gridCol w:w="1173"/>
      </w:tblGrid>
      <w:tr>
        <w:tblPrEx>
          <w:tblLayout w:type="fixed"/>
          <w:tblCellMar>
            <w:top w:w="0" w:type="dxa"/>
            <w:left w:w="108" w:type="dxa"/>
            <w:bottom w:w="0" w:type="dxa"/>
            <w:right w:w="108" w:type="dxa"/>
          </w:tblCellMar>
        </w:tblPrEx>
        <w:trPr>
          <w:trHeight w:val="257" w:hRule="atLeast"/>
          <w:tblHeader/>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序号</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名   称</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型  号   规   格</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规  格</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数 量</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rPr>
              <w:t>推荐品牌</w:t>
            </w: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高压真空开关柜</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KYN 28-12(WxDxH=800X1500X2200)</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8</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pacing w:val="-1"/>
                <w:sz w:val="21"/>
                <w:szCs w:val="21"/>
              </w:rPr>
              <w:t>施耐德，</w:t>
            </w:r>
            <w:r>
              <w:rPr>
                <w:rFonts w:ascii="Times New Roman" w:hAnsi="Times New Roman" w:cs="Times New Roman"/>
                <w:color w:val="auto"/>
                <w:sz w:val="21"/>
                <w:szCs w:val="21"/>
              </w:rPr>
              <w:t xml:space="preserve"> ABB，GE</w:t>
            </w: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干式变压器</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SCB14-NX2-500 10/0.4KV</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pacing w:val="-1"/>
                <w:sz w:val="21"/>
                <w:szCs w:val="21"/>
              </w:rPr>
              <w:t>施耐德，</w:t>
            </w:r>
            <w:r>
              <w:rPr>
                <w:rFonts w:ascii="Times New Roman" w:hAnsi="Times New Roman" w:cs="Times New Roman"/>
                <w:color w:val="auto"/>
                <w:sz w:val="21"/>
                <w:szCs w:val="21"/>
              </w:rPr>
              <w:t xml:space="preserve"> ABB，GE</w:t>
            </w: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低压MNS柜</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其中3台110KW变频柜</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8</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pacing w:val="-1"/>
                <w:sz w:val="21"/>
                <w:szCs w:val="21"/>
              </w:rPr>
              <w:t>施耐德，</w:t>
            </w:r>
            <w:r>
              <w:rPr>
                <w:rFonts w:ascii="Times New Roman" w:hAnsi="Times New Roman" w:cs="Times New Roman"/>
                <w:color w:val="auto"/>
                <w:sz w:val="21"/>
                <w:szCs w:val="21"/>
              </w:rPr>
              <w:t xml:space="preserve"> ABB，GE</w:t>
            </w: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4</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低压补偿柜</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动态+滤波补偿柜 A-SVG-S-A 0/150/50</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5</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GGD配电柜</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6</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直流屏</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40AH</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7</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电控箱</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成套提供，按需订制</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8</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8</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起重机电控箱</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成套提供，按需订制</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9</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按钮箱</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成套提供，按需订制</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6</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照明箱</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11</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检修箱</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台</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12</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封闭母线槽</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1000A/5P</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13</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电力电缆</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WDZB-YJV-1KV-3x70+2X35</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50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14</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电力电缆</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WDZB-YJV-1KV-3x95+2X50</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100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15</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电力电缆</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WDZB-YJV-1KV-3X25+2X16</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120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16</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电力电缆</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WDZB-YJV-1KV-5X16</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200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17</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电力电缆</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WDZB-YJV-1KV-5X10</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250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18</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电力电缆</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WDZB-YJV-1KV-5X6</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120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19</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电力电缆</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WDZB-YJV-1KV-5X4</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350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电力电缆</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WDZB-YJV-1KV-5X2.5</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150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21</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电力电缆</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WDZB-YJV-1KV-4X120</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80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22</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电力电缆</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WDZN-BYJ-3x2.5</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610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23</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S316不锈钢桥架</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W300xH100(壁厚1.2mm)</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80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含支架、弯头等配件</w:t>
            </w: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24</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热镀锌钢管</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SC100(壁厚4mm)</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200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25</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热镀锌钢管</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SC50(壁厚3mm)</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120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26</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热镀锌钢管</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SC32(壁厚2.5mm)</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250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27</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热镀锌钢管</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SC20(壁厚2.5mm)</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250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28</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防爆软管</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Ф100(壁厚4mm)</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29</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防爆软管</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Ф50(壁厚3mm)</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20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30</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防爆软管</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Ф32(壁厚2.5mm)</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米</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50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31</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lang w:bidi="ar"/>
              </w:rPr>
            </w:pPr>
            <w:r>
              <w:rPr>
                <w:rFonts w:ascii="Times New Roman" w:hAnsi="Times New Roman" w:cs="Times New Roman"/>
                <w:color w:val="auto"/>
                <w:sz w:val="21"/>
                <w:szCs w:val="21"/>
                <w:lang w:eastAsia="zh-CN" w:bidi="ar"/>
              </w:rPr>
              <w:t>照明系统</w:t>
            </w:r>
          </w:p>
        </w:tc>
        <w:tc>
          <w:tcPr>
            <w:tcW w:w="30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lang w:eastAsia="zh-CN" w:bidi="ar"/>
              </w:rPr>
            </w:pPr>
            <w:r>
              <w:rPr>
                <w:rFonts w:ascii="Times New Roman" w:hAnsi="Times New Roman" w:cs="Times New Roman"/>
                <w:color w:val="auto"/>
                <w:sz w:val="21"/>
                <w:szCs w:val="21"/>
                <w:lang w:eastAsia="zh-CN" w:bidi="ar"/>
              </w:rPr>
              <w:t>室内面积约500平方米,照明灯具(三防灯具)、插座、开关等</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lang w:bidi="ar"/>
              </w:rPr>
            </w:pPr>
            <w:r>
              <w:rPr>
                <w:rFonts w:ascii="Times New Roman" w:hAnsi="Times New Roman" w:cs="Times New Roman"/>
                <w:color w:val="auto"/>
                <w:sz w:val="21"/>
                <w:szCs w:val="21"/>
                <w:lang w:eastAsia="zh-CN" w:bidi="ar"/>
              </w:rPr>
              <w:t>项</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lang w:bidi="ar"/>
              </w:rPr>
            </w:pPr>
            <w:r>
              <w:rPr>
                <w:rFonts w:ascii="Times New Roman" w:hAnsi="Times New Roman" w:cs="Times New Roman"/>
                <w:color w:val="auto"/>
                <w:sz w:val="21"/>
                <w:szCs w:val="21"/>
                <w:lang w:eastAsia="zh-CN" w:bidi="ar"/>
              </w:rPr>
              <w:t>1</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ascii="Times New Roman" w:hAnsi="Times New Roman" w:cs="Times New Roman"/>
                <w:color w:val="auto"/>
                <w:sz w:val="21"/>
                <w:szCs w:val="21"/>
              </w:rPr>
            </w:pPr>
          </w:p>
        </w:tc>
      </w:tr>
      <w:tr>
        <w:tblPrEx>
          <w:tblLayout w:type="fixed"/>
          <w:tblCellMar>
            <w:top w:w="0" w:type="dxa"/>
            <w:left w:w="108" w:type="dxa"/>
            <w:bottom w:w="0" w:type="dxa"/>
            <w:right w:w="108" w:type="dxa"/>
          </w:tblCellMar>
        </w:tblPrEx>
        <w:trPr>
          <w:trHeight w:val="257" w:hRule="atLeast"/>
          <w:jc w:val="center"/>
        </w:trPr>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r>
              <w:rPr>
                <w:rFonts w:ascii="Times New Roman" w:hAnsi="Times New Roman" w:cs="Times New Roman"/>
                <w:color w:val="auto"/>
                <w:sz w:val="21"/>
                <w:szCs w:val="21"/>
                <w:lang w:eastAsia="zh-CN" w:bidi="ar"/>
              </w:rPr>
              <w:t>32</w:t>
            </w:r>
          </w:p>
        </w:tc>
        <w:tc>
          <w:tcPr>
            <w:tcW w:w="1926"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360" w:lineRule="auto"/>
              <w:jc w:val="center"/>
              <w:textAlignment w:val="center"/>
              <w:rPr>
                <w:rFonts w:ascii="Times New Roman" w:hAnsi="Times New Roman" w:cs="Times New Roman"/>
                <w:color w:val="auto"/>
                <w:sz w:val="21"/>
                <w:szCs w:val="21"/>
                <w:lang w:eastAsia="zh-CN" w:bidi="ar"/>
              </w:rPr>
            </w:pPr>
            <w:r>
              <w:rPr>
                <w:rFonts w:ascii="Times New Roman" w:hAnsi="Times New Roman" w:cs="Times New Roman"/>
                <w:color w:val="auto"/>
                <w:sz w:val="21"/>
                <w:szCs w:val="21"/>
                <w:lang w:eastAsia="zh-CN" w:bidi="ar"/>
              </w:rPr>
              <w:t>型钢</w:t>
            </w:r>
          </w:p>
        </w:tc>
        <w:tc>
          <w:tcPr>
            <w:tcW w:w="305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360" w:lineRule="auto"/>
              <w:jc w:val="center"/>
              <w:textAlignment w:val="center"/>
              <w:rPr>
                <w:rFonts w:ascii="Times New Roman" w:hAnsi="Times New Roman" w:cs="Times New Roman"/>
                <w:color w:val="auto"/>
                <w:sz w:val="21"/>
                <w:szCs w:val="21"/>
                <w:lang w:bidi="ar"/>
              </w:rPr>
            </w:pPr>
            <w:r>
              <w:rPr>
                <w:rFonts w:ascii="Times New Roman" w:hAnsi="Times New Roman" w:cs="Times New Roman"/>
                <w:color w:val="auto"/>
                <w:sz w:val="21"/>
                <w:szCs w:val="21"/>
                <w:lang w:eastAsia="zh-CN" w:bidi="ar"/>
              </w:rPr>
              <w:t>各种规格</w:t>
            </w:r>
          </w:p>
        </w:tc>
        <w:tc>
          <w:tcPr>
            <w:tcW w:w="879"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360" w:lineRule="auto"/>
              <w:jc w:val="center"/>
              <w:textAlignment w:val="center"/>
              <w:rPr>
                <w:rFonts w:ascii="Times New Roman" w:hAnsi="Times New Roman" w:cs="Times New Roman"/>
                <w:color w:val="auto"/>
                <w:sz w:val="21"/>
                <w:szCs w:val="21"/>
                <w:lang w:bidi="ar"/>
              </w:rPr>
            </w:pPr>
            <w:r>
              <w:rPr>
                <w:rFonts w:ascii="Times New Roman" w:hAnsi="Times New Roman" w:cs="Times New Roman"/>
                <w:color w:val="auto"/>
                <w:sz w:val="21"/>
                <w:szCs w:val="21"/>
                <w:lang w:eastAsia="zh-CN" w:bidi="ar"/>
              </w:rPr>
              <w:t>1 吨</w:t>
            </w:r>
          </w:p>
        </w:tc>
        <w:tc>
          <w:tcPr>
            <w:tcW w:w="767"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360" w:lineRule="auto"/>
              <w:jc w:val="center"/>
              <w:textAlignment w:val="center"/>
              <w:rPr>
                <w:rFonts w:ascii="Times New Roman" w:hAnsi="Times New Roman" w:cs="Times New Roman"/>
                <w:color w:val="auto"/>
                <w:sz w:val="21"/>
                <w:szCs w:val="21"/>
                <w:lang w:bidi="ar"/>
              </w:rPr>
            </w:pPr>
            <w:r>
              <w:rPr>
                <w:rFonts w:ascii="Times New Roman" w:hAnsi="Times New Roman" w:cs="Times New Roman"/>
                <w:color w:val="auto"/>
                <w:sz w:val="21"/>
                <w:szCs w:val="21"/>
                <w:lang w:eastAsia="zh-CN" w:bidi="ar"/>
              </w:rPr>
              <w:t>热镀锌</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auto"/>
              <w:jc w:val="center"/>
              <w:textAlignment w:val="center"/>
              <w:rPr>
                <w:rFonts w:ascii="Times New Roman" w:hAnsi="Times New Roman" w:cs="Times New Roman"/>
                <w:color w:val="auto"/>
                <w:sz w:val="21"/>
                <w:szCs w:val="21"/>
              </w:rPr>
            </w:pPr>
          </w:p>
        </w:tc>
      </w:tr>
    </w:tbl>
    <w:p>
      <w:pPr>
        <w:pStyle w:val="29"/>
        <w:ind w:firstLine="472"/>
        <w:rPr>
          <w:color w:val="auto"/>
        </w:rPr>
      </w:pPr>
      <w:r>
        <w:rPr>
          <w:rFonts w:hint="eastAsia"/>
          <w:color w:val="auto"/>
        </w:rPr>
        <w:t>注：1、本表所列电气设备仅对应于本节所述方案的主要电气设备，投标人投标人须根据投标方案合理调整电气设备材料，并包含在合同报价之内。2、与污水厂相同类型设备采用相同品牌。</w:t>
      </w:r>
    </w:p>
    <w:p>
      <w:pPr>
        <w:pStyle w:val="28"/>
        <w:spacing w:before="120" w:after="120"/>
        <w:rPr>
          <w:b/>
          <w:bCs/>
          <w:color w:val="auto"/>
        </w:rPr>
      </w:pPr>
      <w:bookmarkStart w:id="294" w:name="_Toc117181397"/>
      <w:r>
        <w:rPr>
          <w:b/>
          <w:bCs/>
          <w:color w:val="auto"/>
        </w:rPr>
        <w:t>仪表及自控设备的相关要求</w:t>
      </w:r>
      <w:bookmarkEnd w:id="294"/>
    </w:p>
    <w:p>
      <w:pPr>
        <w:pStyle w:val="29"/>
        <w:ind w:firstLine="472"/>
        <w:rPr>
          <w:color w:val="auto"/>
        </w:rPr>
      </w:pPr>
      <w:r>
        <w:rPr>
          <w:rFonts w:hint="eastAsia"/>
          <w:color w:val="auto"/>
        </w:rPr>
        <w:t>泵站自控设备技术需求参考水厂同类设备。</w:t>
      </w:r>
    </w:p>
    <w:sectPr>
      <w:pgSz w:w="11910" w:h="16840"/>
      <w:pgMar w:top="1420" w:right="1560" w:bottom="1140" w:left="156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新宋体">
    <w:panose1 w:val="02010609030101010101"/>
    <w:charset w:val="86"/>
    <w:family w:val="swiss"/>
    <w:pitch w:val="default"/>
    <w:sig w:usb0="00000283" w:usb1="288F0000" w:usb2="00000006" w:usb3="00000000" w:csb0="00040001" w:csb1="00000000"/>
  </w:font>
  <w:font w:name="MS Mincho">
    <w:altName w:val="Yu Gothic UI"/>
    <w:panose1 w:val="02020609040205080304"/>
    <w:charset w:val="80"/>
    <w:family w:val="swiss"/>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decorative"/>
    <w:pitch w:val="default"/>
    <w:sig w:usb0="80000287" w:usb1="2ACF3C50" w:usb2="00000016" w:usb3="00000000" w:csb0="0004001F" w:csb1="00000000"/>
  </w:font>
  <w:font w:name="MS Gothic">
    <w:panose1 w:val="020B0609070205080204"/>
    <w:charset w:val="80"/>
    <w:family w:val="swiss"/>
    <w:pitch w:val="default"/>
    <w:sig w:usb0="E00002FF" w:usb1="6AC7FDFB" w:usb2="08000012" w:usb3="00000000" w:csb0="4002009F" w:csb1="DFD70000"/>
  </w:font>
  <w:font w:name="Segoe UI Symbol">
    <w:panose1 w:val="020B0502040204020203"/>
    <w:charset w:val="00"/>
    <w:family w:val="decorative"/>
    <w:pitch w:val="default"/>
    <w:sig w:usb0="800001E3" w:usb1="1200FFEF" w:usb2="00040000" w:usb3="04000000" w:csb0="00000001" w:csb1="4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swiss"/>
    <w:pitch w:val="default"/>
    <w:sig w:usb0="E00002FF" w:usb1="2AC7FDFF" w:usb2="00000016" w:usb3="00000000" w:csb0="2002009F"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0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000247B" w:usb2="00000009" w:usb3="00000000" w:csb0="200001FF" w:csb1="00000000"/>
  </w:font>
  <w:font w:name="Arial">
    <w:panose1 w:val="020B0604020202020204"/>
    <w:charset w:val="01"/>
    <w:family w:val="modern"/>
    <w:pitch w:val="default"/>
    <w:sig w:usb0="E0002EFF" w:usb1="C000785B"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新宋体">
    <w:panose1 w:val="02010609030101010101"/>
    <w:charset w:val="86"/>
    <w:family w:val="modern"/>
    <w:pitch w:val="default"/>
    <w:sig w:usb0="00000283" w:usb1="288F0000" w:usb2="00000006" w:usb3="00000000" w:csb0="0004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 w:name="Calisto MT">
    <w:altName w:val="Segoe Print"/>
    <w:panose1 w:val="02040603050505030304"/>
    <w:charset w:val="00"/>
    <w:family w:val="roman"/>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 w:name="Consolas">
    <w:panose1 w:val="020B0609020204030204"/>
    <w:charset w:val="00"/>
    <w:family w:val="modern"/>
    <w:pitch w:val="default"/>
    <w:sig w:usb0="E00006FF" w:usb1="0000FCFF" w:usb2="00000001" w:usb3="00000000" w:csb0="600001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4"/>
      <w:jc w:val="center"/>
    </w:pPr>
  </w:p>
  <w:p>
    <w:pPr>
      <w:spacing w:line="14" w:lineRule="auto"/>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6102263"/>
    </w:sdtPr>
    <w:sdtContent>
      <w:p>
        <w:pPr>
          <w:pStyle w:val="14"/>
          <w:jc w:val="center"/>
        </w:pPr>
        <w:r>
          <w:fldChar w:fldCharType="begin"/>
        </w:r>
        <w:r>
          <w:instrText xml:space="preserve">PAGE   \* MERGEFORMAT</w:instrText>
        </w:r>
        <w:r>
          <w:fldChar w:fldCharType="separate"/>
        </w:r>
        <w:r>
          <w:rPr>
            <w:lang w:val="zh-CN" w:eastAsia="zh-CN"/>
          </w:rPr>
          <w:t>2</w:t>
        </w:r>
        <w:r>
          <w:fldChar w:fldCharType="end"/>
        </w:r>
      </w:p>
    </w:sdtContent>
  </w:sdt>
  <w:p>
    <w:pPr>
      <w:spacing w:line="14" w:lineRule="auto"/>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7276872"/>
    </w:sdtPr>
    <w:sdtEndPr>
      <w:rPr>
        <w:rFonts w:ascii="Times New Roman" w:hAnsi="Times New Roman" w:cs="Times New Roman"/>
        <w:sz w:val="21"/>
        <w:szCs w:val="21"/>
      </w:rPr>
    </w:sdtEndPr>
    <w:sdtContent>
      <w:p>
        <w:pPr>
          <w:pStyle w:val="14"/>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eastAsia="zh-CN"/>
          </w:rPr>
          <w:t>2</w:t>
        </w:r>
        <w:r>
          <w:rPr>
            <w:rFonts w:ascii="Times New Roman" w:hAnsi="Times New Roman" w:cs="Times New Roman"/>
            <w:sz w:val="21"/>
            <w:szCs w:val="21"/>
          </w:rPr>
          <w:fldChar w:fldCharType="end"/>
        </w:r>
      </w:p>
    </w:sdtContent>
  </w:sdt>
  <w:p>
    <w:pPr>
      <w:spacing w:line="14" w:lineRule="auto"/>
      <w:rPr>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1478494"/>
    </w:sdtPr>
    <w:sdtEndPr>
      <w:rPr>
        <w:rFonts w:ascii="Times New Roman" w:hAnsi="Times New Roman" w:cs="Times New Roman"/>
        <w:sz w:val="21"/>
        <w:szCs w:val="21"/>
      </w:rPr>
    </w:sdtEndPr>
    <w:sdtContent>
      <w:p>
        <w:pPr>
          <w:pStyle w:val="14"/>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eastAsia="zh-CN"/>
          </w:rPr>
          <w:t>2</w:t>
        </w:r>
        <w:r>
          <w:rPr>
            <w:rFonts w:ascii="Times New Roman" w:hAnsi="Times New Roman" w:cs="Times New Roman"/>
            <w:sz w:val="21"/>
            <w:szCs w:val="21"/>
          </w:rPr>
          <w:fldChar w:fldCharType="end"/>
        </w:r>
      </w:p>
    </w:sdtContent>
  </w:sdt>
  <w:p>
    <w:pPr>
      <w:spacing w:line="14" w:lineRule="auto"/>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1"/>
        <w:szCs w:val="21"/>
      </w:rPr>
      <w:id w:val="-833681088"/>
    </w:sdtPr>
    <w:sdtEndPr>
      <w:rPr>
        <w:rFonts w:ascii="Times New Roman" w:hAnsi="Times New Roman" w:cs="Times New Roman"/>
        <w:sz w:val="21"/>
        <w:szCs w:val="21"/>
      </w:rPr>
    </w:sdtEndPr>
    <w:sdtContent>
      <w:p>
        <w:pPr>
          <w:pStyle w:val="14"/>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eastAsia="zh-CN"/>
          </w:rPr>
          <w:t>2</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5"/>
      <w:pBdr>
        <w:bottom w:val="none" w:color="auto" w:sz="0" w:space="0"/>
      </w:pBdr>
      <w:tabs>
        <w:tab w:val="left" w:pos="3647"/>
      </w:tabs>
      <w:jc w:val="left"/>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5"/>
      <w:pBdr>
        <w:bottom w:val="none" w:color="auto" w:sz="0" w:space="0"/>
      </w:pBdr>
      <w:tabs>
        <w:tab w:val="left" w:pos="3647"/>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99806382">
    <w:nsid w:val="59653AAE"/>
    <w:multiLevelType w:val="multilevel"/>
    <w:tmpl w:val="59653AAE"/>
    <w:lvl w:ilvl="0" w:tentative="1">
      <w:start w:val="1"/>
      <w:numFmt w:val="chineseCountingThousand"/>
      <w:pStyle w:val="32"/>
      <w:suff w:val="space"/>
      <w:lvlText w:val="第%1章"/>
      <w:lvlJc w:val="center"/>
      <w:pPr>
        <w:ind w:left="1559" w:firstLine="0"/>
      </w:pPr>
      <w:rPr>
        <w:rFonts w:hint="default" w:ascii="Times New Roman" w:hAnsi="Times New Roman" w:eastAsia="黑体"/>
        <w:b/>
        <w:i w:val="0"/>
        <w:color w:val="auto"/>
        <w:sz w:val="30"/>
        <w:lang w:val="en-US"/>
      </w:rPr>
    </w:lvl>
    <w:lvl w:ilvl="1" w:tentative="1">
      <w:start w:val="1"/>
      <w:numFmt w:val="decimal"/>
      <w:pStyle w:val="28"/>
      <w:isLgl/>
      <w:suff w:val="nothing"/>
      <w:lvlText w:val="%1.%2 "/>
      <w:lvlJc w:val="left"/>
      <w:pPr>
        <w:ind w:left="4394" w:firstLine="0"/>
      </w:pPr>
      <w:rPr>
        <w:rFonts w:hint="default" w:ascii="Times New Roman" w:hAnsi="Times New Roman" w:eastAsia="黑体"/>
        <w:b/>
        <w:i w:val="0"/>
        <w:sz w:val="28"/>
      </w:rPr>
    </w:lvl>
    <w:lvl w:ilvl="2" w:tentative="1">
      <w:start w:val="1"/>
      <w:numFmt w:val="decimal"/>
      <w:pStyle w:val="30"/>
      <w:isLgl/>
      <w:suff w:val="nothing"/>
      <w:lvlText w:val="%1.%2.%3 "/>
      <w:lvlJc w:val="left"/>
      <w:pPr>
        <w:ind w:left="0" w:firstLine="0"/>
      </w:pPr>
      <w:rPr>
        <w:rFonts w:hint="default" w:ascii="Times New Roman" w:hAnsi="Times New Roman" w:eastAsia="黑体"/>
        <w:b/>
        <w:i w:val="0"/>
        <w:sz w:val="24"/>
      </w:rPr>
    </w:lvl>
    <w:lvl w:ilvl="3" w:tentative="1">
      <w:start w:val="1"/>
      <w:numFmt w:val="decimal"/>
      <w:pStyle w:val="31"/>
      <w:isLgl/>
      <w:suff w:val="space"/>
      <w:lvlText w:val="%1.%2.%3.%4 "/>
      <w:lvlJc w:val="left"/>
      <w:pPr>
        <w:ind w:left="1559" w:firstLine="0"/>
      </w:pPr>
      <w:rPr>
        <w:rFonts w:hint="default" w:ascii="Times New Roman" w:hAnsi="Times New Roman" w:eastAsia="黑体"/>
        <w:b/>
        <w:i w:val="0"/>
        <w:sz w:val="24"/>
      </w:rPr>
    </w:lvl>
    <w:lvl w:ilvl="4" w:tentative="1">
      <w:start w:val="1"/>
      <w:numFmt w:val="decimal"/>
      <w:lvlRestart w:val="2"/>
      <w:pStyle w:val="33"/>
      <w:isLgl/>
      <w:suff w:val="nothing"/>
      <w:lvlText w:val="表%1.%2-%5 "/>
      <w:lvlJc w:val="left"/>
      <w:pPr>
        <w:ind w:left="1559" w:firstLine="0"/>
      </w:pPr>
      <w:rPr>
        <w:rFonts w:hint="default" w:ascii="Times New Roman" w:hAnsi="Times New Roman" w:eastAsia="宋体"/>
        <w:b/>
        <w:bCs w:val="0"/>
        <w:i w:val="0"/>
        <w:iCs w:val="0"/>
        <w:caps w:val="0"/>
        <w:strike w:val="0"/>
        <w:dstrike w:val="0"/>
        <w:outline w:val="0"/>
        <w:shadow w:val="0"/>
        <w:emboss w:val="0"/>
        <w:imprint w:val="0"/>
        <w:vanish w:val="0"/>
        <w:spacing w:val="0"/>
        <w:position w:val="0"/>
        <w:sz w:val="21"/>
        <w:u w:val="none"/>
        <w:vertAlign w:val="baseline"/>
      </w:rPr>
    </w:lvl>
    <w:lvl w:ilvl="5" w:tentative="1">
      <w:start w:val="1"/>
      <w:numFmt w:val="decimal"/>
      <w:lvlRestart w:val="2"/>
      <w:pStyle w:val="34"/>
      <w:isLgl/>
      <w:suff w:val="nothing"/>
      <w:lvlText w:val="图%1.%2-%6 "/>
      <w:lvlJc w:val="left"/>
      <w:pPr>
        <w:ind w:left="1559" w:firstLine="0"/>
      </w:pPr>
      <w:rPr>
        <w:rFonts w:hint="default" w:ascii="Times New Roman" w:hAnsi="Times New Roman" w:eastAsia="宋体"/>
        <w:b/>
        <w:i w:val="0"/>
        <w:sz w:val="21"/>
      </w:rPr>
    </w:lvl>
    <w:lvl w:ilvl="6" w:tentative="1">
      <w:start w:val="1"/>
      <w:numFmt w:val="decimal"/>
      <w:lvlRestart w:val="4"/>
      <w:pStyle w:val="35"/>
      <w:suff w:val="nothing"/>
      <w:lvlText w:val="（%7）"/>
      <w:lvlJc w:val="left"/>
      <w:pPr>
        <w:ind w:left="1559" w:firstLine="0"/>
      </w:pPr>
      <w:rPr>
        <w:rFonts w:hint="default" w:ascii="Times New Roman" w:hAnsi="Times New Roman" w:eastAsia="宋体"/>
        <w:b w:val="0"/>
        <w:i w:val="0"/>
        <w:sz w:val="24"/>
        <w:lang w:val="en-US"/>
      </w:rPr>
    </w:lvl>
    <w:lvl w:ilvl="7" w:tentative="1">
      <w:start w:val="1"/>
      <w:numFmt w:val="none"/>
      <w:suff w:val="nothing"/>
      <w:lvlText w:val=""/>
      <w:lvlJc w:val="left"/>
      <w:pPr>
        <w:ind w:left="1559" w:firstLine="0"/>
      </w:pPr>
      <w:rPr>
        <w:rFonts w:hint="eastAsia"/>
      </w:rPr>
    </w:lvl>
    <w:lvl w:ilvl="8" w:tentative="1">
      <w:start w:val="1"/>
      <w:numFmt w:val="none"/>
      <w:suff w:val="nothing"/>
      <w:lvlText w:val=""/>
      <w:lvlJc w:val="left"/>
      <w:pPr>
        <w:ind w:left="1559" w:firstLine="0"/>
      </w:pPr>
      <w:rPr>
        <w:rFonts w:hint="eastAsia"/>
      </w:rPr>
    </w:lvl>
  </w:abstractNum>
  <w:abstractNum w:abstractNumId="2114207335">
    <w:nsid w:val="7E043E67"/>
    <w:multiLevelType w:val="multilevel"/>
    <w:tmpl w:val="7E043E67"/>
    <w:lvl w:ilvl="0" w:tentative="1">
      <w:start w:val="1"/>
      <w:numFmt w:val="decimal"/>
      <w:lvlText w:val="%1."/>
      <w:lvlJc w:val="left"/>
      <w:pPr>
        <w:ind w:left="792" w:hanging="360"/>
      </w:pPr>
      <w:rPr>
        <w:rFonts w:hint="default"/>
      </w:rPr>
    </w:lvl>
    <w:lvl w:ilvl="1" w:tentative="1">
      <w:start w:val="1"/>
      <w:numFmt w:val="lowerLetter"/>
      <w:lvlText w:val="%2)"/>
      <w:lvlJc w:val="left"/>
      <w:pPr>
        <w:ind w:left="1272" w:hanging="420"/>
      </w:pPr>
    </w:lvl>
    <w:lvl w:ilvl="2" w:tentative="1">
      <w:start w:val="1"/>
      <w:numFmt w:val="lowerRoman"/>
      <w:lvlText w:val="%3."/>
      <w:lvlJc w:val="right"/>
      <w:pPr>
        <w:ind w:left="1692" w:hanging="420"/>
      </w:pPr>
    </w:lvl>
    <w:lvl w:ilvl="3" w:tentative="1">
      <w:start w:val="1"/>
      <w:numFmt w:val="decimal"/>
      <w:lvlText w:val="%4."/>
      <w:lvlJc w:val="left"/>
      <w:pPr>
        <w:ind w:left="2112" w:hanging="420"/>
      </w:pPr>
    </w:lvl>
    <w:lvl w:ilvl="4" w:tentative="1">
      <w:start w:val="1"/>
      <w:numFmt w:val="lowerLetter"/>
      <w:lvlText w:val="%5)"/>
      <w:lvlJc w:val="left"/>
      <w:pPr>
        <w:ind w:left="2532" w:hanging="420"/>
      </w:pPr>
    </w:lvl>
    <w:lvl w:ilvl="5" w:tentative="1">
      <w:start w:val="1"/>
      <w:numFmt w:val="lowerRoman"/>
      <w:lvlText w:val="%6."/>
      <w:lvlJc w:val="right"/>
      <w:pPr>
        <w:ind w:left="2952" w:hanging="420"/>
      </w:pPr>
    </w:lvl>
    <w:lvl w:ilvl="6" w:tentative="1">
      <w:start w:val="1"/>
      <w:numFmt w:val="decimal"/>
      <w:lvlText w:val="%7."/>
      <w:lvlJc w:val="left"/>
      <w:pPr>
        <w:ind w:left="3372" w:hanging="420"/>
      </w:pPr>
    </w:lvl>
    <w:lvl w:ilvl="7" w:tentative="1">
      <w:start w:val="1"/>
      <w:numFmt w:val="lowerLetter"/>
      <w:lvlText w:val="%8)"/>
      <w:lvlJc w:val="left"/>
      <w:pPr>
        <w:ind w:left="3792" w:hanging="420"/>
      </w:pPr>
    </w:lvl>
    <w:lvl w:ilvl="8" w:tentative="1">
      <w:start w:val="1"/>
      <w:numFmt w:val="lowerRoman"/>
      <w:lvlText w:val="%9."/>
      <w:lvlJc w:val="right"/>
      <w:pPr>
        <w:ind w:left="4212" w:hanging="420"/>
      </w:pPr>
    </w:lvl>
  </w:abstractNum>
  <w:abstractNum w:abstractNumId="466944319">
    <w:nsid w:val="1BD5013F"/>
    <w:multiLevelType w:val="multilevel"/>
    <w:tmpl w:val="1BD5013F"/>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775828543">
    <w:nsid w:val="2E3E343F"/>
    <w:multiLevelType w:val="multilevel"/>
    <w:tmpl w:val="2E3E343F"/>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2026856807">
    <w:nsid w:val="78CF6167"/>
    <w:multiLevelType w:val="multilevel"/>
    <w:tmpl w:val="78CF6167"/>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296961071">
    <w:nsid w:val="11B3442F"/>
    <w:multiLevelType w:val="multilevel"/>
    <w:tmpl w:val="11B3442F"/>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907617981">
    <w:nsid w:val="361926BD"/>
    <w:multiLevelType w:val="multilevel"/>
    <w:tmpl w:val="361926BD"/>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533664288">
    <w:nsid w:val="1FCF1220"/>
    <w:multiLevelType w:val="multilevel"/>
    <w:tmpl w:val="1FCF1220"/>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1174687592">
    <w:nsid w:val="46044F68"/>
    <w:multiLevelType w:val="multilevel"/>
    <w:tmpl w:val="46044F68"/>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2106412754">
    <w:nsid w:val="7D8D4ED2"/>
    <w:multiLevelType w:val="multilevel"/>
    <w:tmpl w:val="7D8D4ED2"/>
    <w:lvl w:ilvl="0" w:tentative="1">
      <w:start w:val="1"/>
      <w:numFmt w:val="bullet"/>
      <w:lvlText w:val=""/>
      <w:lvlJc w:val="left"/>
      <w:pPr>
        <w:ind w:left="618" w:hanging="420"/>
      </w:pPr>
      <w:rPr>
        <w:rFonts w:hint="default" w:ascii="Wingdings" w:hAnsi="Wingdings"/>
      </w:rPr>
    </w:lvl>
    <w:lvl w:ilvl="1" w:tentative="1">
      <w:start w:val="1"/>
      <w:numFmt w:val="bullet"/>
      <w:lvlText w:val=""/>
      <w:lvlJc w:val="left"/>
      <w:pPr>
        <w:ind w:left="1038" w:hanging="420"/>
      </w:pPr>
      <w:rPr>
        <w:rFonts w:hint="default" w:ascii="Wingdings" w:hAnsi="Wingdings"/>
      </w:rPr>
    </w:lvl>
    <w:lvl w:ilvl="2" w:tentative="1">
      <w:start w:val="1"/>
      <w:numFmt w:val="bullet"/>
      <w:lvlText w:val=""/>
      <w:lvlJc w:val="left"/>
      <w:pPr>
        <w:ind w:left="1458" w:hanging="420"/>
      </w:pPr>
      <w:rPr>
        <w:rFonts w:hint="default" w:ascii="Wingdings" w:hAnsi="Wingdings"/>
      </w:rPr>
    </w:lvl>
    <w:lvl w:ilvl="3" w:tentative="1">
      <w:start w:val="1"/>
      <w:numFmt w:val="bullet"/>
      <w:lvlText w:val=""/>
      <w:lvlJc w:val="left"/>
      <w:pPr>
        <w:ind w:left="1878" w:hanging="420"/>
      </w:pPr>
      <w:rPr>
        <w:rFonts w:hint="default" w:ascii="Wingdings" w:hAnsi="Wingdings"/>
      </w:rPr>
    </w:lvl>
    <w:lvl w:ilvl="4" w:tentative="1">
      <w:start w:val="1"/>
      <w:numFmt w:val="bullet"/>
      <w:lvlText w:val=""/>
      <w:lvlJc w:val="left"/>
      <w:pPr>
        <w:ind w:left="2298" w:hanging="420"/>
      </w:pPr>
      <w:rPr>
        <w:rFonts w:hint="default" w:ascii="Wingdings" w:hAnsi="Wingdings"/>
      </w:rPr>
    </w:lvl>
    <w:lvl w:ilvl="5" w:tentative="1">
      <w:start w:val="1"/>
      <w:numFmt w:val="bullet"/>
      <w:lvlText w:val=""/>
      <w:lvlJc w:val="left"/>
      <w:pPr>
        <w:ind w:left="2718" w:hanging="420"/>
      </w:pPr>
      <w:rPr>
        <w:rFonts w:hint="default" w:ascii="Wingdings" w:hAnsi="Wingdings"/>
      </w:rPr>
    </w:lvl>
    <w:lvl w:ilvl="6" w:tentative="1">
      <w:start w:val="1"/>
      <w:numFmt w:val="bullet"/>
      <w:lvlText w:val=""/>
      <w:lvlJc w:val="left"/>
      <w:pPr>
        <w:ind w:left="3138" w:hanging="420"/>
      </w:pPr>
      <w:rPr>
        <w:rFonts w:hint="default" w:ascii="Wingdings" w:hAnsi="Wingdings"/>
      </w:rPr>
    </w:lvl>
    <w:lvl w:ilvl="7" w:tentative="1">
      <w:start w:val="1"/>
      <w:numFmt w:val="bullet"/>
      <w:lvlText w:val=""/>
      <w:lvlJc w:val="left"/>
      <w:pPr>
        <w:ind w:left="3558" w:hanging="420"/>
      </w:pPr>
      <w:rPr>
        <w:rFonts w:hint="default" w:ascii="Wingdings" w:hAnsi="Wingdings"/>
      </w:rPr>
    </w:lvl>
    <w:lvl w:ilvl="8" w:tentative="1">
      <w:start w:val="1"/>
      <w:numFmt w:val="bullet"/>
      <w:lvlText w:val=""/>
      <w:lvlJc w:val="left"/>
      <w:pPr>
        <w:ind w:left="3978" w:hanging="420"/>
      </w:pPr>
      <w:rPr>
        <w:rFonts w:hint="default" w:ascii="Wingdings" w:hAnsi="Wingdings"/>
      </w:rPr>
    </w:lvl>
  </w:abstractNum>
  <w:abstractNum w:abstractNumId="170489565">
    <w:nsid w:val="0A2976DD"/>
    <w:multiLevelType w:val="multilevel"/>
    <w:tmpl w:val="0A2976DD"/>
    <w:lvl w:ilvl="0" w:tentative="1">
      <w:start w:val="1"/>
      <w:numFmt w:val="decimal"/>
      <w:lvlText w:val="(%1)"/>
      <w:lvlJc w:val="left"/>
      <w:pPr>
        <w:tabs>
          <w:tab w:val="left" w:pos="840"/>
        </w:tabs>
        <w:ind w:left="840" w:hanging="42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414550651">
    <w:nsid w:val="5450547B"/>
    <w:multiLevelType w:val="multilevel"/>
    <w:tmpl w:val="5450547B"/>
    <w:lvl w:ilvl="0" w:tentative="1">
      <w:start w:val="1"/>
      <w:numFmt w:val="decimal"/>
      <w:lvlText w:val="(%1)"/>
      <w:lvlJc w:val="left"/>
      <w:pPr>
        <w:tabs>
          <w:tab w:val="left" w:pos="1200"/>
        </w:tabs>
        <w:ind w:left="1200" w:hanging="42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692993135">
    <w:nsid w:val="64E9066F"/>
    <w:multiLevelType w:val="multilevel"/>
    <w:tmpl w:val="64E9066F"/>
    <w:lvl w:ilvl="0" w:tentative="1">
      <w:start w:val="1"/>
      <w:numFmt w:val="decimal"/>
      <w:lvlText w:val="(%1)"/>
      <w:lvlJc w:val="left"/>
      <w:pPr>
        <w:tabs>
          <w:tab w:val="left" w:pos="840"/>
        </w:tabs>
        <w:ind w:left="840" w:hanging="42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662804861">
    <w:nsid w:val="631C637D"/>
    <w:multiLevelType w:val="multilevel"/>
    <w:tmpl w:val="631C637D"/>
    <w:lvl w:ilvl="0" w:tentative="1">
      <w:start w:val="1"/>
      <w:numFmt w:val="decimal"/>
      <w:lvlText w:val="(%1)"/>
      <w:lvlJc w:val="left"/>
      <w:pPr>
        <w:tabs>
          <w:tab w:val="left" w:pos="1146"/>
        </w:tabs>
        <w:ind w:left="1146" w:hanging="720"/>
      </w:pPr>
      <w:rPr>
        <w:rFonts w:hint="default" w:ascii="Times New Roman" w:hAnsi="Times New Roman" w:cs="Times New Roman"/>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04815162">
    <w:nsid w:val="063F5A3A"/>
    <w:multiLevelType w:val="multilevel"/>
    <w:tmpl w:val="063F5A3A"/>
    <w:lvl w:ilvl="0" w:tentative="1">
      <w:start w:val="1"/>
      <w:numFmt w:val="decimal"/>
      <w:lvlText w:val="(%1)"/>
      <w:lvlJc w:val="left"/>
      <w:pPr>
        <w:tabs>
          <w:tab w:val="left" w:pos="1146"/>
        </w:tabs>
        <w:ind w:left="1146" w:hanging="720"/>
      </w:pPr>
      <w:rPr>
        <w:rFonts w:hint="default" w:ascii="Times New Roman" w:hAnsi="Times New Roman" w:cs="Times New Roman"/>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321541749">
    <w:nsid w:val="132A5675"/>
    <w:multiLevelType w:val="multilevel"/>
    <w:tmpl w:val="132A5675"/>
    <w:lvl w:ilvl="0" w:tentative="1">
      <w:start w:val="1"/>
      <w:numFmt w:val="decimal"/>
      <w:lvlText w:val="(%1)"/>
      <w:lvlJc w:val="left"/>
      <w:pPr>
        <w:tabs>
          <w:tab w:val="left" w:pos="840"/>
        </w:tabs>
        <w:ind w:left="840" w:hanging="42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190027702">
    <w:nsid w:val="46EE61B6"/>
    <w:multiLevelType w:val="multilevel"/>
    <w:tmpl w:val="46EE61B6"/>
    <w:lvl w:ilvl="0" w:tentative="1">
      <w:start w:val="1"/>
      <w:numFmt w:val="decimal"/>
      <w:lvlText w:val="(%1)"/>
      <w:lvlJc w:val="left"/>
      <w:pPr>
        <w:tabs>
          <w:tab w:val="left" w:pos="1740"/>
        </w:tabs>
        <w:ind w:left="1740" w:hanging="42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420757870">
    <w:nsid w:val="1914416E"/>
    <w:multiLevelType w:val="multilevel"/>
    <w:tmpl w:val="1914416E"/>
    <w:lvl w:ilvl="0" w:tentative="1">
      <w:start w:val="1"/>
      <w:numFmt w:val="decimal"/>
      <w:lvlText w:val="(%1)"/>
      <w:lvlJc w:val="left"/>
      <w:pPr>
        <w:tabs>
          <w:tab w:val="left" w:pos="1146"/>
        </w:tabs>
        <w:ind w:left="1146" w:hanging="720"/>
      </w:pPr>
      <w:rPr>
        <w:rFonts w:hint="default" w:ascii="Times New Roman" w:hAnsi="Times New Roman" w:cs="Times New Roman"/>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126041156">
    <w:nsid w:val="431E0644"/>
    <w:multiLevelType w:val="multilevel"/>
    <w:tmpl w:val="431E0644"/>
    <w:lvl w:ilvl="0" w:tentative="1">
      <w:start w:val="1"/>
      <w:numFmt w:val="decimal"/>
      <w:lvlText w:val="(%1)"/>
      <w:lvlJc w:val="left"/>
      <w:pPr>
        <w:ind w:left="840" w:hanging="420"/>
      </w:pPr>
      <w:rPr>
        <w:rFonts w:hint="eastAsia"/>
        <w:lang w:val="en-US"/>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934506043">
    <w:nsid w:val="734E383B"/>
    <w:multiLevelType w:val="multilevel"/>
    <w:tmpl w:val="734E383B"/>
    <w:lvl w:ilvl="0" w:tentative="1">
      <w:start w:val="1"/>
      <w:numFmt w:val="decimal"/>
      <w:lvlText w:val="(%1)"/>
      <w:lvlJc w:val="left"/>
      <w:pPr>
        <w:tabs>
          <w:tab w:val="left" w:pos="1200"/>
        </w:tabs>
        <w:ind w:left="1200" w:hanging="42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025835921">
    <w:nsid w:val="3D250391"/>
    <w:multiLevelType w:val="multilevel"/>
    <w:tmpl w:val="3D250391"/>
    <w:lvl w:ilvl="0" w:tentative="1">
      <w:start w:val="1"/>
      <w:numFmt w:val="lowerLetter"/>
      <w:lvlText w:val="%1."/>
      <w:lvlJc w:val="left"/>
      <w:pPr>
        <w:ind w:left="840" w:hanging="36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438332871">
    <w:nsid w:val="55BB37C7"/>
    <w:multiLevelType w:val="multilevel"/>
    <w:tmpl w:val="55BB37C7"/>
    <w:lvl w:ilvl="0" w:tentative="1">
      <w:start w:val="1"/>
      <w:numFmt w:val="bullet"/>
      <w:lvlText w:val=""/>
      <w:lvlJc w:val="left"/>
      <w:pPr>
        <w:ind w:left="892" w:hanging="420"/>
      </w:pPr>
      <w:rPr>
        <w:rFonts w:hint="default" w:ascii="Wingdings" w:hAnsi="Wingdings"/>
      </w:rPr>
    </w:lvl>
    <w:lvl w:ilvl="1" w:tentative="1">
      <w:start w:val="1"/>
      <w:numFmt w:val="bullet"/>
      <w:lvlText w:val=""/>
      <w:lvlJc w:val="left"/>
      <w:pPr>
        <w:ind w:left="1312" w:hanging="420"/>
      </w:pPr>
      <w:rPr>
        <w:rFonts w:hint="default" w:ascii="Wingdings" w:hAnsi="Wingdings"/>
      </w:rPr>
    </w:lvl>
    <w:lvl w:ilvl="2" w:tentative="1">
      <w:start w:val="1"/>
      <w:numFmt w:val="bullet"/>
      <w:lvlText w:val=""/>
      <w:lvlJc w:val="left"/>
      <w:pPr>
        <w:ind w:left="1732" w:hanging="420"/>
      </w:pPr>
      <w:rPr>
        <w:rFonts w:hint="default" w:ascii="Wingdings" w:hAnsi="Wingdings"/>
      </w:rPr>
    </w:lvl>
    <w:lvl w:ilvl="3" w:tentative="1">
      <w:start w:val="1"/>
      <w:numFmt w:val="bullet"/>
      <w:lvlText w:val=""/>
      <w:lvlJc w:val="left"/>
      <w:pPr>
        <w:ind w:left="2152" w:hanging="420"/>
      </w:pPr>
      <w:rPr>
        <w:rFonts w:hint="default" w:ascii="Wingdings" w:hAnsi="Wingdings"/>
      </w:rPr>
    </w:lvl>
    <w:lvl w:ilvl="4" w:tentative="1">
      <w:start w:val="1"/>
      <w:numFmt w:val="bullet"/>
      <w:lvlText w:val=""/>
      <w:lvlJc w:val="left"/>
      <w:pPr>
        <w:ind w:left="2572" w:hanging="420"/>
      </w:pPr>
      <w:rPr>
        <w:rFonts w:hint="default" w:ascii="Wingdings" w:hAnsi="Wingdings"/>
      </w:rPr>
    </w:lvl>
    <w:lvl w:ilvl="5" w:tentative="1">
      <w:start w:val="1"/>
      <w:numFmt w:val="bullet"/>
      <w:lvlText w:val=""/>
      <w:lvlJc w:val="left"/>
      <w:pPr>
        <w:ind w:left="2992" w:hanging="420"/>
      </w:pPr>
      <w:rPr>
        <w:rFonts w:hint="default" w:ascii="Wingdings" w:hAnsi="Wingdings"/>
      </w:rPr>
    </w:lvl>
    <w:lvl w:ilvl="6" w:tentative="1">
      <w:start w:val="1"/>
      <w:numFmt w:val="bullet"/>
      <w:lvlText w:val=""/>
      <w:lvlJc w:val="left"/>
      <w:pPr>
        <w:ind w:left="3412" w:hanging="420"/>
      </w:pPr>
      <w:rPr>
        <w:rFonts w:hint="default" w:ascii="Wingdings" w:hAnsi="Wingdings"/>
      </w:rPr>
    </w:lvl>
    <w:lvl w:ilvl="7" w:tentative="1">
      <w:start w:val="1"/>
      <w:numFmt w:val="bullet"/>
      <w:lvlText w:val=""/>
      <w:lvlJc w:val="left"/>
      <w:pPr>
        <w:ind w:left="3832" w:hanging="420"/>
      </w:pPr>
      <w:rPr>
        <w:rFonts w:hint="default" w:ascii="Wingdings" w:hAnsi="Wingdings"/>
      </w:rPr>
    </w:lvl>
    <w:lvl w:ilvl="8" w:tentative="1">
      <w:start w:val="1"/>
      <w:numFmt w:val="bullet"/>
      <w:lvlText w:val=""/>
      <w:lvlJc w:val="left"/>
      <w:pPr>
        <w:ind w:left="4252" w:hanging="420"/>
      </w:pPr>
      <w:rPr>
        <w:rFonts w:hint="default" w:ascii="Wingdings" w:hAnsi="Wingdings"/>
      </w:rPr>
    </w:lvl>
  </w:abstractNum>
  <w:num w:numId="1">
    <w:abstractNumId w:val="1499806382"/>
  </w:num>
  <w:num w:numId="2">
    <w:abstractNumId w:val="907617981"/>
  </w:num>
  <w:num w:numId="3">
    <w:abstractNumId w:val="296961071"/>
  </w:num>
  <w:num w:numId="4">
    <w:abstractNumId w:val="466944319"/>
  </w:num>
  <w:num w:numId="5">
    <w:abstractNumId w:val="533664288"/>
  </w:num>
  <w:num w:numId="6">
    <w:abstractNumId w:val="2026856807"/>
  </w:num>
  <w:num w:numId="7">
    <w:abstractNumId w:val="1174687592"/>
  </w:num>
  <w:num w:numId="8">
    <w:abstractNumId w:val="775828543"/>
  </w:num>
  <w:num w:numId="9">
    <w:abstractNumId w:val="2106412754"/>
  </w:num>
  <w:num w:numId="10">
    <w:abstractNumId w:val="2114207335"/>
  </w:num>
  <w:num w:numId="11">
    <w:abstractNumId w:val="1025835921"/>
  </w:num>
  <w:num w:numId="12">
    <w:abstractNumId w:val="104815162"/>
  </w:num>
  <w:num w:numId="13">
    <w:abstractNumId w:val="1662804861"/>
  </w:num>
  <w:num w:numId="14">
    <w:abstractNumId w:val="321541749"/>
  </w:num>
  <w:num w:numId="15">
    <w:abstractNumId w:val="420757870"/>
  </w:num>
  <w:num w:numId="16">
    <w:abstractNumId w:val="1414550651"/>
  </w:num>
  <w:num w:numId="17">
    <w:abstractNumId w:val="1126041156"/>
  </w:num>
  <w:num w:numId="18">
    <w:abstractNumId w:val="1692993135"/>
  </w:num>
  <w:num w:numId="19">
    <w:abstractNumId w:val="1934506043"/>
  </w:num>
  <w:num w:numId="20">
    <w:abstractNumId w:val="170489565"/>
  </w:num>
  <w:num w:numId="21">
    <w:abstractNumId w:val="1190027702"/>
  </w:num>
  <w:num w:numId="22">
    <w:abstractNumId w:val="1499806382"/>
    <w:lvlOverride w:ilvl="6">
      <w:startOverride w:val="1"/>
    </w:lvlOverride>
  </w:num>
  <w:num w:numId="23">
    <w:abstractNumId w:val="14383328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4NjEyMzQ2MzcxZmJmOTJiMjUwN2NhZWM5YTRkM2QifQ=="/>
  </w:docVars>
  <w:rsids>
    <w:rsidRoot w:val="009C36AD"/>
    <w:rsid w:val="00003DA8"/>
    <w:rsid w:val="00012F2B"/>
    <w:rsid w:val="0001462C"/>
    <w:rsid w:val="00027209"/>
    <w:rsid w:val="00032844"/>
    <w:rsid w:val="00041982"/>
    <w:rsid w:val="0004599E"/>
    <w:rsid w:val="00050BB3"/>
    <w:rsid w:val="00055221"/>
    <w:rsid w:val="00057962"/>
    <w:rsid w:val="00061674"/>
    <w:rsid w:val="00074986"/>
    <w:rsid w:val="000818FA"/>
    <w:rsid w:val="0008731A"/>
    <w:rsid w:val="00097D6C"/>
    <w:rsid w:val="000A49AF"/>
    <w:rsid w:val="000B3BDF"/>
    <w:rsid w:val="000C1272"/>
    <w:rsid w:val="000C1A96"/>
    <w:rsid w:val="000D2051"/>
    <w:rsid w:val="000E3124"/>
    <w:rsid w:val="000E3661"/>
    <w:rsid w:val="000E64D6"/>
    <w:rsid w:val="000F2BC7"/>
    <w:rsid w:val="00101F7A"/>
    <w:rsid w:val="0010721C"/>
    <w:rsid w:val="00107736"/>
    <w:rsid w:val="00110042"/>
    <w:rsid w:val="0011598C"/>
    <w:rsid w:val="00131E75"/>
    <w:rsid w:val="001349AB"/>
    <w:rsid w:val="00143B2D"/>
    <w:rsid w:val="00145C09"/>
    <w:rsid w:val="001541E3"/>
    <w:rsid w:val="00162D83"/>
    <w:rsid w:val="00164BBB"/>
    <w:rsid w:val="00174ADD"/>
    <w:rsid w:val="001804DB"/>
    <w:rsid w:val="0018616E"/>
    <w:rsid w:val="00194808"/>
    <w:rsid w:val="00195C6A"/>
    <w:rsid w:val="001977ED"/>
    <w:rsid w:val="001A0D87"/>
    <w:rsid w:val="001A6586"/>
    <w:rsid w:val="001B535A"/>
    <w:rsid w:val="001B5700"/>
    <w:rsid w:val="001B6860"/>
    <w:rsid w:val="001C0B9C"/>
    <w:rsid w:val="001C15A2"/>
    <w:rsid w:val="001C63F3"/>
    <w:rsid w:val="001E4C88"/>
    <w:rsid w:val="001F19DA"/>
    <w:rsid w:val="001F60B3"/>
    <w:rsid w:val="00205081"/>
    <w:rsid w:val="00210335"/>
    <w:rsid w:val="002115D4"/>
    <w:rsid w:val="00217707"/>
    <w:rsid w:val="00237DDF"/>
    <w:rsid w:val="00261A00"/>
    <w:rsid w:val="00275783"/>
    <w:rsid w:val="00282255"/>
    <w:rsid w:val="00286D28"/>
    <w:rsid w:val="00287AD2"/>
    <w:rsid w:val="00287B1D"/>
    <w:rsid w:val="002905DC"/>
    <w:rsid w:val="002A095A"/>
    <w:rsid w:val="002A6A2F"/>
    <w:rsid w:val="002B18A8"/>
    <w:rsid w:val="002C070C"/>
    <w:rsid w:val="002C2878"/>
    <w:rsid w:val="002C77CA"/>
    <w:rsid w:val="002E244E"/>
    <w:rsid w:val="002F0051"/>
    <w:rsid w:val="002F4F83"/>
    <w:rsid w:val="002F5DB5"/>
    <w:rsid w:val="00305803"/>
    <w:rsid w:val="00314CBC"/>
    <w:rsid w:val="00323342"/>
    <w:rsid w:val="00336C24"/>
    <w:rsid w:val="0033707D"/>
    <w:rsid w:val="00343981"/>
    <w:rsid w:val="00346FF8"/>
    <w:rsid w:val="00361988"/>
    <w:rsid w:val="00380ECD"/>
    <w:rsid w:val="00393AEC"/>
    <w:rsid w:val="00396DEB"/>
    <w:rsid w:val="003A5B78"/>
    <w:rsid w:val="003B1357"/>
    <w:rsid w:val="003C36D9"/>
    <w:rsid w:val="003C7D3C"/>
    <w:rsid w:val="003D2E70"/>
    <w:rsid w:val="003D4DF7"/>
    <w:rsid w:val="003D6897"/>
    <w:rsid w:val="003D7A1D"/>
    <w:rsid w:val="003E061E"/>
    <w:rsid w:val="003E097B"/>
    <w:rsid w:val="003E59FB"/>
    <w:rsid w:val="003F1D33"/>
    <w:rsid w:val="003F6014"/>
    <w:rsid w:val="00422F5F"/>
    <w:rsid w:val="004236D4"/>
    <w:rsid w:val="00441DBB"/>
    <w:rsid w:val="0044229F"/>
    <w:rsid w:val="00443373"/>
    <w:rsid w:val="004571ED"/>
    <w:rsid w:val="00457F12"/>
    <w:rsid w:val="00476602"/>
    <w:rsid w:val="0048077A"/>
    <w:rsid w:val="00480EDF"/>
    <w:rsid w:val="004910A8"/>
    <w:rsid w:val="00491F7F"/>
    <w:rsid w:val="004928A5"/>
    <w:rsid w:val="00492F1A"/>
    <w:rsid w:val="004A744E"/>
    <w:rsid w:val="004B32F0"/>
    <w:rsid w:val="004B35F6"/>
    <w:rsid w:val="004C1882"/>
    <w:rsid w:val="004D13A9"/>
    <w:rsid w:val="004D6C79"/>
    <w:rsid w:val="004F10C1"/>
    <w:rsid w:val="0051529B"/>
    <w:rsid w:val="005155E1"/>
    <w:rsid w:val="0051598E"/>
    <w:rsid w:val="00527573"/>
    <w:rsid w:val="00547427"/>
    <w:rsid w:val="00547E71"/>
    <w:rsid w:val="00554B41"/>
    <w:rsid w:val="00565914"/>
    <w:rsid w:val="00582BDC"/>
    <w:rsid w:val="0058634C"/>
    <w:rsid w:val="0059512E"/>
    <w:rsid w:val="005954CF"/>
    <w:rsid w:val="005A2D4A"/>
    <w:rsid w:val="005A4032"/>
    <w:rsid w:val="005A4605"/>
    <w:rsid w:val="005B5C46"/>
    <w:rsid w:val="005B6E14"/>
    <w:rsid w:val="005E5882"/>
    <w:rsid w:val="005E64D4"/>
    <w:rsid w:val="005E683D"/>
    <w:rsid w:val="005F2C5D"/>
    <w:rsid w:val="005F45F5"/>
    <w:rsid w:val="00613D0B"/>
    <w:rsid w:val="00620EAE"/>
    <w:rsid w:val="00636296"/>
    <w:rsid w:val="00657A86"/>
    <w:rsid w:val="00657D07"/>
    <w:rsid w:val="00676FAF"/>
    <w:rsid w:val="00681F7D"/>
    <w:rsid w:val="00691296"/>
    <w:rsid w:val="006A01C9"/>
    <w:rsid w:val="006A618F"/>
    <w:rsid w:val="006A69CA"/>
    <w:rsid w:val="006B7680"/>
    <w:rsid w:val="006D0FDA"/>
    <w:rsid w:val="006D261E"/>
    <w:rsid w:val="006D3A4F"/>
    <w:rsid w:val="006E5B90"/>
    <w:rsid w:val="00702209"/>
    <w:rsid w:val="00703BB5"/>
    <w:rsid w:val="0071628B"/>
    <w:rsid w:val="00716EC2"/>
    <w:rsid w:val="0071760B"/>
    <w:rsid w:val="00724053"/>
    <w:rsid w:val="00724642"/>
    <w:rsid w:val="00731771"/>
    <w:rsid w:val="00731E11"/>
    <w:rsid w:val="00736BE5"/>
    <w:rsid w:val="0074067D"/>
    <w:rsid w:val="007419DB"/>
    <w:rsid w:val="007446A2"/>
    <w:rsid w:val="00747147"/>
    <w:rsid w:val="00752507"/>
    <w:rsid w:val="00766F4F"/>
    <w:rsid w:val="00775D07"/>
    <w:rsid w:val="0079285F"/>
    <w:rsid w:val="007A0D80"/>
    <w:rsid w:val="007A24D8"/>
    <w:rsid w:val="007A5B0C"/>
    <w:rsid w:val="007A7E2E"/>
    <w:rsid w:val="007B070B"/>
    <w:rsid w:val="007B45E1"/>
    <w:rsid w:val="007B4D49"/>
    <w:rsid w:val="007B6424"/>
    <w:rsid w:val="007C42AA"/>
    <w:rsid w:val="007D56EB"/>
    <w:rsid w:val="007D79CF"/>
    <w:rsid w:val="007E4052"/>
    <w:rsid w:val="007E4FF8"/>
    <w:rsid w:val="007F513E"/>
    <w:rsid w:val="008050EB"/>
    <w:rsid w:val="00823BEF"/>
    <w:rsid w:val="00826591"/>
    <w:rsid w:val="0084456C"/>
    <w:rsid w:val="00861E4F"/>
    <w:rsid w:val="00867932"/>
    <w:rsid w:val="00880FEA"/>
    <w:rsid w:val="00881C4E"/>
    <w:rsid w:val="00883612"/>
    <w:rsid w:val="008B578F"/>
    <w:rsid w:val="008B7041"/>
    <w:rsid w:val="008C1A05"/>
    <w:rsid w:val="008C26EE"/>
    <w:rsid w:val="008C510B"/>
    <w:rsid w:val="008C6D6B"/>
    <w:rsid w:val="0090117A"/>
    <w:rsid w:val="009023A5"/>
    <w:rsid w:val="00903A8F"/>
    <w:rsid w:val="00904475"/>
    <w:rsid w:val="00907C6F"/>
    <w:rsid w:val="00921A1E"/>
    <w:rsid w:val="009278C3"/>
    <w:rsid w:val="009330BB"/>
    <w:rsid w:val="009331F9"/>
    <w:rsid w:val="00945F94"/>
    <w:rsid w:val="009476B9"/>
    <w:rsid w:val="00956649"/>
    <w:rsid w:val="00957344"/>
    <w:rsid w:val="0096485B"/>
    <w:rsid w:val="009668B8"/>
    <w:rsid w:val="00966AEA"/>
    <w:rsid w:val="00974C5B"/>
    <w:rsid w:val="00982FEF"/>
    <w:rsid w:val="00985188"/>
    <w:rsid w:val="00990BCA"/>
    <w:rsid w:val="009A4E89"/>
    <w:rsid w:val="009A64D0"/>
    <w:rsid w:val="009C36AD"/>
    <w:rsid w:val="009C4547"/>
    <w:rsid w:val="009C7996"/>
    <w:rsid w:val="009D01E4"/>
    <w:rsid w:val="009F2C72"/>
    <w:rsid w:val="00A01015"/>
    <w:rsid w:val="00A02983"/>
    <w:rsid w:val="00A0504F"/>
    <w:rsid w:val="00A0677D"/>
    <w:rsid w:val="00A10FF6"/>
    <w:rsid w:val="00A13775"/>
    <w:rsid w:val="00A158AA"/>
    <w:rsid w:val="00A2779A"/>
    <w:rsid w:val="00A303D7"/>
    <w:rsid w:val="00A31923"/>
    <w:rsid w:val="00A50C26"/>
    <w:rsid w:val="00A53B88"/>
    <w:rsid w:val="00A54297"/>
    <w:rsid w:val="00A64EB5"/>
    <w:rsid w:val="00A6772C"/>
    <w:rsid w:val="00A73AA3"/>
    <w:rsid w:val="00A7491E"/>
    <w:rsid w:val="00A8687B"/>
    <w:rsid w:val="00AA1A6A"/>
    <w:rsid w:val="00AA1CAF"/>
    <w:rsid w:val="00AB30F7"/>
    <w:rsid w:val="00AC14BB"/>
    <w:rsid w:val="00AD4E00"/>
    <w:rsid w:val="00AD693A"/>
    <w:rsid w:val="00AE2D15"/>
    <w:rsid w:val="00AE480F"/>
    <w:rsid w:val="00AE4B82"/>
    <w:rsid w:val="00AF3E95"/>
    <w:rsid w:val="00B04C03"/>
    <w:rsid w:val="00B14B1D"/>
    <w:rsid w:val="00B2046A"/>
    <w:rsid w:val="00B205AA"/>
    <w:rsid w:val="00B26A01"/>
    <w:rsid w:val="00B61AEE"/>
    <w:rsid w:val="00B7078D"/>
    <w:rsid w:val="00B81E20"/>
    <w:rsid w:val="00B90A87"/>
    <w:rsid w:val="00BA7BB9"/>
    <w:rsid w:val="00BB0D22"/>
    <w:rsid w:val="00BC05C4"/>
    <w:rsid w:val="00BC1FC6"/>
    <w:rsid w:val="00BC3BEC"/>
    <w:rsid w:val="00BC55D0"/>
    <w:rsid w:val="00BE233A"/>
    <w:rsid w:val="00BE2D62"/>
    <w:rsid w:val="00BF406D"/>
    <w:rsid w:val="00BF584F"/>
    <w:rsid w:val="00C22D89"/>
    <w:rsid w:val="00C3110D"/>
    <w:rsid w:val="00C35B7E"/>
    <w:rsid w:val="00C36931"/>
    <w:rsid w:val="00C4376D"/>
    <w:rsid w:val="00C53CC2"/>
    <w:rsid w:val="00C611C3"/>
    <w:rsid w:val="00C63CD6"/>
    <w:rsid w:val="00C641C8"/>
    <w:rsid w:val="00C6796E"/>
    <w:rsid w:val="00C77F46"/>
    <w:rsid w:val="00C8348E"/>
    <w:rsid w:val="00C83E72"/>
    <w:rsid w:val="00C85255"/>
    <w:rsid w:val="00C9718F"/>
    <w:rsid w:val="00CA3F49"/>
    <w:rsid w:val="00CA734C"/>
    <w:rsid w:val="00CB5F59"/>
    <w:rsid w:val="00CD2D97"/>
    <w:rsid w:val="00CE159F"/>
    <w:rsid w:val="00CE7B0F"/>
    <w:rsid w:val="00D00214"/>
    <w:rsid w:val="00D03CE8"/>
    <w:rsid w:val="00D13B49"/>
    <w:rsid w:val="00D20FC7"/>
    <w:rsid w:val="00D269BE"/>
    <w:rsid w:val="00D30E90"/>
    <w:rsid w:val="00D31E75"/>
    <w:rsid w:val="00D35CAE"/>
    <w:rsid w:val="00D4625D"/>
    <w:rsid w:val="00D46651"/>
    <w:rsid w:val="00D568E6"/>
    <w:rsid w:val="00D6027E"/>
    <w:rsid w:val="00D80349"/>
    <w:rsid w:val="00D962A7"/>
    <w:rsid w:val="00DA14AC"/>
    <w:rsid w:val="00DC4A22"/>
    <w:rsid w:val="00DC5F81"/>
    <w:rsid w:val="00DD108C"/>
    <w:rsid w:val="00DE353E"/>
    <w:rsid w:val="00E101C5"/>
    <w:rsid w:val="00E13316"/>
    <w:rsid w:val="00E13F85"/>
    <w:rsid w:val="00E24E99"/>
    <w:rsid w:val="00E328CF"/>
    <w:rsid w:val="00E62C2D"/>
    <w:rsid w:val="00E741D8"/>
    <w:rsid w:val="00E76B90"/>
    <w:rsid w:val="00E81EBC"/>
    <w:rsid w:val="00E8537A"/>
    <w:rsid w:val="00E9241B"/>
    <w:rsid w:val="00EA0999"/>
    <w:rsid w:val="00EB3511"/>
    <w:rsid w:val="00EB35BE"/>
    <w:rsid w:val="00EB464F"/>
    <w:rsid w:val="00ED04D8"/>
    <w:rsid w:val="00ED0E8A"/>
    <w:rsid w:val="00ED2EB9"/>
    <w:rsid w:val="00F05382"/>
    <w:rsid w:val="00F0778D"/>
    <w:rsid w:val="00F10D76"/>
    <w:rsid w:val="00F12A14"/>
    <w:rsid w:val="00F203B5"/>
    <w:rsid w:val="00F24DDE"/>
    <w:rsid w:val="00F26770"/>
    <w:rsid w:val="00F3238C"/>
    <w:rsid w:val="00F45FA3"/>
    <w:rsid w:val="00F61B4A"/>
    <w:rsid w:val="00F64697"/>
    <w:rsid w:val="00F65FEC"/>
    <w:rsid w:val="00F714E5"/>
    <w:rsid w:val="00F75F14"/>
    <w:rsid w:val="00F84A3C"/>
    <w:rsid w:val="00F85651"/>
    <w:rsid w:val="00FC408B"/>
    <w:rsid w:val="00FC5DF7"/>
    <w:rsid w:val="00FD0B31"/>
    <w:rsid w:val="00FE5C92"/>
    <w:rsid w:val="00FF0024"/>
    <w:rsid w:val="00FF1B5D"/>
    <w:rsid w:val="00FF29FD"/>
    <w:rsid w:val="011F322F"/>
    <w:rsid w:val="01432B0D"/>
    <w:rsid w:val="064B513C"/>
    <w:rsid w:val="069849AE"/>
    <w:rsid w:val="0A1030E5"/>
    <w:rsid w:val="0A223DE7"/>
    <w:rsid w:val="0D122F66"/>
    <w:rsid w:val="0F007EC4"/>
    <w:rsid w:val="142B113F"/>
    <w:rsid w:val="15922405"/>
    <w:rsid w:val="17D13FB6"/>
    <w:rsid w:val="1A200FC4"/>
    <w:rsid w:val="1B66673E"/>
    <w:rsid w:val="1C2735F0"/>
    <w:rsid w:val="208379FB"/>
    <w:rsid w:val="20F50668"/>
    <w:rsid w:val="21512C6B"/>
    <w:rsid w:val="22DF0102"/>
    <w:rsid w:val="2461128B"/>
    <w:rsid w:val="24983E75"/>
    <w:rsid w:val="25865B63"/>
    <w:rsid w:val="25EF3DCB"/>
    <w:rsid w:val="26CC6F73"/>
    <w:rsid w:val="27033592"/>
    <w:rsid w:val="276B0E22"/>
    <w:rsid w:val="291F2D42"/>
    <w:rsid w:val="2A226688"/>
    <w:rsid w:val="35A87AF3"/>
    <w:rsid w:val="37424BCE"/>
    <w:rsid w:val="37634EEE"/>
    <w:rsid w:val="376A56CF"/>
    <w:rsid w:val="3F7F2107"/>
    <w:rsid w:val="4079001D"/>
    <w:rsid w:val="41317E7F"/>
    <w:rsid w:val="457A7F1B"/>
    <w:rsid w:val="4B6F10DA"/>
    <w:rsid w:val="526C3AE2"/>
    <w:rsid w:val="54F41482"/>
    <w:rsid w:val="5CBC2478"/>
    <w:rsid w:val="68947366"/>
    <w:rsid w:val="68E63851"/>
    <w:rsid w:val="6C1003A8"/>
    <w:rsid w:val="766E41A4"/>
    <w:rsid w:val="77251B7C"/>
    <w:rsid w:val="78DE4D9F"/>
    <w:rsid w:val="7A296ADC"/>
    <w:rsid w:val="7E6F2B35"/>
    <w:rsid w:val="7E7F505F"/>
    <w:rsid w:val="7EF319D8"/>
    <w:rsid w:val="7EFE2E7B"/>
    <w:rsid w:val="7F5B7A8E"/>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sz w:val="22"/>
      <w:szCs w:val="22"/>
      <w:lang w:val="en-US" w:eastAsia="en-US" w:bidi="ar-SA"/>
    </w:rPr>
  </w:style>
  <w:style w:type="paragraph" w:styleId="2">
    <w:name w:val="heading 1"/>
    <w:basedOn w:val="1"/>
    <w:next w:val="1"/>
    <w:link w:val="52"/>
    <w:qFormat/>
    <w:uiPriority w:val="9"/>
    <w:pPr>
      <w:ind w:left="104"/>
      <w:outlineLvl w:val="0"/>
    </w:pPr>
    <w:rPr>
      <w:rFonts w:ascii="宋体" w:hAnsi="宋体" w:eastAsia="宋体"/>
      <w:b/>
      <w:bCs/>
      <w:sz w:val="32"/>
      <w:szCs w:val="32"/>
    </w:rPr>
  </w:style>
  <w:style w:type="paragraph" w:styleId="3">
    <w:name w:val="heading 2"/>
    <w:basedOn w:val="1"/>
    <w:next w:val="1"/>
    <w:link w:val="50"/>
    <w:unhideWhenUsed/>
    <w:qFormat/>
    <w:uiPriority w:val="9"/>
    <w:pPr>
      <w:ind w:left="120"/>
      <w:outlineLvl w:val="1"/>
    </w:pPr>
    <w:rPr>
      <w:rFonts w:ascii="宋体" w:hAnsi="宋体" w:eastAsia="宋体"/>
      <w:b/>
      <w:bCs/>
      <w:sz w:val="28"/>
      <w:szCs w:val="28"/>
    </w:rPr>
  </w:style>
  <w:style w:type="paragraph" w:styleId="4">
    <w:name w:val="heading 3"/>
    <w:basedOn w:val="1"/>
    <w:next w:val="1"/>
    <w:link w:val="53"/>
    <w:unhideWhenUsed/>
    <w:qFormat/>
    <w:uiPriority w:val="9"/>
    <w:pPr>
      <w:spacing w:before="1"/>
      <w:ind w:left="120"/>
      <w:outlineLvl w:val="2"/>
    </w:pPr>
    <w:rPr>
      <w:rFonts w:ascii="宋体" w:hAnsi="宋体" w:eastAsia="宋体"/>
      <w:b/>
      <w:bCs/>
      <w:sz w:val="24"/>
      <w:szCs w:val="24"/>
    </w:rPr>
  </w:style>
  <w:style w:type="paragraph" w:styleId="5">
    <w:name w:val="heading 4"/>
    <w:basedOn w:val="1"/>
    <w:next w:val="1"/>
    <w:link w:val="54"/>
    <w:unhideWhenUsed/>
    <w:qFormat/>
    <w:uiPriority w:val="9"/>
    <w:pPr>
      <w:ind w:left="222"/>
      <w:outlineLvl w:val="3"/>
    </w:pPr>
    <w:rPr>
      <w:rFonts w:ascii="宋体" w:hAnsi="宋体" w:eastAsia="宋体"/>
      <w:sz w:val="24"/>
      <w:szCs w:val="24"/>
    </w:rPr>
  </w:style>
  <w:style w:type="paragraph" w:styleId="6">
    <w:name w:val="heading 5"/>
    <w:basedOn w:val="1"/>
    <w:next w:val="1"/>
    <w:link w:val="43"/>
    <w:unhideWhenUsed/>
    <w:qFormat/>
    <w:uiPriority w:val="9"/>
    <w:pPr>
      <w:ind w:left="120"/>
      <w:outlineLvl w:val="4"/>
    </w:pPr>
    <w:rPr>
      <w:rFonts w:ascii="宋体" w:hAnsi="宋体" w:eastAsia="宋体"/>
      <w:b/>
      <w:bCs/>
      <w:sz w:val="21"/>
      <w:szCs w:val="21"/>
    </w:rPr>
  </w:style>
  <w:style w:type="paragraph" w:styleId="7">
    <w:name w:val="heading 6"/>
    <w:basedOn w:val="1"/>
    <w:next w:val="1"/>
    <w:link w:val="4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unhideWhenUsed/>
    <w:uiPriority w:val="1"/>
  </w:style>
  <w:style w:type="table" w:default="1" w:styleId="23">
    <w:name w:val="Normal Table"/>
    <w:unhideWhenUsed/>
    <w:qFormat/>
    <w:uiPriority w:val="99"/>
    <w:tblPr>
      <w:tblLayout w:type="fixed"/>
      <w:tblCellMar>
        <w:top w:w="0" w:type="dxa"/>
        <w:left w:w="108" w:type="dxa"/>
        <w:bottom w:w="0" w:type="dxa"/>
        <w:right w:w="108" w:type="dxa"/>
      </w:tblCellMar>
    </w:tblPr>
  </w:style>
  <w:style w:type="paragraph" w:styleId="8">
    <w:name w:val="annotation subject"/>
    <w:basedOn w:val="9"/>
    <w:next w:val="9"/>
    <w:link w:val="47"/>
    <w:unhideWhenUsed/>
    <w:qFormat/>
    <w:uiPriority w:val="99"/>
    <w:rPr>
      <w:b/>
      <w:bCs/>
    </w:rPr>
  </w:style>
  <w:style w:type="paragraph" w:styleId="9">
    <w:name w:val="annotation text"/>
    <w:basedOn w:val="1"/>
    <w:link w:val="46"/>
    <w:unhideWhenUsed/>
    <w:qFormat/>
    <w:uiPriority w:val="99"/>
  </w:style>
  <w:style w:type="paragraph" w:styleId="10">
    <w:name w:val="Normal Indent"/>
    <w:basedOn w:val="1"/>
    <w:next w:val="1"/>
    <w:link w:val="51"/>
    <w:qFormat/>
    <w:uiPriority w:val="0"/>
    <w:pPr>
      <w:ind w:firstLine="420" w:firstLineChars="200"/>
      <w:jc w:val="both"/>
    </w:pPr>
    <w:rPr>
      <w:rFonts w:ascii="Times New Roman" w:hAnsi="Times New Roman" w:eastAsia="宋体" w:cs="Times New Roman"/>
      <w:kern w:val="2"/>
      <w:sz w:val="21"/>
      <w:szCs w:val="24"/>
      <w:lang w:eastAsia="zh-CN"/>
    </w:rPr>
  </w:style>
  <w:style w:type="paragraph" w:styleId="11">
    <w:name w:val="Body Text"/>
    <w:basedOn w:val="1"/>
    <w:link w:val="41"/>
    <w:qFormat/>
    <w:uiPriority w:val="1"/>
    <w:pPr>
      <w:ind w:left="120"/>
    </w:pPr>
    <w:rPr>
      <w:rFonts w:ascii="宋体" w:hAnsi="宋体" w:eastAsia="宋体"/>
      <w:sz w:val="21"/>
      <w:szCs w:val="21"/>
    </w:rPr>
  </w:style>
  <w:style w:type="paragraph" w:styleId="12">
    <w:name w:val="Body Text Indent"/>
    <w:basedOn w:val="1"/>
    <w:link w:val="44"/>
    <w:unhideWhenUsed/>
    <w:qFormat/>
    <w:uiPriority w:val="99"/>
    <w:pPr>
      <w:spacing w:after="120"/>
      <w:ind w:left="420" w:leftChars="200"/>
    </w:pPr>
  </w:style>
  <w:style w:type="paragraph" w:styleId="13">
    <w:name w:val="toc 3"/>
    <w:basedOn w:val="1"/>
    <w:next w:val="1"/>
    <w:unhideWhenUsed/>
    <w:qFormat/>
    <w:uiPriority w:val="39"/>
    <w:pPr>
      <w:spacing w:line="360" w:lineRule="auto"/>
      <w:ind w:left="200" w:leftChars="200"/>
    </w:pPr>
    <w:rPr>
      <w:rFonts w:ascii="Times New Roman" w:hAnsi="Times New Roman"/>
      <w:sz w:val="24"/>
    </w:rPr>
  </w:style>
  <w:style w:type="paragraph" w:styleId="14">
    <w:name w:val="footer"/>
    <w:basedOn w:val="1"/>
    <w:link w:val="37"/>
    <w:unhideWhenUsed/>
    <w:uiPriority w:val="99"/>
    <w:pPr>
      <w:tabs>
        <w:tab w:val="center" w:pos="4153"/>
        <w:tab w:val="right" w:pos="8306"/>
      </w:tabs>
      <w:snapToGrid w:val="0"/>
    </w:pPr>
    <w:rPr>
      <w:sz w:val="18"/>
      <w:szCs w:val="18"/>
    </w:rPr>
  </w:style>
  <w:style w:type="paragraph" w:styleId="15">
    <w:name w:val="header"/>
    <w:basedOn w:val="1"/>
    <w:link w:val="36"/>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tabs>
        <w:tab w:val="right" w:leader="dot" w:pos="8780"/>
      </w:tabs>
      <w:spacing w:line="360" w:lineRule="auto"/>
      <w:jc w:val="center"/>
    </w:pPr>
    <w:rPr>
      <w:rFonts w:ascii="Times New Roman" w:hAnsi="Times New Roman" w:eastAsia="黑体"/>
      <w:b/>
      <w:sz w:val="28"/>
      <w:szCs w:val="32"/>
      <w:lang w:eastAsia="zh-CN"/>
    </w:rPr>
  </w:style>
  <w:style w:type="paragraph" w:styleId="17">
    <w:name w:val="toc 2"/>
    <w:basedOn w:val="1"/>
    <w:next w:val="1"/>
    <w:unhideWhenUsed/>
    <w:qFormat/>
    <w:uiPriority w:val="39"/>
    <w:pPr>
      <w:spacing w:line="480" w:lineRule="auto"/>
      <w:ind w:left="100" w:leftChars="100"/>
    </w:pPr>
    <w:rPr>
      <w:rFonts w:ascii="Times New Roman" w:hAnsi="Times New Roman"/>
      <w:sz w:val="24"/>
    </w:rPr>
  </w:style>
  <w:style w:type="paragraph" w:styleId="18">
    <w:name w:val="Body Text 2"/>
    <w:basedOn w:val="1"/>
    <w:unhideWhenUsed/>
    <w:uiPriority w:val="99"/>
    <w:rPr>
      <w:rFonts w:ascii="宋体"/>
      <w:sz w:val="24"/>
      <w:szCs w:val="24"/>
      <w:u w:val="single"/>
    </w:rPr>
  </w:style>
  <w:style w:type="character" w:styleId="20">
    <w:name w:val="FollowedHyperlink"/>
    <w:basedOn w:val="19"/>
    <w:unhideWhenUsed/>
    <w:qFormat/>
    <w:uiPriority w:val="99"/>
    <w:rPr>
      <w:color w:val="800080" w:themeColor="followedHyperlink"/>
      <w:u w:val="single"/>
      <w14:textFill>
        <w14:solidFill>
          <w14:schemeClr w14:val="folHlink"/>
        </w14:solidFill>
      </w14:textFill>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styleId="22">
    <w:name w:val="annotation reference"/>
    <w:basedOn w:val="19"/>
    <w:unhideWhenUsed/>
    <w:qFormat/>
    <w:uiPriority w:val="99"/>
    <w:rPr>
      <w:sz w:val="21"/>
      <w:szCs w:val="21"/>
    </w:rPr>
  </w:style>
  <w:style w:type="table" w:styleId="24">
    <w:name w:val="Table Grid"/>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
    <w:name w:val="Table Normal"/>
    <w:unhideWhenUsed/>
    <w:qFormat/>
    <w:uiPriority w:val="2"/>
    <w:tblPr>
      <w:tblLayout w:type="fixed"/>
      <w:tblCellMar>
        <w:top w:w="0" w:type="dxa"/>
        <w:left w:w="0" w:type="dxa"/>
        <w:bottom w:w="0" w:type="dxa"/>
        <w:right w:w="0" w:type="dxa"/>
      </w:tblCellMar>
    </w:tblPr>
  </w:style>
  <w:style w:type="paragraph" w:customStyle="1" w:styleId="26">
    <w:name w:val="List Paragraph"/>
    <w:basedOn w:val="1"/>
    <w:qFormat/>
    <w:uiPriority w:val="34"/>
  </w:style>
  <w:style w:type="paragraph" w:customStyle="1" w:styleId="27">
    <w:name w:val="Table Paragraph"/>
    <w:basedOn w:val="1"/>
    <w:qFormat/>
    <w:uiPriority w:val="1"/>
  </w:style>
  <w:style w:type="paragraph" w:customStyle="1" w:styleId="28">
    <w:name w:val="02-标题2级-节"/>
    <w:basedOn w:val="1"/>
    <w:next w:val="29"/>
    <w:qFormat/>
    <w:uiPriority w:val="0"/>
    <w:pPr>
      <w:numPr>
        <w:ilvl w:val="1"/>
        <w:numId w:val="1"/>
      </w:numPr>
      <w:tabs>
        <w:tab w:val="left" w:pos="0"/>
      </w:tabs>
      <w:spacing w:before="50" w:beforeLines="50" w:after="50" w:afterLines="50" w:line="360" w:lineRule="auto"/>
      <w:ind w:left="0"/>
      <w:outlineLvl w:val="1"/>
    </w:pPr>
    <w:rPr>
      <w:rFonts w:ascii="Times New Roman" w:hAnsi="Times New Roman" w:eastAsia="黑体" w:cs="Times New Roman"/>
      <w:kern w:val="2"/>
      <w:sz w:val="28"/>
      <w:szCs w:val="24"/>
      <w:lang w:eastAsia="zh-CN"/>
    </w:rPr>
  </w:style>
  <w:style w:type="paragraph" w:customStyle="1" w:styleId="29">
    <w:name w:val="00-正文"/>
    <w:basedOn w:val="1"/>
    <w:link w:val="39"/>
    <w:qFormat/>
    <w:uiPriority w:val="0"/>
    <w:pPr>
      <w:spacing w:line="360" w:lineRule="auto"/>
      <w:ind w:firstLine="200" w:firstLineChars="200"/>
      <w:jc w:val="both"/>
    </w:pPr>
    <w:rPr>
      <w:rFonts w:ascii="Times New Roman" w:hAnsi="Times New Roman"/>
      <w:spacing w:val="-4"/>
      <w:sz w:val="24"/>
      <w:lang w:eastAsia="zh-CN"/>
    </w:rPr>
  </w:style>
  <w:style w:type="paragraph" w:customStyle="1" w:styleId="30">
    <w:name w:val="03-标题3级"/>
    <w:basedOn w:val="1"/>
    <w:next w:val="29"/>
    <w:qFormat/>
    <w:uiPriority w:val="0"/>
    <w:pPr>
      <w:numPr>
        <w:ilvl w:val="2"/>
        <w:numId w:val="1"/>
      </w:numPr>
      <w:tabs>
        <w:tab w:val="left" w:pos="0"/>
      </w:tabs>
      <w:spacing w:before="50" w:beforeLines="50" w:after="50" w:afterLines="50" w:line="360" w:lineRule="auto"/>
      <w:outlineLvl w:val="2"/>
    </w:pPr>
    <w:rPr>
      <w:rFonts w:ascii="Arial" w:hAnsi="Arial" w:eastAsia="黑体" w:cs="Times New Roman"/>
      <w:b/>
      <w:kern w:val="2"/>
      <w:sz w:val="24"/>
      <w:szCs w:val="24"/>
      <w:lang w:eastAsia="zh-CN"/>
    </w:rPr>
  </w:style>
  <w:style w:type="paragraph" w:customStyle="1" w:styleId="31">
    <w:name w:val="04-标题4级"/>
    <w:basedOn w:val="1"/>
    <w:next w:val="29"/>
    <w:qFormat/>
    <w:uiPriority w:val="0"/>
    <w:pPr>
      <w:numPr>
        <w:ilvl w:val="3"/>
        <w:numId w:val="1"/>
      </w:numPr>
      <w:tabs>
        <w:tab w:val="left" w:pos="0"/>
      </w:tabs>
      <w:spacing w:line="360" w:lineRule="auto"/>
      <w:ind w:left="0"/>
      <w:outlineLvl w:val="3"/>
    </w:pPr>
    <w:rPr>
      <w:rFonts w:ascii="Arial" w:hAnsi="Arial" w:eastAsia="黑体" w:cs="Times New Roman"/>
      <w:b/>
      <w:kern w:val="2"/>
      <w:sz w:val="24"/>
      <w:szCs w:val="24"/>
      <w:lang w:eastAsia="zh-CN"/>
    </w:rPr>
  </w:style>
  <w:style w:type="paragraph" w:customStyle="1" w:styleId="32">
    <w:name w:val="01-大标题-章"/>
    <w:basedOn w:val="1"/>
    <w:next w:val="29"/>
    <w:qFormat/>
    <w:uiPriority w:val="0"/>
    <w:pPr>
      <w:numPr>
        <w:ilvl w:val="0"/>
        <w:numId w:val="1"/>
      </w:numPr>
      <w:spacing w:before="50" w:beforeLines="50" w:after="50" w:afterLines="50" w:line="360" w:lineRule="auto"/>
      <w:jc w:val="center"/>
      <w:outlineLvl w:val="0"/>
    </w:pPr>
    <w:rPr>
      <w:rFonts w:ascii="Arial" w:hAnsi="Arial" w:eastAsia="黑体" w:cs="Times New Roman"/>
      <w:bCs/>
      <w:kern w:val="2"/>
      <w:sz w:val="30"/>
      <w:szCs w:val="32"/>
      <w:lang w:eastAsia="zh-CN"/>
    </w:rPr>
  </w:style>
  <w:style w:type="paragraph" w:customStyle="1" w:styleId="33">
    <w:name w:val="05-表名5级"/>
    <w:basedOn w:val="1"/>
    <w:next w:val="29"/>
    <w:qFormat/>
    <w:uiPriority w:val="0"/>
    <w:pPr>
      <w:numPr>
        <w:ilvl w:val="4"/>
        <w:numId w:val="1"/>
      </w:numPr>
      <w:tabs>
        <w:tab w:val="left" w:pos="0"/>
        <w:tab w:val="left" w:pos="2410"/>
      </w:tabs>
      <w:snapToGrid w:val="0"/>
      <w:spacing w:line="360" w:lineRule="auto"/>
      <w:ind w:left="0"/>
      <w:jc w:val="center"/>
    </w:pPr>
    <w:rPr>
      <w:rFonts w:ascii="Arial" w:hAnsi="Arial" w:eastAsia="宋体" w:cs="Times New Roman"/>
      <w:b/>
      <w:kern w:val="2"/>
      <w:sz w:val="21"/>
      <w:szCs w:val="24"/>
      <w:lang w:eastAsia="zh-CN"/>
    </w:rPr>
  </w:style>
  <w:style w:type="paragraph" w:customStyle="1" w:styleId="34">
    <w:name w:val="06-图名6级"/>
    <w:basedOn w:val="1"/>
    <w:next w:val="29"/>
    <w:qFormat/>
    <w:uiPriority w:val="0"/>
    <w:pPr>
      <w:numPr>
        <w:ilvl w:val="5"/>
        <w:numId w:val="1"/>
      </w:numPr>
      <w:tabs>
        <w:tab w:val="left" w:pos="0"/>
      </w:tabs>
      <w:spacing w:line="360" w:lineRule="auto"/>
      <w:jc w:val="center"/>
    </w:pPr>
    <w:rPr>
      <w:rFonts w:ascii="Arial" w:hAnsi="Arial" w:eastAsia="宋体" w:cs="Times New Roman"/>
      <w:b/>
      <w:kern w:val="2"/>
      <w:sz w:val="21"/>
      <w:szCs w:val="24"/>
      <w:lang w:eastAsia="zh-CN"/>
    </w:rPr>
  </w:style>
  <w:style w:type="paragraph" w:customStyle="1" w:styleId="35">
    <w:name w:val="08-小标题"/>
    <w:basedOn w:val="1"/>
    <w:next w:val="29"/>
    <w:qFormat/>
    <w:uiPriority w:val="0"/>
    <w:pPr>
      <w:numPr>
        <w:ilvl w:val="6"/>
        <w:numId w:val="1"/>
      </w:numPr>
      <w:spacing w:line="360" w:lineRule="auto"/>
      <w:ind w:left="0"/>
      <w:jc w:val="both"/>
    </w:pPr>
    <w:rPr>
      <w:rFonts w:ascii="Arial" w:hAnsi="Arial" w:eastAsia="宋体" w:cs="Times New Roman"/>
      <w:kern w:val="2"/>
      <w:sz w:val="24"/>
      <w:szCs w:val="24"/>
      <w:lang w:eastAsia="zh-CN"/>
    </w:rPr>
  </w:style>
  <w:style w:type="character" w:customStyle="1" w:styleId="36">
    <w:name w:val="页眉 字符"/>
    <w:basedOn w:val="19"/>
    <w:link w:val="15"/>
    <w:qFormat/>
    <w:uiPriority w:val="99"/>
    <w:rPr>
      <w:sz w:val="18"/>
      <w:szCs w:val="18"/>
    </w:rPr>
  </w:style>
  <w:style w:type="character" w:customStyle="1" w:styleId="37">
    <w:name w:val="页脚 字符"/>
    <w:basedOn w:val="19"/>
    <w:link w:val="14"/>
    <w:qFormat/>
    <w:uiPriority w:val="99"/>
    <w:rPr>
      <w:sz w:val="18"/>
      <w:szCs w:val="18"/>
    </w:rPr>
  </w:style>
  <w:style w:type="paragraph" w:customStyle="1" w:styleId="38">
    <w:name w:val="表格内容"/>
    <w:basedOn w:val="1"/>
    <w:link w:val="40"/>
    <w:qFormat/>
    <w:uiPriority w:val="0"/>
    <w:pPr>
      <w:jc w:val="center"/>
    </w:pPr>
    <w:rPr>
      <w:rFonts w:ascii="Times New Roman" w:hAnsi="Times New Roman" w:eastAsia="宋体" w:cs="Times New Roman"/>
      <w:kern w:val="2"/>
      <w:sz w:val="24"/>
      <w:szCs w:val="24"/>
      <w:lang w:eastAsia="zh-CN"/>
    </w:rPr>
  </w:style>
  <w:style w:type="character" w:customStyle="1" w:styleId="39">
    <w:name w:val="00-正文 字符"/>
    <w:basedOn w:val="19"/>
    <w:link w:val="29"/>
    <w:qFormat/>
    <w:uiPriority w:val="0"/>
    <w:rPr>
      <w:rFonts w:ascii="Times New Roman" w:hAnsi="Times New Roman"/>
      <w:spacing w:val="-4"/>
      <w:sz w:val="24"/>
      <w:lang w:eastAsia="zh-CN"/>
    </w:rPr>
  </w:style>
  <w:style w:type="character" w:customStyle="1" w:styleId="40">
    <w:name w:val="表格内容 Char"/>
    <w:link w:val="38"/>
    <w:qFormat/>
    <w:uiPriority w:val="0"/>
    <w:rPr>
      <w:rFonts w:ascii="Times New Roman" w:hAnsi="Times New Roman" w:eastAsia="宋体" w:cs="Times New Roman"/>
      <w:kern w:val="2"/>
      <w:sz w:val="24"/>
      <w:szCs w:val="24"/>
      <w:lang w:eastAsia="zh-CN"/>
    </w:rPr>
  </w:style>
  <w:style w:type="character" w:customStyle="1" w:styleId="41">
    <w:name w:val="正文文本 字符"/>
    <w:basedOn w:val="19"/>
    <w:link w:val="11"/>
    <w:qFormat/>
    <w:uiPriority w:val="1"/>
    <w:rPr>
      <w:rFonts w:ascii="宋体" w:hAnsi="宋体" w:eastAsia="宋体"/>
      <w:sz w:val="21"/>
      <w:szCs w:val="21"/>
    </w:rPr>
  </w:style>
  <w:style w:type="character" w:customStyle="1" w:styleId="42">
    <w:name w:val="标题 6 字符"/>
    <w:basedOn w:val="19"/>
    <w:link w:val="7"/>
    <w:qFormat/>
    <w:uiPriority w:val="9"/>
    <w:rPr>
      <w:rFonts w:asciiTheme="majorHAnsi" w:hAnsiTheme="majorHAnsi" w:eastAsiaTheme="majorEastAsia" w:cstheme="majorBidi"/>
      <w:b/>
      <w:bCs/>
      <w:sz w:val="24"/>
      <w:szCs w:val="24"/>
    </w:rPr>
  </w:style>
  <w:style w:type="character" w:customStyle="1" w:styleId="43">
    <w:name w:val="标题 5 字符"/>
    <w:basedOn w:val="19"/>
    <w:link w:val="6"/>
    <w:qFormat/>
    <w:uiPriority w:val="9"/>
    <w:rPr>
      <w:rFonts w:ascii="宋体" w:hAnsi="宋体" w:eastAsia="宋体"/>
      <w:b/>
      <w:bCs/>
      <w:sz w:val="21"/>
      <w:szCs w:val="21"/>
    </w:rPr>
  </w:style>
  <w:style w:type="character" w:customStyle="1" w:styleId="44">
    <w:name w:val="正文文本缩进 字符"/>
    <w:basedOn w:val="19"/>
    <w:link w:val="12"/>
    <w:qFormat/>
    <w:uiPriority w:val="99"/>
  </w:style>
  <w:style w:type="paragraph" w:customStyle="1" w:styleId="45">
    <w:name w:val="+正文 Char Char"/>
    <w:basedOn w:val="1"/>
    <w:qFormat/>
    <w:uiPriority w:val="0"/>
    <w:pPr>
      <w:spacing w:line="360" w:lineRule="auto"/>
      <w:ind w:firstLine="200" w:firstLineChars="200"/>
      <w:jc w:val="both"/>
    </w:pPr>
    <w:rPr>
      <w:rFonts w:ascii="Times New Roman" w:hAnsi="Times New Roman" w:eastAsia="宋体" w:cs="Times New Roman"/>
      <w:kern w:val="2"/>
      <w:sz w:val="24"/>
      <w:szCs w:val="28"/>
      <w:lang w:eastAsia="zh-CN"/>
    </w:rPr>
  </w:style>
  <w:style w:type="character" w:customStyle="1" w:styleId="46">
    <w:name w:val="批注文字 字符"/>
    <w:basedOn w:val="19"/>
    <w:link w:val="9"/>
    <w:semiHidden/>
    <w:qFormat/>
    <w:uiPriority w:val="99"/>
  </w:style>
  <w:style w:type="character" w:customStyle="1" w:styleId="47">
    <w:name w:val="批注主题 字符"/>
    <w:basedOn w:val="46"/>
    <w:link w:val="8"/>
    <w:qFormat/>
    <w:uiPriority w:val="99"/>
    <w:rPr>
      <w:b/>
      <w:bCs/>
    </w:rPr>
  </w:style>
  <w:style w:type="paragraph" w:customStyle="1" w:styleId="48">
    <w:name w:val="+正文"/>
    <w:basedOn w:val="1"/>
    <w:qFormat/>
    <w:uiPriority w:val="0"/>
    <w:pPr>
      <w:spacing w:line="360" w:lineRule="auto"/>
      <w:ind w:firstLine="200" w:firstLineChars="200"/>
      <w:jc w:val="both"/>
    </w:pPr>
    <w:rPr>
      <w:rFonts w:ascii="Calibri" w:hAnsi="Calibri" w:eastAsia="宋体" w:cs="Times New Roman"/>
      <w:kern w:val="2"/>
      <w:sz w:val="24"/>
      <w:szCs w:val="28"/>
      <w:lang w:eastAsia="zh-CN"/>
    </w:rPr>
  </w:style>
  <w:style w:type="paragraph" w:customStyle="1" w:styleId="49">
    <w:name w:val="正文1"/>
    <w:qFormat/>
    <w:uiPriority w:val="0"/>
    <w:pPr>
      <w:spacing w:line="360" w:lineRule="auto"/>
      <w:ind w:firstLine="200" w:firstLineChars="200"/>
    </w:pPr>
    <w:rPr>
      <w:rFonts w:ascii="Times New Roman" w:hAnsi="Times New Roman" w:eastAsia="宋体" w:cs="Times New Roman"/>
      <w:sz w:val="24"/>
      <w:lang w:val="en-US" w:eastAsia="zh-CN" w:bidi="ar-SA"/>
    </w:rPr>
  </w:style>
  <w:style w:type="character" w:customStyle="1" w:styleId="50">
    <w:name w:val="标题 2 字符"/>
    <w:link w:val="3"/>
    <w:qFormat/>
    <w:uiPriority w:val="9"/>
    <w:rPr>
      <w:rFonts w:ascii="宋体" w:hAnsi="宋体" w:eastAsia="宋体"/>
      <w:b/>
      <w:bCs/>
      <w:sz w:val="28"/>
      <w:szCs w:val="28"/>
    </w:rPr>
  </w:style>
  <w:style w:type="character" w:customStyle="1" w:styleId="51">
    <w:name w:val="正文缩进 字符"/>
    <w:link w:val="10"/>
    <w:qFormat/>
    <w:uiPriority w:val="0"/>
    <w:rPr>
      <w:rFonts w:ascii="Times New Roman" w:hAnsi="Times New Roman" w:eastAsia="宋体" w:cs="Times New Roman"/>
      <w:kern w:val="2"/>
      <w:sz w:val="21"/>
      <w:szCs w:val="24"/>
      <w:lang w:eastAsia="zh-CN"/>
    </w:rPr>
  </w:style>
  <w:style w:type="character" w:customStyle="1" w:styleId="52">
    <w:name w:val="标题 1 字符"/>
    <w:basedOn w:val="19"/>
    <w:link w:val="2"/>
    <w:qFormat/>
    <w:uiPriority w:val="9"/>
    <w:rPr>
      <w:rFonts w:ascii="宋体" w:hAnsi="宋体" w:eastAsia="宋体"/>
      <w:b/>
      <w:bCs/>
      <w:sz w:val="32"/>
      <w:szCs w:val="32"/>
    </w:rPr>
  </w:style>
  <w:style w:type="character" w:customStyle="1" w:styleId="53">
    <w:name w:val="标题 3 字符"/>
    <w:basedOn w:val="19"/>
    <w:link w:val="4"/>
    <w:qFormat/>
    <w:uiPriority w:val="9"/>
    <w:rPr>
      <w:rFonts w:ascii="宋体" w:hAnsi="宋体" w:eastAsia="宋体"/>
      <w:b/>
      <w:bCs/>
      <w:sz w:val="24"/>
      <w:szCs w:val="24"/>
    </w:rPr>
  </w:style>
  <w:style w:type="character" w:customStyle="1" w:styleId="54">
    <w:name w:val="标题 4 字符"/>
    <w:basedOn w:val="19"/>
    <w:link w:val="5"/>
    <w:qFormat/>
    <w:uiPriority w:val="9"/>
    <w:rPr>
      <w:rFonts w:ascii="宋体" w:hAnsi="宋体" w:eastAsia="宋体"/>
      <w:sz w:val="24"/>
      <w:szCs w:val="24"/>
    </w:rPr>
  </w:style>
  <w:style w:type="paragraph" w:customStyle="1" w:styleId="55">
    <w:name w:val="列表段落1"/>
    <w:basedOn w:val="1"/>
    <w:qFormat/>
    <w:uiPriority w:val="34"/>
  </w:style>
  <w:style w:type="paragraph" w:customStyle="1" w:styleId="56">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57">
    <w:name w:val="font21"/>
    <w:basedOn w:val="19"/>
    <w:uiPriority w:val="0"/>
    <w:rPr>
      <w:rFonts w:hint="eastAsia" w:ascii="宋体" w:hAnsi="宋体" w:eastAsia="宋体" w:cs="宋体"/>
      <w:color w:val="000000"/>
      <w:sz w:val="21"/>
      <w:szCs w:val="21"/>
      <w:u w:val="none"/>
    </w:rPr>
  </w:style>
  <w:style w:type="character" w:customStyle="1" w:styleId="58">
    <w:name w:val="font31"/>
    <w:basedOn w:val="19"/>
    <w:uiPriority w:val="0"/>
    <w:rPr>
      <w:rFonts w:hint="default" w:ascii="Times New Roman" w:hAnsi="Times New Roman" w:cs="Times New Roman"/>
      <w:color w:val="000000"/>
      <w:sz w:val="21"/>
      <w:szCs w:val="21"/>
      <w:u w:val="none"/>
    </w:rPr>
  </w:style>
  <w:style w:type="character" w:customStyle="1" w:styleId="59">
    <w:name w:val="font11"/>
    <w:basedOn w:val="19"/>
    <w:qFormat/>
    <w:uiPriority w:val="0"/>
    <w:rPr>
      <w:rFonts w:hint="eastAsia" w:ascii="宋体" w:hAnsi="宋体" w:eastAsia="宋体" w:cs="宋体"/>
      <w:color w:val="000000"/>
      <w:sz w:val="20"/>
      <w:szCs w:val="20"/>
      <w:u w:val="none"/>
    </w:rPr>
  </w:style>
  <w:style w:type="character" w:customStyle="1" w:styleId="60">
    <w:name w:val="font01"/>
    <w:basedOn w:val="19"/>
    <w:uiPriority w:val="0"/>
    <w:rPr>
      <w:rFonts w:hint="default" w:ascii="Times New Roman" w:hAnsi="Times New Roman" w:cs="Times New Roman"/>
      <w:color w:val="000000"/>
      <w:sz w:val="20"/>
      <w:szCs w:val="20"/>
      <w:u w:val="none"/>
    </w:rPr>
  </w:style>
  <w:style w:type="character" w:customStyle="1" w:styleId="61">
    <w:name w:val="font41"/>
    <w:basedOn w:val="19"/>
    <w:uiPriority w:val="0"/>
    <w:rPr>
      <w:rFonts w:hint="default" w:ascii="Times New Roman" w:hAnsi="Times New Roman" w:cs="Times New Roman"/>
      <w:color w:val="000000"/>
      <w:sz w:val="21"/>
      <w:szCs w:val="21"/>
      <w:u w:val="none"/>
    </w:rPr>
  </w:style>
  <w:style w:type="character" w:customStyle="1" w:styleId="62">
    <w:name w:val="font61"/>
    <w:basedOn w:val="19"/>
    <w:uiPriority w:val="0"/>
    <w:rPr>
      <w:rFonts w:hint="eastAsia" w:ascii="宋体" w:hAnsi="宋体" w:eastAsia="宋体" w:cs="宋体"/>
      <w:color w:val="000000"/>
      <w:sz w:val="21"/>
      <w:szCs w:val="21"/>
      <w:u w:val="none"/>
    </w:rPr>
  </w:style>
  <w:style w:type="character" w:customStyle="1" w:styleId="63">
    <w:name w:val="font101"/>
    <w:basedOn w:val="19"/>
    <w:uiPriority w:val="0"/>
    <w:rPr>
      <w:rFonts w:hint="eastAsia" w:ascii="宋体" w:hAnsi="宋体" w:eastAsia="宋体" w:cs="宋体"/>
      <w:b/>
      <w:bCs/>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3A9F57-964E-4864-840D-D2B48A38F7B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318</Pages>
  <Words>189240</Words>
  <Characters>221012</Characters>
  <DocSecurity>0</DocSecurity>
  <Lines>1731</Lines>
  <Paragraphs>487</Paragraphs>
  <ScaleCrop>false</ScaleCrop>
  <LinksUpToDate>false</LinksUpToDate>
  <CharactersWithSpaces>223475</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2022-10-19T12:51:00Z</cp:lastPrinted>
  <dcterms:created xsi:type="dcterms:W3CDTF">2022-10-16T06:33:00Z</dcterms:created>
  <dcterms:modified xsi:type="dcterms:W3CDTF">2022-10-21T06:24:35Z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2017-11-02T00:00:00Z</vt:filetime>
  </property>
  <property fmtid="{D5CDD505-2E9C-101B-9397-08002B2CF9AE}" pid="3" name="Creator">
    <vt:lpwstr>Microsoft® Office Word 2007</vt:lpwstr>
  </property>
  <property fmtid="{D5CDD505-2E9C-101B-9397-08002B2CF9AE}" pid="4" name="LastSaved">
    <vt:filetime>2022-10-15T00:00:00Z</vt:filetime>
  </property>
  <property fmtid="{D5CDD505-2E9C-101B-9397-08002B2CF9AE}" pid="5" name="KSOProductBuildVer">
    <vt:lpwstr>2052-10.8.0.5391</vt:lpwstr>
  </property>
  <property fmtid="{D5CDD505-2E9C-101B-9397-08002B2CF9AE}" pid="6" name="ICV">
    <vt:lpwstr>31B981F71EBD4599B0326A2F762AF8FD</vt:lpwstr>
  </property>
</Properties>
</file>