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hint="eastAsia" w:ascii="宋体" w:hAnsi="宋体" w:eastAsia="宋体" w:cs="宋体"/>
          <w:b/>
          <w:color w:val="auto"/>
          <w:sz w:val="36"/>
          <w:szCs w:val="36"/>
          <w:highlight w:val="none"/>
        </w:rPr>
      </w:pPr>
    </w:p>
    <w:p>
      <w:pPr>
        <w:spacing w:line="380" w:lineRule="exact"/>
        <w:jc w:val="center"/>
        <w:rPr>
          <w:rFonts w:hint="eastAsia" w:ascii="宋体" w:hAnsi="宋体" w:eastAsia="宋体" w:cs="宋体"/>
          <w:b/>
          <w:color w:val="auto"/>
          <w:sz w:val="36"/>
          <w:szCs w:val="36"/>
          <w:highlight w:val="none"/>
        </w:rPr>
      </w:pPr>
    </w:p>
    <w:p>
      <w:pPr>
        <w:spacing w:line="380" w:lineRule="exact"/>
        <w:jc w:val="center"/>
        <w:rPr>
          <w:rFonts w:hint="eastAsia" w:ascii="宋体" w:hAnsi="宋体" w:eastAsia="宋体" w:cs="宋体"/>
          <w:b/>
          <w:color w:val="auto"/>
          <w:sz w:val="36"/>
          <w:szCs w:val="36"/>
          <w:highlight w:val="none"/>
        </w:rPr>
      </w:pPr>
    </w:p>
    <w:p>
      <w:pPr>
        <w:spacing w:line="380" w:lineRule="exact"/>
        <w:jc w:val="center"/>
        <w:rPr>
          <w:rFonts w:hint="eastAsia" w:ascii="宋体" w:hAnsi="宋体" w:eastAsia="宋体" w:cs="宋体"/>
          <w:b/>
          <w:color w:val="auto"/>
          <w:sz w:val="36"/>
          <w:szCs w:val="36"/>
          <w:highlight w:val="none"/>
        </w:rPr>
      </w:pPr>
    </w:p>
    <w:p>
      <w:pPr>
        <w:spacing w:line="380" w:lineRule="exact"/>
        <w:jc w:val="center"/>
        <w:rPr>
          <w:rFonts w:hint="eastAsia" w:ascii="宋体" w:hAnsi="宋体" w:eastAsia="宋体" w:cs="宋体"/>
          <w:b/>
          <w:color w:val="auto"/>
          <w:sz w:val="36"/>
          <w:szCs w:val="36"/>
          <w:highlight w:val="none"/>
        </w:rPr>
      </w:pPr>
    </w:p>
    <w:p>
      <w:pPr>
        <w:spacing w:line="380" w:lineRule="exact"/>
        <w:jc w:val="center"/>
        <w:rPr>
          <w:rFonts w:hint="eastAsia" w:ascii="宋体" w:hAnsi="宋体" w:eastAsia="宋体" w:cs="宋体"/>
          <w:b/>
          <w:color w:val="auto"/>
          <w:sz w:val="36"/>
          <w:szCs w:val="36"/>
          <w:highlight w:val="none"/>
        </w:rPr>
      </w:pPr>
    </w:p>
    <w:p>
      <w:pPr>
        <w:spacing w:line="380" w:lineRule="exact"/>
        <w:jc w:val="center"/>
        <w:rPr>
          <w:rFonts w:hint="eastAsia" w:ascii="宋体" w:hAnsi="宋体" w:eastAsia="宋体" w:cs="宋体"/>
          <w:b/>
          <w:color w:val="auto"/>
          <w:sz w:val="36"/>
          <w:szCs w:val="36"/>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jc w:val="center"/>
        <w:rPr>
          <w:rFonts w:hint="eastAsia" w:ascii="宋体" w:hAnsi="宋体" w:eastAsia="宋体" w:cs="宋体"/>
          <w:b/>
          <w:color w:val="auto"/>
          <w:sz w:val="36"/>
          <w:szCs w:val="36"/>
          <w:highlight w:val="none"/>
        </w:rPr>
      </w:pPr>
    </w:p>
    <w:p>
      <w:pPr>
        <w:jc w:val="center"/>
        <w:outlineLvl w:val="0"/>
        <w:rPr>
          <w:rFonts w:hint="eastAsia" w:ascii="宋体" w:hAnsi="宋体" w:eastAsia="宋体" w:cs="宋体"/>
          <w:b/>
          <w:color w:val="auto"/>
          <w:sz w:val="52"/>
          <w:szCs w:val="52"/>
          <w:highlight w:val="none"/>
        </w:rPr>
      </w:pPr>
      <w:bookmarkStart w:id="0" w:name="_Toc28739"/>
      <w:bookmarkStart w:id="1" w:name="_Toc6628"/>
      <w:r>
        <w:rPr>
          <w:rFonts w:hint="eastAsia" w:ascii="宋体" w:hAnsi="宋体" w:eastAsia="宋体" w:cs="宋体"/>
          <w:b/>
          <w:color w:val="auto"/>
          <w:sz w:val="52"/>
          <w:szCs w:val="52"/>
          <w:highlight w:val="none"/>
        </w:rPr>
        <w:t>第三章 评标办法</w:t>
      </w:r>
      <w:bookmarkEnd w:id="0"/>
      <w:bookmarkEnd w:id="1"/>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spacing w:line="380" w:lineRule="exact"/>
        <w:rPr>
          <w:rFonts w:hint="eastAsia" w:ascii="宋体" w:hAnsi="宋体" w:eastAsia="宋体" w:cs="宋体"/>
          <w:b/>
          <w:color w:val="auto"/>
          <w:szCs w:val="21"/>
          <w:highlight w:val="none"/>
        </w:rPr>
      </w:pPr>
    </w:p>
    <w:p>
      <w:pPr>
        <w:pStyle w:val="11"/>
        <w:spacing w:before="0" w:line="276" w:lineRule="auto"/>
        <w:rPr>
          <w:rFonts w:hint="eastAsia" w:ascii="宋体" w:hAnsi="宋体" w:eastAsia="宋体" w:cs="宋体"/>
          <w:bCs/>
          <w:color w:val="auto"/>
          <w:szCs w:val="32"/>
          <w:highlight w:val="none"/>
        </w:rPr>
      </w:pPr>
      <w:r>
        <w:rPr>
          <w:rFonts w:hint="eastAsia" w:ascii="宋体" w:hAnsi="宋体" w:eastAsia="宋体" w:cs="宋体"/>
          <w:b w:val="0"/>
          <w:color w:val="auto"/>
          <w:szCs w:val="32"/>
          <w:highlight w:val="none"/>
        </w:rPr>
        <w:br w:type="page"/>
      </w:r>
      <w:bookmarkStart w:id="2" w:name="_Toc2124"/>
      <w:bookmarkStart w:id="3" w:name="_Toc30228"/>
      <w:r>
        <w:rPr>
          <w:rFonts w:hint="eastAsia" w:ascii="宋体" w:hAnsi="宋体" w:eastAsia="宋体" w:cs="宋体"/>
          <w:bCs/>
          <w:color w:val="auto"/>
          <w:szCs w:val="32"/>
          <w:highlight w:val="none"/>
        </w:rPr>
        <w:t>评标办法</w:t>
      </w:r>
      <w:bookmarkEnd w:id="2"/>
      <w:bookmarkEnd w:id="3"/>
    </w:p>
    <w:p>
      <w:pPr>
        <w:spacing w:line="380" w:lineRule="exact"/>
        <w:ind w:firstLine="0" w:firstLineChars="0"/>
        <w:jc w:val="center"/>
        <w:rPr>
          <w:rFonts w:hint="eastAsia" w:ascii="宋体" w:hAnsi="宋体" w:eastAsia="宋体" w:cs="宋体"/>
          <w:b/>
          <w:bCs/>
          <w:color w:val="auto"/>
          <w:szCs w:val="21"/>
          <w:highlight w:val="none"/>
        </w:rPr>
      </w:pPr>
      <w:bookmarkStart w:id="4" w:name="_Toc15519"/>
      <w:bookmarkStart w:id="5" w:name="_Toc10469"/>
      <w:r>
        <w:rPr>
          <w:rStyle w:val="23"/>
          <w:rFonts w:hint="eastAsia" w:ascii="宋体" w:hAnsi="宋体" w:eastAsia="宋体" w:cs="宋体"/>
          <w:b/>
          <w:bCs/>
          <w:color w:val="auto"/>
          <w:sz w:val="30"/>
          <w:szCs w:val="30"/>
          <w:highlight w:val="none"/>
        </w:rPr>
        <w:t>（双信封的技术评分最低标价法）</w:t>
      </w:r>
      <w:bookmarkEnd w:id="4"/>
      <w:bookmarkEnd w:id="5"/>
    </w:p>
    <w:p>
      <w:pPr>
        <w:spacing w:line="380" w:lineRule="exact"/>
        <w:jc w:val="left"/>
        <w:rPr>
          <w:rFonts w:hint="eastAsia" w:ascii="宋体" w:hAnsi="宋体" w:eastAsia="宋体" w:cs="宋体"/>
          <w:color w:val="auto"/>
          <w:kern w:val="0"/>
          <w:sz w:val="24"/>
          <w:highlight w:val="none"/>
        </w:rPr>
      </w:pPr>
      <w:r>
        <w:rPr>
          <w:rFonts w:hint="eastAsia" w:ascii="宋体" w:hAnsi="宋体" w:eastAsia="宋体" w:cs="宋体"/>
          <w:b/>
          <w:color w:val="auto"/>
          <w:szCs w:val="21"/>
          <w:highlight w:val="none"/>
        </w:rPr>
        <w:t>评标办法前附表</w:t>
      </w:r>
    </w:p>
    <w:tbl>
      <w:tblPr>
        <w:tblStyle w:val="12"/>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5"/>
        <w:gridCol w:w="125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25" w:type="dxa"/>
            <w:gridSpan w:val="2"/>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b/>
                <w:color w:val="auto"/>
                <w:sz w:val="21"/>
                <w:szCs w:val="21"/>
                <w:highlight w:val="none"/>
              </w:rPr>
            </w:pPr>
            <w:r>
              <w:rPr>
                <w:rStyle w:val="25"/>
                <w:rFonts w:hint="eastAsia" w:ascii="宋体" w:hAnsi="宋体" w:eastAsia="宋体" w:cs="宋体"/>
                <w:bCs w:val="0"/>
                <w:color w:val="auto"/>
                <w:sz w:val="21"/>
                <w:szCs w:val="21"/>
                <w:highlight w:val="none"/>
                <w:lang w:val="zh-CN"/>
              </w:rPr>
              <w:t>条款号</w:t>
            </w:r>
          </w:p>
        </w:tc>
        <w:tc>
          <w:tcPr>
            <w:tcW w:w="7200"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b/>
                <w:color w:val="auto"/>
                <w:sz w:val="21"/>
                <w:szCs w:val="21"/>
                <w:highlight w:val="none"/>
              </w:rPr>
            </w:pPr>
            <w:r>
              <w:rPr>
                <w:rStyle w:val="25"/>
                <w:rFonts w:hint="eastAsia" w:ascii="宋体" w:hAnsi="宋体" w:eastAsia="宋体" w:cs="宋体"/>
                <w:bCs w:val="0"/>
                <w:color w:val="auto"/>
                <w:sz w:val="21"/>
                <w:szCs w:val="21"/>
                <w:highlight w:val="none"/>
                <w:lang w:val="zh-C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5"/>
                <w:rFonts w:hint="eastAsia" w:ascii="宋体" w:hAnsi="宋体" w:eastAsia="宋体" w:cs="宋体"/>
                <w:b w:val="0"/>
                <w:color w:val="auto"/>
                <w:sz w:val="21"/>
                <w:szCs w:val="21"/>
                <w:highlight w:val="none"/>
                <w:lang w:val="zh-CN"/>
              </w:rPr>
              <w:t>1</w:t>
            </w:r>
          </w:p>
        </w:tc>
        <w:tc>
          <w:tcPr>
            <w:tcW w:w="1250"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lang w:val="zh-CN"/>
              </w:rPr>
              <w:t>评标方法</w:t>
            </w:r>
          </w:p>
        </w:tc>
        <w:tc>
          <w:tcPr>
            <w:tcW w:w="7200" w:type="dxa"/>
            <w:shd w:val="clear" w:color="auto" w:fill="FFFFFF"/>
            <w:noWrap w:val="0"/>
            <w:vAlign w:val="center"/>
          </w:tcPr>
          <w:p>
            <w:pPr>
              <w:numPr>
                <w:ilvl w:val="-1"/>
                <w:numId w:val="0"/>
              </w:numPr>
              <w:shd w:val="clear" w:color="auto" w:fill="auto"/>
              <w:adjustRightInd w:val="0"/>
              <w:snapToGrid w:val="0"/>
              <w:spacing w:before="0" w:line="240" w:lineRule="auto"/>
              <w:ind w:left="0" w:leftChars="0" w:right="151" w:rightChars="72" w:firstLine="0" w:firstLineChars="0"/>
              <w:jc w:val="both"/>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评标价相等时，评标委员会依次按照以下优先顺序推荐中标候选人或确定中标人：</w:t>
            </w:r>
          </w:p>
          <w:p>
            <w:pPr>
              <w:numPr>
                <w:ilvl w:val="-1"/>
                <w:numId w:val="0"/>
              </w:numPr>
              <w:shd w:val="clear" w:color="auto" w:fill="auto"/>
              <w:adjustRightInd w:val="0"/>
              <w:snapToGrid w:val="0"/>
              <w:spacing w:before="0" w:line="240" w:lineRule="auto"/>
              <w:ind w:left="0" w:leftChars="0" w:right="151" w:rightChars="72" w:firstLine="0" w:firstLineChars="0"/>
              <w:jc w:val="both"/>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1）按招标文件规定被认定为最新年度广东省水运工程从业单位信用评价等级较高的投标人优先；【采用如下的优先顺序：承诺使用的AA级投标人、不承诺使用的AA级投标人、承诺使用的A级投标人、不承诺使用的A级投标人、B级投标人、未参评且被确定为B级投标人】</w:t>
            </w:r>
          </w:p>
          <w:p>
            <w:pPr>
              <w:numPr>
                <w:ilvl w:val="-1"/>
                <w:numId w:val="0"/>
              </w:numPr>
              <w:shd w:val="clear" w:color="auto" w:fill="auto"/>
              <w:adjustRightInd w:val="0"/>
              <w:snapToGrid w:val="0"/>
              <w:spacing w:before="0" w:line="240" w:lineRule="auto"/>
              <w:ind w:left="0" w:leftChars="0" w:right="151" w:rightChars="72" w:firstLine="0" w:firstLineChars="0"/>
              <w:jc w:val="both"/>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（2）以投标人企业最新年度净资产较高的优先；</w:t>
            </w:r>
          </w:p>
          <w:p>
            <w:pPr>
              <w:numPr>
                <w:ilvl w:val="-1"/>
                <w:numId w:val="0"/>
              </w:numPr>
              <w:shd w:val="clear" w:color="auto" w:fill="auto"/>
              <w:adjustRightInd w:val="0"/>
              <w:snapToGrid w:val="0"/>
              <w:spacing w:before="0" w:line="240" w:lineRule="auto"/>
              <w:ind w:left="0" w:leftChars="0" w:right="151" w:rightChars="72" w:firstLine="0" w:firstLineChars="0"/>
              <w:jc w:val="both"/>
              <w:rPr>
                <w:rFonts w:hint="eastAsia" w:ascii="宋体" w:hAnsi="宋体" w:eastAsia="宋体" w:cs="宋体"/>
                <w:color w:val="auto"/>
                <w:sz w:val="21"/>
                <w:szCs w:val="21"/>
                <w:highlight w:val="none"/>
              </w:rPr>
            </w:pPr>
            <w:r>
              <w:rPr>
                <w:rStyle w:val="26"/>
                <w:rFonts w:hint="eastAsia" w:ascii="宋体" w:hAnsi="宋体" w:eastAsia="宋体"/>
                <w:color w:val="auto"/>
                <w:sz w:val="21"/>
                <w:szCs w:val="21"/>
                <w:highlight w:val="none"/>
                <w:lang w:val="zh-CN" w:eastAsia="zh-CN"/>
              </w:rPr>
              <w:t>（3）评标委员会视投标人情况综合比较，投票确定其名次。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7"/>
                <w:rFonts w:hint="eastAsia" w:ascii="宋体" w:hAnsi="宋体" w:eastAsia="宋体" w:cs="宋体"/>
                <w:b w:val="0"/>
                <w:color w:val="auto"/>
                <w:sz w:val="21"/>
                <w:szCs w:val="21"/>
                <w:highlight w:val="none"/>
              </w:rPr>
              <w:t>2.1.1</w:t>
            </w:r>
          </w:p>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2.1.3</w:t>
            </w:r>
          </w:p>
        </w:tc>
        <w:tc>
          <w:tcPr>
            <w:tcW w:w="1250"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lang w:val="zh-CN"/>
              </w:rPr>
              <w:t>形式评审与响应性评审标准</w:t>
            </w:r>
          </w:p>
        </w:tc>
        <w:tc>
          <w:tcPr>
            <w:tcW w:w="7200" w:type="dxa"/>
            <w:shd w:val="clear" w:color="auto" w:fill="FFFFFF"/>
            <w:noWrap w:val="0"/>
            <w:vAlign w:val="top"/>
          </w:tcPr>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b/>
                <w:bCs w:val="0"/>
                <w:color w:val="auto"/>
                <w:sz w:val="21"/>
                <w:szCs w:val="21"/>
                <w:highlight w:val="none"/>
                <w:lang w:val="en-US" w:eastAsia="zh-CN"/>
              </w:rPr>
            </w:pPr>
            <w:r>
              <w:rPr>
                <w:rStyle w:val="25"/>
                <w:rFonts w:hint="eastAsia" w:ascii="宋体" w:hAnsi="宋体" w:eastAsia="宋体"/>
                <w:b/>
                <w:bCs w:val="0"/>
                <w:color w:val="auto"/>
                <w:sz w:val="21"/>
                <w:szCs w:val="21"/>
                <w:highlight w:val="none"/>
                <w:lang w:val="zh-CN" w:eastAsia="zh-CN"/>
              </w:rPr>
              <w:t>第一个信封（商务及技术文件）评审标准：</w:t>
            </w:r>
          </w:p>
          <w:p>
            <w:pPr>
              <w:pStyle w:val="20"/>
              <w:keepNext w:val="0"/>
              <w:keepLines w:val="0"/>
              <w:pageBreakBefore w:val="0"/>
              <w:widowControl w:val="0"/>
              <w:shd w:val="clear" w:color="auto" w:fill="auto"/>
              <w:tabs>
                <w:tab w:val="left" w:pos="946"/>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（1）投标文件按照招标文件规定的格式、内容填写，字迹清晰可辨：</w:t>
            </w:r>
          </w:p>
          <w:p>
            <w:pPr>
              <w:pStyle w:val="20"/>
              <w:keepNext w:val="0"/>
              <w:keepLines w:val="0"/>
              <w:pageBreakBefore w:val="0"/>
              <w:widowControl w:val="0"/>
              <w:shd w:val="clear" w:color="auto" w:fill="auto"/>
              <w:tabs>
                <w:tab w:val="left" w:pos="566"/>
                <w:tab w:val="left" w:pos="805"/>
              </w:tabs>
              <w:kinsoku/>
              <w:wordWrap/>
              <w:overflowPunct/>
              <w:topLinePunct w:val="0"/>
              <w:autoSpaceDE/>
              <w:autoSpaceDN/>
              <w:bidi w:val="0"/>
              <w:adjustRightInd w:val="0"/>
              <w:snapToGrid w:val="0"/>
              <w:spacing w:before="0" w:line="240" w:lineRule="auto"/>
              <w:ind w:left="42" w:leftChars="20" w:right="42" w:rightChars="20" w:firstLine="420" w:firstLineChars="20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a.投标函按招标文件规定填报了项目名称、标段号（</w:t>
            </w:r>
            <w:r>
              <w:rPr>
                <w:rStyle w:val="26"/>
                <w:rFonts w:hint="eastAsia" w:ascii="宋体" w:hAnsi="宋体" w:eastAsia="宋体"/>
                <w:color w:val="auto"/>
                <w:sz w:val="21"/>
                <w:szCs w:val="21"/>
                <w:highlight w:val="none"/>
                <w:lang w:val="en-US" w:eastAsia="zh-CN"/>
              </w:rPr>
              <w:t>如有</w:t>
            </w:r>
            <w:r>
              <w:rPr>
                <w:rStyle w:val="26"/>
                <w:rFonts w:hint="eastAsia" w:ascii="宋体" w:hAnsi="宋体" w:eastAsia="宋体"/>
                <w:color w:val="auto"/>
                <w:sz w:val="21"/>
                <w:szCs w:val="21"/>
                <w:highlight w:val="none"/>
                <w:lang w:val="zh-CN" w:eastAsia="zh-CN"/>
              </w:rPr>
              <w:t>）、工期、工程质量要求及安全目标；</w:t>
            </w:r>
          </w:p>
          <w:p>
            <w:pPr>
              <w:pStyle w:val="20"/>
              <w:keepNext w:val="0"/>
              <w:keepLines w:val="0"/>
              <w:pageBreakBefore w:val="0"/>
              <w:widowControl w:val="0"/>
              <w:shd w:val="clear" w:color="auto" w:fill="auto"/>
              <w:tabs>
                <w:tab w:val="left" w:pos="168"/>
                <w:tab w:val="left" w:pos="805"/>
              </w:tabs>
              <w:kinsoku/>
              <w:wordWrap/>
              <w:overflowPunct/>
              <w:topLinePunct w:val="0"/>
              <w:autoSpaceDE/>
              <w:autoSpaceDN/>
              <w:bidi w:val="0"/>
              <w:adjustRightInd w:val="0"/>
              <w:snapToGrid w:val="0"/>
              <w:spacing w:before="0" w:line="240" w:lineRule="auto"/>
              <w:ind w:left="42" w:leftChars="20" w:right="42" w:rightChars="20" w:firstLine="420" w:firstLineChars="20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b.投标函附录的所有数据均符合招标文件规定；</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630" w:firstLineChars="300"/>
              <w:jc w:val="both"/>
              <w:textAlignment w:val="auto"/>
              <w:rPr>
                <w:rFonts w:ascii="宋体" w:hAnsi="宋体" w:eastAsia="宋体" w:cs="MingLiU"/>
                <w:color w:val="auto"/>
                <w:sz w:val="21"/>
                <w:szCs w:val="21"/>
                <w:highlight w:val="none"/>
                <w:lang w:val="en-US" w:eastAsia="zh-CN"/>
              </w:rPr>
            </w:pPr>
            <w:r>
              <w:rPr>
                <w:rStyle w:val="29"/>
                <w:rFonts w:ascii="宋体" w:hAnsi="宋体" w:eastAsia="宋体"/>
                <w:color w:val="auto"/>
                <w:sz w:val="21"/>
                <w:szCs w:val="21"/>
                <w:highlight w:val="none"/>
                <w:lang w:eastAsia="zh-CN"/>
              </w:rPr>
              <w:t>C</w:t>
            </w:r>
            <w:r>
              <w:rPr>
                <w:rStyle w:val="30"/>
                <w:rFonts w:ascii="宋体" w:hAnsi="宋体" w:eastAsia="宋体"/>
                <w:color w:val="auto"/>
                <w:sz w:val="21"/>
                <w:szCs w:val="21"/>
                <w:highlight w:val="none"/>
                <w:lang w:val="en-US" w:eastAsia="zh-CN"/>
              </w:rPr>
              <w:t>.</w:t>
            </w:r>
            <w:r>
              <w:rPr>
                <w:rStyle w:val="26"/>
                <w:rFonts w:hint="eastAsia" w:ascii="宋体" w:hAnsi="宋体" w:eastAsia="宋体"/>
                <w:color w:val="auto"/>
                <w:sz w:val="21"/>
                <w:szCs w:val="21"/>
                <w:highlight w:val="none"/>
                <w:lang w:val="zh-CN" w:eastAsia="zh-CN"/>
              </w:rPr>
              <w:t>投标文件组成齐全完整，内容均按规定填写。</w:t>
            </w:r>
          </w:p>
          <w:p>
            <w:pPr>
              <w:pStyle w:val="20"/>
              <w:keepNext w:val="0"/>
              <w:keepLines w:val="0"/>
              <w:pageBreakBefore w:val="0"/>
              <w:widowControl w:val="0"/>
              <w:shd w:val="clear" w:color="auto" w:fill="auto"/>
              <w:tabs>
                <w:tab w:val="left" w:pos="948"/>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（2）投标文件上法定代表人或其委托代理人的签字、投标人的单位章盖章齐全，符合招标文件规定。</w:t>
            </w:r>
          </w:p>
          <w:p>
            <w:pPr>
              <w:pStyle w:val="20"/>
              <w:keepNext w:val="0"/>
              <w:keepLines w:val="0"/>
              <w:pageBreakBefore w:val="0"/>
              <w:widowControl w:val="0"/>
              <w:shd w:val="clear" w:color="auto" w:fill="auto"/>
              <w:tabs>
                <w:tab w:val="left" w:pos="948"/>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（3）投标人按照招标文件的规定提供了投标保证金：</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jc w:val="both"/>
              <w:textAlignment w:val="auto"/>
              <w:rPr>
                <w:rStyle w:val="26"/>
                <w:rFonts w:ascii="宋体" w:hAnsi="宋体" w:eastAsia="宋体"/>
                <w:color w:val="auto"/>
                <w:sz w:val="21"/>
                <w:szCs w:val="21"/>
                <w:highlight w:val="none"/>
                <w:lang w:val="zh-CN" w:eastAsia="zh-CN"/>
              </w:rPr>
            </w:pPr>
            <w:r>
              <w:rPr>
                <w:rStyle w:val="31"/>
                <w:rFonts w:ascii="宋体" w:hAnsi="宋体" w:eastAsia="宋体"/>
                <w:color w:val="auto"/>
                <w:sz w:val="21"/>
                <w:szCs w:val="21"/>
                <w:highlight w:val="none"/>
                <w:lang w:eastAsia="zh-CN"/>
              </w:rPr>
              <w:t>a</w:t>
            </w:r>
            <w:r>
              <w:rPr>
                <w:rStyle w:val="26"/>
                <w:rFonts w:ascii="宋体" w:hAnsi="宋体" w:eastAsia="宋体"/>
                <w:color w:val="auto"/>
                <w:sz w:val="21"/>
                <w:szCs w:val="21"/>
                <w:highlight w:val="none"/>
                <w:lang w:val="zh-CN" w:eastAsia="zh-CN"/>
              </w:rPr>
              <w:t>.</w:t>
            </w:r>
            <w:r>
              <w:rPr>
                <w:rStyle w:val="26"/>
                <w:rFonts w:hint="eastAsia" w:ascii="宋体" w:hAnsi="宋体" w:eastAsia="宋体"/>
                <w:color w:val="auto"/>
                <w:sz w:val="21"/>
                <w:szCs w:val="21"/>
                <w:highlight w:val="none"/>
                <w:lang w:val="zh-CN" w:eastAsia="zh-CN"/>
              </w:rPr>
              <w:t>投标保证金金额符合招标文件规定的金额，且投标保证金有效期不少于投标有效期；</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jc w:val="both"/>
              <w:textAlignment w:val="auto"/>
              <w:rPr>
                <w:rFonts w:ascii="宋体" w:hAnsi="宋体" w:eastAsia="宋体" w:cs="MingLiU"/>
                <w:color w:val="auto"/>
                <w:sz w:val="21"/>
                <w:szCs w:val="21"/>
                <w:highlight w:val="none"/>
                <w:lang w:val="en-US" w:eastAsia="zh-CN"/>
              </w:rPr>
            </w:pPr>
            <w:r>
              <w:rPr>
                <w:rStyle w:val="31"/>
                <w:rFonts w:ascii="宋体" w:hAnsi="宋体" w:eastAsia="宋体"/>
                <w:color w:val="auto"/>
                <w:sz w:val="21"/>
                <w:szCs w:val="21"/>
                <w:highlight w:val="none"/>
                <w:lang w:eastAsia="zh-CN"/>
              </w:rPr>
              <w:t>b</w:t>
            </w:r>
            <w:r>
              <w:rPr>
                <w:rStyle w:val="26"/>
                <w:rFonts w:ascii="宋体" w:hAnsi="宋体" w:eastAsia="宋体"/>
                <w:color w:val="auto"/>
                <w:sz w:val="21"/>
                <w:szCs w:val="21"/>
                <w:highlight w:val="none"/>
                <w:lang w:val="zh-CN" w:eastAsia="zh-CN"/>
              </w:rPr>
              <w:t>.</w:t>
            </w:r>
            <w:r>
              <w:rPr>
                <w:rStyle w:val="26"/>
                <w:rFonts w:hint="eastAsia" w:ascii="宋体" w:hAnsi="宋体" w:eastAsia="宋体"/>
                <w:color w:val="auto"/>
                <w:sz w:val="21"/>
                <w:szCs w:val="21"/>
                <w:highlight w:val="none"/>
                <w:lang w:val="zh-CN" w:eastAsia="zh-CN"/>
              </w:rPr>
              <w:t>若投标保证金采用现金或支票形式提交，投标人应在投标人须知3.4.1款规定的时间，将投标保证金由投标人的基本账户转入招标人指定账户；</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630" w:firstLineChars="300"/>
              <w:jc w:val="both"/>
              <w:textAlignment w:val="auto"/>
              <w:rPr>
                <w:rStyle w:val="26"/>
                <w:rFonts w:hint="eastAsia" w:ascii="宋体" w:hAnsi="宋体" w:eastAsia="宋体"/>
                <w:color w:val="auto"/>
                <w:sz w:val="21"/>
                <w:szCs w:val="21"/>
                <w:highlight w:val="none"/>
                <w:lang w:val="zh-CN" w:eastAsia="zh-CN"/>
              </w:rPr>
            </w:pPr>
            <w:r>
              <w:rPr>
                <w:rStyle w:val="29"/>
                <w:rFonts w:ascii="宋体" w:hAnsi="宋体" w:eastAsia="宋体"/>
                <w:color w:val="auto"/>
                <w:sz w:val="21"/>
                <w:szCs w:val="21"/>
                <w:highlight w:val="none"/>
                <w:lang w:eastAsia="zh-CN"/>
              </w:rPr>
              <w:t>C</w:t>
            </w:r>
            <w:r>
              <w:rPr>
                <w:rStyle w:val="30"/>
                <w:rFonts w:ascii="宋体" w:hAnsi="宋体" w:eastAsia="宋体"/>
                <w:color w:val="auto"/>
                <w:sz w:val="21"/>
                <w:szCs w:val="21"/>
                <w:highlight w:val="none"/>
                <w:lang w:val="en-US" w:eastAsia="zh-CN"/>
              </w:rPr>
              <w:t>.</w:t>
            </w:r>
            <w:r>
              <w:rPr>
                <w:rStyle w:val="26"/>
                <w:rFonts w:hint="eastAsia" w:ascii="宋体" w:hAnsi="宋体" w:eastAsia="宋体"/>
                <w:color w:val="auto"/>
                <w:sz w:val="21"/>
                <w:szCs w:val="21"/>
                <w:highlight w:val="none"/>
                <w:lang w:val="zh-CN" w:eastAsia="zh-CN"/>
              </w:rPr>
              <w:t>若投标保证金采用银行保函形式提交，银行保函的格式、开具保函的银行均满足招标文件要求，</w:t>
            </w:r>
            <w:r>
              <w:rPr>
                <w:rStyle w:val="26"/>
                <w:rFonts w:ascii="宋体" w:hAnsi="宋体" w:eastAsia="宋体"/>
                <w:color w:val="auto"/>
                <w:sz w:val="21"/>
                <w:szCs w:val="21"/>
                <w:highlight w:val="none"/>
                <w:lang w:val="zh-CN" w:eastAsia="zh-CN"/>
              </w:rPr>
              <w:t>银行保函原件在</w:t>
            </w:r>
            <w:r>
              <w:rPr>
                <w:rStyle w:val="26"/>
                <w:rFonts w:hint="eastAsia" w:ascii="宋体" w:hAnsi="宋体" w:eastAsia="宋体"/>
                <w:color w:val="auto"/>
                <w:sz w:val="21"/>
                <w:szCs w:val="21"/>
                <w:highlight w:val="none"/>
                <w:lang w:val="zh-CN" w:eastAsia="zh-CN"/>
              </w:rPr>
              <w:t>递交</w:t>
            </w:r>
            <w:r>
              <w:rPr>
                <w:rStyle w:val="26"/>
                <w:rFonts w:ascii="宋体" w:hAnsi="宋体" w:eastAsia="宋体"/>
                <w:color w:val="auto"/>
                <w:sz w:val="21"/>
                <w:szCs w:val="21"/>
                <w:highlight w:val="none"/>
                <w:lang w:val="zh-CN" w:eastAsia="zh-CN"/>
              </w:rPr>
              <w:t>投标文件</w:t>
            </w:r>
            <w:r>
              <w:rPr>
                <w:rStyle w:val="26"/>
                <w:rFonts w:hint="eastAsia" w:ascii="宋体" w:hAnsi="宋体" w:eastAsia="宋体"/>
                <w:color w:val="auto"/>
                <w:sz w:val="21"/>
                <w:szCs w:val="21"/>
                <w:highlight w:val="none"/>
                <w:lang w:val="zh-CN" w:eastAsia="zh-CN"/>
              </w:rPr>
              <w:t>时单独密封递交，其复印件装订在投标文件中。</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420" w:firstLineChars="200"/>
              <w:jc w:val="both"/>
              <w:textAlignment w:val="auto"/>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en-US" w:eastAsia="zh-CN"/>
              </w:rPr>
              <w:t>d.</w:t>
            </w:r>
            <w:r>
              <w:rPr>
                <w:rStyle w:val="26"/>
                <w:rFonts w:hint="eastAsia" w:ascii="宋体" w:hAnsi="宋体" w:eastAsia="宋体"/>
                <w:color w:val="auto"/>
                <w:sz w:val="21"/>
                <w:szCs w:val="21"/>
                <w:highlight w:val="none"/>
                <w:lang w:val="zh-CN" w:eastAsia="zh-CN"/>
              </w:rPr>
              <w:t>若投标保证金采用</w:t>
            </w:r>
            <w:r>
              <w:rPr>
                <w:rStyle w:val="26"/>
                <w:rFonts w:hint="eastAsia" w:ascii="宋体" w:hAnsi="宋体" w:eastAsia="宋体"/>
                <w:color w:val="auto"/>
                <w:sz w:val="21"/>
                <w:szCs w:val="21"/>
                <w:highlight w:val="none"/>
                <w:lang w:val="en-US" w:eastAsia="zh-CN"/>
              </w:rPr>
              <w:t>其他</w:t>
            </w:r>
            <w:r>
              <w:rPr>
                <w:rStyle w:val="26"/>
                <w:rFonts w:hint="eastAsia" w:ascii="宋体" w:hAnsi="宋体" w:eastAsia="宋体"/>
                <w:color w:val="auto"/>
                <w:sz w:val="21"/>
                <w:szCs w:val="21"/>
                <w:highlight w:val="none"/>
                <w:lang w:val="zh-CN" w:eastAsia="zh-CN"/>
              </w:rPr>
              <w:t>形式提交，</w:t>
            </w:r>
            <w:r>
              <w:rPr>
                <w:rStyle w:val="26"/>
                <w:rFonts w:hint="eastAsia" w:ascii="宋体" w:hAnsi="宋体" w:eastAsia="宋体"/>
                <w:color w:val="auto"/>
                <w:sz w:val="21"/>
                <w:szCs w:val="21"/>
                <w:highlight w:val="none"/>
                <w:lang w:val="en-US" w:eastAsia="zh-CN"/>
              </w:rPr>
              <w:t>应满足须知前附表3.4.1项的规定。</w:t>
            </w:r>
          </w:p>
          <w:p>
            <w:pPr>
              <w:pStyle w:val="20"/>
              <w:keepNext w:val="0"/>
              <w:keepLines w:val="0"/>
              <w:pageBreakBefore w:val="0"/>
              <w:widowControl w:val="0"/>
              <w:shd w:val="clear" w:color="auto" w:fill="auto"/>
              <w:tabs>
                <w:tab w:val="left" w:pos="917"/>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（4）投标人法定代表人授权委托代理人签署投标文件的，需提交授权委托书，且授权人和被授权人均在授权委托书上签名，未使用印章、签名章或其他电子制版签名代替。</w:t>
            </w:r>
          </w:p>
          <w:p>
            <w:pPr>
              <w:pStyle w:val="20"/>
              <w:keepNext w:val="0"/>
              <w:keepLines w:val="0"/>
              <w:pageBreakBefore w:val="0"/>
              <w:widowControl w:val="0"/>
              <w:shd w:val="clear" w:color="auto" w:fill="auto"/>
              <w:tabs>
                <w:tab w:val="left" w:pos="917"/>
              </w:tabs>
              <w:kinsoku/>
              <w:wordWrap/>
              <w:overflowPunct/>
              <w:topLinePunct w:val="0"/>
              <w:autoSpaceDE/>
              <w:autoSpaceDN/>
              <w:bidi w:val="0"/>
              <w:adjustRightInd w:val="0"/>
              <w:snapToGrid w:val="0"/>
              <w:spacing w:before="0" w:line="240" w:lineRule="auto"/>
              <w:ind w:left="42" w:leftChars="20" w:right="42" w:rightChars="20"/>
              <w:jc w:val="both"/>
              <w:textAlignment w:val="auto"/>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（5）投标人法定代表人亲自签署投标文件的，提供了法定代表人身份证明，且法定代表人在法定代表人身份证明上签名，未使用印章、</w:t>
            </w:r>
            <w:r>
              <w:rPr>
                <w:rStyle w:val="26"/>
                <w:rFonts w:ascii="宋体" w:hAnsi="宋体" w:eastAsia="宋体"/>
                <w:color w:val="auto"/>
                <w:sz w:val="21"/>
                <w:szCs w:val="21"/>
                <w:highlight w:val="none"/>
                <w:lang w:val="zh-CN" w:eastAsia="zh-CN"/>
              </w:rPr>
              <w:t xml:space="preserve"> </w:t>
            </w:r>
            <w:r>
              <w:rPr>
                <w:rStyle w:val="26"/>
                <w:rFonts w:hint="eastAsia" w:ascii="宋体" w:hAnsi="宋体" w:eastAsia="宋体"/>
                <w:color w:val="auto"/>
                <w:sz w:val="21"/>
                <w:szCs w:val="21"/>
                <w:highlight w:val="none"/>
                <w:lang w:val="zh-CN" w:eastAsia="zh-CN"/>
              </w:rPr>
              <w:t>签名章或其他电子制版签名代替。</w:t>
            </w:r>
          </w:p>
          <w:p>
            <w:pPr>
              <w:pStyle w:val="20"/>
              <w:keepNext w:val="0"/>
              <w:keepLines w:val="0"/>
              <w:pageBreakBefore w:val="0"/>
              <w:widowControl w:val="0"/>
              <w:shd w:val="clear" w:color="auto" w:fill="auto"/>
              <w:tabs>
                <w:tab w:val="left" w:pos="1035"/>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（6）投标人以联合体形式投标时，联合体满足招标文件的要求：投标人按照招标文件提供的格式签订了联合体协议书，明确各方承担连带责任，并明确了联合体牵头人；</w:t>
            </w:r>
          </w:p>
          <w:p>
            <w:pPr>
              <w:pStyle w:val="20"/>
              <w:keepNext w:val="0"/>
              <w:keepLines w:val="0"/>
              <w:pageBreakBefore w:val="0"/>
              <w:widowControl w:val="0"/>
              <w:shd w:val="clear" w:color="auto" w:fill="auto"/>
              <w:tabs>
                <w:tab w:val="left" w:pos="917"/>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（7）</w:t>
            </w:r>
            <w:r>
              <w:rPr>
                <w:rStyle w:val="26"/>
                <w:rFonts w:hint="eastAsia" w:ascii="宋体" w:hAnsi="宋体" w:eastAsia="宋体" w:cs="宋体"/>
                <w:color w:val="auto"/>
                <w:sz w:val="21"/>
                <w:szCs w:val="21"/>
                <w:highlight w:val="none"/>
                <w:lang w:val="zh-CN" w:eastAsia="zh-CN"/>
              </w:rPr>
              <w:t>如投标人不具备</w:t>
            </w:r>
            <w:r>
              <w:rPr>
                <w:rStyle w:val="26"/>
                <w:rFonts w:hint="eastAsia" w:ascii="宋体" w:hAnsi="宋体" w:eastAsia="宋体" w:cs="宋体"/>
                <w:color w:val="auto"/>
                <w:sz w:val="21"/>
                <w:szCs w:val="21"/>
                <w:highlight w:val="none"/>
                <w:lang w:val="en-US" w:eastAsia="zh-CN"/>
              </w:rPr>
              <w:t>拟分包工程所需的</w:t>
            </w:r>
            <w:r>
              <w:rPr>
                <w:rStyle w:val="26"/>
                <w:rFonts w:hint="eastAsia" w:ascii="宋体" w:hAnsi="宋体" w:eastAsia="宋体" w:cs="宋体"/>
                <w:color w:val="auto"/>
                <w:sz w:val="21"/>
                <w:szCs w:val="21"/>
                <w:highlight w:val="none"/>
                <w:lang w:val="zh-CN" w:eastAsia="zh-CN"/>
              </w:rPr>
              <w:t>某专项工程相应资质</w:t>
            </w:r>
            <w:r>
              <w:rPr>
                <w:rStyle w:val="26"/>
                <w:rFonts w:hint="eastAsia" w:ascii="宋体" w:hAnsi="宋体" w:eastAsia="宋体" w:cs="宋体"/>
                <w:color w:val="auto"/>
                <w:sz w:val="21"/>
                <w:szCs w:val="21"/>
                <w:highlight w:val="none"/>
                <w:lang w:val="en-US" w:eastAsia="zh-CN"/>
              </w:rPr>
              <w:t>或</w:t>
            </w:r>
            <w:r>
              <w:rPr>
                <w:rStyle w:val="26"/>
                <w:rFonts w:hint="eastAsia" w:ascii="宋体" w:hAnsi="宋体" w:eastAsia="宋体"/>
                <w:color w:val="auto"/>
                <w:sz w:val="21"/>
                <w:szCs w:val="21"/>
                <w:highlight w:val="none"/>
                <w:lang w:val="zh-CN" w:eastAsia="zh-CN"/>
              </w:rPr>
              <w:t>投标人如有分包计划，符合招标文件第二章“投标人须知”</w:t>
            </w:r>
            <w:r>
              <w:rPr>
                <w:rStyle w:val="26"/>
                <w:rFonts w:ascii="宋体" w:hAnsi="宋体" w:eastAsia="宋体"/>
                <w:color w:val="auto"/>
                <w:sz w:val="21"/>
                <w:szCs w:val="21"/>
                <w:highlight w:val="none"/>
                <w:lang w:val="zh-CN" w:eastAsia="zh-CN"/>
              </w:rPr>
              <w:t xml:space="preserve"> </w:t>
            </w:r>
            <w:r>
              <w:rPr>
                <w:rStyle w:val="26"/>
                <w:rFonts w:hint="eastAsia" w:ascii="宋体" w:hAnsi="宋体" w:eastAsia="宋体"/>
                <w:color w:val="auto"/>
                <w:sz w:val="21"/>
                <w:szCs w:val="21"/>
                <w:highlight w:val="none"/>
                <w:lang w:val="zh-CN" w:eastAsia="zh-CN"/>
              </w:rPr>
              <w:t>第</w:t>
            </w:r>
            <w:r>
              <w:rPr>
                <w:rStyle w:val="26"/>
                <w:rFonts w:ascii="宋体" w:hAnsi="宋体" w:eastAsia="宋体"/>
                <w:color w:val="auto"/>
                <w:sz w:val="21"/>
                <w:szCs w:val="21"/>
                <w:highlight w:val="none"/>
                <w:lang w:val="zh-CN" w:eastAsia="zh-CN"/>
              </w:rPr>
              <w:t>1.11</w:t>
            </w:r>
            <w:r>
              <w:rPr>
                <w:rStyle w:val="26"/>
                <w:rFonts w:hint="eastAsia" w:ascii="宋体" w:hAnsi="宋体" w:eastAsia="宋体"/>
                <w:color w:val="auto"/>
                <w:sz w:val="21"/>
                <w:szCs w:val="21"/>
                <w:highlight w:val="none"/>
                <w:lang w:val="zh-CN" w:eastAsia="zh-CN"/>
              </w:rPr>
              <w:t>款规定，且按招标文件第八章“投标文件格式”的要求填写了“拟分包项目情况表”。</w:t>
            </w:r>
          </w:p>
          <w:p>
            <w:pPr>
              <w:pStyle w:val="20"/>
              <w:keepNext w:val="0"/>
              <w:keepLines w:val="0"/>
              <w:pageBreakBefore w:val="0"/>
              <w:widowControl w:val="0"/>
              <w:shd w:val="clear" w:color="auto" w:fill="auto"/>
              <w:tabs>
                <w:tab w:val="left" w:pos="924"/>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（8）同一投标人未提交两个以上不同的投标文件，但招标文件要求提交备选投标的除外。</w:t>
            </w:r>
          </w:p>
          <w:p>
            <w:pPr>
              <w:pStyle w:val="20"/>
              <w:keepNext w:val="0"/>
              <w:keepLines w:val="0"/>
              <w:pageBreakBefore w:val="0"/>
              <w:widowControl w:val="0"/>
              <w:shd w:val="clear" w:color="auto" w:fill="auto"/>
              <w:tabs>
                <w:tab w:val="left" w:pos="1141"/>
              </w:tabs>
              <w:kinsoku/>
              <w:wordWrap/>
              <w:overflowPunct/>
              <w:topLinePunct w:val="0"/>
              <w:autoSpaceDE/>
              <w:autoSpaceDN/>
              <w:bidi w:val="0"/>
              <w:adjustRightInd w:val="0"/>
              <w:snapToGrid w:val="0"/>
              <w:spacing w:before="0" w:line="240" w:lineRule="auto"/>
              <w:ind w:left="42" w:leftChars="20" w:right="42" w:rightChars="20"/>
              <w:jc w:val="both"/>
              <w:textAlignment w:val="auto"/>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（9）投标文件中未出现有关投标报价的内容。</w:t>
            </w:r>
          </w:p>
          <w:p>
            <w:pPr>
              <w:pStyle w:val="20"/>
              <w:keepNext w:val="0"/>
              <w:keepLines w:val="0"/>
              <w:pageBreakBefore w:val="0"/>
              <w:widowControl w:val="0"/>
              <w:shd w:val="clear" w:color="auto" w:fill="auto"/>
              <w:tabs>
                <w:tab w:val="left" w:pos="926"/>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（10）投标文件载明的招标项目完成期限未超过招标文件规定的时限。</w:t>
            </w:r>
          </w:p>
          <w:p>
            <w:pPr>
              <w:pStyle w:val="20"/>
              <w:keepNext w:val="0"/>
              <w:keepLines w:val="0"/>
              <w:pageBreakBefore w:val="0"/>
              <w:widowControl w:val="0"/>
              <w:shd w:val="clear" w:color="auto" w:fill="auto"/>
              <w:tabs>
                <w:tab w:val="left" w:pos="1143"/>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（11）投标文件对招标文件的实质性要求和条件作出响应。</w:t>
            </w:r>
          </w:p>
          <w:p>
            <w:pPr>
              <w:pStyle w:val="20"/>
              <w:keepNext w:val="0"/>
              <w:keepLines w:val="0"/>
              <w:pageBreakBefore w:val="0"/>
              <w:widowControl w:val="0"/>
              <w:shd w:val="clear" w:color="auto" w:fill="auto"/>
              <w:tabs>
                <w:tab w:val="left" w:pos="1138"/>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（12）权利义务符合招标文件规定：</w:t>
            </w:r>
          </w:p>
          <w:p>
            <w:pPr>
              <w:pStyle w:val="20"/>
              <w:keepNext w:val="0"/>
              <w:keepLines w:val="0"/>
              <w:pageBreakBefore w:val="0"/>
              <w:widowControl w:val="0"/>
              <w:numPr>
                <w:ilvl w:val="0"/>
                <w:numId w:val="1"/>
              </w:numPr>
              <w:shd w:val="clear" w:color="auto" w:fill="auto"/>
              <w:tabs>
                <w:tab w:val="left" w:pos="530"/>
              </w:tabs>
              <w:kinsoku/>
              <w:wordWrap/>
              <w:overflowPunct/>
              <w:topLinePunct w:val="0"/>
              <w:autoSpaceDE/>
              <w:autoSpaceDN/>
              <w:bidi w:val="0"/>
              <w:adjustRightInd w:val="0"/>
              <w:snapToGrid w:val="0"/>
              <w:spacing w:before="0" w:line="240" w:lineRule="auto"/>
              <w:ind w:left="42" w:leftChars="20" w:right="42" w:rightChars="20" w:firstLine="50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投标人应接受招标文件规定的风险划分原则，未提出新的风险划</w:t>
            </w:r>
            <w:r>
              <w:rPr>
                <w:rStyle w:val="28"/>
                <w:rFonts w:hint="eastAsia" w:ascii="宋体" w:hAnsi="宋体" w:eastAsia="宋体"/>
                <w:color w:val="auto"/>
                <w:sz w:val="21"/>
                <w:szCs w:val="21"/>
                <w:highlight w:val="none"/>
                <w:lang w:val="zh-CN" w:eastAsia="zh-CN"/>
              </w:rPr>
              <w:t>分办法；</w:t>
            </w:r>
          </w:p>
          <w:p>
            <w:pPr>
              <w:pStyle w:val="20"/>
              <w:keepNext w:val="0"/>
              <w:keepLines w:val="0"/>
              <w:pageBreakBefore w:val="0"/>
              <w:widowControl w:val="0"/>
              <w:numPr>
                <w:ilvl w:val="0"/>
                <w:numId w:val="1"/>
              </w:numPr>
              <w:shd w:val="clear" w:color="auto" w:fill="auto"/>
              <w:tabs>
                <w:tab w:val="left" w:pos="666"/>
              </w:tabs>
              <w:kinsoku/>
              <w:wordWrap/>
              <w:overflowPunct/>
              <w:topLinePunct w:val="0"/>
              <w:autoSpaceDE/>
              <w:autoSpaceDN/>
              <w:bidi w:val="0"/>
              <w:adjustRightInd w:val="0"/>
              <w:snapToGrid w:val="0"/>
              <w:spacing w:before="0" w:line="240" w:lineRule="auto"/>
              <w:ind w:left="42" w:leftChars="20" w:right="42" w:rightChars="20" w:firstLine="50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投标人未增加发包人的责任范围，或减少投标人义务；</w:t>
            </w:r>
          </w:p>
          <w:p>
            <w:pPr>
              <w:pStyle w:val="20"/>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firstLine="500"/>
              <w:jc w:val="both"/>
              <w:textAlignment w:val="auto"/>
              <w:rPr>
                <w:rFonts w:ascii="宋体" w:hAnsi="宋体" w:eastAsia="宋体" w:cs="MingLiU"/>
                <w:color w:val="auto"/>
                <w:sz w:val="21"/>
                <w:szCs w:val="21"/>
                <w:highlight w:val="none"/>
                <w:lang w:val="en-US" w:eastAsia="zh-CN"/>
              </w:rPr>
            </w:pPr>
            <w:r>
              <w:rPr>
                <w:rStyle w:val="29"/>
                <w:rFonts w:ascii="宋体" w:hAnsi="宋体" w:eastAsia="宋体"/>
                <w:color w:val="auto"/>
                <w:sz w:val="21"/>
                <w:szCs w:val="21"/>
                <w:highlight w:val="none"/>
                <w:lang w:eastAsia="zh-CN"/>
              </w:rPr>
              <w:t>C</w:t>
            </w:r>
            <w:r>
              <w:rPr>
                <w:rStyle w:val="30"/>
                <w:rFonts w:ascii="宋体" w:hAnsi="宋体" w:eastAsia="宋体"/>
                <w:color w:val="auto"/>
                <w:sz w:val="21"/>
                <w:szCs w:val="21"/>
                <w:highlight w:val="none"/>
                <w:lang w:val="en-US" w:eastAsia="zh-CN"/>
              </w:rPr>
              <w:t>.</w:t>
            </w:r>
            <w:r>
              <w:rPr>
                <w:rStyle w:val="26"/>
                <w:rFonts w:hint="eastAsia" w:ascii="宋体" w:hAnsi="宋体" w:eastAsia="宋体"/>
                <w:color w:val="auto"/>
                <w:sz w:val="21"/>
                <w:szCs w:val="21"/>
                <w:highlight w:val="none"/>
                <w:lang w:val="zh-CN" w:eastAsia="zh-CN"/>
              </w:rPr>
              <w:t>投标人未提出不同的工程验收、计量、支付办法；</w:t>
            </w:r>
          </w:p>
          <w:p>
            <w:pPr>
              <w:pStyle w:val="20"/>
              <w:keepNext w:val="0"/>
              <w:keepLines w:val="0"/>
              <w:pageBreakBefore w:val="0"/>
              <w:widowControl w:val="0"/>
              <w:numPr>
                <w:ilvl w:val="0"/>
                <w:numId w:val="2"/>
              </w:numPr>
              <w:shd w:val="clear" w:color="auto" w:fill="auto"/>
              <w:tabs>
                <w:tab w:val="left" w:pos="661"/>
              </w:tabs>
              <w:kinsoku/>
              <w:wordWrap/>
              <w:overflowPunct/>
              <w:topLinePunct w:val="0"/>
              <w:autoSpaceDE/>
              <w:autoSpaceDN/>
              <w:bidi w:val="0"/>
              <w:adjustRightInd w:val="0"/>
              <w:snapToGrid w:val="0"/>
              <w:spacing w:before="0" w:line="240" w:lineRule="auto"/>
              <w:ind w:left="42" w:leftChars="20" w:right="42" w:rightChars="20" w:firstLine="500"/>
              <w:jc w:val="both"/>
              <w:textAlignment w:val="auto"/>
              <w:rPr>
                <w:rFonts w:ascii="宋体" w:hAnsi="宋体" w:eastAsia="宋体" w:cs="MingLiU"/>
                <w:color w:val="auto"/>
                <w:sz w:val="21"/>
                <w:szCs w:val="21"/>
                <w:highlight w:val="none"/>
                <w:lang w:val="en-US" w:eastAsia="zh-CN"/>
              </w:rPr>
            </w:pPr>
            <w:r>
              <w:rPr>
                <w:rStyle w:val="26"/>
                <w:rFonts w:hint="eastAsia" w:ascii="宋体" w:hAnsi="宋体" w:eastAsia="宋体"/>
                <w:color w:val="auto"/>
                <w:sz w:val="21"/>
                <w:szCs w:val="21"/>
                <w:highlight w:val="none"/>
                <w:lang w:val="zh-CN" w:eastAsia="zh-CN"/>
              </w:rPr>
              <w:t>投标人对合同纠纷、事故处理办法未提出异议；</w:t>
            </w:r>
          </w:p>
          <w:p>
            <w:pPr>
              <w:pStyle w:val="20"/>
              <w:keepNext w:val="0"/>
              <w:keepLines w:val="0"/>
              <w:pageBreakBefore w:val="0"/>
              <w:widowControl w:val="0"/>
              <w:numPr>
                <w:ilvl w:val="0"/>
                <w:numId w:val="2"/>
              </w:numPr>
              <w:shd w:val="clear" w:color="auto" w:fill="auto"/>
              <w:tabs>
                <w:tab w:val="left" w:pos="651"/>
              </w:tabs>
              <w:kinsoku/>
              <w:wordWrap/>
              <w:overflowPunct/>
              <w:topLinePunct w:val="0"/>
              <w:autoSpaceDE/>
              <w:autoSpaceDN/>
              <w:bidi w:val="0"/>
              <w:adjustRightInd w:val="0"/>
              <w:snapToGrid w:val="0"/>
              <w:spacing w:before="0" w:line="240" w:lineRule="auto"/>
              <w:ind w:left="42" w:leftChars="20" w:right="42" w:rightChars="20" w:firstLine="500"/>
              <w:jc w:val="both"/>
              <w:textAlignment w:val="auto"/>
              <w:rPr>
                <w:rStyle w:val="26"/>
                <w:rFonts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投标人在投标活动中无欺诈行为；</w:t>
            </w:r>
          </w:p>
          <w:p>
            <w:pPr>
              <w:pStyle w:val="20"/>
              <w:keepNext w:val="0"/>
              <w:keepLines w:val="0"/>
              <w:pageBreakBefore w:val="0"/>
              <w:widowControl w:val="0"/>
              <w:numPr>
                <w:ilvl w:val="0"/>
                <w:numId w:val="2"/>
              </w:numPr>
              <w:shd w:val="clear" w:color="auto" w:fill="auto"/>
              <w:tabs>
                <w:tab w:val="left" w:pos="651"/>
              </w:tabs>
              <w:kinsoku/>
              <w:wordWrap/>
              <w:overflowPunct/>
              <w:topLinePunct w:val="0"/>
              <w:autoSpaceDE/>
              <w:autoSpaceDN/>
              <w:bidi w:val="0"/>
              <w:adjustRightInd w:val="0"/>
              <w:snapToGrid w:val="0"/>
              <w:spacing w:before="0" w:line="240" w:lineRule="auto"/>
              <w:ind w:left="42" w:leftChars="20" w:right="42" w:rightChars="20" w:firstLine="500"/>
              <w:jc w:val="both"/>
              <w:textAlignment w:val="auto"/>
              <w:rPr>
                <w:rStyle w:val="26"/>
                <w:rFonts w:hint="eastAsia" w:ascii="宋体" w:hAnsi="宋体" w:eastAsia="宋体"/>
                <w:color w:val="auto"/>
                <w:sz w:val="21"/>
                <w:szCs w:val="21"/>
                <w:highlight w:val="none"/>
                <w:lang w:val="zh-CN" w:eastAsia="zh-CN"/>
              </w:rPr>
            </w:pPr>
            <w:r>
              <w:rPr>
                <w:rStyle w:val="26"/>
                <w:rFonts w:hint="eastAsia" w:ascii="宋体" w:hAnsi="宋体" w:eastAsia="宋体"/>
                <w:color w:val="auto"/>
                <w:sz w:val="21"/>
                <w:szCs w:val="21"/>
                <w:highlight w:val="none"/>
                <w:lang w:val="zh-CN" w:eastAsia="zh-CN"/>
              </w:rPr>
              <w:t>投标人未对合同条款有重要保留。</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en-US" w:eastAsia="zh-CN"/>
              </w:rPr>
              <w:t>（13）</w:t>
            </w:r>
            <w:r>
              <w:rPr>
                <w:rStyle w:val="33"/>
                <w:rFonts w:hint="eastAsia" w:ascii="宋体" w:hAnsi="宋体" w:eastAsia="宋体"/>
                <w:color w:val="auto"/>
                <w:sz w:val="21"/>
                <w:szCs w:val="21"/>
                <w:highlight w:val="none"/>
                <w:lang w:val="zh-CN" w:eastAsia="zh-CN"/>
              </w:rPr>
              <w:t>投标文件正、副本份数符合招标文件第二章“投标人须知</w:t>
            </w:r>
            <w:r>
              <w:rPr>
                <w:rStyle w:val="33"/>
                <w:rFonts w:ascii="宋体" w:hAnsi="宋体" w:eastAsia="宋体"/>
                <w:color w:val="auto"/>
                <w:sz w:val="21"/>
                <w:szCs w:val="21"/>
                <w:highlight w:val="none"/>
                <w:lang w:val="zh-CN" w:eastAsia="zh-CN"/>
              </w:rPr>
              <w:t xml:space="preserve"> </w:t>
            </w:r>
            <w:r>
              <w:rPr>
                <w:rStyle w:val="33"/>
                <w:rFonts w:hint="eastAsia" w:ascii="宋体" w:hAnsi="宋体" w:eastAsia="宋体"/>
                <w:color w:val="auto"/>
                <w:sz w:val="21"/>
                <w:szCs w:val="21"/>
                <w:highlight w:val="none"/>
                <w:lang w:val="zh-CN" w:eastAsia="zh-CN"/>
              </w:rPr>
              <w:t>第</w:t>
            </w:r>
            <w:r>
              <w:rPr>
                <w:rStyle w:val="33"/>
                <w:rFonts w:ascii="宋体" w:hAnsi="宋体" w:eastAsia="宋体"/>
                <w:color w:val="auto"/>
                <w:sz w:val="21"/>
                <w:szCs w:val="21"/>
                <w:highlight w:val="none"/>
                <w:lang w:val="en-US" w:eastAsia="zh-CN"/>
              </w:rPr>
              <w:t>3.7.4</w:t>
            </w:r>
            <w:r>
              <w:rPr>
                <w:rStyle w:val="33"/>
                <w:rFonts w:hint="eastAsia" w:ascii="宋体" w:hAnsi="宋体" w:eastAsia="宋体"/>
                <w:color w:val="auto"/>
                <w:sz w:val="21"/>
                <w:szCs w:val="21"/>
                <w:highlight w:val="none"/>
                <w:lang w:val="zh-CN" w:eastAsia="zh-CN"/>
              </w:rPr>
              <w:t>项规定。</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ascii="宋体" w:hAnsi="宋体" w:eastAsia="宋体"/>
                <w:color w:val="auto"/>
                <w:kern w:val="2"/>
                <w:sz w:val="21"/>
                <w:szCs w:val="21"/>
                <w:highlight w:val="none"/>
                <w:lang w:val="en-US" w:eastAsia="zh-CN"/>
              </w:rPr>
            </w:pPr>
            <w:r>
              <w:rPr>
                <w:rFonts w:hint="eastAsia" w:ascii="宋体" w:hAnsi="宋体" w:eastAsia="宋体"/>
                <w:color w:val="auto"/>
                <w:kern w:val="2"/>
                <w:sz w:val="21"/>
                <w:szCs w:val="21"/>
                <w:highlight w:val="none"/>
                <w:lang w:val="en-US" w:eastAsia="zh-CN"/>
              </w:rPr>
              <w:t>（14）</w:t>
            </w:r>
            <w:r>
              <w:rPr>
                <w:rFonts w:ascii="宋体" w:hAnsi="宋体" w:eastAsia="宋体"/>
                <w:color w:val="auto"/>
                <w:kern w:val="2"/>
                <w:sz w:val="21"/>
                <w:szCs w:val="21"/>
                <w:highlight w:val="none"/>
                <w:lang w:val="en-US" w:eastAsia="zh-CN"/>
              </w:rPr>
              <w:t>投标文件</w:t>
            </w:r>
            <w:r>
              <w:rPr>
                <w:rFonts w:hint="eastAsia" w:ascii="宋体" w:hAnsi="宋体" w:eastAsia="宋体"/>
                <w:color w:val="auto"/>
                <w:kern w:val="2"/>
                <w:sz w:val="21"/>
                <w:szCs w:val="21"/>
                <w:highlight w:val="none"/>
                <w:lang w:val="en-US" w:eastAsia="zh-CN"/>
              </w:rPr>
              <w:t>未</w:t>
            </w:r>
            <w:r>
              <w:rPr>
                <w:rFonts w:ascii="宋体" w:hAnsi="宋体" w:eastAsia="宋体"/>
                <w:color w:val="auto"/>
                <w:kern w:val="2"/>
                <w:sz w:val="21"/>
                <w:szCs w:val="21"/>
                <w:highlight w:val="none"/>
                <w:lang w:val="en-US" w:eastAsia="zh-CN"/>
              </w:rPr>
              <w:t>附有招标人不能接受的条件。</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textAlignment w:val="auto"/>
              <w:rPr>
                <w:rFonts w:hint="eastAsia" w:ascii="宋体" w:hAnsi="宋体" w:eastAsia="宋体" w:cs="宋体"/>
                <w:color w:val="auto"/>
                <w:sz w:val="21"/>
                <w:szCs w:val="21"/>
                <w:highlight w:val="none"/>
              </w:rPr>
            </w:pPr>
            <w:r>
              <w:rPr>
                <w:rFonts w:hint="eastAsia" w:ascii="宋体" w:hAnsi="宋体" w:eastAsia="宋体"/>
                <w:color w:val="auto"/>
                <w:kern w:val="2"/>
                <w:sz w:val="21"/>
                <w:szCs w:val="21"/>
                <w:highlight w:val="none"/>
                <w:u w:val="single"/>
                <w:lang w:val="en-US" w:eastAsia="zh-CN"/>
              </w:rPr>
              <w:t>（15）投标人法定代表人授权委托代理人签署投标文件的，不存在不同投标人委托同一个人或同一单位的不同个人作为委托代理人的情况。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925" w:type="dxa"/>
            <w:gridSpan w:val="2"/>
            <w:shd w:val="clear" w:color="auto" w:fill="FFFFFF"/>
            <w:noWrap w:val="0"/>
            <w:vAlign w:val="center"/>
          </w:tcPr>
          <w:p>
            <w:pPr>
              <w:pStyle w:val="20"/>
              <w:shd w:val="clear" w:color="auto" w:fill="auto"/>
              <w:adjustRightInd w:val="0"/>
              <w:snapToGrid w:val="0"/>
              <w:spacing w:before="0" w:line="240" w:lineRule="auto"/>
              <w:jc w:val="center"/>
              <w:rPr>
                <w:rStyle w:val="26"/>
                <w:rFonts w:hint="eastAsia" w:ascii="宋体" w:hAnsi="宋体" w:eastAsia="宋体" w:cs="宋体"/>
                <w:b/>
                <w:color w:val="auto"/>
                <w:sz w:val="21"/>
                <w:szCs w:val="21"/>
                <w:highlight w:val="none"/>
                <w:lang w:val="zh-CN"/>
              </w:rPr>
            </w:pPr>
            <w:r>
              <w:rPr>
                <w:rStyle w:val="25"/>
                <w:rFonts w:hint="eastAsia" w:ascii="宋体" w:hAnsi="宋体" w:eastAsia="宋体" w:cs="宋体"/>
                <w:b/>
                <w:bCs w:val="0"/>
                <w:color w:val="auto"/>
                <w:sz w:val="21"/>
                <w:szCs w:val="21"/>
                <w:highlight w:val="none"/>
                <w:lang w:val="zh-CN"/>
              </w:rPr>
              <w:t>条款号</w:t>
            </w:r>
          </w:p>
        </w:tc>
        <w:tc>
          <w:tcPr>
            <w:tcW w:w="7200" w:type="dxa"/>
            <w:shd w:val="clear" w:color="auto" w:fill="FFFFFF"/>
            <w:noWrap w:val="0"/>
            <w:vAlign w:val="center"/>
          </w:tcPr>
          <w:p>
            <w:pPr>
              <w:pStyle w:val="20"/>
              <w:shd w:val="clear" w:color="auto" w:fill="auto"/>
              <w:adjustRightInd w:val="0"/>
              <w:snapToGrid w:val="0"/>
              <w:spacing w:before="0" w:line="240" w:lineRule="auto"/>
              <w:jc w:val="center"/>
              <w:rPr>
                <w:rStyle w:val="26"/>
                <w:rFonts w:hint="eastAsia" w:ascii="宋体" w:hAnsi="宋体" w:eastAsia="宋体" w:cs="宋体"/>
                <w:b/>
                <w:color w:val="auto"/>
                <w:sz w:val="21"/>
                <w:szCs w:val="21"/>
                <w:highlight w:val="none"/>
                <w:lang w:val="zh-CN"/>
              </w:rPr>
            </w:pPr>
            <w:r>
              <w:rPr>
                <w:rStyle w:val="25"/>
                <w:rFonts w:hint="eastAsia" w:ascii="宋体" w:hAnsi="宋体" w:eastAsia="宋体" w:cs="宋体"/>
                <w:b/>
                <w:bCs w:val="0"/>
                <w:color w:val="auto"/>
                <w:sz w:val="21"/>
                <w:szCs w:val="21"/>
                <w:highlight w:val="none"/>
                <w:lang w:val="zh-CN"/>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2"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Style w:val="26"/>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zh-CN"/>
              </w:rPr>
              <w:t>2.1.1</w:t>
            </w:r>
          </w:p>
          <w:p>
            <w:pPr>
              <w:pStyle w:val="20"/>
              <w:shd w:val="clear" w:color="auto" w:fill="auto"/>
              <w:adjustRightInd w:val="0"/>
              <w:snapToGrid w:val="0"/>
              <w:spacing w:before="0" w:line="240" w:lineRule="auto"/>
              <w:jc w:val="center"/>
              <w:rPr>
                <w:rStyle w:val="28"/>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lang w:val="zh-CN"/>
              </w:rPr>
              <w:t>2.1.3</w:t>
            </w:r>
          </w:p>
        </w:tc>
        <w:tc>
          <w:tcPr>
            <w:tcW w:w="1250" w:type="dxa"/>
            <w:shd w:val="clear" w:color="auto" w:fill="FFFFFF"/>
            <w:noWrap w:val="0"/>
            <w:vAlign w:val="center"/>
          </w:tcPr>
          <w:p>
            <w:pPr>
              <w:pStyle w:val="20"/>
              <w:shd w:val="clear" w:color="auto" w:fill="auto"/>
              <w:adjustRightInd w:val="0"/>
              <w:snapToGrid w:val="0"/>
              <w:spacing w:before="0" w:line="240" w:lineRule="auto"/>
              <w:jc w:val="center"/>
              <w:rPr>
                <w:rStyle w:val="26"/>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zh-CN"/>
              </w:rPr>
              <w:t>形式评审与响应性评审标准</w:t>
            </w:r>
          </w:p>
        </w:tc>
        <w:tc>
          <w:tcPr>
            <w:tcW w:w="7200" w:type="dxa"/>
            <w:shd w:val="clear" w:color="auto" w:fill="FFFFFF"/>
            <w:noWrap w:val="0"/>
            <w:vAlign w:val="top"/>
          </w:tcPr>
          <w:p>
            <w:pPr>
              <w:pStyle w:val="34"/>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left="42" w:leftChars="20" w:right="42" w:rightChars="20"/>
              <w:jc w:val="both"/>
              <w:textAlignment w:val="auto"/>
              <w:rPr>
                <w:rStyle w:val="25"/>
                <w:rFonts w:hint="eastAsia" w:ascii="宋体" w:hAnsi="宋体" w:eastAsia="宋体"/>
                <w:color w:val="auto"/>
                <w:sz w:val="21"/>
                <w:szCs w:val="21"/>
                <w:highlight w:val="none"/>
                <w:lang w:val="en-US" w:eastAsia="zh-CN" w:bidi="ar-SA"/>
              </w:rPr>
            </w:pPr>
            <w:r>
              <w:rPr>
                <w:rStyle w:val="25"/>
                <w:rFonts w:hint="eastAsia" w:ascii="宋体" w:hAnsi="宋体" w:eastAsia="宋体"/>
                <w:color w:val="auto"/>
                <w:sz w:val="21"/>
                <w:szCs w:val="21"/>
                <w:highlight w:val="none"/>
                <w:lang w:val="zh-CN" w:eastAsia="zh-CN" w:bidi="ar-SA"/>
              </w:rPr>
              <w:t>第二个信封（报价文件）评审标准：</w:t>
            </w:r>
          </w:p>
          <w:p>
            <w:pPr>
              <w:pStyle w:val="32"/>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ascii="宋体" w:hAnsi="宋体" w:eastAsia="宋体"/>
                <w:color w:val="auto"/>
                <w:sz w:val="21"/>
                <w:szCs w:val="21"/>
                <w:highlight w:val="none"/>
                <w:lang w:val="en-US" w:eastAsia="zh-CN"/>
              </w:rPr>
              <w:t>(1)</w:t>
            </w:r>
            <w:r>
              <w:rPr>
                <w:rStyle w:val="33"/>
                <w:rFonts w:hint="eastAsia" w:ascii="宋体" w:hAnsi="宋体" w:eastAsia="宋体"/>
                <w:color w:val="auto"/>
                <w:sz w:val="21"/>
                <w:szCs w:val="21"/>
                <w:highlight w:val="none"/>
                <w:lang w:val="zh-CN" w:eastAsia="zh-CN"/>
              </w:rPr>
              <w:t>投标文件按照招标文件规定的格式、内容填写，字迹清晰可</w:t>
            </w:r>
            <w:r>
              <w:rPr>
                <w:rStyle w:val="26"/>
                <w:rFonts w:hint="eastAsia" w:ascii="宋体" w:hAnsi="宋体" w:eastAsia="宋体"/>
                <w:color w:val="auto"/>
                <w:sz w:val="21"/>
                <w:szCs w:val="21"/>
                <w:highlight w:val="none"/>
                <w:lang w:val="zh-CN" w:eastAsia="zh-CN"/>
              </w:rPr>
              <w:t>辨：</w:t>
            </w:r>
          </w:p>
          <w:p>
            <w:pPr>
              <w:pStyle w:val="32"/>
              <w:keepNext w:val="0"/>
              <w:keepLines w:val="0"/>
              <w:pageBreakBefore w:val="0"/>
              <w:widowControl w:val="0"/>
              <w:shd w:val="clear" w:color="auto" w:fill="auto"/>
              <w:tabs>
                <w:tab w:val="left" w:pos="566"/>
              </w:tabs>
              <w:kinsoku/>
              <w:wordWrap/>
              <w:overflowPunct/>
              <w:topLinePunct w:val="0"/>
              <w:autoSpaceDE/>
              <w:autoSpaceDN/>
              <w:bidi w:val="0"/>
              <w:adjustRightInd w:val="0"/>
              <w:snapToGrid w:val="0"/>
              <w:spacing w:before="0" w:line="240" w:lineRule="auto"/>
              <w:ind w:left="42" w:leftChars="20" w:right="42" w:rightChars="20" w:firstLine="315" w:firstLineChars="15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zh-CN" w:eastAsia="zh-CN"/>
              </w:rPr>
              <w:t>a.投标函按招标文件规定填报了项目名称、标段号（</w:t>
            </w:r>
            <w:r>
              <w:rPr>
                <w:rStyle w:val="33"/>
                <w:rFonts w:hint="eastAsia" w:ascii="宋体" w:hAnsi="宋体" w:eastAsia="宋体"/>
                <w:color w:val="auto"/>
                <w:sz w:val="21"/>
                <w:szCs w:val="21"/>
                <w:highlight w:val="none"/>
                <w:lang w:val="en-US" w:eastAsia="zh-CN"/>
              </w:rPr>
              <w:t>如有</w:t>
            </w:r>
            <w:r>
              <w:rPr>
                <w:rStyle w:val="33"/>
                <w:rFonts w:hint="eastAsia" w:ascii="宋体" w:hAnsi="宋体" w:eastAsia="宋体"/>
                <w:color w:val="auto"/>
                <w:sz w:val="21"/>
                <w:szCs w:val="21"/>
                <w:highlight w:val="none"/>
                <w:lang w:val="zh-CN" w:eastAsia="zh-CN"/>
              </w:rPr>
              <w:t>）、投标总报价（包括大写金额和小写金额</w:t>
            </w:r>
            <w:r>
              <w:rPr>
                <w:rStyle w:val="33"/>
                <w:rFonts w:ascii="宋体" w:hAnsi="宋体" w:eastAsia="宋体"/>
                <w:color w:val="auto"/>
                <w:sz w:val="21"/>
                <w:szCs w:val="21"/>
                <w:highlight w:val="none"/>
                <w:lang w:val="en-US" w:eastAsia="zh-CN"/>
              </w:rPr>
              <w:t>)</w:t>
            </w:r>
            <w:r>
              <w:rPr>
                <w:rStyle w:val="33"/>
                <w:rFonts w:hint="eastAsia" w:ascii="宋体" w:hAnsi="宋体" w:eastAsia="宋体"/>
                <w:color w:val="auto"/>
                <w:sz w:val="21"/>
                <w:szCs w:val="21"/>
                <w:highlight w:val="none"/>
                <w:lang w:val="en-US" w:eastAsia="zh-CN"/>
              </w:rPr>
              <w:t>；</w:t>
            </w:r>
          </w:p>
          <w:p>
            <w:pPr>
              <w:pStyle w:val="32"/>
              <w:keepNext w:val="0"/>
              <w:keepLines w:val="0"/>
              <w:pageBreakBefore w:val="0"/>
              <w:widowControl w:val="0"/>
              <w:shd w:val="clear" w:color="auto" w:fill="auto"/>
              <w:tabs>
                <w:tab w:val="left" w:pos="602"/>
              </w:tabs>
              <w:kinsoku/>
              <w:wordWrap/>
              <w:overflowPunct/>
              <w:topLinePunct w:val="0"/>
              <w:autoSpaceDE/>
              <w:autoSpaceDN/>
              <w:bidi w:val="0"/>
              <w:adjustRightInd w:val="0"/>
              <w:snapToGrid w:val="0"/>
              <w:spacing w:before="0" w:line="240" w:lineRule="auto"/>
              <w:ind w:left="42" w:leftChars="20" w:right="42" w:rightChars="20" w:firstLine="315" w:firstLineChars="15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zh-CN" w:eastAsia="zh-CN"/>
              </w:rPr>
              <w:t>b.已标价工程量清单说明文字与招标文件规定一致，未进行实质性修改和删减；</w:t>
            </w:r>
          </w:p>
          <w:p>
            <w:pPr>
              <w:pStyle w:val="32"/>
              <w:keepNext w:val="0"/>
              <w:keepLines w:val="0"/>
              <w:pageBreakBefore w:val="0"/>
              <w:widowControl w:val="0"/>
              <w:shd w:val="clear" w:color="auto" w:fill="auto"/>
              <w:tabs>
                <w:tab w:val="left" w:pos="589"/>
              </w:tabs>
              <w:kinsoku/>
              <w:wordWrap/>
              <w:overflowPunct/>
              <w:topLinePunct w:val="0"/>
              <w:autoSpaceDE/>
              <w:autoSpaceDN/>
              <w:bidi w:val="0"/>
              <w:adjustRightInd w:val="0"/>
              <w:snapToGrid w:val="0"/>
              <w:spacing w:before="0" w:line="240" w:lineRule="auto"/>
              <w:ind w:left="42" w:leftChars="20" w:right="42" w:rightChars="20" w:firstLine="315" w:firstLineChars="15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zh-CN" w:eastAsia="zh-CN"/>
              </w:rPr>
              <w:t>c.投标文件组成齐全完整，内容均按规定填写。</w:t>
            </w:r>
          </w:p>
          <w:p>
            <w:pPr>
              <w:pStyle w:val="32"/>
              <w:keepNext w:val="0"/>
              <w:keepLines w:val="0"/>
              <w:pageBreakBefore w:val="0"/>
              <w:widowControl w:val="0"/>
              <w:shd w:val="clear" w:color="auto" w:fill="auto"/>
              <w:tabs>
                <w:tab w:val="left" w:pos="950"/>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zh-CN" w:eastAsia="zh-CN"/>
              </w:rPr>
              <w:t>（2）投标文件上法定代表人或其委托代理人的签字、投标人的单位章盖章齐全，符合招标文件规定。</w:t>
            </w:r>
          </w:p>
          <w:p>
            <w:pPr>
              <w:pStyle w:val="32"/>
              <w:keepNext w:val="0"/>
              <w:keepLines w:val="0"/>
              <w:pageBreakBefore w:val="0"/>
              <w:widowControl w:val="0"/>
              <w:shd w:val="clear" w:color="auto" w:fill="auto"/>
              <w:tabs>
                <w:tab w:val="left" w:pos="934"/>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en-US" w:eastAsia="zh-CN"/>
              </w:rPr>
              <w:t>（3）</w:t>
            </w:r>
            <w:r>
              <w:rPr>
                <w:rStyle w:val="33"/>
                <w:rFonts w:hint="eastAsia" w:ascii="宋体" w:hAnsi="宋体" w:eastAsia="宋体"/>
                <w:color w:val="auto"/>
                <w:sz w:val="21"/>
                <w:szCs w:val="21"/>
                <w:highlight w:val="none"/>
                <w:lang w:val="zh-CN" w:eastAsia="zh-CN"/>
              </w:rPr>
              <w:t>投标报价或调价函中的报价未超过招标文件设定的最高投标限价（如有</w:t>
            </w:r>
            <w:r>
              <w:rPr>
                <w:rStyle w:val="33"/>
                <w:rFonts w:ascii="宋体" w:hAnsi="宋体" w:eastAsia="宋体"/>
                <w:color w:val="auto"/>
                <w:sz w:val="21"/>
                <w:szCs w:val="21"/>
                <w:highlight w:val="none"/>
                <w:lang w:val="zh-CN" w:eastAsia="zh-CN"/>
              </w:rPr>
              <w:t>)</w:t>
            </w:r>
            <w:r>
              <w:rPr>
                <w:rStyle w:val="33"/>
                <w:rFonts w:hint="eastAsia" w:ascii="宋体" w:hAnsi="宋体" w:eastAsia="宋体"/>
                <w:color w:val="auto"/>
                <w:sz w:val="21"/>
                <w:szCs w:val="21"/>
                <w:highlight w:val="none"/>
                <w:lang w:val="zh-CN" w:eastAsia="zh-CN"/>
              </w:rPr>
              <w:t>。</w:t>
            </w:r>
          </w:p>
          <w:p>
            <w:pPr>
              <w:pStyle w:val="32"/>
              <w:keepNext w:val="0"/>
              <w:keepLines w:val="0"/>
              <w:pageBreakBefore w:val="0"/>
              <w:widowControl w:val="0"/>
              <w:shd w:val="clear" w:color="auto" w:fill="auto"/>
              <w:tabs>
                <w:tab w:val="left" w:pos="978"/>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en-US" w:eastAsia="zh-CN"/>
              </w:rPr>
              <w:t>（4）</w:t>
            </w:r>
            <w:r>
              <w:rPr>
                <w:rStyle w:val="33"/>
                <w:rFonts w:hint="eastAsia" w:ascii="宋体" w:hAnsi="宋体" w:eastAsia="宋体"/>
                <w:color w:val="auto"/>
                <w:sz w:val="21"/>
                <w:szCs w:val="21"/>
                <w:highlight w:val="none"/>
                <w:lang w:val="zh-CN" w:eastAsia="zh-CN"/>
              </w:rPr>
              <w:t>投标报价或调价函中报价的大写金额能够确定具体数值。</w:t>
            </w:r>
          </w:p>
          <w:p>
            <w:pPr>
              <w:pStyle w:val="32"/>
              <w:keepNext w:val="0"/>
              <w:keepLines w:val="0"/>
              <w:pageBreakBefore w:val="0"/>
              <w:widowControl w:val="0"/>
              <w:shd w:val="clear" w:color="auto" w:fill="auto"/>
              <w:tabs>
                <w:tab w:val="left" w:pos="965"/>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en-US" w:eastAsia="zh-CN"/>
              </w:rPr>
              <w:t>（5）</w:t>
            </w:r>
            <w:r>
              <w:rPr>
                <w:rStyle w:val="33"/>
                <w:rFonts w:hint="eastAsia" w:ascii="宋体" w:hAnsi="宋体" w:eastAsia="宋体"/>
                <w:color w:val="auto"/>
                <w:sz w:val="21"/>
                <w:szCs w:val="21"/>
                <w:highlight w:val="none"/>
                <w:lang w:val="zh-CN" w:eastAsia="zh-CN"/>
              </w:rPr>
              <w:t>同一投标人未提交两个以上不同的投标</w:t>
            </w:r>
            <w:r>
              <w:rPr>
                <w:rStyle w:val="33"/>
                <w:rFonts w:hint="eastAsia" w:ascii="宋体" w:hAnsi="宋体" w:eastAsia="宋体"/>
                <w:color w:val="auto"/>
                <w:sz w:val="21"/>
                <w:szCs w:val="21"/>
                <w:highlight w:val="none"/>
                <w:lang w:val="en-US" w:eastAsia="zh-CN"/>
              </w:rPr>
              <w:t>总</w:t>
            </w:r>
            <w:r>
              <w:rPr>
                <w:rStyle w:val="33"/>
                <w:rFonts w:hint="eastAsia" w:ascii="宋体" w:hAnsi="宋体" w:eastAsia="宋体"/>
                <w:color w:val="auto"/>
                <w:sz w:val="21"/>
                <w:szCs w:val="21"/>
                <w:highlight w:val="none"/>
                <w:lang w:val="zh-CN" w:eastAsia="zh-CN"/>
              </w:rPr>
              <w:t>报价，但招标文件要求提交备选投标的除外。</w:t>
            </w:r>
          </w:p>
          <w:p>
            <w:pPr>
              <w:pStyle w:val="32"/>
              <w:keepNext w:val="0"/>
              <w:keepLines w:val="0"/>
              <w:pageBreakBefore w:val="0"/>
              <w:widowControl w:val="0"/>
              <w:shd w:val="clear" w:color="auto" w:fill="auto"/>
              <w:tabs>
                <w:tab w:val="left" w:pos="946"/>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en-US" w:eastAsia="zh-CN"/>
              </w:rPr>
              <w:t>（6）</w:t>
            </w:r>
            <w:r>
              <w:rPr>
                <w:rStyle w:val="33"/>
                <w:rFonts w:hint="eastAsia" w:ascii="宋体" w:hAnsi="宋体" w:eastAsia="宋体"/>
                <w:color w:val="auto"/>
                <w:sz w:val="21"/>
                <w:szCs w:val="21"/>
                <w:highlight w:val="none"/>
                <w:lang w:val="zh-CN" w:eastAsia="zh-CN"/>
              </w:rPr>
              <w:t>投标人若提交调价函，调价函符合招标文件第二章“投标人</w:t>
            </w:r>
            <w:r>
              <w:rPr>
                <w:rStyle w:val="33"/>
                <w:rFonts w:ascii="宋体" w:hAnsi="宋体" w:eastAsia="宋体"/>
                <w:color w:val="auto"/>
                <w:sz w:val="21"/>
                <w:szCs w:val="21"/>
                <w:highlight w:val="none"/>
                <w:lang w:val="zh-CN" w:eastAsia="zh-CN"/>
              </w:rPr>
              <w:t xml:space="preserve"> </w:t>
            </w:r>
            <w:r>
              <w:rPr>
                <w:rStyle w:val="33"/>
                <w:rFonts w:hint="eastAsia" w:ascii="宋体" w:hAnsi="宋体" w:eastAsia="宋体"/>
                <w:color w:val="auto"/>
                <w:sz w:val="21"/>
                <w:szCs w:val="21"/>
                <w:highlight w:val="none"/>
                <w:lang w:val="zh-CN" w:eastAsia="zh-CN"/>
              </w:rPr>
              <w:t>须知”第</w:t>
            </w:r>
            <w:r>
              <w:rPr>
                <w:rStyle w:val="33"/>
                <w:rFonts w:ascii="宋体" w:hAnsi="宋体" w:eastAsia="宋体"/>
                <w:color w:val="auto"/>
                <w:sz w:val="21"/>
                <w:szCs w:val="21"/>
                <w:highlight w:val="none"/>
                <w:lang w:val="en-US" w:eastAsia="zh-CN"/>
              </w:rPr>
              <w:t>3.2.6</w:t>
            </w:r>
            <w:r>
              <w:rPr>
                <w:rStyle w:val="33"/>
                <w:rFonts w:hint="eastAsia" w:ascii="宋体" w:hAnsi="宋体" w:eastAsia="宋体"/>
                <w:color w:val="auto"/>
                <w:sz w:val="21"/>
                <w:szCs w:val="21"/>
                <w:highlight w:val="none"/>
                <w:lang w:val="zh-CN" w:eastAsia="zh-CN"/>
              </w:rPr>
              <w:t>项要求。</w:t>
            </w:r>
          </w:p>
          <w:p>
            <w:pPr>
              <w:pStyle w:val="32"/>
              <w:keepNext w:val="0"/>
              <w:keepLines w:val="0"/>
              <w:pageBreakBefore w:val="0"/>
              <w:widowControl w:val="0"/>
              <w:shd w:val="clear" w:color="auto" w:fill="auto"/>
              <w:tabs>
                <w:tab w:val="left" w:pos="950"/>
              </w:tabs>
              <w:kinsoku/>
              <w:wordWrap/>
              <w:overflowPunct/>
              <w:topLinePunct w:val="0"/>
              <w:autoSpaceDE/>
              <w:autoSpaceDN/>
              <w:bidi w:val="0"/>
              <w:adjustRightInd w:val="0"/>
              <w:snapToGrid w:val="0"/>
              <w:spacing w:before="0" w:line="240" w:lineRule="auto"/>
              <w:ind w:left="42" w:leftChars="20" w:right="42" w:rightChars="20"/>
              <w:jc w:val="both"/>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en-US" w:eastAsia="zh-CN"/>
              </w:rPr>
              <w:t>（7）</w:t>
            </w:r>
            <w:r>
              <w:rPr>
                <w:rStyle w:val="33"/>
                <w:rFonts w:hint="eastAsia" w:ascii="宋体" w:hAnsi="宋体" w:eastAsia="宋体"/>
                <w:color w:val="auto"/>
                <w:sz w:val="21"/>
                <w:szCs w:val="21"/>
                <w:highlight w:val="none"/>
                <w:lang w:val="zh-CN" w:eastAsia="zh-CN"/>
              </w:rPr>
              <w:t>投标人若填写工程量固化清单，填写完毕的工程量固化清单未对工程量固化清单电子文件中的数据、格式和运算定义进行修改；工程量固化清单中的投标</w:t>
            </w:r>
            <w:r>
              <w:rPr>
                <w:rStyle w:val="33"/>
                <w:rFonts w:hint="eastAsia" w:ascii="宋体" w:hAnsi="宋体" w:eastAsia="宋体"/>
                <w:color w:val="auto"/>
                <w:sz w:val="21"/>
                <w:szCs w:val="21"/>
                <w:highlight w:val="none"/>
                <w:lang w:val="en-US" w:eastAsia="zh-CN"/>
              </w:rPr>
              <w:t>总</w:t>
            </w:r>
            <w:r>
              <w:rPr>
                <w:rStyle w:val="33"/>
                <w:rFonts w:hint="eastAsia" w:ascii="宋体" w:hAnsi="宋体" w:eastAsia="宋体"/>
                <w:color w:val="auto"/>
                <w:sz w:val="21"/>
                <w:szCs w:val="21"/>
                <w:highlight w:val="none"/>
                <w:lang w:val="zh-CN" w:eastAsia="zh-CN"/>
              </w:rPr>
              <w:t>报价和投标函大写金额报价一致。</w:t>
            </w:r>
          </w:p>
          <w:p>
            <w:pPr>
              <w:adjustRightInd w:val="0"/>
              <w:snapToGrid w:val="0"/>
              <w:ind w:firstLine="0" w:firstLineChars="0"/>
              <w:jc w:val="both"/>
              <w:rPr>
                <w:rStyle w:val="26"/>
                <w:rFonts w:hint="eastAsia" w:ascii="宋体" w:hAnsi="宋体" w:eastAsia="宋体" w:cs="宋体"/>
                <w:color w:val="auto"/>
                <w:sz w:val="21"/>
                <w:szCs w:val="21"/>
                <w:highlight w:val="none"/>
                <w:lang w:val="zh-CN"/>
              </w:rPr>
            </w:pPr>
            <w:r>
              <w:rPr>
                <w:rStyle w:val="33"/>
                <w:rFonts w:hint="eastAsia" w:ascii="宋体" w:hAnsi="宋体" w:eastAsia="宋体"/>
                <w:color w:val="auto"/>
                <w:sz w:val="21"/>
                <w:szCs w:val="21"/>
                <w:highlight w:val="none"/>
                <w:lang w:val="en-US" w:eastAsia="zh-CN"/>
              </w:rPr>
              <w:t>（8）</w:t>
            </w:r>
            <w:r>
              <w:rPr>
                <w:rStyle w:val="33"/>
                <w:rFonts w:hint="eastAsia" w:ascii="宋体" w:hAnsi="宋体" w:eastAsia="宋体"/>
                <w:color w:val="auto"/>
                <w:sz w:val="21"/>
                <w:szCs w:val="21"/>
                <w:highlight w:val="none"/>
                <w:lang w:val="zh-CN" w:eastAsia="zh-CN"/>
              </w:rPr>
              <w:t>投标文件正、副本份数符合招标文件第二章“投标人须知”第</w:t>
            </w:r>
            <w:r>
              <w:rPr>
                <w:rStyle w:val="33"/>
                <w:rFonts w:ascii="宋体" w:hAnsi="宋体" w:eastAsia="宋体"/>
                <w:color w:val="auto"/>
                <w:sz w:val="21"/>
                <w:szCs w:val="21"/>
                <w:highlight w:val="none"/>
                <w:lang w:val="zh-CN" w:eastAsia="zh-CN"/>
              </w:rPr>
              <w:t xml:space="preserve"> </w:t>
            </w:r>
            <w:r>
              <w:rPr>
                <w:rStyle w:val="35"/>
                <w:rFonts w:ascii="宋体" w:hAnsi="宋体" w:eastAsia="宋体"/>
                <w:color w:val="auto"/>
                <w:sz w:val="21"/>
                <w:szCs w:val="21"/>
                <w:highlight w:val="none"/>
                <w:lang w:eastAsia="zh-CN"/>
              </w:rPr>
              <w:t>3.7.4</w:t>
            </w:r>
            <w:r>
              <w:rPr>
                <w:rStyle w:val="35"/>
                <w:rFonts w:hint="eastAsia" w:ascii="宋体" w:hAnsi="宋体" w:eastAsia="宋体"/>
                <w:color w:val="auto"/>
                <w:sz w:val="21"/>
                <w:szCs w:val="21"/>
                <w:highlight w:val="none"/>
                <w:lang w:eastAsia="zh-CN"/>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4"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Style w:val="26"/>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zh-CN"/>
              </w:rPr>
              <w:t>2.1.2</w:t>
            </w:r>
          </w:p>
        </w:tc>
        <w:tc>
          <w:tcPr>
            <w:tcW w:w="1250" w:type="dxa"/>
            <w:shd w:val="clear" w:color="auto" w:fill="FFFFFF"/>
            <w:noWrap w:val="0"/>
            <w:vAlign w:val="center"/>
          </w:tcPr>
          <w:p>
            <w:pPr>
              <w:pStyle w:val="20"/>
              <w:shd w:val="clear" w:color="auto" w:fill="auto"/>
              <w:adjustRightInd w:val="0"/>
              <w:snapToGrid w:val="0"/>
              <w:spacing w:before="0" w:line="240" w:lineRule="auto"/>
              <w:jc w:val="center"/>
              <w:rPr>
                <w:rStyle w:val="26"/>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zh-CN"/>
              </w:rPr>
              <w:t>资格评审</w:t>
            </w:r>
          </w:p>
          <w:p>
            <w:pPr>
              <w:pStyle w:val="20"/>
              <w:shd w:val="clear" w:color="auto" w:fill="auto"/>
              <w:adjustRightInd w:val="0"/>
              <w:snapToGrid w:val="0"/>
              <w:spacing w:before="0" w:line="240" w:lineRule="auto"/>
              <w:jc w:val="center"/>
              <w:rPr>
                <w:rStyle w:val="26"/>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zh-CN"/>
              </w:rPr>
              <w:t>标准</w:t>
            </w:r>
          </w:p>
        </w:tc>
        <w:tc>
          <w:tcPr>
            <w:tcW w:w="7200" w:type="dxa"/>
            <w:shd w:val="clear" w:color="auto" w:fill="FFFFFF"/>
            <w:noWrap w:val="0"/>
            <w:vAlign w:val="top"/>
          </w:tcPr>
          <w:p>
            <w:pPr>
              <w:pStyle w:val="32"/>
              <w:keepNext w:val="0"/>
              <w:keepLines w:val="0"/>
              <w:pageBreakBefore w:val="0"/>
              <w:widowControl w:val="0"/>
              <w:shd w:val="clear" w:color="auto" w:fill="auto"/>
              <w:kinsoku/>
              <w:wordWrap/>
              <w:overflowPunct/>
              <w:topLinePunct w:val="0"/>
              <w:autoSpaceDE/>
              <w:autoSpaceDN/>
              <w:bidi w:val="0"/>
              <w:adjustRightInd/>
              <w:snapToGrid/>
              <w:spacing w:before="0" w:line="340" w:lineRule="exact"/>
              <w:ind w:left="42" w:leftChars="20" w:right="42" w:rightChars="20"/>
              <w:textAlignment w:val="auto"/>
              <w:rPr>
                <w:rStyle w:val="33"/>
                <w:rFonts w:hint="eastAsia" w:ascii="宋体" w:hAnsi="宋体" w:eastAsia="宋体"/>
                <w:color w:val="auto"/>
                <w:sz w:val="21"/>
                <w:szCs w:val="21"/>
                <w:highlight w:val="none"/>
                <w:lang w:val="zh-CN" w:eastAsia="zh-CN"/>
              </w:rPr>
            </w:pPr>
            <w:r>
              <w:rPr>
                <w:rStyle w:val="33"/>
                <w:rFonts w:hint="eastAsia" w:ascii="宋体" w:hAnsi="宋体" w:eastAsia="宋体"/>
                <w:color w:val="auto"/>
                <w:sz w:val="21"/>
                <w:szCs w:val="21"/>
                <w:highlight w:val="none"/>
                <w:lang w:val="en-US" w:eastAsia="zh-CN"/>
              </w:rPr>
              <w:t>（1）</w:t>
            </w:r>
            <w:r>
              <w:rPr>
                <w:rStyle w:val="33"/>
                <w:rFonts w:hint="eastAsia" w:ascii="宋体" w:hAnsi="宋体" w:eastAsia="宋体"/>
                <w:color w:val="auto"/>
                <w:sz w:val="21"/>
                <w:szCs w:val="21"/>
                <w:highlight w:val="none"/>
                <w:lang w:val="zh-CN" w:eastAsia="zh-CN"/>
              </w:rPr>
              <w:t>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line="340" w:lineRule="exact"/>
              <w:ind w:left="42" w:leftChars="20" w:right="42" w:rightChars="20"/>
              <w:textAlignment w:val="auto"/>
              <w:rPr>
                <w:rStyle w:val="33"/>
                <w:rFonts w:ascii="宋体" w:hAnsi="宋体" w:eastAsia="宋体"/>
                <w:color w:val="auto"/>
                <w:sz w:val="21"/>
                <w:szCs w:val="21"/>
                <w:highlight w:val="none"/>
                <w:lang w:val="zh-CN" w:eastAsia="zh-CN"/>
              </w:rPr>
            </w:pPr>
            <w:r>
              <w:rPr>
                <w:rStyle w:val="33"/>
                <w:rFonts w:hint="eastAsia" w:ascii="宋体" w:hAnsi="宋体" w:eastAsia="宋体"/>
                <w:color w:val="auto"/>
                <w:sz w:val="21"/>
                <w:szCs w:val="21"/>
                <w:highlight w:val="none"/>
                <w:lang w:val="zh-CN" w:eastAsia="zh-CN"/>
              </w:rPr>
              <w:t>（2）投标人的资质等级符合招标文件规定；</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line="340" w:lineRule="exact"/>
              <w:ind w:left="42" w:leftChars="20" w:right="42" w:rightChars="20"/>
              <w:textAlignment w:val="auto"/>
              <w:rPr>
                <w:rStyle w:val="33"/>
                <w:rFonts w:ascii="宋体" w:hAnsi="宋体" w:eastAsia="宋体"/>
                <w:color w:val="auto"/>
                <w:sz w:val="21"/>
                <w:szCs w:val="21"/>
                <w:highlight w:val="none"/>
                <w:lang w:val="zh-CN" w:eastAsia="zh-CN"/>
              </w:rPr>
            </w:pPr>
            <w:r>
              <w:rPr>
                <w:rStyle w:val="33"/>
                <w:rFonts w:hint="eastAsia" w:ascii="宋体" w:hAnsi="宋体" w:eastAsia="宋体"/>
                <w:color w:val="auto"/>
                <w:sz w:val="21"/>
                <w:szCs w:val="21"/>
                <w:highlight w:val="none"/>
                <w:lang w:val="zh-CN" w:eastAsia="zh-CN"/>
              </w:rPr>
              <w:t>（3）投标人的财务状况符合招标文件规定；</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line="340" w:lineRule="exact"/>
              <w:ind w:left="42" w:leftChars="20" w:right="42" w:rightChars="20"/>
              <w:textAlignment w:val="auto"/>
              <w:rPr>
                <w:rStyle w:val="33"/>
                <w:rFonts w:ascii="宋体" w:hAnsi="宋体" w:eastAsia="宋体"/>
                <w:color w:val="auto"/>
                <w:sz w:val="21"/>
                <w:szCs w:val="21"/>
                <w:highlight w:val="none"/>
                <w:lang w:val="zh-CN" w:eastAsia="zh-CN"/>
              </w:rPr>
            </w:pPr>
            <w:r>
              <w:rPr>
                <w:rStyle w:val="33"/>
                <w:rFonts w:hint="eastAsia" w:ascii="宋体" w:hAnsi="宋体" w:eastAsia="宋体"/>
                <w:color w:val="auto"/>
                <w:sz w:val="21"/>
                <w:szCs w:val="21"/>
                <w:highlight w:val="none"/>
                <w:lang w:val="zh-CN" w:eastAsia="zh-CN"/>
              </w:rPr>
              <w:t>（4）投标人的类似项目业绩符合招标文件规定；</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line="340" w:lineRule="exact"/>
              <w:ind w:left="42" w:leftChars="20" w:right="42" w:rightChars="20"/>
              <w:textAlignment w:val="auto"/>
              <w:rPr>
                <w:rStyle w:val="33"/>
                <w:rFonts w:ascii="宋体" w:hAnsi="宋体" w:eastAsia="宋体"/>
                <w:color w:val="auto"/>
                <w:sz w:val="21"/>
                <w:szCs w:val="21"/>
                <w:highlight w:val="none"/>
                <w:lang w:val="zh-CN" w:eastAsia="zh-CN"/>
              </w:rPr>
            </w:pPr>
            <w:r>
              <w:rPr>
                <w:rStyle w:val="33"/>
                <w:rFonts w:hint="eastAsia" w:ascii="宋体" w:hAnsi="宋体" w:eastAsia="宋体"/>
                <w:color w:val="auto"/>
                <w:sz w:val="21"/>
                <w:szCs w:val="21"/>
                <w:highlight w:val="none"/>
                <w:lang w:val="zh-CN" w:eastAsia="zh-CN"/>
              </w:rPr>
              <w:t>（5）投标人的信誉符合招标文件规定；</w:t>
            </w:r>
          </w:p>
          <w:p>
            <w:pPr>
              <w:pStyle w:val="32"/>
              <w:keepNext w:val="0"/>
              <w:keepLines w:val="0"/>
              <w:pageBreakBefore w:val="0"/>
              <w:widowControl w:val="0"/>
              <w:shd w:val="clear" w:color="auto" w:fill="auto"/>
              <w:kinsoku/>
              <w:wordWrap/>
              <w:overflowPunct/>
              <w:topLinePunct w:val="0"/>
              <w:autoSpaceDE/>
              <w:autoSpaceDN/>
              <w:bidi w:val="0"/>
              <w:adjustRightInd/>
              <w:snapToGrid/>
              <w:spacing w:before="0" w:line="340" w:lineRule="exact"/>
              <w:ind w:left="42" w:leftChars="20" w:right="42" w:rightChars="20"/>
              <w:textAlignment w:val="auto"/>
              <w:rPr>
                <w:rFonts w:ascii="宋体" w:hAnsi="宋体" w:eastAsia="宋体" w:cs="MingLiU"/>
                <w:color w:val="auto"/>
                <w:sz w:val="21"/>
                <w:szCs w:val="21"/>
                <w:highlight w:val="none"/>
                <w:lang w:val="en-US" w:eastAsia="zh-CN"/>
              </w:rPr>
            </w:pPr>
            <w:r>
              <w:rPr>
                <w:rStyle w:val="33"/>
                <w:rFonts w:hint="eastAsia" w:ascii="宋体" w:hAnsi="宋体" w:eastAsia="宋体"/>
                <w:color w:val="auto"/>
                <w:sz w:val="21"/>
                <w:szCs w:val="21"/>
                <w:highlight w:val="none"/>
                <w:lang w:val="zh-CN" w:eastAsia="zh-CN"/>
              </w:rPr>
              <w:t>（6）投标人的项目负责人和项目技术负责人资格、在岗情况</w:t>
            </w:r>
            <w:r>
              <w:rPr>
                <w:rStyle w:val="36"/>
                <w:rFonts w:hint="eastAsia" w:ascii="宋体" w:hAnsi="宋体" w:eastAsia="宋体"/>
                <w:color w:val="auto"/>
                <w:sz w:val="21"/>
                <w:szCs w:val="21"/>
                <w:highlight w:val="none"/>
                <w:lang w:val="zh-CN" w:eastAsia="zh-CN"/>
              </w:rPr>
              <w:t>符合招标文件规定</w:t>
            </w:r>
            <w:r>
              <w:rPr>
                <w:rStyle w:val="33"/>
                <w:rFonts w:hint="eastAsia" w:ascii="宋体" w:hAnsi="宋体" w:eastAsia="宋体"/>
                <w:color w:val="auto"/>
                <w:sz w:val="21"/>
                <w:szCs w:val="21"/>
                <w:highlight w:val="none"/>
                <w:lang w:val="zh-CN" w:eastAsia="zh-CN"/>
              </w:rPr>
              <w:t>，并按规定在投标文件中签字确认</w:t>
            </w:r>
            <w:r>
              <w:rPr>
                <w:rStyle w:val="36"/>
                <w:rFonts w:hint="eastAsia" w:ascii="宋体" w:hAnsi="宋体" w:eastAsia="宋体"/>
                <w:color w:val="auto"/>
                <w:sz w:val="21"/>
                <w:szCs w:val="21"/>
                <w:highlight w:val="none"/>
                <w:lang w:val="zh-CN" w:eastAsia="zh-CN"/>
              </w:rPr>
              <w:t>；</w:t>
            </w:r>
          </w:p>
          <w:p>
            <w:pPr>
              <w:pStyle w:val="20"/>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line="340" w:lineRule="exact"/>
              <w:ind w:left="42" w:leftChars="20" w:right="42" w:rightChars="20"/>
              <w:jc w:val="both"/>
              <w:textAlignment w:val="auto"/>
              <w:rPr>
                <w:rFonts w:ascii="宋体" w:hAnsi="宋体" w:eastAsia="宋体" w:cs="MingLiU"/>
                <w:color w:val="auto"/>
                <w:sz w:val="21"/>
                <w:szCs w:val="21"/>
                <w:highlight w:val="none"/>
                <w:lang w:val="en-US" w:eastAsia="zh-CN"/>
              </w:rPr>
            </w:pPr>
            <w:r>
              <w:rPr>
                <w:rStyle w:val="36"/>
                <w:rFonts w:hint="eastAsia" w:ascii="宋体" w:hAnsi="宋体" w:eastAsia="宋体"/>
                <w:color w:val="auto"/>
                <w:sz w:val="21"/>
                <w:szCs w:val="21"/>
                <w:highlight w:val="none"/>
                <w:lang w:val="en-US" w:eastAsia="zh-CN"/>
              </w:rPr>
              <w:t>（7）</w:t>
            </w:r>
            <w:r>
              <w:rPr>
                <w:rStyle w:val="36"/>
                <w:rFonts w:hint="eastAsia" w:ascii="宋体" w:hAnsi="宋体" w:eastAsia="宋体"/>
                <w:color w:val="auto"/>
                <w:sz w:val="21"/>
                <w:szCs w:val="21"/>
                <w:highlight w:val="none"/>
                <w:lang w:val="zh-CN" w:eastAsia="zh-CN"/>
              </w:rPr>
              <w:t>投标人的其他要求符合招标文件规定；</w:t>
            </w:r>
          </w:p>
          <w:p>
            <w:pPr>
              <w:pStyle w:val="20"/>
              <w:keepNext w:val="0"/>
              <w:keepLines w:val="0"/>
              <w:pageBreakBefore w:val="0"/>
              <w:widowControl w:val="0"/>
              <w:shd w:val="clear" w:color="auto" w:fill="auto"/>
              <w:tabs>
                <w:tab w:val="left" w:pos="943"/>
              </w:tabs>
              <w:kinsoku/>
              <w:wordWrap/>
              <w:overflowPunct/>
              <w:topLinePunct w:val="0"/>
              <w:autoSpaceDE/>
              <w:autoSpaceDN/>
              <w:bidi w:val="0"/>
              <w:adjustRightInd/>
              <w:snapToGrid/>
              <w:spacing w:before="0" w:line="340" w:lineRule="exact"/>
              <w:ind w:left="42" w:leftChars="20" w:right="42" w:rightChars="20"/>
              <w:jc w:val="both"/>
              <w:textAlignment w:val="auto"/>
              <w:rPr>
                <w:rStyle w:val="36"/>
                <w:rFonts w:hint="eastAsia" w:ascii="宋体" w:hAnsi="宋体" w:eastAsia="宋体"/>
                <w:color w:val="auto"/>
                <w:sz w:val="21"/>
                <w:szCs w:val="21"/>
                <w:highlight w:val="none"/>
                <w:lang w:val="zh-CN" w:eastAsia="zh-CN"/>
              </w:rPr>
            </w:pPr>
            <w:r>
              <w:rPr>
                <w:rStyle w:val="36"/>
                <w:rFonts w:hint="eastAsia" w:ascii="宋体" w:hAnsi="宋体" w:eastAsia="宋体"/>
                <w:color w:val="auto"/>
                <w:sz w:val="21"/>
                <w:szCs w:val="21"/>
                <w:highlight w:val="none"/>
                <w:lang w:val="en-US" w:eastAsia="zh-CN"/>
              </w:rPr>
              <w:t>（8）</w:t>
            </w:r>
            <w:r>
              <w:rPr>
                <w:rStyle w:val="36"/>
                <w:rFonts w:hint="eastAsia" w:ascii="宋体" w:hAnsi="宋体" w:eastAsia="宋体"/>
                <w:color w:val="auto"/>
                <w:sz w:val="21"/>
                <w:szCs w:val="21"/>
                <w:highlight w:val="none"/>
                <w:lang w:val="zh-CN" w:eastAsia="zh-CN"/>
              </w:rPr>
              <w:t>投标人不存在第二章“投标人须知”第</w:t>
            </w:r>
            <w:r>
              <w:rPr>
                <w:rStyle w:val="36"/>
                <w:rFonts w:ascii="宋体" w:hAnsi="宋体" w:eastAsia="宋体"/>
                <w:color w:val="auto"/>
                <w:sz w:val="21"/>
                <w:szCs w:val="21"/>
                <w:highlight w:val="none"/>
                <w:lang w:val="en-US" w:eastAsia="zh-CN"/>
              </w:rPr>
              <w:t>1.4.3</w:t>
            </w:r>
            <w:r>
              <w:rPr>
                <w:rStyle w:val="36"/>
                <w:rFonts w:hint="eastAsia" w:ascii="宋体" w:hAnsi="宋体" w:eastAsia="宋体"/>
                <w:color w:val="auto"/>
                <w:sz w:val="21"/>
                <w:szCs w:val="21"/>
                <w:highlight w:val="none"/>
                <w:lang w:val="zh-CN" w:eastAsia="zh-CN"/>
              </w:rPr>
              <w:t>项或第</w:t>
            </w:r>
            <w:r>
              <w:rPr>
                <w:rStyle w:val="36"/>
                <w:rFonts w:ascii="宋体" w:hAnsi="宋体" w:eastAsia="宋体"/>
                <w:color w:val="auto"/>
                <w:sz w:val="21"/>
                <w:szCs w:val="21"/>
                <w:highlight w:val="none"/>
                <w:lang w:val="en-US" w:eastAsia="zh-CN"/>
              </w:rPr>
              <w:t>1.4.4</w:t>
            </w:r>
            <w:r>
              <w:rPr>
                <w:rStyle w:val="36"/>
                <w:rFonts w:hint="eastAsia" w:ascii="宋体" w:hAnsi="宋体" w:eastAsia="宋体"/>
                <w:color w:val="auto"/>
                <w:sz w:val="21"/>
                <w:szCs w:val="21"/>
                <w:highlight w:val="none"/>
                <w:lang w:val="zh-CN" w:eastAsia="zh-CN"/>
              </w:rPr>
              <w:t>项规定的任何一种情形；</w:t>
            </w:r>
          </w:p>
          <w:p>
            <w:pPr>
              <w:pStyle w:val="20"/>
              <w:keepNext w:val="0"/>
              <w:keepLines w:val="0"/>
              <w:pageBreakBefore w:val="0"/>
              <w:widowControl w:val="0"/>
              <w:shd w:val="clear" w:color="auto" w:fill="auto"/>
              <w:tabs>
                <w:tab w:val="left" w:pos="943"/>
              </w:tabs>
              <w:kinsoku/>
              <w:wordWrap/>
              <w:overflowPunct/>
              <w:topLinePunct w:val="0"/>
              <w:autoSpaceDE/>
              <w:autoSpaceDN/>
              <w:bidi w:val="0"/>
              <w:adjustRightInd/>
              <w:snapToGrid/>
              <w:spacing w:before="0" w:line="340" w:lineRule="exact"/>
              <w:ind w:left="42" w:leftChars="20" w:right="42" w:rightChars="20"/>
              <w:jc w:val="both"/>
              <w:textAlignment w:val="auto"/>
              <w:rPr>
                <w:rFonts w:ascii="宋体" w:hAnsi="宋体" w:eastAsia="宋体" w:cs="MingLiU"/>
                <w:color w:val="auto"/>
                <w:sz w:val="21"/>
                <w:szCs w:val="21"/>
                <w:highlight w:val="none"/>
                <w:lang w:val="en-US" w:eastAsia="zh-CN"/>
              </w:rPr>
            </w:pPr>
            <w:r>
              <w:rPr>
                <w:rStyle w:val="36"/>
                <w:rFonts w:hint="eastAsia" w:ascii="宋体" w:hAnsi="宋体" w:eastAsia="宋体"/>
                <w:color w:val="auto"/>
                <w:sz w:val="21"/>
                <w:szCs w:val="21"/>
                <w:highlight w:val="none"/>
                <w:lang w:val="zh-CN" w:eastAsia="zh-CN"/>
              </w:rPr>
              <w:t>（9）以联合体形式参与投标的，联合体各方均未再以自己名义单独或参加其他联合体在同一标段中投标；独立参与投标的，投标人未同时参加联合体在同一标段中投标。</w:t>
            </w:r>
          </w:p>
          <w:p>
            <w:pPr>
              <w:adjustRightInd w:val="0"/>
              <w:snapToGrid w:val="0"/>
              <w:ind w:firstLine="420" w:firstLineChars="200"/>
              <w:rPr>
                <w:rStyle w:val="26"/>
                <w:rFonts w:hint="eastAsia" w:ascii="宋体" w:hAnsi="宋体" w:eastAsia="宋体" w:cs="宋体"/>
                <w:color w:val="auto"/>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bottom"/>
          </w:tcPr>
          <w:p>
            <w:pPr>
              <w:pStyle w:val="20"/>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30"/>
                <w:rFonts w:hint="eastAsia" w:ascii="宋体" w:hAnsi="宋体" w:eastAsia="宋体" w:cs="宋体"/>
                <w:b/>
                <w:bCs/>
                <w:color w:val="auto"/>
                <w:sz w:val="21"/>
                <w:szCs w:val="21"/>
                <w:highlight w:val="none"/>
                <w:lang w:val="zh-CN"/>
              </w:rPr>
              <w:t>条款号</w:t>
            </w:r>
          </w:p>
        </w:tc>
        <w:tc>
          <w:tcPr>
            <w:tcW w:w="1250" w:type="dxa"/>
            <w:shd w:val="clear" w:color="auto" w:fill="FFFFFF"/>
            <w:noWrap w:val="0"/>
            <w:vAlign w:val="bottom"/>
          </w:tcPr>
          <w:p>
            <w:pPr>
              <w:pStyle w:val="20"/>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30"/>
                <w:rFonts w:hint="eastAsia" w:ascii="宋体" w:hAnsi="宋体" w:eastAsia="宋体" w:cs="宋体"/>
                <w:b/>
                <w:bCs/>
                <w:color w:val="auto"/>
                <w:sz w:val="21"/>
                <w:szCs w:val="21"/>
                <w:highlight w:val="none"/>
                <w:lang w:val="zh-CN"/>
              </w:rPr>
              <w:t>条款内容</w:t>
            </w:r>
          </w:p>
        </w:tc>
        <w:tc>
          <w:tcPr>
            <w:tcW w:w="7200" w:type="dxa"/>
            <w:shd w:val="clear" w:color="auto" w:fill="FFFFFF"/>
            <w:noWrap w:val="0"/>
            <w:vAlign w:val="bottom"/>
          </w:tcPr>
          <w:p>
            <w:pPr>
              <w:pStyle w:val="20"/>
              <w:shd w:val="clear" w:color="auto" w:fill="auto"/>
              <w:adjustRightInd w:val="0"/>
              <w:snapToGrid w:val="0"/>
              <w:spacing w:before="0" w:line="240" w:lineRule="auto"/>
              <w:jc w:val="center"/>
              <w:rPr>
                <w:rFonts w:hint="eastAsia" w:ascii="宋体" w:hAnsi="宋体" w:eastAsia="宋体" w:cs="宋体"/>
                <w:b/>
                <w:bCs/>
                <w:color w:val="auto"/>
                <w:sz w:val="21"/>
                <w:szCs w:val="21"/>
                <w:highlight w:val="none"/>
              </w:rPr>
            </w:pPr>
            <w:r>
              <w:rPr>
                <w:rStyle w:val="30"/>
                <w:rFonts w:hint="eastAsia" w:ascii="宋体" w:hAnsi="宋体" w:eastAsia="宋体" w:cs="宋体"/>
                <w:b/>
                <w:bCs/>
                <w:color w:val="auto"/>
                <w:sz w:val="21"/>
                <w:szCs w:val="21"/>
                <w:highlight w:val="none"/>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2.2.1</w:t>
            </w:r>
          </w:p>
        </w:tc>
        <w:tc>
          <w:tcPr>
            <w:tcW w:w="1250"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lang w:val="zh-CN"/>
              </w:rPr>
              <w:t>分值构成</w:t>
            </w:r>
          </w:p>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lang w:val="zh-CN"/>
              </w:rPr>
              <w:t>(总分100分）</w:t>
            </w:r>
          </w:p>
        </w:tc>
        <w:tc>
          <w:tcPr>
            <w:tcW w:w="7200" w:type="dxa"/>
            <w:shd w:val="clear" w:color="auto" w:fill="FFFFFF"/>
            <w:noWrap w:val="0"/>
            <w:vAlign w:val="center"/>
          </w:tcPr>
          <w:p>
            <w:pPr>
              <w:pStyle w:val="20"/>
              <w:shd w:val="clear" w:color="auto" w:fill="auto"/>
              <w:spacing w:before="0" w:line="240" w:lineRule="auto"/>
              <w:jc w:val="both"/>
              <w:rPr>
                <w:rStyle w:val="37"/>
                <w:rFonts w:hint="eastAsia" w:ascii="宋体" w:hAnsi="宋体" w:eastAsia="宋体" w:cs="宋体"/>
                <w:b w:val="0"/>
                <w:color w:val="auto"/>
                <w:sz w:val="21"/>
                <w:szCs w:val="21"/>
                <w:highlight w:val="none"/>
                <w:lang w:val="zh-CN"/>
              </w:rPr>
            </w:pPr>
            <w:r>
              <w:rPr>
                <w:rStyle w:val="37"/>
                <w:rFonts w:hint="eastAsia" w:ascii="宋体" w:hAnsi="宋体" w:eastAsia="宋体" w:cs="宋体"/>
                <w:b w:val="0"/>
                <w:color w:val="auto"/>
                <w:sz w:val="21"/>
                <w:szCs w:val="21"/>
                <w:highlight w:val="none"/>
              </w:rPr>
              <w:t>其他因素：履约信誉、工程业绩、企业荣誉、企业综合能力及特殊能力等</w:t>
            </w:r>
            <w:r>
              <w:rPr>
                <w:rStyle w:val="37"/>
                <w:rFonts w:hint="eastAsia" w:ascii="宋体" w:hAnsi="宋体" w:eastAsia="宋体" w:cs="宋体"/>
                <w:b w:val="0"/>
                <w:color w:val="auto"/>
                <w:sz w:val="21"/>
                <w:szCs w:val="21"/>
                <w:highlight w:val="none"/>
                <w:lang w:eastAsia="zh-CN"/>
              </w:rPr>
              <w:t>。</w:t>
            </w:r>
            <w:r>
              <w:rPr>
                <w:rStyle w:val="37"/>
                <w:rFonts w:hint="eastAsia" w:ascii="宋体" w:hAnsi="宋体" w:eastAsia="宋体" w:cs="宋体"/>
                <w:color w:val="auto"/>
                <w:sz w:val="21"/>
                <w:szCs w:val="21"/>
                <w:highlight w:val="none"/>
              </w:rPr>
              <w:t xml:space="preserve"> </w:t>
            </w:r>
            <w:r>
              <w:rPr>
                <w:rStyle w:val="37"/>
                <w:rFonts w:hint="eastAsia" w:ascii="宋体" w:hAnsi="宋体" w:eastAsia="宋体" w:cs="宋体"/>
                <w:color w:val="auto"/>
                <w:sz w:val="21"/>
                <w:szCs w:val="21"/>
                <w:highlight w:val="none"/>
                <w:lang w:val="zh-CN"/>
              </w:rPr>
              <w:t xml:space="preserve">                 </w:t>
            </w:r>
          </w:p>
          <w:p>
            <w:pPr>
              <w:pStyle w:val="20"/>
              <w:shd w:val="clear" w:color="auto" w:fill="auto"/>
              <w:spacing w:before="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pacing w:val="0"/>
                <w:sz w:val="21"/>
                <w:szCs w:val="21"/>
                <w:highlight w:val="none"/>
                <w:u w:val="single"/>
                <w:lang w:val="en-US" w:eastAsia="zh-CN"/>
              </w:rPr>
              <w:t>40</w:t>
            </w:r>
            <w:r>
              <w:rPr>
                <w:rFonts w:hint="eastAsia" w:ascii="宋体" w:hAnsi="宋体" w:eastAsia="宋体" w:cs="宋体"/>
                <w:color w:val="auto"/>
                <w:spacing w:val="0"/>
                <w:sz w:val="21"/>
                <w:szCs w:val="21"/>
                <w:highlight w:val="none"/>
              </w:rPr>
              <w:t xml:space="preserve">分      </w:t>
            </w:r>
            <w:r>
              <w:rPr>
                <w:rFonts w:ascii="宋体" w:hAnsi="宋体" w:eastAsia="宋体" w:cs="MingLiU"/>
                <w:color w:val="auto"/>
                <w:spacing w:val="0"/>
                <w:kern w:val="2"/>
                <w:sz w:val="21"/>
                <w:szCs w:val="21"/>
                <w:highlight w:val="none"/>
              </w:rPr>
              <w:t xml:space="preserve"> </w:t>
            </w:r>
            <w:r>
              <w:rPr>
                <w:rFonts w:hint="eastAsia" w:ascii="宋体" w:hAnsi="宋体" w:eastAsia="宋体" w:cs="宋体"/>
                <w:color w:val="auto"/>
                <w:spacing w:val="0"/>
                <w:sz w:val="21"/>
                <w:szCs w:val="21"/>
                <w:highlight w:val="none"/>
              </w:rPr>
              <w:t xml:space="preserve"> </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项目管理机构：</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 xml:space="preserve">分           </w:t>
            </w:r>
            <w:r>
              <w:rPr>
                <w:rFonts w:hint="eastAsia" w:ascii="宋体" w:hAnsi="宋体" w:cs="宋体"/>
                <w:color w:val="auto"/>
                <w:szCs w:val="21"/>
                <w:highlight w:val="none"/>
                <w:lang w:val="en-US" w:eastAsia="zh-CN"/>
              </w:rPr>
              <w:t xml:space="preserve">  </w:t>
            </w:r>
          </w:p>
          <w:p>
            <w:pPr>
              <w:pStyle w:val="20"/>
              <w:shd w:val="clear" w:color="auto" w:fill="auto"/>
              <w:spacing w:before="0"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其他因素：</w:t>
            </w:r>
            <w:r>
              <w:rPr>
                <w:rFonts w:hint="eastAsia" w:ascii="宋体" w:hAnsi="宋体" w:eastAsia="宋体" w:cs="宋体"/>
                <w:color w:val="auto"/>
                <w:spacing w:val="0"/>
                <w:sz w:val="21"/>
                <w:szCs w:val="21"/>
                <w:highlight w:val="none"/>
                <w:u w:val="single"/>
                <w:lang w:val="en-US" w:eastAsia="zh-CN"/>
              </w:rPr>
              <w:t>35</w:t>
            </w:r>
            <w:r>
              <w:rPr>
                <w:rFonts w:hint="eastAsia" w:ascii="宋体" w:hAnsi="宋体" w:eastAsia="宋体" w:cs="宋体"/>
                <w:color w:val="auto"/>
                <w:spacing w:val="0"/>
                <w:sz w:val="21"/>
                <w:szCs w:val="21"/>
                <w:highlight w:val="none"/>
              </w:rPr>
              <w:t xml:space="preserve">分，其中：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Style w:val="28"/>
                <w:rFonts w:hint="eastAsia" w:ascii="宋体" w:hAnsi="宋体" w:eastAsia="宋体" w:cs="宋体"/>
                <w:color w:val="auto"/>
                <w:sz w:val="21"/>
                <w:szCs w:val="21"/>
                <w:highlight w:val="none"/>
                <w:lang w:eastAsia="zh-CN"/>
              </w:rPr>
            </w:pPr>
            <w:r>
              <w:rPr>
                <w:rStyle w:val="28"/>
                <w:rFonts w:hint="eastAsia" w:ascii="宋体" w:hAnsi="宋体" w:eastAsia="宋体" w:cs="宋体"/>
                <w:color w:val="auto"/>
                <w:sz w:val="21"/>
                <w:szCs w:val="21"/>
                <w:highlight w:val="none"/>
                <w:lang w:eastAsia="zh-CN"/>
              </w:rPr>
              <w:t>2.2.</w:t>
            </w:r>
            <w:r>
              <w:rPr>
                <w:rStyle w:val="28"/>
                <w:rFonts w:hint="eastAsia" w:ascii="宋体" w:hAnsi="宋体" w:eastAsia="宋体" w:cs="宋体"/>
                <w:color w:val="auto"/>
                <w:sz w:val="21"/>
                <w:szCs w:val="21"/>
                <w:highlight w:val="none"/>
                <w:lang w:val="en-US" w:eastAsia="zh-CN"/>
              </w:rPr>
              <w:t>3</w:t>
            </w:r>
          </w:p>
        </w:tc>
        <w:tc>
          <w:tcPr>
            <w:tcW w:w="1250" w:type="dxa"/>
            <w:shd w:val="clear" w:color="auto" w:fill="FFFFFF"/>
            <w:noWrap w:val="0"/>
            <w:vAlign w:val="center"/>
          </w:tcPr>
          <w:p>
            <w:pPr>
              <w:jc w:val="center"/>
              <w:rPr>
                <w:rStyle w:val="26"/>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zh-CN"/>
              </w:rPr>
              <w:t>第二个信封详细评审标准</w:t>
            </w:r>
          </w:p>
        </w:tc>
        <w:tc>
          <w:tcPr>
            <w:tcW w:w="7200" w:type="dxa"/>
            <w:shd w:val="clear" w:color="auto" w:fill="FFFFFF"/>
            <w:noWrap w:val="0"/>
            <w:vAlign w:val="center"/>
          </w:tcPr>
          <w:p>
            <w:pPr>
              <w:pStyle w:val="3"/>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评标价的评审：</w:t>
            </w:r>
          </w:p>
          <w:p>
            <w:pPr>
              <w:pStyle w:val="3"/>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(1)评标价计算公式：</w:t>
            </w:r>
          </w:p>
          <w:p>
            <w:pPr>
              <w:pStyle w:val="3"/>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评标价=修正后的投标报价一暂估价一暂列金额（不含计日工总额）</w:t>
            </w:r>
          </w:p>
          <w:p>
            <w:pPr>
              <w:pStyle w:val="3"/>
              <w:ind w:firstLine="420" w:firstLineChars="200"/>
              <w:rPr>
                <w:rFonts w:hint="eastAsia" w:ascii="宋体" w:hAnsi="宋体" w:eastAsia="宋体" w:cs="宋体"/>
                <w:color w:val="auto"/>
                <w:highlight w:val="none"/>
                <w:lang w:val="en-US"/>
              </w:rPr>
            </w:pPr>
            <w:r>
              <w:rPr>
                <w:rFonts w:hint="eastAsia" w:ascii="宋体" w:hAnsi="宋体" w:eastAsia="宋体" w:cs="宋体"/>
                <w:color w:val="auto"/>
                <w:highlight w:val="none"/>
              </w:rPr>
              <w:t>若投标人的评标价小于最高投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被否决部分投标人后，有效投标人不足三家使得投标明显缺乏竞争，评标委员会认为竞争不足的情况出现时，评标委员会可以否决全部投标。未否决全部投标的，评标委员会应当在评标报告中阐明理由并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75" w:type="dxa"/>
            <w:shd w:val="clear" w:color="auto" w:fill="FFFFFF"/>
            <w:noWrap w:val="0"/>
            <w:vAlign w:val="center"/>
          </w:tcPr>
          <w:p>
            <w:pPr>
              <w:pStyle w:val="20"/>
              <w:shd w:val="clear" w:color="auto" w:fill="auto"/>
              <w:adjustRightInd w:val="0"/>
              <w:snapToGrid w:val="0"/>
              <w:spacing w:before="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250" w:type="dxa"/>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通过第一个信封详细评审的投标人数量</w:t>
            </w:r>
          </w:p>
        </w:tc>
        <w:tc>
          <w:tcPr>
            <w:tcW w:w="7200" w:type="dxa"/>
            <w:shd w:val="clear" w:color="auto" w:fill="FFFFFF"/>
            <w:noWrap w:val="0"/>
            <w:vAlign w:val="center"/>
          </w:tcPr>
          <w:p>
            <w:pPr>
              <w:ind w:firstLine="420" w:firstLineChars="200"/>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按照投标人的商务和技术得分由高到低排序，选择前5名（不少于3名但不足5名时，按全部实际数量）通过详细评审</w:t>
            </w:r>
            <w:r>
              <w:rPr>
                <w:rFonts w:hint="eastAsia" w:ascii="宋体" w:hAnsi="宋体" w:cs="宋体"/>
                <w:color w:val="auto"/>
                <w:szCs w:val="21"/>
                <w:highlight w:val="none"/>
                <w:lang w:eastAsia="zh-CN"/>
              </w:rPr>
              <w:t>。</w:t>
            </w:r>
          </w:p>
          <w:p>
            <w:pPr>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注：本条所述“名次”包含了并列的情况；如名次为1,1,3,4,5，则前5名为5家投标人；如名次为1,2,3,4,5,5，则前5名为6家投标人，下同。</w:t>
            </w:r>
          </w:p>
        </w:tc>
      </w:tr>
    </w:tbl>
    <w:p>
      <w:pPr>
        <w:autoSpaceDE w:val="0"/>
        <w:autoSpaceDN w:val="0"/>
        <w:adjustRightInd w:val="0"/>
        <w:jc w:val="left"/>
        <w:rPr>
          <w:rFonts w:hint="eastAsia" w:ascii="宋体" w:hAnsi="宋体" w:eastAsia="宋体" w:cs="宋体"/>
          <w:color w:val="auto"/>
          <w:kern w:val="0"/>
          <w:sz w:val="24"/>
          <w:highlight w:val="none"/>
        </w:rPr>
        <w:sectPr>
          <w:pgSz w:w="11900" w:h="16838"/>
          <w:pgMar w:top="1417" w:right="1417" w:bottom="1417" w:left="1417" w:header="0" w:footer="669" w:gutter="0"/>
          <w:cols w:space="720" w:num="1"/>
        </w:sectPr>
      </w:pPr>
    </w:p>
    <w:tbl>
      <w:tblPr>
        <w:tblStyle w:val="12"/>
        <w:tblW w:w="9391" w:type="dxa"/>
        <w:tblInd w:w="-5" w:type="dxa"/>
        <w:tblLayout w:type="fixed"/>
        <w:tblCellMar>
          <w:top w:w="0" w:type="dxa"/>
          <w:left w:w="0" w:type="dxa"/>
          <w:bottom w:w="0" w:type="dxa"/>
          <w:right w:w="0" w:type="dxa"/>
        </w:tblCellMar>
      </w:tblPr>
      <w:tblGrid>
        <w:gridCol w:w="31"/>
        <w:gridCol w:w="965"/>
        <w:gridCol w:w="269"/>
        <w:gridCol w:w="266"/>
        <w:gridCol w:w="738"/>
        <w:gridCol w:w="923"/>
        <w:gridCol w:w="5"/>
        <w:gridCol w:w="1341"/>
        <w:gridCol w:w="644"/>
        <w:gridCol w:w="4195"/>
        <w:gridCol w:w="14"/>
      </w:tblGrid>
      <w:tr>
        <w:tblPrEx>
          <w:tblCellMar>
            <w:top w:w="0" w:type="dxa"/>
            <w:left w:w="0" w:type="dxa"/>
            <w:bottom w:w="0" w:type="dxa"/>
            <w:right w:w="0" w:type="dxa"/>
          </w:tblCellMar>
        </w:tblPrEx>
        <w:trPr>
          <w:gridAfter w:val="1"/>
          <w:wAfter w:w="14" w:type="dxa"/>
          <w:cantSplit/>
          <w:trHeight w:val="23" w:hRule="atLeast"/>
        </w:trPr>
        <w:tc>
          <w:tcPr>
            <w:tcW w:w="5182" w:type="dxa"/>
            <w:gridSpan w:val="9"/>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评分因素与权重分值</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gridAfter w:val="1"/>
          <w:wAfter w:w="14" w:type="dxa"/>
          <w:cantSplit/>
          <w:trHeight w:val="23" w:hRule="atLeast"/>
        </w:trPr>
        <w:tc>
          <w:tcPr>
            <w:tcW w:w="996" w:type="dxa"/>
            <w:gridSpan w:val="2"/>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ind w:right="110"/>
              <w:jc w:val="right"/>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条款号</w:t>
            </w:r>
          </w:p>
        </w:tc>
        <w:tc>
          <w:tcPr>
            <w:tcW w:w="1273" w:type="dxa"/>
            <w:gridSpan w:val="3"/>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jc w:val="center"/>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评分因素</w:t>
            </w:r>
          </w:p>
        </w:tc>
        <w:tc>
          <w:tcPr>
            <w:tcW w:w="928" w:type="dxa"/>
            <w:gridSpan w:val="2"/>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jc w:val="center"/>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评分因素权重分值</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jc w:val="center"/>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各评分因素细分项</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jc w:val="center"/>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分值</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shd w:val="clear" w:color="auto" w:fill="auto"/>
              <w:spacing w:before="0" w:line="240" w:lineRule="auto"/>
              <w:jc w:val="center"/>
              <w:rPr>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lang w:val="zh-CN"/>
              </w:rPr>
              <w:t>评分标准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restart"/>
            <w:tcBorders>
              <w:top w:val="single" w:color="auto" w:sz="4" w:space="0"/>
              <w:left w:val="single" w:color="auto" w:sz="4" w:space="0"/>
              <w:right w:val="nil"/>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rPr>
            </w:pPr>
            <w:bookmarkStart w:id="6" w:name="OLE_LINK1" w:colFirst="5" w:colLast="5"/>
            <w:r>
              <w:rPr>
                <w:rStyle w:val="28"/>
                <w:rFonts w:hint="eastAsia" w:ascii="宋体" w:hAnsi="宋体" w:eastAsia="宋体" w:cs="宋体"/>
                <w:color w:val="auto"/>
                <w:sz w:val="21"/>
                <w:szCs w:val="21"/>
                <w:highlight w:val="none"/>
              </w:rPr>
              <w:t>2.2.</w:t>
            </w:r>
            <w:r>
              <w:rPr>
                <w:rStyle w:val="28"/>
                <w:rFonts w:hint="eastAsia" w:ascii="宋体" w:hAnsi="宋体" w:eastAsia="宋体" w:cs="宋体"/>
                <w:color w:val="auto"/>
                <w:sz w:val="21"/>
                <w:szCs w:val="21"/>
                <w:highlight w:val="none"/>
                <w:lang w:val="en-US" w:eastAsia="zh-CN"/>
              </w:rPr>
              <w:t>2</w:t>
            </w:r>
            <w:r>
              <w:rPr>
                <w:rStyle w:val="28"/>
                <w:rFonts w:hint="eastAsia" w:ascii="宋体" w:hAnsi="宋体" w:eastAsia="宋体" w:cs="宋体"/>
                <w:color w:val="auto"/>
                <w:sz w:val="21"/>
                <w:szCs w:val="21"/>
                <w:highlight w:val="none"/>
              </w:rPr>
              <w:t>(1)</w:t>
            </w:r>
          </w:p>
        </w:tc>
        <w:tc>
          <w:tcPr>
            <w:tcW w:w="1273" w:type="dxa"/>
            <w:gridSpan w:val="3"/>
            <w:vMerge w:val="restart"/>
            <w:tcBorders>
              <w:top w:val="single" w:color="auto" w:sz="4" w:space="0"/>
              <w:left w:val="single" w:color="auto" w:sz="4" w:space="0"/>
              <w:right w:val="nil"/>
            </w:tcBorders>
            <w:shd w:val="clear" w:color="auto" w:fill="FFFFFF"/>
            <w:noWrap w:val="0"/>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p>
        </w:tc>
        <w:tc>
          <w:tcPr>
            <w:tcW w:w="928" w:type="dxa"/>
            <w:gridSpan w:val="2"/>
            <w:vMerge w:val="restart"/>
            <w:tcBorders>
              <w:top w:val="single" w:color="auto" w:sz="4" w:space="0"/>
              <w:left w:val="single" w:color="auto" w:sz="4" w:space="0"/>
              <w:right w:val="nil"/>
            </w:tcBorders>
            <w:shd w:val="clear" w:color="auto" w:fill="FFFFFF"/>
            <w:noWrap w:val="0"/>
            <w:vAlign w:val="center"/>
          </w:tcPr>
          <w:p>
            <w:pPr>
              <w:pStyle w:val="20"/>
              <w:shd w:val="clear" w:color="auto" w:fill="auto"/>
              <w:spacing w:before="0" w:line="360" w:lineRule="auto"/>
              <w:ind w:firstLine="210" w:firstLineChars="100"/>
              <w:jc w:val="left"/>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u w:val="single"/>
                <w:lang w:val="en-US" w:eastAsia="zh-CN"/>
              </w:rPr>
              <w:t>40</w:t>
            </w:r>
            <w:r>
              <w:rPr>
                <w:rStyle w:val="30"/>
                <w:rFonts w:hint="eastAsia" w:ascii="宋体" w:hAnsi="宋体" w:eastAsia="宋体" w:cs="宋体"/>
                <w:color w:val="auto"/>
                <w:sz w:val="21"/>
                <w:szCs w:val="21"/>
                <w:highlight w:val="none"/>
                <w:lang w:val="zh-CN"/>
              </w:rPr>
              <w:t>分</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cs="宋体"/>
                <w:color w:val="auto"/>
                <w:sz w:val="21"/>
                <w:szCs w:val="21"/>
                <w:highlight w:val="none"/>
                <w:lang w:val="en-US" w:eastAsia="zh-CN"/>
              </w:rPr>
              <w:t>施工</w:t>
            </w:r>
            <w:r>
              <w:rPr>
                <w:rStyle w:val="30"/>
                <w:rFonts w:hint="eastAsia" w:ascii="宋体" w:hAnsi="宋体" w:eastAsia="宋体" w:cs="宋体"/>
                <w:color w:val="auto"/>
                <w:sz w:val="21"/>
                <w:szCs w:val="21"/>
                <w:highlight w:val="none"/>
              </w:rPr>
              <w:t>机械配备及进场计划</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360" w:lineRule="auto"/>
              <w:jc w:val="center"/>
              <w:rPr>
                <w:rStyle w:val="30"/>
                <w:rFonts w:hint="eastAsia" w:ascii="宋体" w:hAnsi="宋体" w:eastAsia="宋体" w:cs="宋体"/>
                <w:color w:val="auto"/>
                <w:sz w:val="21"/>
                <w:szCs w:val="21"/>
                <w:highlight w:val="none"/>
                <w:lang w:val="zh-CN"/>
              </w:rPr>
            </w:pPr>
            <w:r>
              <w:rPr>
                <w:rStyle w:val="26"/>
                <w:rFonts w:hint="eastAsia" w:ascii="宋体" w:hAnsi="宋体" w:eastAsia="宋体" w:cs="宋体"/>
                <w:color w:val="auto"/>
                <w:sz w:val="21"/>
                <w:szCs w:val="21"/>
                <w:highlight w:val="none"/>
                <w:lang w:val="en-US" w:eastAsia="zh-CN"/>
              </w:rPr>
              <w:t>3</w:t>
            </w:r>
            <w:r>
              <w:rPr>
                <w:rStyle w:val="26"/>
                <w:rFonts w:hint="eastAsia" w:ascii="宋体" w:hAnsi="宋体" w:eastAsia="宋体" w:cs="宋体"/>
                <w:color w:val="auto"/>
                <w:sz w:val="21"/>
                <w:szCs w:val="21"/>
                <w:highlight w:val="none"/>
                <w:lang w:val="zh-CN"/>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设备配置数量足、合理，主要设备落实与进度吻合得[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）分；设备配置数量足、基本合理，主要设备落实与进度基本吻合得[</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）分；设备配置不足、欠合理，主要设备基本落实与进度欠吻合得[</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]分；没有提供机械设备及进场计划的，得0分。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施工场地布置</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30"/>
                <w:rFonts w:hint="eastAsia" w:ascii="宋体" w:hAnsi="宋体" w:eastAsia="宋体" w:cs="宋体"/>
                <w:color w:val="auto"/>
                <w:sz w:val="21"/>
                <w:szCs w:val="21"/>
                <w:highlight w:val="none"/>
              </w:rPr>
            </w:pPr>
            <w:r>
              <w:rPr>
                <w:rStyle w:val="26"/>
                <w:rFonts w:hint="default"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可行、布置合理、具体得[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 w:val="21"/>
                <w:szCs w:val="21"/>
                <w:highlight w:val="none"/>
              </w:rPr>
              <w:t>）分；可行、布置基本合理、具体得[</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 w:val="21"/>
                <w:szCs w:val="21"/>
                <w:highlight w:val="none"/>
              </w:rPr>
              <w:t>）分；布置欠合理、不够具体得[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 w:val="21"/>
                <w:szCs w:val="21"/>
                <w:highlight w:val="none"/>
              </w:rPr>
              <w:t>] 分；没有提供施工场地布置计划的，得0分。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施工工艺流程</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default"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可行、可靠、先进、合理得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）分；基本可行、可靠得 [</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）分；欠可行、欠可靠得[[</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]分，没有提供施工工艺流程的，得0分。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施工进度计划</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default"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工期合理，进度计划可行、合理、先进，保证措施具体得[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分；工期基本合理，进度计划基本可行、合理、有保证措施得</w:t>
            </w:r>
            <w:r>
              <w:rPr>
                <w:rFonts w:hint="eastAsia" w:ascii="宋体" w:hAnsi="宋体" w:eastAsia="宋体" w:cs="宋体"/>
                <w:color w:val="auto"/>
                <w:sz w:val="21"/>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分；工期欠合理，进度计划欠合理、保证措施一般得</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分；没有提供施工进度计划的，得0分。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材料供应和检验</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default"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材料进场和检验与进度吻合得[</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分；材料进场和检验与进度基本吻合得</w:t>
            </w:r>
            <w:r>
              <w:rPr>
                <w:rFonts w:hint="eastAsia" w:ascii="宋体" w:hAnsi="宋体" w:eastAsia="宋体" w:cs="宋体"/>
                <w:color w:val="auto"/>
                <w:sz w:val="21"/>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 xml:space="preserve">分；材料进场和检验与进度欠吻合得 </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分；没有提供材料供应和检验计划的，得0分。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施工技术措施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eastAsia"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措施针对性好、具体、成熟得 </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分；措施针对性较好、较具体得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分；措施欠具体得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分；没有提供施工技术措施的，得0分。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施工质量保证措施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eastAsia" w:ascii="宋体" w:hAnsi="宋体" w:cs="宋体"/>
                <w:color w:val="auto"/>
                <w:sz w:val="21"/>
                <w:szCs w:val="21"/>
                <w:highlight w:val="none"/>
                <w:lang w:val="en-US" w:eastAsia="zh-CN"/>
              </w:rPr>
              <w:t>3</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满足招标文件质量要求，工程质量保证措施明确、具体、可行、针对性好、各项落实得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分；基本满足招标文件质量要求，工程质量保证措施较明确、较具体、较可行、较落实得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2.4</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分；一般满足招标文件质量要求，工程质量保证措施一般化、但对工程质量保证措施有认识得</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分；没有提供施工质量保证措施的，得0分。</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施工安全保障措施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eastAsia" w:ascii="宋体" w:hAnsi="宋体" w:cs="宋体"/>
                <w:color w:val="auto"/>
                <w:sz w:val="21"/>
                <w:szCs w:val="21"/>
                <w:highlight w:val="none"/>
                <w:lang w:val="en-US" w:eastAsia="zh-CN"/>
              </w:rPr>
              <w:t>2</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措施针对性好、具体、成熟得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分；措施针对性较好、较具体得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分；措施不具体得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分；没有提供施工安全保障措施的，得0分。</w:t>
            </w:r>
          </w:p>
        </w:tc>
      </w:tr>
      <w:tr>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文明施工与环境保护措施</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eastAsia" w:ascii="宋体" w:hAnsi="宋体" w:eastAsia="宋体" w:cs="宋体"/>
                <w:color w:val="auto"/>
                <w:sz w:val="21"/>
                <w:szCs w:val="21"/>
                <w:highlight w:val="none"/>
                <w:u w:val="single"/>
              </w:rPr>
            </w:pPr>
            <w:r>
              <w:rPr>
                <w:rStyle w:val="26"/>
                <w:rFonts w:hint="eastAsia" w:ascii="宋体" w:hAnsi="宋体" w:cs="宋体"/>
                <w:color w:val="auto"/>
                <w:sz w:val="21"/>
                <w:szCs w:val="21"/>
                <w:highlight w:val="none"/>
                <w:lang w:val="en-US" w:eastAsia="zh-CN"/>
              </w:rPr>
              <w:t>2</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Style w:val="30"/>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措施针对性好、具体、成熟得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分；措施针对性较好、较具体得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分；措施不具体得</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Cs w:val="21"/>
                <w:highlight w:val="none"/>
              </w:rPr>
              <w:t>分；没有提供文明施工与环境保护措施的，得0分。</w:t>
            </w:r>
          </w:p>
        </w:tc>
      </w:tr>
      <w:tr>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lang w:val="en-US" w:eastAsia="zh-CN"/>
              </w:rPr>
            </w:pPr>
            <w:r>
              <w:rPr>
                <w:rStyle w:val="30"/>
                <w:rFonts w:hint="eastAsia" w:ascii="宋体" w:hAnsi="宋体" w:cs="宋体"/>
                <w:color w:val="auto"/>
                <w:sz w:val="21"/>
                <w:szCs w:val="21"/>
                <w:highlight w:val="none"/>
                <w:lang w:val="en-US" w:eastAsia="zh-CN"/>
              </w:rPr>
              <w:t>主要工程设备配置</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default" w:ascii="宋体" w:hAnsi="宋体" w:cs="宋体"/>
                <w:color w:val="auto"/>
                <w:sz w:val="21"/>
                <w:szCs w:val="21"/>
                <w:highlight w:val="none"/>
                <w:lang w:val="en-US" w:eastAsia="zh-CN"/>
              </w:rPr>
            </w:pPr>
            <w:r>
              <w:rPr>
                <w:rStyle w:val="26"/>
                <w:rFonts w:hint="eastAsia" w:ascii="宋体" w:hAnsi="宋体" w:cs="宋体"/>
                <w:color w:val="auto"/>
                <w:sz w:val="21"/>
                <w:szCs w:val="21"/>
                <w:highlight w:val="none"/>
                <w:lang w:val="en-US" w:eastAsia="zh-CN"/>
              </w:rPr>
              <w:t>4分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strike w:val="0"/>
                <w:color w:val="auto"/>
                <w:szCs w:val="21"/>
                <w:highlight w:val="none"/>
                <w:u w:val="single"/>
              </w:rPr>
            </w:pPr>
            <w:r>
              <w:rPr>
                <w:rFonts w:hint="eastAsia" w:ascii="宋体" w:hAnsi="宋体" w:eastAsia="宋体" w:cs="宋体"/>
                <w:strike w:val="0"/>
                <w:color w:val="auto"/>
                <w:szCs w:val="21"/>
                <w:highlight w:val="none"/>
                <w:u w:val="single"/>
              </w:rPr>
              <w:t>选用知名品牌的优质产品，配置先进合理的，得[</w:t>
            </w:r>
            <w:r>
              <w:rPr>
                <w:rFonts w:hint="eastAsia" w:ascii="宋体" w:hAnsi="宋体" w:cs="宋体"/>
                <w:strike w:val="0"/>
                <w:color w:val="auto"/>
                <w:szCs w:val="21"/>
                <w:highlight w:val="none"/>
                <w:u w:val="single"/>
                <w:lang w:val="en-US" w:eastAsia="zh-CN"/>
              </w:rPr>
              <w:t>4</w:t>
            </w:r>
            <w:r>
              <w:rPr>
                <w:rFonts w:hint="eastAsia" w:ascii="宋体" w:hAnsi="宋体" w:eastAsia="宋体" w:cs="宋体"/>
                <w:strike w:val="0"/>
                <w:color w:val="auto"/>
                <w:szCs w:val="21"/>
                <w:highlight w:val="none"/>
                <w:u w:val="single"/>
              </w:rPr>
              <w:t>，</w:t>
            </w:r>
            <w:r>
              <w:rPr>
                <w:rFonts w:hint="eastAsia" w:ascii="宋体" w:hAnsi="宋体" w:cs="宋体"/>
                <w:strike w:val="0"/>
                <w:color w:val="auto"/>
                <w:szCs w:val="21"/>
                <w:highlight w:val="none"/>
                <w:u w:val="single"/>
                <w:lang w:val="en-US" w:eastAsia="zh-CN"/>
              </w:rPr>
              <w:t>3.2）</w:t>
            </w:r>
            <w:r>
              <w:rPr>
                <w:rFonts w:hint="eastAsia" w:ascii="宋体" w:hAnsi="宋体" w:eastAsia="宋体" w:cs="宋体"/>
                <w:strike w:val="0"/>
                <w:color w:val="auto"/>
                <w:szCs w:val="21"/>
                <w:highlight w:val="none"/>
                <w:u w:val="single"/>
              </w:rPr>
              <w:t>分；选用一般产品的，得[</w:t>
            </w:r>
            <w:r>
              <w:rPr>
                <w:rFonts w:hint="eastAsia" w:ascii="宋体" w:hAnsi="宋体" w:cs="宋体"/>
                <w:strike w:val="0"/>
                <w:color w:val="auto"/>
                <w:szCs w:val="21"/>
                <w:highlight w:val="none"/>
                <w:u w:val="single"/>
                <w:lang w:val="en-US" w:eastAsia="zh-CN"/>
              </w:rPr>
              <w:t>3.2</w:t>
            </w:r>
            <w:r>
              <w:rPr>
                <w:rFonts w:hint="eastAsia" w:ascii="宋体" w:hAnsi="宋体" w:eastAsia="宋体" w:cs="宋体"/>
                <w:strike w:val="0"/>
                <w:color w:val="auto"/>
                <w:szCs w:val="21"/>
                <w:highlight w:val="none"/>
                <w:u w:val="single"/>
              </w:rPr>
              <w:t>，</w:t>
            </w:r>
            <w:r>
              <w:rPr>
                <w:rFonts w:hint="eastAsia" w:ascii="宋体" w:hAnsi="宋体" w:cs="宋体"/>
                <w:strike w:val="0"/>
                <w:color w:val="auto"/>
                <w:szCs w:val="21"/>
                <w:highlight w:val="none"/>
                <w:u w:val="single"/>
                <w:lang w:val="en-US" w:eastAsia="zh-CN"/>
              </w:rPr>
              <w:t>2.4</w:t>
            </w:r>
            <w:r>
              <w:rPr>
                <w:rFonts w:hint="eastAsia" w:ascii="宋体" w:hAnsi="宋体" w:eastAsia="宋体" w:cs="宋体"/>
                <w:strike w:val="0"/>
                <w:color w:val="auto"/>
                <w:szCs w:val="21"/>
                <w:highlight w:val="none"/>
                <w:u w:val="single"/>
              </w:rPr>
              <w:t>）分；没有提供</w:t>
            </w:r>
            <w:r>
              <w:rPr>
                <w:rFonts w:hint="eastAsia" w:ascii="宋体" w:hAnsi="宋体" w:cs="宋体"/>
                <w:strike w:val="0"/>
                <w:color w:val="auto"/>
                <w:szCs w:val="21"/>
                <w:highlight w:val="none"/>
                <w:u w:val="single"/>
                <w:lang w:val="en-US" w:eastAsia="zh-CN"/>
              </w:rPr>
              <w:t>主要设备配置的</w:t>
            </w:r>
            <w:r>
              <w:rPr>
                <w:rFonts w:hint="eastAsia" w:ascii="宋体" w:hAnsi="宋体" w:eastAsia="宋体" w:cs="宋体"/>
                <w:strike w:val="0"/>
                <w:color w:val="auto"/>
                <w:szCs w:val="21"/>
                <w:highlight w:val="none"/>
                <w:u w:val="single"/>
              </w:rPr>
              <w:t>，得0分。</w:t>
            </w:r>
          </w:p>
          <w:p>
            <w:pPr>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strike w:val="0"/>
                <w:color w:val="auto"/>
                <w:szCs w:val="21"/>
                <w:highlight w:val="none"/>
                <w:u w:val="single"/>
              </w:rPr>
              <w:t>注：参照</w:t>
            </w:r>
            <w:r>
              <w:rPr>
                <w:rFonts w:hint="eastAsia" w:ascii="宋体" w:hAnsi="宋体" w:cs="宋体"/>
                <w:strike w:val="0"/>
                <w:color w:val="auto"/>
                <w:szCs w:val="21"/>
                <w:highlight w:val="none"/>
                <w:u w:val="single"/>
                <w:lang w:val="en-US" w:eastAsia="zh-CN"/>
              </w:rPr>
              <w:t>主要技术和标准中的</w:t>
            </w:r>
            <w:r>
              <w:rPr>
                <w:rFonts w:hint="eastAsia" w:ascii="宋体" w:hAnsi="宋体" w:eastAsia="宋体" w:cs="宋体"/>
                <w:strike w:val="0"/>
                <w:color w:val="auto"/>
                <w:szCs w:val="21"/>
                <w:highlight w:val="none"/>
                <w:u w:val="single"/>
              </w:rPr>
              <w:t>主要设备及材料建议品牌。</w:t>
            </w:r>
          </w:p>
        </w:tc>
      </w:tr>
      <w:tr>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default" w:ascii="宋体" w:hAnsi="宋体" w:cs="宋体"/>
                <w:color w:val="auto"/>
                <w:sz w:val="21"/>
                <w:szCs w:val="21"/>
                <w:highlight w:val="none"/>
                <w:lang w:val="en-US" w:eastAsia="zh-CN"/>
              </w:rPr>
            </w:pPr>
            <w:r>
              <w:rPr>
                <w:rStyle w:val="30"/>
                <w:rFonts w:hint="eastAsia" w:ascii="宋体" w:hAnsi="宋体" w:cs="宋体"/>
                <w:color w:val="auto"/>
                <w:sz w:val="21"/>
                <w:szCs w:val="21"/>
                <w:highlight w:val="none"/>
                <w:lang w:val="en-US" w:eastAsia="zh-CN"/>
              </w:rPr>
              <w:t>主要工程设备主要技术参数</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default" w:ascii="宋体" w:hAnsi="宋体" w:cs="宋体"/>
                <w:color w:val="auto"/>
                <w:sz w:val="21"/>
                <w:szCs w:val="21"/>
                <w:highlight w:val="none"/>
                <w:lang w:val="en-US" w:eastAsia="zh-CN"/>
              </w:rPr>
            </w:pPr>
            <w:r>
              <w:rPr>
                <w:rStyle w:val="26"/>
                <w:rFonts w:hint="eastAsia" w:ascii="宋体" w:hAnsi="宋体" w:cs="宋体"/>
                <w:color w:val="auto"/>
                <w:sz w:val="21"/>
                <w:szCs w:val="21"/>
                <w:highlight w:val="none"/>
                <w:lang w:val="en-US" w:eastAsia="zh-CN"/>
              </w:rPr>
              <w:t>4分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优于或完全满足招标文件要求的，得[</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3.2</w:t>
            </w:r>
            <w:r>
              <w:rPr>
                <w:rFonts w:hint="eastAsia" w:ascii="宋体" w:hAnsi="宋体" w:cs="宋体"/>
                <w:color w:val="auto"/>
                <w:szCs w:val="21"/>
                <w:highlight w:val="none"/>
                <w:u w:val="single"/>
                <w:lang w:eastAsia="zh-CN"/>
              </w:rPr>
              <w:t>）</w:t>
            </w:r>
            <w:r>
              <w:rPr>
                <w:rFonts w:hint="eastAsia" w:ascii="宋体" w:hAnsi="宋体" w:eastAsia="宋体" w:cs="宋体"/>
                <w:color w:val="auto"/>
                <w:szCs w:val="21"/>
                <w:highlight w:val="none"/>
                <w:u w:val="single"/>
              </w:rPr>
              <w:t>分；基本满足招标文件要求的，得[</w:t>
            </w:r>
            <w:r>
              <w:rPr>
                <w:rFonts w:hint="eastAsia" w:ascii="宋体" w:hAnsi="宋体" w:cs="宋体"/>
                <w:color w:val="auto"/>
                <w:szCs w:val="21"/>
                <w:highlight w:val="none"/>
                <w:u w:val="single"/>
                <w:lang w:val="en-US" w:eastAsia="zh-CN"/>
              </w:rPr>
              <w:t>3.2</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）分；与招标文件要求有一定差距的，得[</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）分；没有提供</w:t>
            </w:r>
            <w:r>
              <w:rPr>
                <w:rStyle w:val="30"/>
                <w:rFonts w:hint="eastAsia" w:ascii="宋体" w:hAnsi="宋体" w:cs="宋体"/>
                <w:color w:val="auto"/>
                <w:sz w:val="21"/>
                <w:szCs w:val="21"/>
                <w:highlight w:val="none"/>
                <w:lang w:val="en-US" w:eastAsia="zh-CN"/>
              </w:rPr>
              <w:t>主要设备主要技术参数</w:t>
            </w:r>
            <w:r>
              <w:rPr>
                <w:rFonts w:hint="eastAsia" w:ascii="宋体" w:hAnsi="宋体" w:cs="宋体"/>
                <w:color w:val="auto"/>
                <w:szCs w:val="21"/>
                <w:highlight w:val="none"/>
                <w:u w:val="single"/>
                <w:lang w:val="en-US" w:eastAsia="zh-CN"/>
              </w:rPr>
              <w:t>的</w:t>
            </w:r>
            <w:r>
              <w:rPr>
                <w:rFonts w:hint="eastAsia" w:ascii="宋体" w:hAnsi="宋体" w:eastAsia="宋体" w:cs="宋体"/>
                <w:color w:val="auto"/>
                <w:szCs w:val="21"/>
                <w:highlight w:val="none"/>
                <w:u w:val="single"/>
              </w:rPr>
              <w:t>，得0分。</w:t>
            </w:r>
          </w:p>
        </w:tc>
      </w:tr>
      <w:tr>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cs="宋体"/>
                <w:color w:val="auto"/>
                <w:sz w:val="21"/>
                <w:szCs w:val="21"/>
                <w:highlight w:val="none"/>
                <w:lang w:val="en-US" w:eastAsia="zh-CN"/>
              </w:rPr>
            </w:pPr>
            <w:r>
              <w:rPr>
                <w:rStyle w:val="30"/>
                <w:rFonts w:hint="eastAsia" w:ascii="宋体" w:hAnsi="宋体" w:cs="宋体"/>
                <w:color w:val="auto"/>
                <w:sz w:val="21"/>
                <w:szCs w:val="21"/>
                <w:highlight w:val="none"/>
                <w:lang w:val="en-US" w:eastAsia="zh-CN"/>
              </w:rPr>
              <w:t>现场安装调试方案</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default" w:ascii="宋体" w:hAnsi="宋体" w:cs="宋体"/>
                <w:color w:val="auto"/>
                <w:sz w:val="21"/>
                <w:szCs w:val="21"/>
                <w:highlight w:val="none"/>
                <w:lang w:val="en-US" w:eastAsia="zh-CN"/>
              </w:rPr>
            </w:pPr>
            <w:r>
              <w:rPr>
                <w:rStyle w:val="26"/>
                <w:rFonts w:hint="eastAsia" w:ascii="宋体" w:hAnsi="宋体" w:cs="宋体"/>
                <w:color w:val="auto"/>
                <w:sz w:val="21"/>
                <w:szCs w:val="21"/>
                <w:highlight w:val="none"/>
                <w:lang w:val="en-US" w:eastAsia="zh-CN"/>
              </w:rPr>
              <w:t>4分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现场安装调试方案详细、合理、可行，充分满足本项目需求，熟悉现场及措施可行性良好的，得[</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3.2）</w:t>
            </w:r>
            <w:r>
              <w:rPr>
                <w:rFonts w:hint="eastAsia" w:ascii="宋体" w:hAnsi="宋体" w:eastAsia="宋体" w:cs="宋体"/>
                <w:color w:val="auto"/>
                <w:szCs w:val="21"/>
                <w:highlight w:val="none"/>
                <w:u w:val="single"/>
              </w:rPr>
              <w:t>分；现场安装调试方案较详细、较合理、可行，充分满足本项目需求，对现场熟悉程度一般及措施可行性一般的，得[</w:t>
            </w:r>
            <w:r>
              <w:rPr>
                <w:rFonts w:hint="eastAsia" w:ascii="宋体" w:hAnsi="宋体" w:cs="宋体"/>
                <w:color w:val="auto"/>
                <w:szCs w:val="21"/>
                <w:highlight w:val="none"/>
                <w:u w:val="single"/>
                <w:lang w:val="en-US" w:eastAsia="zh-CN"/>
              </w:rPr>
              <w:t>3.2</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）分；现场安装调试方案不详细、合理性及可行性差，有部分不满足本项目需求，对现场熟悉程度差及措施可行性差的，得[</w:t>
            </w:r>
            <w:r>
              <w:rPr>
                <w:rFonts w:hint="eastAsia" w:ascii="宋体" w:hAnsi="宋体" w:cs="宋体"/>
                <w:color w:val="auto"/>
                <w:szCs w:val="21"/>
                <w:highlight w:val="none"/>
                <w:u w:val="single"/>
                <w:lang w:val="en-US" w:eastAsia="zh-CN"/>
              </w:rPr>
              <w:t>2.8</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）分；没有提供</w:t>
            </w:r>
            <w:r>
              <w:rPr>
                <w:rStyle w:val="30"/>
                <w:rFonts w:hint="eastAsia" w:ascii="宋体" w:hAnsi="宋体" w:cs="宋体"/>
                <w:color w:val="auto"/>
                <w:sz w:val="21"/>
                <w:szCs w:val="21"/>
                <w:highlight w:val="none"/>
                <w:lang w:val="en-US" w:eastAsia="zh-CN"/>
              </w:rPr>
              <w:t>现场安装调试方案</w:t>
            </w:r>
            <w:r>
              <w:rPr>
                <w:rFonts w:hint="eastAsia" w:ascii="宋体" w:hAnsi="宋体" w:eastAsia="宋体" w:cs="宋体"/>
                <w:color w:val="auto"/>
                <w:szCs w:val="21"/>
                <w:highlight w:val="none"/>
                <w:u w:val="single"/>
              </w:rPr>
              <w:t>的，得0分。</w:t>
            </w:r>
          </w:p>
        </w:tc>
      </w:tr>
      <w:tr>
        <w:tblPrEx>
          <w:tblCellMar>
            <w:top w:w="0" w:type="dxa"/>
            <w:left w:w="0" w:type="dxa"/>
            <w:bottom w:w="0" w:type="dxa"/>
            <w:right w:w="0" w:type="dxa"/>
          </w:tblCellMar>
        </w:tblPrEx>
        <w:trPr>
          <w:gridAfter w:val="1"/>
          <w:wAfter w:w="14" w:type="dxa"/>
          <w:cantSplit/>
          <w:trHeight w:val="979" w:hRule="atLeast"/>
        </w:trPr>
        <w:tc>
          <w:tcPr>
            <w:tcW w:w="996" w:type="dxa"/>
            <w:gridSpan w:val="2"/>
            <w:vMerge w:val="continue"/>
            <w:tcBorders>
              <w:left w:val="single" w:color="auto" w:sz="4" w:space="0"/>
              <w:bottom w:val="single" w:color="auto" w:sz="4" w:space="0"/>
              <w:right w:val="nil"/>
            </w:tcBorders>
            <w:shd w:val="clear" w:color="auto" w:fill="FFFFFF"/>
            <w:noWrap w:val="0"/>
            <w:vAlign w:val="bottom"/>
          </w:tcPr>
          <w:p>
            <w:pPr>
              <w:pStyle w:val="20"/>
              <w:shd w:val="clear" w:color="auto" w:fill="auto"/>
              <w:spacing w:before="0" w:line="360" w:lineRule="auto"/>
              <w:jc w:val="right"/>
              <w:rPr>
                <w:rStyle w:val="28"/>
                <w:rFonts w:hint="eastAsia" w:ascii="宋体" w:hAnsi="宋体" w:eastAsia="宋体" w:cs="宋体"/>
                <w:color w:val="auto"/>
                <w:sz w:val="21"/>
                <w:szCs w:val="21"/>
                <w:highlight w:val="none"/>
                <w:lang w:eastAsia="zh-CN"/>
              </w:rPr>
            </w:pPr>
          </w:p>
        </w:tc>
        <w:tc>
          <w:tcPr>
            <w:tcW w:w="1273" w:type="dxa"/>
            <w:gridSpan w:val="3"/>
            <w:vMerge w:val="continue"/>
            <w:tcBorders>
              <w:left w:val="single" w:color="auto" w:sz="4" w:space="0"/>
              <w:bottom w:val="single" w:color="auto" w:sz="4" w:space="0"/>
              <w:right w:val="nil"/>
            </w:tcBorders>
            <w:shd w:val="clear" w:color="auto" w:fill="FFFFFF"/>
            <w:noWrap w:val="0"/>
            <w:vAlign w:val="center"/>
          </w:tcPr>
          <w:p>
            <w:pPr>
              <w:rPr>
                <w:rFonts w:hint="eastAsia" w:ascii="宋体" w:hAnsi="宋体" w:eastAsia="宋体" w:cs="宋体"/>
                <w:color w:val="auto"/>
                <w:szCs w:val="21"/>
                <w:highlight w:val="none"/>
              </w:rPr>
            </w:pPr>
          </w:p>
        </w:tc>
        <w:tc>
          <w:tcPr>
            <w:tcW w:w="928" w:type="dxa"/>
            <w:gridSpan w:val="2"/>
            <w:vMerge w:val="continue"/>
            <w:tcBorders>
              <w:left w:val="single" w:color="auto" w:sz="4" w:space="0"/>
              <w:bottom w:val="single" w:color="auto" w:sz="4" w:space="0"/>
              <w:right w:val="nil"/>
            </w:tcBorders>
            <w:shd w:val="clear" w:color="auto" w:fill="FFFFFF"/>
            <w:noWrap w:val="0"/>
            <w:vAlign w:val="center"/>
          </w:tcPr>
          <w:p>
            <w:pPr>
              <w:rPr>
                <w:rStyle w:val="26"/>
                <w:rFonts w:hint="eastAsia" w:ascii="宋体" w:hAnsi="宋体" w:eastAsia="宋体" w:cs="宋体"/>
                <w:color w:val="auto"/>
                <w:sz w:val="21"/>
                <w:szCs w:val="21"/>
                <w:highlight w:val="none"/>
                <w:u w:val="singl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cs="宋体"/>
                <w:color w:val="auto"/>
                <w:sz w:val="21"/>
                <w:szCs w:val="21"/>
                <w:highlight w:val="none"/>
                <w:lang w:val="en-US" w:eastAsia="zh-CN"/>
              </w:rPr>
            </w:pPr>
            <w:r>
              <w:rPr>
                <w:rStyle w:val="30"/>
                <w:rFonts w:hint="eastAsia" w:ascii="宋体" w:hAnsi="宋体" w:cs="宋体"/>
                <w:color w:val="auto"/>
                <w:sz w:val="21"/>
                <w:szCs w:val="21"/>
                <w:highlight w:val="none"/>
                <w:lang w:val="en-US" w:eastAsia="zh-CN"/>
              </w:rPr>
              <w:t>主要工程设备产品制造质量保证体系</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default" w:ascii="宋体" w:hAnsi="宋体" w:cs="宋体"/>
                <w:color w:val="auto"/>
                <w:sz w:val="21"/>
                <w:szCs w:val="21"/>
                <w:highlight w:val="none"/>
                <w:lang w:val="en-US" w:eastAsia="zh-CN"/>
              </w:rPr>
            </w:pPr>
            <w:r>
              <w:rPr>
                <w:rStyle w:val="26"/>
                <w:rFonts w:hint="eastAsia" w:ascii="宋体" w:hAnsi="宋体" w:cs="宋体"/>
                <w:color w:val="auto"/>
                <w:sz w:val="21"/>
                <w:szCs w:val="21"/>
                <w:highlight w:val="none"/>
                <w:lang w:val="en-US" w:eastAsia="zh-CN"/>
              </w:rPr>
              <w:t>3分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技术力量雄厚，有完善的组织机构，具有良好的对产品制造质量的实施措施的，得[</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分；具有基本的技术力量，具有较好的对产品制造质量的实施措施的，得[</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2.1）</w:t>
            </w:r>
            <w:r>
              <w:rPr>
                <w:rFonts w:hint="eastAsia" w:ascii="宋体" w:hAnsi="宋体" w:eastAsia="宋体" w:cs="宋体"/>
                <w:color w:val="auto"/>
                <w:szCs w:val="21"/>
                <w:highlight w:val="none"/>
                <w:u w:val="single"/>
              </w:rPr>
              <w:t>分；技术力量薄弱，具有一般的对产品制造质量的实施措施的，得[</w:t>
            </w:r>
            <w:r>
              <w:rPr>
                <w:rFonts w:hint="eastAsia" w:ascii="宋体" w:hAnsi="宋体" w:cs="宋体"/>
                <w:color w:val="auto"/>
                <w:szCs w:val="21"/>
                <w:highlight w:val="none"/>
                <w:u w:val="single"/>
                <w:lang w:val="en-US" w:eastAsia="zh-CN"/>
              </w:rPr>
              <w:t>2.1</w:t>
            </w:r>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u w:val="single"/>
              </w:rPr>
              <w:t>）分；没有提供</w:t>
            </w:r>
            <w:r>
              <w:rPr>
                <w:rStyle w:val="30"/>
                <w:rFonts w:hint="eastAsia" w:ascii="宋体" w:hAnsi="宋体" w:cs="宋体"/>
                <w:color w:val="auto"/>
                <w:sz w:val="21"/>
                <w:szCs w:val="21"/>
                <w:highlight w:val="none"/>
                <w:lang w:val="en-US" w:eastAsia="zh-CN"/>
              </w:rPr>
              <w:t>主要设备产品制造质量保证体系相关资料</w:t>
            </w:r>
            <w:r>
              <w:rPr>
                <w:rFonts w:hint="eastAsia" w:ascii="宋体" w:hAnsi="宋体" w:eastAsia="宋体" w:cs="宋体"/>
                <w:color w:val="auto"/>
                <w:szCs w:val="21"/>
                <w:highlight w:val="none"/>
                <w:u w:val="single"/>
              </w:rPr>
              <w:t>的，得0分。</w:t>
            </w:r>
          </w:p>
        </w:tc>
      </w:tr>
      <w:bookmarkEnd w:id="6"/>
      <w:tr>
        <w:tblPrEx>
          <w:tblCellMar>
            <w:top w:w="0" w:type="dxa"/>
            <w:left w:w="0" w:type="dxa"/>
            <w:bottom w:w="0" w:type="dxa"/>
            <w:right w:w="0" w:type="dxa"/>
          </w:tblCellMar>
        </w:tblPrEx>
        <w:trPr>
          <w:gridAfter w:val="1"/>
          <w:wAfter w:w="14" w:type="dxa"/>
          <w:cantSplit/>
          <w:trHeight w:val="2895" w:hRule="atLeast"/>
        </w:trPr>
        <w:tc>
          <w:tcPr>
            <w:tcW w:w="996" w:type="dxa"/>
            <w:gridSpan w:val="2"/>
            <w:vMerge w:val="restart"/>
            <w:tcBorders>
              <w:top w:val="single" w:color="auto" w:sz="4" w:space="0"/>
              <w:left w:val="single" w:color="auto" w:sz="4" w:space="0"/>
              <w:bottom w:val="single" w:color="auto" w:sz="4" w:space="0"/>
              <w:right w:val="nil"/>
            </w:tcBorders>
            <w:shd w:val="clear" w:color="auto" w:fill="FFFFFF"/>
            <w:noWrap w:val="0"/>
            <w:vAlign w:val="center"/>
          </w:tcPr>
          <w:p>
            <w:pPr>
              <w:pStyle w:val="20"/>
              <w:spacing w:before="0" w:line="360" w:lineRule="auto"/>
              <w:jc w:val="center"/>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2.2.</w:t>
            </w:r>
            <w:r>
              <w:rPr>
                <w:rStyle w:val="28"/>
                <w:rFonts w:hint="eastAsia" w:ascii="宋体" w:hAnsi="宋体" w:eastAsia="宋体" w:cs="宋体"/>
                <w:color w:val="auto"/>
                <w:sz w:val="21"/>
                <w:szCs w:val="21"/>
                <w:highlight w:val="none"/>
                <w:lang w:val="en-US" w:eastAsia="zh-CN"/>
              </w:rPr>
              <w:t>2</w:t>
            </w:r>
            <w:r>
              <w:rPr>
                <w:rStyle w:val="28"/>
                <w:rFonts w:hint="eastAsia" w:ascii="宋体" w:hAnsi="宋体" w:eastAsia="宋体" w:cs="宋体"/>
                <w:color w:val="auto"/>
                <w:sz w:val="21"/>
                <w:szCs w:val="21"/>
                <w:highlight w:val="none"/>
              </w:rPr>
              <w:t>(2)</w:t>
            </w:r>
          </w:p>
        </w:tc>
        <w:tc>
          <w:tcPr>
            <w:tcW w:w="1273" w:type="dxa"/>
            <w:gridSpan w:val="3"/>
            <w:vMerge w:val="restart"/>
            <w:tcBorders>
              <w:top w:val="single" w:color="auto" w:sz="4" w:space="0"/>
              <w:left w:val="single" w:color="auto" w:sz="4" w:space="0"/>
              <w:bottom w:val="single" w:color="auto" w:sz="4" w:space="0"/>
              <w:right w:val="nil"/>
            </w:tcBorders>
            <w:shd w:val="clear" w:color="auto" w:fill="FFFFFF"/>
            <w:noWrap w:val="0"/>
            <w:vAlign w:val="center"/>
          </w:tcPr>
          <w:p>
            <w:pPr>
              <w:pStyle w:val="20"/>
              <w:spacing w:before="0" w:line="360" w:lineRule="auto"/>
              <w:jc w:val="center"/>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lang w:val="zh-CN"/>
              </w:rPr>
              <w:t>项目管理机构</w:t>
            </w:r>
          </w:p>
        </w:tc>
        <w:tc>
          <w:tcPr>
            <w:tcW w:w="928" w:type="dxa"/>
            <w:gridSpan w:val="2"/>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240" w:lineRule="atLeast"/>
              <w:jc w:val="center"/>
              <w:rPr>
                <w:rFonts w:hint="eastAsia" w:ascii="宋体" w:hAnsi="宋体" w:eastAsia="宋体" w:cs="宋体"/>
                <w:color w:val="auto"/>
                <w:sz w:val="21"/>
                <w:szCs w:val="21"/>
                <w:highlight w:val="none"/>
              </w:rPr>
            </w:pP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rPr>
              <w:t>分</w:t>
            </w: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项目负责人任职资格与业绩</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30"/>
                <w:rFonts w:hint="eastAsia" w:ascii="宋体" w:hAnsi="宋体" w:eastAsia="宋体" w:cs="宋体"/>
                <w:color w:val="auto"/>
                <w:sz w:val="21"/>
                <w:szCs w:val="21"/>
                <w:highlight w:val="none"/>
              </w:rPr>
            </w:pPr>
            <w:r>
              <w:rPr>
                <w:rStyle w:val="26"/>
                <w:rFonts w:hint="eastAsia" w:ascii="宋体" w:hAnsi="宋体" w:cs="宋体"/>
                <w:color w:val="auto"/>
                <w:sz w:val="21"/>
                <w:szCs w:val="21"/>
                <w:highlight w:val="none"/>
                <w:lang w:val="en-US" w:eastAsia="zh-CN"/>
              </w:rPr>
              <w:t>9</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1、项目负责人在满足</w:t>
            </w:r>
            <w:r>
              <w:rPr>
                <w:rFonts w:hint="eastAsia" w:ascii="宋体" w:hAnsi="宋体" w:eastAsia="宋体" w:cs="宋体"/>
                <w:b w:val="0"/>
                <w:bCs w:val="0"/>
                <w:color w:val="auto"/>
                <w:kern w:val="2"/>
                <w:sz w:val="21"/>
                <w:szCs w:val="21"/>
                <w:highlight w:val="none"/>
              </w:rPr>
              <w:t>资格审查条件(项目负责人和项目技术负责人最低要求)</w:t>
            </w:r>
            <w:r>
              <w:rPr>
                <w:rFonts w:hint="eastAsia" w:ascii="宋体" w:hAnsi="宋体" w:eastAsia="宋体" w:cs="宋体"/>
                <w:color w:val="auto"/>
                <w:szCs w:val="21"/>
                <w:highlight w:val="none"/>
              </w:rPr>
              <w:t>时，得</w:t>
            </w:r>
            <w:r>
              <w:rPr>
                <w:rFonts w:hint="eastAsia" w:ascii="宋体" w:hAnsi="宋体" w:cs="宋体"/>
                <w:color w:val="auto"/>
                <w:szCs w:val="21"/>
                <w:highlight w:val="none"/>
                <w:lang w:val="en-US" w:eastAsia="zh-CN"/>
              </w:rPr>
              <w:t>5.4</w:t>
            </w:r>
            <w:r>
              <w:rPr>
                <w:rFonts w:hint="eastAsia" w:ascii="宋体" w:hAnsi="宋体" w:eastAsia="宋体" w:cs="宋体"/>
                <w:color w:val="auto"/>
                <w:szCs w:val="21"/>
                <w:highlight w:val="none"/>
              </w:rPr>
              <w:t>分；</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2、拟派的项目负责人</w:t>
            </w:r>
            <w:r>
              <w:rPr>
                <w:rFonts w:hint="eastAsia" w:ascii="宋体" w:hAnsi="宋体" w:eastAsia="宋体" w:cs="宋体"/>
                <w:color w:val="auto"/>
                <w:szCs w:val="21"/>
                <w:highlight w:val="none"/>
                <w:lang w:val="en-US" w:eastAsia="zh-CN"/>
              </w:rPr>
              <w:t>具有</w:t>
            </w:r>
            <w:r>
              <w:rPr>
                <w:rFonts w:hint="eastAsia" w:ascii="宋体" w:hAnsi="宋体" w:cs="宋体"/>
                <w:color w:val="auto"/>
                <w:szCs w:val="21"/>
                <w:highlight w:val="none"/>
                <w:lang w:val="en-US" w:eastAsia="zh-CN"/>
              </w:rPr>
              <w:t>石油化工系列或油气储运系列</w:t>
            </w:r>
            <w:r>
              <w:rPr>
                <w:rFonts w:hint="eastAsia" w:ascii="宋体" w:hAnsi="宋体" w:eastAsia="宋体" w:cs="宋体"/>
                <w:color w:val="auto"/>
                <w:szCs w:val="21"/>
                <w:highlight w:val="none"/>
                <w:lang w:val="en-US" w:eastAsia="zh-CN"/>
              </w:rPr>
              <w:t>高级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lang w:val="en-US"/>
              </w:rPr>
              <w:t>的</w:t>
            </w:r>
            <w:r>
              <w:rPr>
                <w:rFonts w:hint="eastAsia" w:ascii="宋体" w:hAnsi="宋体" w:eastAsia="宋体" w:cs="宋体"/>
                <w:color w:val="auto"/>
                <w:szCs w:val="21"/>
                <w:highlight w:val="none"/>
              </w:rPr>
              <w:t>得</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p>
          <w:p>
            <w:pPr>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拟派的项目负责人在满足</w:t>
            </w:r>
            <w:r>
              <w:rPr>
                <w:rFonts w:hint="eastAsia" w:ascii="宋体" w:hAnsi="宋体" w:eastAsia="宋体" w:cs="宋体"/>
                <w:b w:val="0"/>
                <w:bCs w:val="0"/>
                <w:color w:val="auto"/>
                <w:kern w:val="2"/>
                <w:sz w:val="21"/>
                <w:szCs w:val="21"/>
                <w:highlight w:val="none"/>
              </w:rPr>
              <w:t>资格审查条件(项目负责人和项目技术负责人最低要求)</w:t>
            </w:r>
            <w:r>
              <w:rPr>
                <w:rFonts w:hint="eastAsia" w:ascii="宋体" w:hAnsi="宋体" w:eastAsia="宋体" w:cs="宋体"/>
                <w:b w:val="0"/>
                <w:bCs w:val="0"/>
                <w:color w:val="auto"/>
                <w:kern w:val="2"/>
                <w:sz w:val="21"/>
                <w:szCs w:val="21"/>
                <w:highlight w:val="none"/>
                <w:lang w:val="en-US" w:eastAsia="zh-CN"/>
              </w:rPr>
              <w:t>的基础上，另</w:t>
            </w:r>
            <w:r>
              <w:rPr>
                <w:rFonts w:hint="eastAsia" w:ascii="宋体" w:hAnsi="宋体" w:cs="宋体"/>
                <w:color w:val="auto"/>
                <w:szCs w:val="21"/>
                <w:highlight w:val="none"/>
                <w:lang w:val="en-US" w:eastAsia="zh-CN"/>
              </w:rPr>
              <w:t>担任过1项质量合格的单项合同金额不少于人民币3000万元的类似工程的项目负责人或项目副经理或项目技术负责人的，得1.8分。</w:t>
            </w:r>
          </w:p>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注：（1）以上三项合计最高得</w:t>
            </w: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分；</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）类似工程包括油气化工码头配套工程施工、石油化工工程施工（内容须含工艺设备采购及安装）。</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）人员相关证明材料要求详见投标人须知前附表中需要补充的其他内容3.5.5项</w:t>
            </w:r>
            <w:r>
              <w:rPr>
                <w:rFonts w:hint="eastAsia" w:ascii="宋体" w:hAnsi="宋体" w:cs="宋体"/>
                <w:color w:val="auto"/>
                <w:szCs w:val="21"/>
                <w:highlight w:val="none"/>
                <w:lang w:eastAsia="zh-CN"/>
              </w:rPr>
              <w:t>。</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vMerge w:val="continue"/>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rPr>
            </w:pPr>
          </w:p>
        </w:tc>
        <w:tc>
          <w:tcPr>
            <w:tcW w:w="1273" w:type="dxa"/>
            <w:gridSpan w:val="3"/>
            <w:vMerge w:val="continue"/>
            <w:tcBorders>
              <w:top w:val="single" w:color="auto" w:sz="4" w:space="0"/>
              <w:left w:val="single" w:color="auto" w:sz="4" w:space="0"/>
              <w:bottom w:val="single" w:color="auto" w:sz="4" w:space="0"/>
              <w:right w:val="nil"/>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928" w:type="dxa"/>
            <w:gridSpan w:val="2"/>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240" w:lineRule="atLeast"/>
              <w:jc w:val="center"/>
              <w:rPr>
                <w:rFonts w:hint="eastAsia" w:ascii="宋体" w:hAnsi="宋体" w:eastAsia="宋体" w:cs="宋体"/>
                <w:color w:val="auto"/>
                <w:sz w:val="21"/>
                <w:szCs w:val="21"/>
                <w:highlight w:val="non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eastAsia" w:ascii="宋体" w:hAnsi="宋体" w:eastAsia="宋体" w:cs="宋体"/>
                <w:color w:val="auto"/>
                <w:sz w:val="21"/>
                <w:szCs w:val="21"/>
                <w:highlight w:val="none"/>
              </w:rPr>
            </w:pPr>
            <w:r>
              <w:rPr>
                <w:rStyle w:val="30"/>
                <w:rFonts w:hint="eastAsia" w:ascii="宋体" w:hAnsi="宋体" w:eastAsia="宋体" w:cs="宋体"/>
                <w:color w:val="auto"/>
                <w:sz w:val="21"/>
                <w:szCs w:val="21"/>
                <w:highlight w:val="none"/>
              </w:rPr>
              <w:t>项目技术负责人任职资格与业绩</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30"/>
                <w:rFonts w:hint="eastAsia" w:ascii="宋体" w:hAnsi="宋体" w:eastAsia="宋体" w:cs="宋体"/>
                <w:color w:val="auto"/>
                <w:sz w:val="21"/>
                <w:szCs w:val="21"/>
                <w:highlight w:val="none"/>
              </w:rPr>
            </w:pPr>
            <w:r>
              <w:rPr>
                <w:rStyle w:val="26"/>
                <w:rFonts w:hint="default" w:ascii="宋体" w:hAnsi="宋体" w:cs="宋体"/>
                <w:color w:val="auto"/>
                <w:sz w:val="21"/>
                <w:szCs w:val="21"/>
                <w:highlight w:val="none"/>
                <w:lang w:val="en-US" w:eastAsia="zh-CN"/>
              </w:rPr>
              <w:t>10</w:t>
            </w:r>
            <w:r>
              <w:rPr>
                <w:rStyle w:val="26"/>
                <w:rFonts w:hint="eastAsia" w:ascii="宋体" w:hAnsi="宋体" w:eastAsia="宋体" w:cs="宋体"/>
                <w:color w:val="auto"/>
                <w:sz w:val="21"/>
                <w:szCs w:val="21"/>
                <w:highlight w:val="none"/>
              </w:rPr>
              <w:t>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1、项目技术负责人在满足</w:t>
            </w:r>
            <w:r>
              <w:rPr>
                <w:rFonts w:hint="eastAsia" w:ascii="宋体" w:hAnsi="宋体" w:eastAsia="宋体" w:cs="宋体"/>
                <w:b w:val="0"/>
                <w:bCs w:val="0"/>
                <w:color w:val="auto"/>
                <w:kern w:val="2"/>
                <w:sz w:val="21"/>
                <w:szCs w:val="21"/>
                <w:highlight w:val="none"/>
              </w:rPr>
              <w:t>资格审查条件(项目负责人和项目技术负责人最低要求)</w:t>
            </w:r>
            <w:r>
              <w:rPr>
                <w:rFonts w:hint="eastAsia" w:ascii="宋体" w:hAnsi="宋体" w:eastAsia="宋体" w:cs="宋体"/>
                <w:color w:val="auto"/>
                <w:szCs w:val="21"/>
                <w:highlight w:val="none"/>
              </w:rPr>
              <w:t>时，得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2、拟派的项目技术负责人</w:t>
            </w:r>
            <w:r>
              <w:rPr>
                <w:rFonts w:hint="eastAsia" w:ascii="宋体" w:hAnsi="宋体" w:eastAsia="宋体" w:cs="宋体"/>
                <w:color w:val="auto"/>
                <w:szCs w:val="21"/>
                <w:highlight w:val="none"/>
                <w:lang w:val="en-US" w:eastAsia="zh-CN"/>
              </w:rPr>
              <w:t>具有</w:t>
            </w:r>
            <w:r>
              <w:rPr>
                <w:rFonts w:hint="eastAsia" w:ascii="宋体" w:hAnsi="宋体" w:cs="宋体"/>
                <w:color w:val="auto"/>
                <w:szCs w:val="21"/>
                <w:highlight w:val="none"/>
                <w:lang w:val="en-US" w:eastAsia="zh-CN"/>
              </w:rPr>
              <w:t>石油化工系列或油气储运系列</w:t>
            </w:r>
            <w:r>
              <w:rPr>
                <w:rFonts w:hint="eastAsia" w:ascii="宋体" w:hAnsi="宋体" w:eastAsia="宋体" w:cs="宋体"/>
                <w:color w:val="auto"/>
                <w:szCs w:val="21"/>
                <w:highlight w:val="none"/>
                <w:lang w:val="en-US" w:eastAsia="zh-CN"/>
              </w:rPr>
              <w:t>高级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w:t>
            </w:r>
          </w:p>
          <w:p>
            <w:pPr>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3、拟派的项目技术负责人</w:t>
            </w:r>
            <w:r>
              <w:rPr>
                <w:rFonts w:hint="eastAsia" w:ascii="宋体" w:hAnsi="宋体" w:eastAsia="宋体" w:cs="宋体"/>
                <w:color w:val="auto"/>
                <w:szCs w:val="21"/>
                <w:highlight w:val="none"/>
              </w:rPr>
              <w:t>满足</w:t>
            </w:r>
            <w:r>
              <w:rPr>
                <w:rFonts w:hint="eastAsia" w:ascii="宋体" w:hAnsi="宋体" w:eastAsia="宋体" w:cs="宋体"/>
                <w:b w:val="0"/>
                <w:bCs w:val="0"/>
                <w:color w:val="auto"/>
                <w:kern w:val="2"/>
                <w:sz w:val="21"/>
                <w:szCs w:val="21"/>
                <w:highlight w:val="none"/>
              </w:rPr>
              <w:t>资格审查条件(项目负责人和项目技术负责人最低要求)</w:t>
            </w:r>
            <w:r>
              <w:rPr>
                <w:rFonts w:hint="eastAsia" w:ascii="宋体" w:hAnsi="宋体" w:eastAsia="宋体" w:cs="宋体"/>
                <w:b w:val="0"/>
                <w:bCs w:val="0"/>
                <w:color w:val="auto"/>
                <w:kern w:val="2"/>
                <w:sz w:val="21"/>
                <w:szCs w:val="21"/>
                <w:highlight w:val="none"/>
                <w:lang w:val="en-US" w:eastAsia="zh-CN"/>
              </w:rPr>
              <w:t>的基础上，</w:t>
            </w:r>
            <w:r>
              <w:rPr>
                <w:rFonts w:hint="eastAsia" w:ascii="宋体" w:hAnsi="宋体" w:cs="宋体"/>
                <w:color w:val="auto"/>
                <w:szCs w:val="21"/>
                <w:highlight w:val="none"/>
                <w:lang w:val="en-US" w:eastAsia="zh-CN"/>
              </w:rPr>
              <w:t>担任过1项质量合格的单项合同金额不少于人民币3000万元的类似工程的项目经理或分管生产的项目副经理或项目技术负责人（总工程师）或技术部门主要负责人或工程部门主要负责人的，得2分。</w:t>
            </w:r>
          </w:p>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注：（1）以上三项合计最高得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）类似工程包括油气化工码头配套工程施工、石油化工工程施工（内容须含工艺设备采购及安装）。</w:t>
            </w:r>
          </w:p>
          <w:p>
            <w:pPr>
              <w:ind w:firstLine="420" w:firstLineChars="200"/>
              <w:jc w:val="left"/>
              <w:rPr>
                <w:rStyle w:val="30"/>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）人员相关证明材料要求详见投标人须知前附表中需要补充的其他内容3.5.5项。</w:t>
            </w:r>
          </w:p>
        </w:tc>
      </w:tr>
      <w:tr>
        <w:tblPrEx>
          <w:tblCellMar>
            <w:top w:w="0" w:type="dxa"/>
            <w:left w:w="0" w:type="dxa"/>
            <w:bottom w:w="0" w:type="dxa"/>
            <w:right w:w="0" w:type="dxa"/>
          </w:tblCellMar>
        </w:tblPrEx>
        <w:trPr>
          <w:gridAfter w:val="1"/>
          <w:wAfter w:w="14" w:type="dxa"/>
          <w:cantSplit/>
          <w:trHeight w:val="23" w:hRule="atLeast"/>
        </w:trPr>
        <w:tc>
          <w:tcPr>
            <w:tcW w:w="996" w:type="dxa"/>
            <w:gridSpan w:val="2"/>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rPr>
            </w:pPr>
          </w:p>
        </w:tc>
        <w:tc>
          <w:tcPr>
            <w:tcW w:w="1273" w:type="dxa"/>
            <w:gridSpan w:val="3"/>
            <w:tcBorders>
              <w:top w:val="single" w:color="auto" w:sz="4" w:space="0"/>
              <w:left w:val="single" w:color="auto" w:sz="4" w:space="0"/>
              <w:bottom w:val="single" w:color="auto" w:sz="4" w:space="0"/>
              <w:right w:val="nil"/>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9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napToGrid w:val="0"/>
              <w:spacing w:line="240" w:lineRule="atLeast"/>
              <w:jc w:val="center"/>
              <w:rPr>
                <w:rFonts w:hint="eastAsia" w:ascii="宋体" w:hAnsi="宋体" w:eastAsia="宋体" w:cs="宋体"/>
                <w:color w:val="auto"/>
                <w:sz w:val="21"/>
                <w:szCs w:val="21"/>
                <w:highlight w:val="none"/>
              </w:rPr>
            </w:pPr>
          </w:p>
        </w:tc>
        <w:tc>
          <w:tcPr>
            <w:tcW w:w="1341" w:type="dxa"/>
            <w:tcBorders>
              <w:top w:val="single" w:color="auto" w:sz="4" w:space="0"/>
              <w:left w:val="single" w:color="auto" w:sz="4" w:space="0"/>
              <w:bottom w:val="single" w:color="auto" w:sz="4" w:space="0"/>
              <w:right w:val="nil"/>
            </w:tcBorders>
            <w:shd w:val="clear" w:color="auto" w:fill="FFFFFF"/>
            <w:noWrap w:val="0"/>
            <w:vAlign w:val="center"/>
          </w:tcPr>
          <w:p>
            <w:pPr>
              <w:jc w:val="center"/>
              <w:rPr>
                <w:rStyle w:val="30"/>
                <w:rFonts w:hint="default" w:ascii="宋体" w:hAnsi="宋体" w:eastAsia="宋体" w:cs="宋体"/>
                <w:color w:val="auto"/>
                <w:sz w:val="21"/>
                <w:szCs w:val="21"/>
                <w:highlight w:val="none"/>
                <w:lang w:val="en-US" w:eastAsia="zh-CN"/>
              </w:rPr>
            </w:pPr>
            <w:r>
              <w:rPr>
                <w:rStyle w:val="30"/>
                <w:rFonts w:hint="eastAsia" w:ascii="宋体" w:hAnsi="宋体" w:cs="宋体"/>
                <w:color w:val="auto"/>
                <w:sz w:val="21"/>
                <w:szCs w:val="21"/>
                <w:highlight w:val="none"/>
                <w:lang w:val="en-US" w:eastAsia="zh-CN"/>
              </w:rPr>
              <w:t>其他主要人员</w:t>
            </w:r>
          </w:p>
        </w:tc>
        <w:tc>
          <w:tcPr>
            <w:tcW w:w="644" w:type="dxa"/>
            <w:tcBorders>
              <w:top w:val="single" w:color="auto" w:sz="4" w:space="0"/>
              <w:left w:val="single" w:color="auto" w:sz="4" w:space="0"/>
              <w:bottom w:val="single" w:color="auto" w:sz="4" w:space="0"/>
              <w:right w:val="nil"/>
            </w:tcBorders>
            <w:shd w:val="clear" w:color="auto" w:fill="FFFFFF"/>
            <w:noWrap w:val="0"/>
            <w:vAlign w:val="center"/>
          </w:tcPr>
          <w:p>
            <w:pPr>
              <w:spacing w:line="360" w:lineRule="auto"/>
              <w:jc w:val="center"/>
              <w:rPr>
                <w:rStyle w:val="26"/>
                <w:rFonts w:hint="default" w:ascii="宋体" w:hAnsi="宋体" w:cs="宋体"/>
                <w:color w:val="auto"/>
                <w:sz w:val="21"/>
                <w:szCs w:val="21"/>
                <w:highlight w:val="none"/>
                <w:lang w:val="en-US" w:eastAsia="zh-CN"/>
              </w:rPr>
            </w:pPr>
            <w:r>
              <w:rPr>
                <w:rStyle w:val="26"/>
                <w:rFonts w:hint="eastAsia" w:ascii="宋体" w:hAnsi="宋体" w:cs="宋体"/>
                <w:color w:val="auto"/>
                <w:sz w:val="21"/>
                <w:szCs w:val="21"/>
                <w:highlight w:val="none"/>
                <w:lang w:val="en-US" w:eastAsia="zh-CN"/>
              </w:rPr>
              <w:t>6分</w:t>
            </w:r>
          </w:p>
        </w:tc>
        <w:tc>
          <w:tcPr>
            <w:tcW w:w="41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其他主要人员</w:t>
            </w:r>
            <w:r>
              <w:rPr>
                <w:rFonts w:hint="eastAsia" w:ascii="宋体" w:hAnsi="宋体" w:eastAsia="宋体" w:cs="宋体"/>
                <w:color w:val="auto"/>
                <w:szCs w:val="21"/>
                <w:highlight w:val="none"/>
              </w:rPr>
              <w:t>在满足</w:t>
            </w:r>
            <w:r>
              <w:rPr>
                <w:rFonts w:hint="eastAsia" w:ascii="宋体" w:hAnsi="宋体" w:eastAsia="宋体" w:cs="宋体"/>
                <w:b w:val="0"/>
                <w:bCs w:val="0"/>
                <w:color w:val="auto"/>
                <w:kern w:val="2"/>
                <w:sz w:val="21"/>
                <w:szCs w:val="21"/>
                <w:highlight w:val="none"/>
              </w:rPr>
              <w:t>资格审查条件(</w:t>
            </w:r>
            <w:r>
              <w:rPr>
                <w:rFonts w:hint="eastAsia" w:ascii="宋体" w:hAnsi="宋体" w:eastAsia="宋体" w:cs="宋体"/>
                <w:b w:val="0"/>
                <w:bCs w:val="0"/>
                <w:color w:val="auto"/>
                <w:kern w:val="2"/>
                <w:sz w:val="21"/>
                <w:szCs w:val="21"/>
                <w:highlight w:val="none"/>
                <w:lang w:val="en-US" w:eastAsia="zh-CN"/>
              </w:rPr>
              <w:t>其他管理人员和技术人员</w:t>
            </w:r>
            <w:r>
              <w:rPr>
                <w:rFonts w:hint="eastAsia" w:ascii="宋体" w:hAnsi="宋体" w:eastAsia="宋体" w:cs="宋体"/>
                <w:b w:val="0"/>
                <w:bCs w:val="0"/>
                <w:color w:val="auto"/>
                <w:kern w:val="2"/>
                <w:sz w:val="21"/>
                <w:szCs w:val="21"/>
                <w:highlight w:val="none"/>
              </w:rPr>
              <w:t>最低要求)</w:t>
            </w:r>
            <w:r>
              <w:rPr>
                <w:rFonts w:hint="eastAsia" w:ascii="宋体" w:hAnsi="宋体" w:eastAsia="宋体" w:cs="宋体"/>
                <w:color w:val="auto"/>
                <w:szCs w:val="21"/>
                <w:highlight w:val="none"/>
              </w:rPr>
              <w:t>时，得</w:t>
            </w:r>
            <w:r>
              <w:rPr>
                <w:rFonts w:hint="eastAsia" w:ascii="宋体" w:hAnsi="宋体" w:cs="宋体"/>
                <w:color w:val="auto"/>
                <w:szCs w:val="21"/>
                <w:highlight w:val="none"/>
                <w:lang w:val="en-US" w:eastAsia="zh-CN"/>
              </w:rPr>
              <w:t>3.6</w:t>
            </w:r>
            <w:r>
              <w:rPr>
                <w:rFonts w:hint="eastAsia" w:ascii="宋体" w:hAnsi="宋体" w:eastAsia="宋体" w:cs="宋体"/>
                <w:color w:val="auto"/>
                <w:szCs w:val="21"/>
                <w:highlight w:val="none"/>
              </w:rPr>
              <w:t>分；</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、拟派的</w:t>
            </w:r>
            <w:r>
              <w:rPr>
                <w:rFonts w:hint="eastAsia" w:ascii="宋体" w:hAnsi="宋体" w:eastAsia="宋体" w:cs="宋体"/>
                <w:color w:val="auto"/>
                <w:szCs w:val="21"/>
                <w:highlight w:val="none"/>
                <w:lang w:val="en-US" w:eastAsia="zh-CN"/>
              </w:rPr>
              <w:t>机电工程师具有机电工程系列或</w:t>
            </w:r>
            <w:r>
              <w:rPr>
                <w:rFonts w:hint="eastAsia" w:ascii="宋体" w:hAnsi="宋体" w:cs="宋体"/>
                <w:color w:val="auto"/>
                <w:szCs w:val="21"/>
                <w:highlight w:val="none"/>
                <w:lang w:val="en-US" w:eastAsia="zh-CN"/>
              </w:rPr>
              <w:t>石油化工系列或油气储运系列</w:t>
            </w:r>
            <w:r>
              <w:rPr>
                <w:rFonts w:hint="eastAsia" w:ascii="宋体" w:hAnsi="宋体" w:eastAsia="宋体" w:cs="宋体"/>
                <w:color w:val="auto"/>
                <w:szCs w:val="21"/>
                <w:highlight w:val="none"/>
                <w:lang w:val="en-US" w:eastAsia="zh-CN"/>
              </w:rPr>
              <w:t>高级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、拟派的</w:t>
            </w:r>
            <w:r>
              <w:rPr>
                <w:rFonts w:hint="eastAsia" w:ascii="宋体" w:hAnsi="宋体" w:eastAsia="宋体" w:cs="宋体"/>
                <w:color w:val="auto"/>
                <w:szCs w:val="21"/>
                <w:highlight w:val="none"/>
                <w:lang w:val="en-US" w:eastAsia="zh-CN"/>
              </w:rPr>
              <w:t>石油化工工程师具有</w:t>
            </w:r>
            <w:r>
              <w:rPr>
                <w:rFonts w:hint="eastAsia" w:ascii="宋体" w:hAnsi="宋体" w:cs="宋体"/>
                <w:color w:val="auto"/>
                <w:szCs w:val="21"/>
                <w:highlight w:val="none"/>
                <w:lang w:val="en-US" w:eastAsia="zh-CN"/>
              </w:rPr>
              <w:t>石油化工系列或油气储运系列</w:t>
            </w:r>
            <w:r>
              <w:rPr>
                <w:rFonts w:hint="eastAsia" w:ascii="宋体" w:hAnsi="宋体" w:eastAsia="宋体" w:cs="宋体"/>
                <w:color w:val="auto"/>
                <w:szCs w:val="21"/>
                <w:highlight w:val="none"/>
                <w:lang w:val="en-US" w:eastAsia="zh-CN"/>
              </w:rPr>
              <w:t>高级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、拟派的</w:t>
            </w:r>
            <w:r>
              <w:rPr>
                <w:rFonts w:hint="eastAsia" w:ascii="宋体" w:hAnsi="宋体" w:eastAsia="宋体" w:cs="宋体"/>
                <w:color w:val="auto"/>
                <w:szCs w:val="21"/>
                <w:highlight w:val="none"/>
                <w:lang w:val="en-US" w:eastAsia="zh-CN"/>
              </w:rPr>
              <w:t>电气仪表专业工程师具有电气仪表类或</w:t>
            </w:r>
            <w:r>
              <w:rPr>
                <w:rFonts w:hint="eastAsia" w:ascii="宋体" w:hAnsi="宋体" w:cs="宋体"/>
                <w:color w:val="auto"/>
                <w:szCs w:val="21"/>
                <w:highlight w:val="none"/>
                <w:lang w:val="en-US" w:eastAsia="zh-CN"/>
              </w:rPr>
              <w:t>石油化工系列或油气储运系列</w:t>
            </w:r>
            <w:r>
              <w:rPr>
                <w:rFonts w:hint="eastAsia" w:ascii="宋体" w:hAnsi="宋体" w:eastAsia="宋体" w:cs="宋体"/>
                <w:color w:val="auto"/>
                <w:szCs w:val="21"/>
                <w:highlight w:val="none"/>
                <w:lang w:val="en-US" w:eastAsia="zh-CN"/>
              </w:rPr>
              <w:t>高级</w:t>
            </w:r>
            <w:r>
              <w:rPr>
                <w:rFonts w:hint="eastAsia" w:ascii="宋体" w:hAnsi="宋体" w:cs="宋体"/>
                <w:color w:val="auto"/>
                <w:szCs w:val="21"/>
                <w:highlight w:val="none"/>
                <w:lang w:val="en-US" w:eastAsia="zh-CN"/>
              </w:rPr>
              <w:t>或以上</w:t>
            </w:r>
            <w:r>
              <w:rPr>
                <w:rFonts w:hint="eastAsia" w:ascii="宋体" w:hAnsi="宋体" w:eastAsia="宋体" w:cs="宋体"/>
                <w:color w:val="auto"/>
                <w:szCs w:val="21"/>
                <w:highlight w:val="none"/>
                <w:lang w:val="en-US" w:eastAsia="zh-CN"/>
              </w:rPr>
              <w:t>职称</w:t>
            </w:r>
            <w:r>
              <w:rPr>
                <w:rFonts w:hint="eastAsia" w:ascii="宋体" w:hAnsi="宋体" w:eastAsia="宋体" w:cs="宋体"/>
                <w:color w:val="auto"/>
                <w:szCs w:val="21"/>
                <w:highlight w:val="none"/>
              </w:rPr>
              <w:t>的得</w:t>
            </w:r>
            <w:r>
              <w:rPr>
                <w:rFonts w:hint="eastAsia" w:ascii="宋体" w:hAnsi="宋体" w:cs="宋体"/>
                <w:color w:val="auto"/>
                <w:szCs w:val="21"/>
                <w:highlight w:val="none"/>
                <w:lang w:val="en-US" w:eastAsia="zh-CN"/>
              </w:rPr>
              <w:t>0.8</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pPr>
              <w:ind w:firstLine="420" w:firstLineChars="200"/>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注：</w:t>
            </w:r>
            <w:r>
              <w:rPr>
                <w:rFonts w:hint="eastAsia" w:ascii="宋体" w:hAnsi="宋体" w:eastAsia="宋体" w:cs="宋体"/>
                <w:color w:val="auto"/>
                <w:szCs w:val="21"/>
                <w:highlight w:val="none"/>
              </w:rPr>
              <w:t>以上</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合计</w:t>
            </w:r>
            <w:r>
              <w:rPr>
                <w:rFonts w:hint="eastAsia" w:ascii="宋体" w:hAnsi="宋体" w:cs="宋体"/>
                <w:color w:val="auto"/>
                <w:szCs w:val="21"/>
                <w:highlight w:val="none"/>
                <w:lang w:val="en-US" w:eastAsia="zh-CN"/>
              </w:rPr>
              <w:t>最高得6</w:t>
            </w:r>
            <w:r>
              <w:rPr>
                <w:rFonts w:hint="eastAsia" w:ascii="宋体" w:hAnsi="宋体" w:eastAsia="宋体" w:cs="宋体"/>
                <w:color w:val="auto"/>
                <w:szCs w:val="21"/>
                <w:highlight w:val="none"/>
              </w:rPr>
              <w:t>分。</w:t>
            </w:r>
          </w:p>
        </w:tc>
      </w:tr>
      <w:tr>
        <w:tblPrEx>
          <w:tblCellMar>
            <w:top w:w="0" w:type="dxa"/>
            <w:left w:w="0" w:type="dxa"/>
            <w:bottom w:w="0" w:type="dxa"/>
            <w:right w:w="0" w:type="dxa"/>
          </w:tblCellMar>
        </w:tblPrEx>
        <w:trPr>
          <w:gridAfter w:val="1"/>
          <w:wAfter w:w="14" w:type="dxa"/>
          <w:cantSplit/>
          <w:trHeight w:val="90" w:hRule="atLeast"/>
        </w:trPr>
        <w:tc>
          <w:tcPr>
            <w:tcW w:w="996"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2.2.</w:t>
            </w:r>
            <w:r>
              <w:rPr>
                <w:rStyle w:val="28"/>
                <w:rFonts w:hint="eastAsia" w:ascii="宋体" w:hAnsi="宋体" w:eastAsia="宋体" w:cs="宋体"/>
                <w:color w:val="auto"/>
                <w:sz w:val="21"/>
                <w:szCs w:val="21"/>
                <w:highlight w:val="none"/>
                <w:lang w:val="en-US" w:eastAsia="zh-CN"/>
              </w:rPr>
              <w:t>2</w:t>
            </w:r>
            <w:r>
              <w:rPr>
                <w:rStyle w:val="28"/>
                <w:rFonts w:hint="eastAsia" w:ascii="宋体" w:hAnsi="宋体" w:eastAsia="宋体" w:cs="宋体"/>
                <w:color w:val="auto"/>
                <w:sz w:val="21"/>
                <w:szCs w:val="21"/>
                <w:highlight w:val="none"/>
              </w:rPr>
              <w:t>（</w:t>
            </w:r>
            <w:r>
              <w:rPr>
                <w:rStyle w:val="28"/>
                <w:rFonts w:hint="eastAsia" w:ascii="宋体" w:hAnsi="宋体" w:eastAsia="宋体" w:cs="宋体"/>
                <w:color w:val="auto"/>
                <w:sz w:val="21"/>
                <w:szCs w:val="21"/>
                <w:highlight w:val="none"/>
                <w:lang w:val="en-US" w:eastAsia="zh-CN"/>
              </w:rPr>
              <w:t>3</w:t>
            </w:r>
            <w:r>
              <w:rPr>
                <w:rStyle w:val="28"/>
                <w:rFonts w:hint="eastAsia" w:ascii="宋体" w:hAnsi="宋体" w:eastAsia="宋体" w:cs="宋体"/>
                <w:color w:val="auto"/>
                <w:sz w:val="21"/>
                <w:szCs w:val="21"/>
                <w:highlight w:val="none"/>
              </w:rPr>
              <w:t>）</w:t>
            </w:r>
          </w:p>
        </w:tc>
        <w:tc>
          <w:tcPr>
            <w:tcW w:w="535" w:type="dxa"/>
            <w:gridSpan w:val="2"/>
            <w:vMerge w:val="restart"/>
            <w:tcBorders>
              <w:top w:val="single" w:color="auto" w:sz="4" w:space="0"/>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rPr>
            </w:pPr>
          </w:p>
          <w:p>
            <w:pPr>
              <w:pStyle w:val="20"/>
              <w:shd w:val="clear" w:color="auto" w:fill="auto"/>
              <w:spacing w:before="0" w:line="360" w:lineRule="auto"/>
              <w:jc w:val="center"/>
              <w:rPr>
                <w:rFonts w:hint="eastAsia" w:ascii="宋体" w:hAnsi="宋体" w:eastAsia="宋体" w:cs="宋体"/>
                <w:color w:val="auto"/>
                <w:sz w:val="21"/>
                <w:szCs w:val="21"/>
                <w:highlight w:val="none"/>
              </w:rPr>
            </w:pPr>
          </w:p>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p>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p>
          <w:p>
            <w:pPr>
              <w:pStyle w:val="20"/>
              <w:shd w:val="clear" w:color="auto" w:fill="auto"/>
              <w:spacing w:before="0" w:line="360" w:lineRule="auto"/>
              <w:jc w:val="center"/>
              <w:rPr>
                <w:rStyle w:val="28"/>
                <w:rFonts w:hint="eastAsia" w:ascii="宋体" w:hAnsi="宋体" w:eastAsia="宋体" w:cs="宋体"/>
                <w:color w:val="auto"/>
                <w:sz w:val="21"/>
                <w:szCs w:val="21"/>
                <w:highlight w:val="none"/>
                <w:lang w:eastAsia="zh-CN"/>
              </w:rPr>
            </w:pPr>
            <w:r>
              <w:rPr>
                <w:rStyle w:val="28"/>
                <w:rFonts w:hint="eastAsia" w:ascii="宋体" w:hAnsi="宋体" w:eastAsia="宋体" w:cs="宋体"/>
                <w:color w:val="auto"/>
                <w:sz w:val="21"/>
                <w:szCs w:val="21"/>
                <w:highlight w:val="none"/>
              </w:rPr>
              <w:t>其他</w:t>
            </w:r>
          </w:p>
          <w:p>
            <w:pPr>
              <w:pStyle w:val="20"/>
              <w:shd w:val="clear" w:color="auto" w:fill="auto"/>
              <w:spacing w:before="0" w:line="360" w:lineRule="auto"/>
              <w:jc w:val="center"/>
              <w:rPr>
                <w:rFonts w:hint="eastAsia" w:ascii="宋体" w:hAnsi="宋体" w:eastAsia="宋体" w:cs="宋体"/>
                <w:color w:val="auto"/>
                <w:sz w:val="21"/>
                <w:szCs w:val="21"/>
                <w:highlight w:val="none"/>
              </w:rPr>
            </w:pPr>
            <w:r>
              <w:rPr>
                <w:rStyle w:val="28"/>
                <w:rFonts w:hint="eastAsia" w:ascii="宋体" w:hAnsi="宋体" w:eastAsia="宋体" w:cs="宋体"/>
                <w:color w:val="auto"/>
                <w:sz w:val="21"/>
                <w:szCs w:val="21"/>
                <w:highlight w:val="none"/>
              </w:rPr>
              <w:t>因素</w:t>
            </w:r>
          </w:p>
          <w:p>
            <w:pPr>
              <w:pStyle w:val="20"/>
              <w:shd w:val="clear" w:color="auto" w:fill="auto"/>
              <w:spacing w:before="0" w:line="360" w:lineRule="auto"/>
              <w:jc w:val="center"/>
              <w:rPr>
                <w:rFonts w:hint="eastAsia" w:ascii="宋体" w:hAnsi="宋体" w:eastAsia="宋体" w:cs="宋体"/>
                <w:color w:val="auto"/>
                <w:sz w:val="21"/>
                <w:szCs w:val="21"/>
                <w:highlight w:val="none"/>
              </w:rPr>
            </w:pPr>
          </w:p>
          <w:p>
            <w:pPr>
              <w:pStyle w:val="20"/>
              <w:shd w:val="clear" w:color="auto" w:fill="auto"/>
              <w:spacing w:before="0" w:line="360" w:lineRule="auto"/>
              <w:jc w:val="center"/>
              <w:rPr>
                <w:rFonts w:hint="eastAsia" w:ascii="宋体" w:hAnsi="宋体" w:eastAsia="宋体" w:cs="宋体"/>
                <w:color w:val="auto"/>
                <w:sz w:val="21"/>
                <w:szCs w:val="21"/>
                <w:highlight w:val="none"/>
              </w:rPr>
            </w:pPr>
          </w:p>
          <w:p>
            <w:pPr>
              <w:pStyle w:val="20"/>
              <w:shd w:val="clear" w:color="auto" w:fill="auto"/>
              <w:spacing w:before="0" w:line="360" w:lineRule="auto"/>
              <w:jc w:val="center"/>
              <w:rPr>
                <w:rFonts w:hint="eastAsia" w:ascii="宋体" w:hAnsi="宋体" w:eastAsia="宋体" w:cs="宋体"/>
                <w:color w:val="auto"/>
                <w:sz w:val="21"/>
                <w:szCs w:val="21"/>
                <w:highlight w:val="none"/>
              </w:rPr>
            </w:pPr>
          </w:p>
          <w:p>
            <w:pPr>
              <w:pStyle w:val="20"/>
              <w:shd w:val="clear" w:color="auto" w:fill="auto"/>
              <w:spacing w:before="0" w:line="360" w:lineRule="auto"/>
              <w:jc w:val="center"/>
              <w:rPr>
                <w:rFonts w:hint="eastAsia" w:ascii="宋体" w:hAnsi="宋体" w:eastAsia="宋体" w:cs="宋体"/>
                <w:color w:val="auto"/>
                <w:sz w:val="21"/>
                <w:szCs w:val="21"/>
                <w:highlight w:val="none"/>
              </w:rPr>
            </w:pPr>
          </w:p>
          <w:p>
            <w:pPr>
              <w:pStyle w:val="20"/>
              <w:shd w:val="clear" w:color="auto" w:fill="auto"/>
              <w:spacing w:before="0" w:line="360" w:lineRule="auto"/>
              <w:jc w:val="center"/>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履约</w:t>
            </w:r>
          </w:p>
          <w:p>
            <w:pPr>
              <w:pStyle w:val="20"/>
              <w:shd w:val="clear" w:color="auto" w:fill="auto"/>
              <w:spacing w:before="0"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信誉</w:t>
            </w:r>
          </w:p>
        </w:tc>
        <w:tc>
          <w:tcPr>
            <w:tcW w:w="92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u w:val="single"/>
              </w:rPr>
              <w:t>1</w:t>
            </w:r>
            <w:r>
              <w:rPr>
                <w:rStyle w:val="26"/>
                <w:rFonts w:hint="eastAsia" w:ascii="宋体" w:hAnsi="宋体" w:cs="宋体"/>
                <w:color w:val="auto"/>
                <w:sz w:val="21"/>
                <w:szCs w:val="21"/>
                <w:highlight w:val="none"/>
                <w:u w:val="single"/>
                <w:lang w:val="en-US" w:eastAsia="zh-CN"/>
              </w:rPr>
              <w:t>5</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105" w:firstLineChars="50"/>
              <w:textAlignment w:val="auto"/>
              <w:rPr>
                <w:rFonts w:hint="eastAsia" w:ascii="宋体" w:hAnsi="宋体"/>
                <w:color w:val="auto"/>
                <w:sz w:val="21"/>
                <w:szCs w:val="21"/>
                <w:highlight w:val="none"/>
              </w:rPr>
            </w:pPr>
            <w:r>
              <w:rPr>
                <w:rFonts w:hint="eastAsia" w:ascii="宋体" w:hAnsi="宋体"/>
                <w:color w:val="auto"/>
                <w:sz w:val="21"/>
                <w:szCs w:val="21"/>
                <w:highlight w:val="none"/>
              </w:rPr>
              <w:t>1. 信用等级分值（</w:t>
            </w:r>
            <w:r>
              <w:rPr>
                <w:rFonts w:hint="eastAsia" w:ascii="宋体" w:hAnsi="宋体"/>
                <w:color w:val="auto"/>
                <w:sz w:val="21"/>
                <w:szCs w:val="21"/>
                <w:highlight w:val="none"/>
                <w:lang w:val="en-US" w:eastAsia="zh-CN"/>
              </w:rPr>
              <w:t>10</w:t>
            </w:r>
            <w:r>
              <w:rPr>
                <w:rFonts w:hint="eastAsia" w:ascii="宋体" w:hAnsi="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360" w:lineRule="exact"/>
              <w:ind w:firstLine="525" w:firstLineChars="250"/>
              <w:textAlignment w:val="auto"/>
              <w:rPr>
                <w:rFonts w:hint="eastAsia" w:ascii="宋体" w:hAnsi="宋体"/>
                <w:color w:val="auto"/>
                <w:sz w:val="21"/>
                <w:szCs w:val="21"/>
                <w:highlight w:val="none"/>
              </w:rPr>
            </w:pPr>
            <w:r>
              <w:rPr>
                <w:rFonts w:hint="eastAsia" w:ascii="宋体" w:hAnsi="宋体"/>
                <w:color w:val="auto"/>
                <w:sz w:val="21"/>
                <w:szCs w:val="21"/>
                <w:highlight w:val="none"/>
              </w:rPr>
              <w:t>AA、A、B、C级单位的信用等级分得分分别为10、9.5、8.9、7.3分。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olor w:val="auto"/>
                <w:sz w:val="21"/>
                <w:szCs w:val="21"/>
                <w:highlight w:val="none"/>
              </w:rPr>
            </w:pPr>
            <w:r>
              <w:rPr>
                <w:rFonts w:hint="eastAsia" w:ascii="宋体" w:hAnsi="宋体" w:cs="宋体"/>
                <w:color w:val="auto"/>
                <w:sz w:val="21"/>
                <w:szCs w:val="21"/>
                <w:highlight w:val="none"/>
              </w:rPr>
              <w:t>注：信用等级的确定原则遵循投标人须知前附表10.2款的规定。</w:t>
            </w:r>
          </w:p>
          <w:p>
            <w:pPr>
              <w:pStyle w:val="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2. 履约情况（5分）</w:t>
            </w:r>
          </w:p>
          <w:p>
            <w:pPr>
              <w:pStyle w:val="7"/>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若没出现下述情形得满分；</w:t>
            </w:r>
          </w:p>
          <w:p>
            <w:pPr>
              <w:pStyle w:val="7"/>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hint="eastAsia" w:hAnsi="宋体"/>
                <w:color w:val="auto"/>
                <w:szCs w:val="21"/>
                <w:highlight w:val="none"/>
                <w:lang w:val="en-US" w:eastAsia="zh-CN"/>
              </w:rPr>
            </w:pPr>
            <w:r>
              <w:rPr>
                <w:rFonts w:hint="eastAsia" w:hAnsi="宋体"/>
                <w:color w:val="auto"/>
                <w:szCs w:val="21"/>
                <w:highlight w:val="none"/>
                <w:lang w:val="en-US" w:eastAsia="zh-CN"/>
              </w:rPr>
              <w:t>投标文件递交截止日前1年内，投标人因水运工程</w:t>
            </w:r>
            <w:r>
              <w:rPr>
                <w:rFonts w:hint="eastAsia" w:hAnsi="宋体"/>
                <w:color w:val="auto"/>
                <w:szCs w:val="21"/>
                <w:highlight w:val="none"/>
                <w:lang w:val="zh-CN" w:eastAsia="zh-CN"/>
              </w:rPr>
              <w:t>（含附属设施）建设项目</w:t>
            </w:r>
            <w:r>
              <w:rPr>
                <w:rFonts w:hint="eastAsia" w:hAnsi="宋体"/>
                <w:color w:val="auto"/>
                <w:szCs w:val="21"/>
                <w:highlight w:val="none"/>
                <w:lang w:val="en-US" w:eastAsia="zh-CN"/>
              </w:rPr>
              <w:t>质量、安全、履约或招标投标问题等原因被：</w:t>
            </w:r>
          </w:p>
          <w:p>
            <w:pPr>
              <w:pStyle w:val="2"/>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textAlignment w:val="auto"/>
              <w:rPr>
                <w:rFonts w:ascii="宋体" w:hAnsi="宋体"/>
                <w:color w:val="auto"/>
                <w:highlight w:val="none"/>
              </w:rPr>
            </w:pPr>
            <w:r>
              <w:rPr>
                <w:rFonts w:ascii="宋体" w:hAnsi="宋体"/>
                <w:color w:val="auto"/>
                <w:highlight w:val="none"/>
              </w:rPr>
              <w:t>（1）交通运输部行政处罚的，扣5分/次</w:t>
            </w:r>
            <w:r>
              <w:rPr>
                <w:rFonts w:hint="eastAsia" w:ascii="宋体" w:hAnsi="宋体"/>
                <w:color w:val="auto"/>
                <w:highlight w:val="none"/>
              </w:rPr>
              <w:t>。</w:t>
            </w:r>
          </w:p>
          <w:p>
            <w:pPr>
              <w:pStyle w:val="2"/>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textAlignment w:val="auto"/>
              <w:rPr>
                <w:rFonts w:hint="eastAsia" w:ascii="宋体" w:hAnsi="宋体"/>
                <w:color w:val="auto"/>
                <w:highlight w:val="none"/>
              </w:rPr>
            </w:pPr>
            <w:r>
              <w:rPr>
                <w:rFonts w:ascii="宋体" w:hAnsi="宋体"/>
                <w:color w:val="auto"/>
                <w:highlight w:val="none"/>
              </w:rPr>
              <w:t>（2）广东省交通运输厅行政处罚的，扣</w:t>
            </w:r>
            <w:r>
              <w:rPr>
                <w:rFonts w:hint="eastAsia" w:ascii="宋体" w:hAnsi="宋体"/>
                <w:color w:val="auto"/>
                <w:highlight w:val="none"/>
              </w:rPr>
              <w:t>3</w:t>
            </w:r>
            <w:r>
              <w:rPr>
                <w:rFonts w:ascii="宋体" w:hAnsi="宋体"/>
                <w:color w:val="auto"/>
                <w:highlight w:val="none"/>
              </w:rPr>
              <w:t>分/次</w:t>
            </w:r>
            <w:r>
              <w:rPr>
                <w:rFonts w:hint="eastAsia" w:ascii="宋体" w:hAnsi="宋体"/>
                <w:color w:val="auto"/>
                <w:highlight w:val="none"/>
              </w:rPr>
              <w:t>。</w:t>
            </w:r>
          </w:p>
          <w:p>
            <w:pPr>
              <w:pStyle w:val="2"/>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textAlignment w:val="auto"/>
              <w:rPr>
                <w:rFonts w:ascii="宋体" w:hAnsi="宋体"/>
                <w:color w:val="auto"/>
                <w:highlight w:val="none"/>
                <w:u w:val="single"/>
              </w:rPr>
            </w:pPr>
            <w:r>
              <w:rPr>
                <w:rFonts w:ascii="宋体" w:hAnsi="宋体"/>
                <w:color w:val="auto"/>
                <w:highlight w:val="none"/>
                <w:u w:val="single"/>
              </w:rPr>
              <w:t>（</w:t>
            </w:r>
            <w:r>
              <w:rPr>
                <w:rFonts w:hint="eastAsia" w:ascii="宋体" w:hAnsi="宋体"/>
                <w:color w:val="auto"/>
                <w:highlight w:val="none"/>
                <w:u w:val="single"/>
              </w:rPr>
              <w:t>3</w:t>
            </w:r>
            <w:r>
              <w:rPr>
                <w:rFonts w:ascii="宋体" w:hAnsi="宋体"/>
                <w:color w:val="auto"/>
                <w:highlight w:val="none"/>
                <w:u w:val="single"/>
              </w:rPr>
              <w:t>）项目所在地</w:t>
            </w:r>
            <w:r>
              <w:rPr>
                <w:rFonts w:hint="eastAsia" w:ascii="宋体" w:hAnsi="宋体"/>
                <w:color w:val="auto"/>
                <w:highlight w:val="none"/>
                <w:u w:val="single"/>
              </w:rPr>
              <w:t>地级以上市</w:t>
            </w:r>
            <w:r>
              <w:rPr>
                <w:rFonts w:ascii="宋体" w:hAnsi="宋体"/>
                <w:color w:val="auto"/>
                <w:highlight w:val="none"/>
                <w:u w:val="single"/>
              </w:rPr>
              <w:t>交通</w:t>
            </w:r>
            <w:r>
              <w:rPr>
                <w:rFonts w:hint="eastAsia" w:ascii="宋体" w:hAnsi="宋体"/>
                <w:color w:val="auto"/>
                <w:highlight w:val="none"/>
                <w:u w:val="single"/>
              </w:rPr>
              <w:t>运输</w:t>
            </w:r>
            <w:r>
              <w:rPr>
                <w:rFonts w:ascii="宋体" w:hAnsi="宋体"/>
                <w:color w:val="auto"/>
                <w:highlight w:val="none"/>
                <w:u w:val="single"/>
              </w:rPr>
              <w:t>局行政处罚的，扣</w:t>
            </w:r>
            <w:r>
              <w:rPr>
                <w:rFonts w:hint="eastAsia" w:ascii="宋体" w:hAnsi="宋体"/>
                <w:color w:val="auto"/>
                <w:highlight w:val="none"/>
                <w:u w:val="single"/>
              </w:rPr>
              <w:t>1.5</w:t>
            </w:r>
            <w:r>
              <w:rPr>
                <w:rFonts w:ascii="宋体" w:hAnsi="宋体"/>
                <w:color w:val="auto"/>
                <w:highlight w:val="none"/>
                <w:u w:val="single"/>
              </w:rPr>
              <w:t>分/次</w:t>
            </w:r>
            <w:r>
              <w:rPr>
                <w:rFonts w:hint="eastAsia" w:ascii="宋体" w:hAnsi="宋体"/>
                <w:color w:val="auto"/>
                <w:highlight w:val="none"/>
                <w:u w:val="single"/>
              </w:rPr>
              <w:t>。</w:t>
            </w:r>
          </w:p>
          <w:p>
            <w:pPr>
              <w:pStyle w:val="2"/>
              <w:keepNext w:val="0"/>
              <w:keepLines w:val="0"/>
              <w:pageBreakBefore w:val="0"/>
              <w:widowControl w:val="0"/>
              <w:kinsoku/>
              <w:wordWrap/>
              <w:overflowPunct/>
              <w:topLinePunct w:val="0"/>
              <w:autoSpaceDE/>
              <w:autoSpaceDN/>
              <w:bidi w:val="0"/>
              <w:adjustRightInd/>
              <w:spacing w:line="360" w:lineRule="exact"/>
              <w:ind w:left="105" w:leftChars="50" w:right="105" w:rightChars="50" w:firstLine="0" w:firstLineChars="0"/>
              <w:textAlignment w:val="auto"/>
              <w:rPr>
                <w:rFonts w:ascii="宋体" w:hAnsi="宋体"/>
                <w:color w:val="auto"/>
                <w:highlight w:val="none"/>
                <w:u w:val="singl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）广东省交通运输厅正式约谈的，扣</w:t>
            </w:r>
            <w:r>
              <w:rPr>
                <w:rFonts w:hint="eastAsia" w:ascii="宋体" w:hAnsi="宋体"/>
                <w:color w:val="auto"/>
                <w:highlight w:val="none"/>
              </w:rPr>
              <w:t>0.1分/次。</w:t>
            </w:r>
          </w:p>
          <w:p>
            <w:pPr>
              <w:spacing w:line="300" w:lineRule="exact"/>
              <w:ind w:firstLine="420" w:firstLineChars="200"/>
              <w:rPr>
                <w:rStyle w:val="30"/>
                <w:rFonts w:hint="eastAsia" w:ascii="宋体" w:hAnsi="宋体" w:eastAsia="宋体" w:cs="宋体"/>
                <w:color w:val="auto"/>
                <w:sz w:val="21"/>
                <w:szCs w:val="21"/>
                <w:highlight w:val="none"/>
              </w:rPr>
            </w:pPr>
            <w:r>
              <w:rPr>
                <w:rFonts w:hint="eastAsia" w:ascii="宋体" w:hAnsi="宋体"/>
                <w:color w:val="auto"/>
                <w:highlight w:val="none"/>
              </w:rPr>
              <w:t>注：</w:t>
            </w:r>
            <w:r>
              <w:rPr>
                <w:rFonts w:hint="eastAsia" w:ascii="宋体" w:hAnsi="宋体"/>
                <w:color w:val="auto"/>
                <w:szCs w:val="21"/>
                <w:highlight w:val="none"/>
              </w:rPr>
              <w:t>同一事项同时被多个部门行政处罚或正式约谈只按最高的扣分计算1次</w:t>
            </w:r>
            <w:r>
              <w:rPr>
                <w:rFonts w:hint="eastAsia" w:ascii="宋体" w:hAnsi="宋体" w:cs="宋体"/>
                <w:color w:val="auto"/>
                <w:szCs w:val="21"/>
                <w:highlight w:val="none"/>
                <w:vertAlign w:val="superscript"/>
              </w:rPr>
              <w:footnoteReference w:id="0"/>
            </w:r>
            <w:r>
              <w:rPr>
                <w:rFonts w:hint="eastAsia" w:ascii="宋体" w:hAnsi="宋体"/>
                <w:color w:val="auto"/>
                <w:szCs w:val="21"/>
                <w:highlight w:val="none"/>
              </w:rPr>
              <w:t>。如果扣完本项分值，可以从总分中扣。以联合体形式投标的，若各联合体成员任何一方或均存在上述情形的，对联合体各成员进行累计扣分。</w:t>
            </w:r>
          </w:p>
        </w:tc>
      </w:tr>
      <w:tr>
        <w:tblPrEx>
          <w:tblCellMar>
            <w:top w:w="0" w:type="dxa"/>
            <w:left w:w="0" w:type="dxa"/>
            <w:bottom w:w="0" w:type="dxa"/>
            <w:right w:w="0" w:type="dxa"/>
          </w:tblCellMar>
        </w:tblPrEx>
        <w:trPr>
          <w:gridAfter w:val="1"/>
          <w:wAfter w:w="14" w:type="dxa"/>
          <w:cantSplit/>
          <w:trHeight w:val="2222" w:hRule="atLeast"/>
        </w:trPr>
        <w:tc>
          <w:tcPr>
            <w:tcW w:w="996" w:type="dxa"/>
            <w:gridSpan w:val="2"/>
            <w:vMerge w:val="continue"/>
            <w:tcBorders>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Style w:val="28"/>
                <w:rFonts w:hint="eastAsia" w:ascii="宋体" w:hAnsi="宋体" w:eastAsia="宋体" w:cs="宋体"/>
                <w:color w:val="auto"/>
                <w:sz w:val="21"/>
                <w:szCs w:val="21"/>
                <w:highlight w:val="none"/>
                <w:lang w:eastAsia="zh-CN"/>
              </w:rPr>
            </w:pPr>
          </w:p>
        </w:tc>
        <w:tc>
          <w:tcPr>
            <w:tcW w:w="535" w:type="dxa"/>
            <w:gridSpan w:val="2"/>
            <w:vMerge w:val="continue"/>
            <w:tcBorders>
              <w:left w:val="single" w:color="auto" w:sz="4" w:space="0"/>
              <w:right w:val="single" w:color="auto" w:sz="4" w:space="0"/>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工程业绩</w:t>
            </w:r>
          </w:p>
        </w:tc>
        <w:tc>
          <w:tcPr>
            <w:tcW w:w="928" w:type="dxa"/>
            <w:gridSpan w:val="2"/>
            <w:tcBorders>
              <w:top w:val="single" w:color="auto" w:sz="4" w:space="0"/>
              <w:left w:val="single" w:color="auto" w:sz="4" w:space="0"/>
              <w:bottom w:val="single" w:color="auto" w:sz="4" w:space="0"/>
              <w:right w:val="nil"/>
            </w:tcBorders>
            <w:shd w:val="clear" w:color="auto" w:fill="FFFFFF"/>
            <w:noWrap w:val="0"/>
            <w:vAlign w:val="center"/>
          </w:tcPr>
          <w:p>
            <w:pPr>
              <w:jc w:val="center"/>
              <w:rPr>
                <w:rStyle w:val="26"/>
                <w:rFonts w:hint="eastAsia" w:ascii="宋体" w:hAnsi="宋体" w:eastAsia="宋体" w:cs="宋体"/>
                <w:color w:val="auto"/>
                <w:sz w:val="21"/>
                <w:szCs w:val="21"/>
                <w:highlight w:val="none"/>
                <w:u w:val="single"/>
              </w:rPr>
            </w:pPr>
            <w:r>
              <w:rPr>
                <w:rStyle w:val="26"/>
                <w:rFonts w:hint="eastAsia" w:ascii="宋体" w:hAnsi="宋体" w:cs="宋体"/>
                <w:color w:val="auto"/>
                <w:sz w:val="21"/>
                <w:szCs w:val="21"/>
                <w:highlight w:val="none"/>
                <w:u w:val="single"/>
                <w:lang w:val="en-US" w:eastAsia="zh-CN"/>
              </w:rPr>
              <w:t>10</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1、投标人的工程业绩在满足</w:t>
            </w:r>
            <w:r>
              <w:rPr>
                <w:rFonts w:hint="eastAsia" w:ascii="宋体" w:hAnsi="宋体" w:eastAsia="宋体" w:cs="宋体"/>
                <w:b w:val="0"/>
                <w:bCs w:val="0"/>
                <w:color w:val="auto"/>
                <w:kern w:val="2"/>
                <w:sz w:val="21"/>
                <w:szCs w:val="21"/>
                <w:highlight w:val="none"/>
              </w:rPr>
              <w:t>资格审查条件(</w:t>
            </w:r>
            <w:r>
              <w:rPr>
                <w:rFonts w:hint="eastAsia" w:ascii="宋体" w:hAnsi="宋体" w:eastAsia="宋体" w:cs="宋体"/>
                <w:b w:val="0"/>
                <w:bCs w:val="0"/>
                <w:color w:val="auto"/>
                <w:kern w:val="2"/>
                <w:sz w:val="21"/>
                <w:szCs w:val="21"/>
                <w:highlight w:val="none"/>
                <w:lang w:val="en-US" w:eastAsia="zh-CN"/>
              </w:rPr>
              <w:t>业绩</w:t>
            </w:r>
            <w:r>
              <w:rPr>
                <w:rFonts w:hint="eastAsia" w:ascii="宋体" w:hAnsi="宋体" w:eastAsia="宋体" w:cs="宋体"/>
                <w:b w:val="0"/>
                <w:bCs w:val="0"/>
                <w:color w:val="auto"/>
                <w:kern w:val="2"/>
                <w:sz w:val="21"/>
                <w:szCs w:val="21"/>
                <w:highlight w:val="none"/>
              </w:rPr>
              <w:t>最低要求)</w:t>
            </w:r>
            <w:r>
              <w:rPr>
                <w:rFonts w:hint="eastAsia" w:ascii="宋体" w:hAnsi="宋体" w:eastAsia="宋体" w:cs="宋体"/>
                <w:color w:val="auto"/>
                <w:szCs w:val="21"/>
                <w:highlight w:val="none"/>
              </w:rPr>
              <w:t>时，得</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 xml:space="preserve"> 分；</w:t>
            </w: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2、在满足</w:t>
            </w:r>
            <w:r>
              <w:rPr>
                <w:rFonts w:hint="eastAsia" w:ascii="宋体" w:hAnsi="宋体" w:eastAsia="宋体" w:cs="宋体"/>
                <w:b w:val="0"/>
                <w:bCs w:val="0"/>
                <w:color w:val="auto"/>
                <w:kern w:val="2"/>
                <w:sz w:val="21"/>
                <w:szCs w:val="21"/>
                <w:highlight w:val="none"/>
              </w:rPr>
              <w:t>资格审查条件(</w:t>
            </w:r>
            <w:r>
              <w:rPr>
                <w:rFonts w:hint="eastAsia" w:ascii="宋体" w:hAnsi="宋体" w:eastAsia="宋体" w:cs="宋体"/>
                <w:b w:val="0"/>
                <w:bCs w:val="0"/>
                <w:color w:val="auto"/>
                <w:kern w:val="2"/>
                <w:sz w:val="21"/>
                <w:szCs w:val="21"/>
                <w:highlight w:val="none"/>
                <w:lang w:val="en-US" w:eastAsia="zh-CN"/>
              </w:rPr>
              <w:t>业绩</w:t>
            </w:r>
            <w:r>
              <w:rPr>
                <w:rFonts w:hint="eastAsia" w:ascii="宋体" w:hAnsi="宋体" w:eastAsia="宋体" w:cs="宋体"/>
                <w:b w:val="0"/>
                <w:bCs w:val="0"/>
                <w:color w:val="auto"/>
                <w:kern w:val="2"/>
                <w:sz w:val="21"/>
                <w:szCs w:val="21"/>
                <w:highlight w:val="none"/>
              </w:rPr>
              <w:t>最低要求)</w:t>
            </w:r>
            <w:r>
              <w:rPr>
                <w:rFonts w:hint="eastAsia" w:ascii="宋体" w:hAnsi="宋体" w:eastAsia="宋体" w:cs="宋体"/>
                <w:color w:val="auto"/>
                <w:szCs w:val="21"/>
                <w:highlight w:val="none"/>
              </w:rPr>
              <w:t>的基础上，投标人</w:t>
            </w:r>
            <w:r>
              <w:rPr>
                <w:rFonts w:hint="eastAsia" w:ascii="宋体" w:hAnsi="宋体" w:eastAsia="宋体" w:cs="宋体"/>
                <w:color w:val="auto"/>
                <w:szCs w:val="21"/>
                <w:highlight w:val="none"/>
                <w:lang w:eastAsia="zh-Hans"/>
              </w:rPr>
              <w:t>自20</w:t>
            </w: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eastAsia="zh-Hans"/>
              </w:rPr>
              <w:t>年1月1日至今【以交（竣）工验收时间为准】</w:t>
            </w:r>
            <w:r>
              <w:rPr>
                <w:rFonts w:hint="eastAsia" w:ascii="宋体" w:hAnsi="宋体" w:eastAsia="宋体" w:cs="宋体"/>
                <w:color w:val="auto"/>
                <w:szCs w:val="21"/>
                <w:highlight w:val="none"/>
              </w:rPr>
              <w:t>完成过质量合格的</w:t>
            </w:r>
            <w:r>
              <w:rPr>
                <w:rFonts w:ascii="宋体" w:hAnsi="宋体" w:cs="宋体"/>
                <w:color w:val="auto"/>
                <w:szCs w:val="21"/>
                <w:highlight w:val="none"/>
              </w:rPr>
              <w:t>单项合同金额不少于人民币</w:t>
            </w:r>
            <w:r>
              <w:rPr>
                <w:rFonts w:hint="eastAsia" w:ascii="宋体" w:hAnsi="宋体" w:cs="宋体"/>
                <w:color w:val="auto"/>
                <w:szCs w:val="21"/>
                <w:highlight w:val="none"/>
                <w:lang w:val="en-US" w:eastAsia="zh-CN"/>
              </w:rPr>
              <w:t>3</w:t>
            </w:r>
            <w:r>
              <w:rPr>
                <w:rFonts w:ascii="宋体" w:hAnsi="宋体" w:cs="宋体"/>
                <w:color w:val="auto"/>
                <w:szCs w:val="21"/>
                <w:highlight w:val="none"/>
              </w:rPr>
              <w:t>000万元的</w:t>
            </w:r>
            <w:r>
              <w:rPr>
                <w:rFonts w:hint="eastAsia" w:ascii="宋体" w:hAnsi="宋体" w:cs="宋体"/>
                <w:color w:val="auto"/>
                <w:szCs w:val="21"/>
                <w:highlight w:val="none"/>
                <w:lang w:val="en-US" w:eastAsia="zh-CN"/>
              </w:rPr>
              <w:t>类似工程</w:t>
            </w:r>
            <w:r>
              <w:rPr>
                <w:rFonts w:hint="eastAsia" w:ascii="宋体" w:hAnsi="宋体" w:eastAsia="宋体" w:cs="宋体"/>
                <w:color w:val="auto"/>
                <w:szCs w:val="21"/>
                <w:highlight w:val="none"/>
                <w:lang w:eastAsia="zh-Hans"/>
              </w:rPr>
              <w:t>业绩</w:t>
            </w:r>
            <w:r>
              <w:rPr>
                <w:rFonts w:hint="eastAsia" w:ascii="宋体" w:hAnsi="宋体" w:eastAsia="宋体" w:cs="宋体"/>
                <w:color w:val="auto"/>
                <w:szCs w:val="21"/>
                <w:highlight w:val="none"/>
              </w:rPr>
              <w:t>的，每增加</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项得</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分，最高可得</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分。</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以上两项合计</w:t>
            </w:r>
            <w:r>
              <w:rPr>
                <w:rFonts w:hint="eastAsia" w:ascii="宋体" w:hAnsi="宋体" w:eastAsia="宋体" w:cs="宋体"/>
                <w:color w:val="auto"/>
                <w:szCs w:val="21"/>
                <w:highlight w:val="none"/>
                <w:lang w:val="en-US" w:eastAsia="zh-CN"/>
              </w:rPr>
              <w:t>最高得</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p>
          <w:p>
            <w:pPr>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（2）业绩证明材料要求详见投标人须知前附表中需要补充的其他内容3.5.3项</w:t>
            </w:r>
            <w:r>
              <w:rPr>
                <w:rFonts w:hint="eastAsia" w:ascii="宋体" w:hAnsi="宋体" w:cs="宋体"/>
                <w:color w:val="auto"/>
                <w:szCs w:val="21"/>
                <w:highlight w:val="none"/>
                <w:lang w:val="en-US" w:eastAsia="zh-CN"/>
              </w:rPr>
              <w:t>。</w:t>
            </w:r>
          </w:p>
        </w:tc>
      </w:tr>
      <w:tr>
        <w:tblPrEx>
          <w:tblCellMar>
            <w:top w:w="0" w:type="dxa"/>
            <w:left w:w="0" w:type="dxa"/>
            <w:bottom w:w="0" w:type="dxa"/>
            <w:right w:w="0" w:type="dxa"/>
          </w:tblCellMar>
        </w:tblPrEx>
        <w:trPr>
          <w:gridAfter w:val="1"/>
          <w:wAfter w:w="14" w:type="dxa"/>
          <w:cantSplit/>
          <w:trHeight w:val="988" w:hRule="atLeast"/>
        </w:trPr>
        <w:tc>
          <w:tcPr>
            <w:tcW w:w="996" w:type="dxa"/>
            <w:gridSpan w:val="2"/>
            <w:vMerge w:val="continue"/>
            <w:tcBorders>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p>
        </w:tc>
        <w:tc>
          <w:tcPr>
            <w:tcW w:w="535" w:type="dxa"/>
            <w:gridSpan w:val="2"/>
            <w:vMerge w:val="continue"/>
            <w:tcBorders>
              <w:left w:val="single" w:color="auto" w:sz="4" w:space="0"/>
              <w:right w:val="single" w:color="auto" w:sz="4" w:space="0"/>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left w:val="single" w:color="auto" w:sz="4" w:space="0"/>
              <w:bottom w:val="single" w:color="auto" w:sz="4" w:space="0"/>
              <w:right w:val="nil"/>
            </w:tcBorders>
            <w:shd w:val="clear" w:color="auto" w:fill="FFFFFF"/>
            <w:noWrap w:val="0"/>
            <w:vAlign w:val="center"/>
          </w:tcPr>
          <w:p>
            <w:pPr>
              <w:pStyle w:val="20"/>
              <w:shd w:val="clear" w:color="auto" w:fill="auto"/>
              <w:spacing w:before="0"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企业荣誉</w:t>
            </w:r>
          </w:p>
        </w:tc>
        <w:tc>
          <w:tcPr>
            <w:tcW w:w="928" w:type="dxa"/>
            <w:gridSpan w:val="2"/>
            <w:tcBorders>
              <w:left w:val="single" w:color="auto" w:sz="4" w:space="0"/>
              <w:bottom w:val="single" w:color="auto" w:sz="4" w:space="0"/>
              <w:right w:val="nil"/>
            </w:tcBorders>
            <w:shd w:val="clear" w:color="auto" w:fill="FFFFFF"/>
            <w:noWrap w:val="0"/>
            <w:vAlign w:val="center"/>
          </w:tcPr>
          <w:p>
            <w:pPr>
              <w:jc w:val="center"/>
              <w:rPr>
                <w:rStyle w:val="26"/>
                <w:rFonts w:hint="eastAsia" w:ascii="宋体" w:hAnsi="宋体" w:eastAsia="宋体" w:cs="宋体"/>
                <w:color w:val="auto"/>
                <w:sz w:val="21"/>
                <w:szCs w:val="21"/>
                <w:highlight w:val="none"/>
                <w:u w:val="single"/>
              </w:rPr>
            </w:pPr>
            <w:r>
              <w:rPr>
                <w:rStyle w:val="26"/>
                <w:rFonts w:hint="eastAsia" w:ascii="宋体" w:hAnsi="宋体" w:cs="宋体"/>
                <w:color w:val="auto"/>
                <w:sz w:val="21"/>
                <w:szCs w:val="21"/>
                <w:highlight w:val="none"/>
                <w:u w:val="single"/>
                <w:lang w:val="en-US" w:eastAsia="zh-CN"/>
              </w:rPr>
              <w:t>0</w:t>
            </w:r>
            <w:r>
              <w:rPr>
                <w:rFonts w:hint="eastAsia" w:ascii="宋体" w:hAnsi="宋体" w:eastAsia="宋体" w:cs="宋体"/>
                <w:color w:val="auto"/>
                <w:szCs w:val="21"/>
                <w:highlight w:val="none"/>
              </w:rPr>
              <w:t>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rPr>
                <w:rFonts w:hint="eastAsia" w:ascii="宋体" w:hAnsi="宋体" w:eastAsia="宋体" w:cs="宋体"/>
                <w:color w:val="auto"/>
                <w:highlight w:val="none"/>
                <w:lang w:eastAsia="zh-CN"/>
              </w:rPr>
            </w:pPr>
            <w:r>
              <w:rPr>
                <w:rFonts w:hint="eastAsia" w:ascii="宋体" w:hAnsi="宋体" w:cs="宋体"/>
                <w:color w:val="auto"/>
                <w:szCs w:val="21"/>
                <w:highlight w:val="none"/>
                <w:lang w:val="en-US" w:eastAsia="zh-CN"/>
              </w:rPr>
              <w:t>/</w:t>
            </w:r>
          </w:p>
        </w:tc>
      </w:tr>
      <w:tr>
        <w:tblPrEx>
          <w:tblCellMar>
            <w:top w:w="0" w:type="dxa"/>
            <w:left w:w="0" w:type="dxa"/>
            <w:bottom w:w="0" w:type="dxa"/>
            <w:right w:w="0" w:type="dxa"/>
          </w:tblCellMar>
        </w:tblPrEx>
        <w:trPr>
          <w:gridAfter w:val="1"/>
          <w:wAfter w:w="14" w:type="dxa"/>
          <w:cantSplit/>
          <w:trHeight w:val="988" w:hRule="atLeast"/>
        </w:trPr>
        <w:tc>
          <w:tcPr>
            <w:tcW w:w="996" w:type="dxa"/>
            <w:gridSpan w:val="2"/>
            <w:vMerge w:val="continue"/>
            <w:tcBorders>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bookmarkStart w:id="7" w:name="bookmark94"/>
          </w:p>
        </w:tc>
        <w:tc>
          <w:tcPr>
            <w:tcW w:w="535" w:type="dxa"/>
            <w:gridSpan w:val="2"/>
            <w:vMerge w:val="continue"/>
            <w:tcBorders>
              <w:left w:val="single" w:color="auto" w:sz="4" w:space="0"/>
              <w:right w:val="single" w:color="auto" w:sz="4" w:space="0"/>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lang w:val="zh-CN" w:eastAsia="zh-CN"/>
              </w:rPr>
              <w:t>企业综合能力</w:t>
            </w:r>
          </w:p>
        </w:tc>
        <w:tc>
          <w:tcPr>
            <w:tcW w:w="928" w:type="dxa"/>
            <w:gridSpan w:val="2"/>
            <w:tcBorders>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eastAsia" w:ascii="宋体" w:hAnsi="宋体" w:eastAsia="宋体" w:cs="宋体"/>
                <w:color w:val="auto"/>
                <w:spacing w:val="0"/>
                <w:kern w:val="2"/>
                <w:sz w:val="21"/>
                <w:szCs w:val="21"/>
                <w:highlight w:val="none"/>
                <w:u w:val="single"/>
                <w:lang w:val="en-US" w:eastAsia="zh-CN" w:bidi="ar-SA"/>
              </w:rPr>
            </w:pPr>
            <w:r>
              <w:rPr>
                <w:rFonts w:ascii="宋体" w:hAnsi="宋体"/>
                <w:color w:val="auto"/>
                <w:szCs w:val="21"/>
                <w:highlight w:val="none"/>
              </w:rPr>
              <w:t>0分</w:t>
            </w:r>
          </w:p>
        </w:tc>
        <w:tc>
          <w:tcPr>
            <w:tcW w:w="6180"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rPr>
                <w:rFonts w:hint="eastAsia" w:ascii="宋体" w:hAnsi="宋体" w:eastAsia="宋体" w:cs="宋体"/>
                <w:color w:val="auto"/>
                <w:kern w:val="2"/>
                <w:sz w:val="21"/>
                <w:szCs w:val="24"/>
                <w:highlight w:val="none"/>
                <w:lang w:val="en-US" w:eastAsia="zh-CN" w:bidi="ar-SA"/>
              </w:rPr>
            </w:pPr>
            <w:r>
              <w:rPr>
                <w:rFonts w:ascii="宋体" w:hAnsi="宋体" w:cs="宋体"/>
                <w:color w:val="auto"/>
                <w:szCs w:val="21"/>
                <w:highlight w:val="none"/>
              </w:rPr>
              <w:t>/</w:t>
            </w:r>
          </w:p>
        </w:tc>
      </w:tr>
      <w:tr>
        <w:tblPrEx>
          <w:tblCellMar>
            <w:top w:w="0" w:type="dxa"/>
            <w:left w:w="0" w:type="dxa"/>
            <w:bottom w:w="0" w:type="dxa"/>
            <w:right w:w="0" w:type="dxa"/>
          </w:tblCellMar>
        </w:tblPrEx>
        <w:trPr>
          <w:gridAfter w:val="1"/>
          <w:wAfter w:w="14" w:type="dxa"/>
          <w:cantSplit/>
          <w:trHeight w:val="1051" w:hRule="atLeast"/>
        </w:trPr>
        <w:tc>
          <w:tcPr>
            <w:tcW w:w="996" w:type="dxa"/>
            <w:gridSpan w:val="2"/>
            <w:vMerge w:val="continue"/>
            <w:tcBorders>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p>
        </w:tc>
        <w:tc>
          <w:tcPr>
            <w:tcW w:w="535" w:type="dxa"/>
            <w:gridSpan w:val="2"/>
            <w:vMerge w:val="continue"/>
            <w:tcBorders>
              <w:left w:val="single" w:color="auto" w:sz="4" w:space="0"/>
              <w:right w:val="single" w:color="auto" w:sz="4" w:space="0"/>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eastAsia" w:ascii="宋体" w:hAnsi="宋体" w:eastAsia="宋体" w:cs="宋体"/>
                <w:color w:val="auto"/>
                <w:sz w:val="21"/>
                <w:szCs w:val="21"/>
                <w:highlight w:val="none"/>
                <w:lang w:val="en-US"/>
              </w:rPr>
            </w:pPr>
            <w:r>
              <w:rPr>
                <w:rFonts w:hint="eastAsia" w:ascii="宋体" w:hAnsi="宋体" w:eastAsia="宋体"/>
                <w:color w:val="auto"/>
                <w:sz w:val="21"/>
                <w:szCs w:val="21"/>
                <w:highlight w:val="none"/>
                <w:lang w:val="zh-CN" w:eastAsia="zh-CN"/>
              </w:rPr>
              <w:t>特殊能力</w:t>
            </w:r>
          </w:p>
        </w:tc>
        <w:tc>
          <w:tcPr>
            <w:tcW w:w="923" w:type="dxa"/>
            <w:tcBorders>
              <w:top w:val="single" w:color="auto" w:sz="4" w:space="0"/>
              <w:left w:val="single" w:color="auto" w:sz="4" w:space="0"/>
              <w:bottom w:val="single" w:color="auto" w:sz="4" w:space="0"/>
              <w:right w:val="nil"/>
            </w:tcBorders>
            <w:shd w:val="clear" w:color="auto" w:fill="FFFFFF"/>
            <w:noWrap w:val="0"/>
            <w:vAlign w:val="center"/>
          </w:tcPr>
          <w:p>
            <w:pPr>
              <w:snapToGrid w:val="0"/>
              <w:spacing w:line="240" w:lineRule="atLeast"/>
              <w:jc w:val="center"/>
              <w:rPr>
                <w:rStyle w:val="26"/>
                <w:rFonts w:hint="eastAsia" w:ascii="宋体" w:hAnsi="宋体" w:eastAsia="宋体" w:cs="宋体"/>
                <w:color w:val="auto"/>
                <w:sz w:val="21"/>
                <w:szCs w:val="21"/>
                <w:highlight w:val="none"/>
                <w:u w:val="single"/>
                <w:lang w:val="en-US" w:eastAsia="zh-CN"/>
              </w:rPr>
            </w:pPr>
            <w:r>
              <w:rPr>
                <w:rFonts w:ascii="宋体" w:hAnsi="宋体"/>
                <w:color w:val="auto"/>
                <w:szCs w:val="21"/>
                <w:highlight w:val="none"/>
              </w:rPr>
              <w:t>0分</w:t>
            </w:r>
          </w:p>
        </w:tc>
        <w:tc>
          <w:tcPr>
            <w:tcW w:w="618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rPr>
                <w:rFonts w:hint="eastAsia" w:ascii="宋体" w:hAnsi="宋体" w:eastAsia="宋体" w:cs="宋体"/>
                <w:color w:val="auto"/>
                <w:highlight w:val="none"/>
                <w:lang w:val="en-US" w:eastAsia="zh-CN"/>
              </w:rPr>
            </w:pPr>
            <w:r>
              <w:rPr>
                <w:rFonts w:ascii="宋体" w:hAnsi="宋体" w:cs="宋体"/>
                <w:color w:val="auto"/>
                <w:szCs w:val="21"/>
                <w:highlight w:val="none"/>
              </w:rPr>
              <w:t>/</w:t>
            </w:r>
          </w:p>
        </w:tc>
      </w:tr>
      <w:tr>
        <w:tblPrEx>
          <w:tblCellMar>
            <w:top w:w="0" w:type="dxa"/>
            <w:left w:w="0" w:type="dxa"/>
            <w:bottom w:w="0" w:type="dxa"/>
            <w:right w:w="0" w:type="dxa"/>
          </w:tblCellMar>
        </w:tblPrEx>
        <w:trPr>
          <w:gridAfter w:val="1"/>
          <w:wAfter w:w="14" w:type="dxa"/>
          <w:cantSplit/>
          <w:trHeight w:val="1051" w:hRule="atLeast"/>
        </w:trPr>
        <w:tc>
          <w:tcPr>
            <w:tcW w:w="996" w:type="dxa"/>
            <w:gridSpan w:val="2"/>
            <w:vMerge w:val="continue"/>
            <w:tcBorders>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p>
        </w:tc>
        <w:tc>
          <w:tcPr>
            <w:tcW w:w="535" w:type="dxa"/>
            <w:gridSpan w:val="2"/>
            <w:vMerge w:val="continue"/>
            <w:tcBorders>
              <w:left w:val="single" w:color="auto" w:sz="4" w:space="0"/>
              <w:right w:val="single" w:color="auto" w:sz="4" w:space="0"/>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u w:val="single"/>
                <w:lang w:val="en-US" w:eastAsia="zh-CN"/>
              </w:rPr>
              <w:t>主要工程设备质保期</w:t>
            </w:r>
          </w:p>
        </w:tc>
        <w:tc>
          <w:tcPr>
            <w:tcW w:w="923" w:type="dxa"/>
            <w:tcBorders>
              <w:top w:val="single" w:color="auto" w:sz="4" w:space="0"/>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single"/>
                <w:lang w:val="en-US" w:eastAsia="zh-CN"/>
              </w:rPr>
              <w:t>4分</w:t>
            </w:r>
          </w:p>
        </w:tc>
        <w:tc>
          <w:tcPr>
            <w:tcW w:w="618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1、主要设备质保期满足招标文件要求的，得2.4分；</w:t>
            </w:r>
          </w:p>
          <w:p>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2、主要设备质保期在满足招标文件要求的基础上，每延长1个月的，加0.1分，最高加分不超过1.6分；</w:t>
            </w:r>
          </w:p>
          <w:p>
            <w:pPr>
              <w:ind w:firstLine="420" w:firstLineChars="200"/>
              <w:rPr>
                <w:rFonts w:hint="eastAsia" w:ascii="宋体" w:hAnsi="宋体" w:cs="宋体"/>
                <w:color w:val="auto"/>
                <w:szCs w:val="21"/>
                <w:highlight w:val="none"/>
                <w:lang w:val="en-US" w:eastAsia="zh-CN"/>
              </w:rPr>
            </w:pPr>
          </w:p>
          <w:p>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注：（1）以上两项合计最高得4分。</w:t>
            </w:r>
          </w:p>
          <w:p>
            <w:pPr>
              <w:ind w:firstLine="840" w:firstLineChars="4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（2）此项中的主要工程设备包括：装卸臂、登船梯、软管吊、船岸安全装置、工艺阀门及电动执行机构、快速脱缆钩、高压设备、DCS/SIS、消防设备等。</w:t>
            </w:r>
          </w:p>
          <w:p>
            <w:pPr>
              <w:ind w:firstLine="840" w:firstLineChars="4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（3）招标文件中主要设备质保期要求为：竣工验收合格后不少于12个月。</w:t>
            </w:r>
          </w:p>
        </w:tc>
      </w:tr>
      <w:tr>
        <w:tblPrEx>
          <w:tblCellMar>
            <w:top w:w="0" w:type="dxa"/>
            <w:left w:w="0" w:type="dxa"/>
            <w:bottom w:w="0" w:type="dxa"/>
            <w:right w:w="0" w:type="dxa"/>
          </w:tblCellMar>
        </w:tblPrEx>
        <w:trPr>
          <w:gridAfter w:val="1"/>
          <w:wAfter w:w="14" w:type="dxa"/>
          <w:cantSplit/>
          <w:trHeight w:val="1051" w:hRule="atLeast"/>
        </w:trPr>
        <w:tc>
          <w:tcPr>
            <w:tcW w:w="996" w:type="dxa"/>
            <w:gridSpan w:val="2"/>
            <w:tcBorders>
              <w:left w:val="single" w:color="auto" w:sz="4" w:space="0"/>
              <w:right w:val="single" w:color="auto" w:sz="4" w:space="0"/>
            </w:tcBorders>
            <w:shd w:val="clear" w:color="auto" w:fill="FFFFFF"/>
            <w:noWrap w:val="0"/>
            <w:vAlign w:val="center"/>
          </w:tcPr>
          <w:p>
            <w:pPr>
              <w:pStyle w:val="20"/>
              <w:shd w:val="clear" w:color="auto" w:fill="auto"/>
              <w:spacing w:before="0" w:line="360" w:lineRule="auto"/>
              <w:jc w:val="center"/>
              <w:rPr>
                <w:rStyle w:val="28"/>
                <w:rFonts w:hint="eastAsia" w:ascii="宋体" w:hAnsi="宋体" w:eastAsia="宋体" w:cs="宋体"/>
                <w:color w:val="auto"/>
                <w:sz w:val="21"/>
                <w:szCs w:val="21"/>
                <w:highlight w:val="none"/>
              </w:rPr>
            </w:pPr>
          </w:p>
        </w:tc>
        <w:tc>
          <w:tcPr>
            <w:tcW w:w="535" w:type="dxa"/>
            <w:gridSpan w:val="2"/>
            <w:tcBorders>
              <w:left w:val="single" w:color="auto" w:sz="4" w:space="0"/>
              <w:right w:val="single" w:color="auto" w:sz="4" w:space="0"/>
            </w:tcBorders>
            <w:shd w:val="clear" w:color="auto" w:fill="FFFFFF"/>
            <w:noWrap w:val="0"/>
            <w:vAlign w:val="bottom"/>
          </w:tcPr>
          <w:p>
            <w:pPr>
              <w:pStyle w:val="20"/>
              <w:shd w:val="clear" w:color="auto" w:fill="auto"/>
              <w:spacing w:before="0" w:line="360" w:lineRule="auto"/>
              <w:jc w:val="left"/>
              <w:rPr>
                <w:rFonts w:hint="eastAsia" w:ascii="宋体" w:hAnsi="宋体" w:eastAsia="宋体" w:cs="宋体"/>
                <w:color w:val="auto"/>
                <w:sz w:val="21"/>
                <w:szCs w:val="21"/>
                <w:highlight w:val="none"/>
              </w:rPr>
            </w:pPr>
          </w:p>
        </w:tc>
        <w:tc>
          <w:tcPr>
            <w:tcW w:w="738" w:type="dxa"/>
            <w:tcBorders>
              <w:top w:val="single" w:color="auto" w:sz="4" w:space="0"/>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工期</w:t>
            </w:r>
          </w:p>
        </w:tc>
        <w:tc>
          <w:tcPr>
            <w:tcW w:w="923" w:type="dxa"/>
            <w:tcBorders>
              <w:top w:val="single" w:color="auto" w:sz="4" w:space="0"/>
              <w:left w:val="single" w:color="auto" w:sz="4" w:space="0"/>
              <w:bottom w:val="single" w:color="auto" w:sz="4" w:space="0"/>
              <w:right w:val="nil"/>
            </w:tcBorders>
            <w:shd w:val="clear" w:color="auto" w:fill="FFFFFF"/>
            <w:noWrap w:val="0"/>
            <w:vAlign w:val="center"/>
          </w:tcPr>
          <w:p>
            <w:pPr>
              <w:snapToGrid w:val="0"/>
              <w:spacing w:line="24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6分</w:t>
            </w:r>
          </w:p>
        </w:tc>
        <w:tc>
          <w:tcPr>
            <w:tcW w:w="618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numPr>
                <w:ilvl w:val="0"/>
                <w:numId w:val="3"/>
              </w:num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工期满足招标文件要求的，得3.6分；</w:t>
            </w:r>
          </w:p>
          <w:p>
            <w:pPr>
              <w:numPr>
                <w:ilvl w:val="0"/>
                <w:numId w:val="3"/>
              </w:num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工期在满足招标文件要求的基础上，每提前10天的，加0.8分，最高加分不超过2.4分；</w:t>
            </w:r>
          </w:p>
          <w:p>
            <w:pPr>
              <w:ind w:firstLine="420" w:firstLineChars="200"/>
              <w:rPr>
                <w:rFonts w:hint="eastAsia" w:ascii="宋体" w:hAnsi="宋体" w:cs="宋体"/>
                <w:color w:val="auto"/>
                <w:szCs w:val="21"/>
                <w:highlight w:val="none"/>
                <w:lang w:val="en-US" w:eastAsia="zh-CN"/>
              </w:rPr>
            </w:pPr>
          </w:p>
          <w:p>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注：（1）以上两项合计最高得6分。</w:t>
            </w:r>
          </w:p>
          <w:p>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（2）招标文件中工期要求为：150日历天。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cantSplit/>
          <w:trHeight w:val="23" w:hRule="atLeast"/>
        </w:trPr>
        <w:tc>
          <w:tcPr>
            <w:tcW w:w="9346" w:type="dxa"/>
            <w:gridSpan w:val="9"/>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1" w:type="dxa"/>
          <w:wAfter w:w="14" w:type="dxa"/>
          <w:cantSplit/>
          <w:trHeight w:val="23" w:hRule="atLeast"/>
        </w:trPr>
        <w:tc>
          <w:tcPr>
            <w:tcW w:w="1234" w:type="dxa"/>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条款号</w:t>
            </w:r>
          </w:p>
        </w:tc>
        <w:tc>
          <w:tcPr>
            <w:tcW w:w="8112" w:type="dxa"/>
            <w:gridSpan w:val="7"/>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补充或修改的内容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trHeight w:val="23" w:hRule="atLeast"/>
        </w:trPr>
        <w:tc>
          <w:tcPr>
            <w:tcW w:w="1234" w:type="dxa"/>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26" w:type="dxa"/>
            <w:gridSpan w:val="8"/>
            <w:noWrap w:val="0"/>
            <w:vAlign w:val="center"/>
          </w:tcPr>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将评标办法原文第1条“评标方法”改为“评标方法、组织及工作程序”，原文内容修改如下：</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1.评标方法、组织及工作程序</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1.1评标方法</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本次评标采用双信封的技术评分最低标价法。评标委员会对满足招标文件实质性要求的投标文件，按照本章第2.2款规定对通过初步评审的投标人的施工组织设计、项目管理机构、其他因素等进行评分，按照得分由高到低排序，对排名在招标文件规定数量前 5 名（不少于3名但不足5名时，按全部实际数量）的投标人的报价文件进行评审，按照评标价由低到高的顺序推荐中标候选人的评标方法。但投标报价低于其成本的除外。评标价相等时，评标委员会应按照评标办法前附表规定的优先次序推荐中标候选人或确定中标人。</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1.2评标组织</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1.2.1协助工作组</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招标人可在评标工作开始前成立协助工作组，选派熟悉招标工作、政治素质高的人员组成，协助评标委员会工作。协助工作组人员的具体数量由招标人视评标工作量确定，评标责任由评标委员会负责。</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招标人可以协助评标委员会开展下列工作并提供相关信息：</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（1）根据招标文件，编制评标使用的相应表格；</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（2）对投标报价进行算术性校核（如采用固化工程量清单，本步骤省略）；</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（3）以评标标准和方法为依据，列出投标文件相对于招标文件的所有偏差，并进行归类汇总；</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（4）对投标人的资质、业绩、主要人员资历和目前在岗情况、信用等级进行核实。</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招标人不得对投标文件作出任何评价，不得故意遗漏或者片面摘录，不得在评标委员会对所有偏差定性之前透露存有偏差的投标人名称。</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1.2.2评标委员会</w:t>
            </w:r>
          </w:p>
          <w:p>
            <w:pPr>
              <w:autoSpaceDE/>
              <w:autoSpaceDN/>
              <w:adjustRightIn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评标委员会由招标人按国家、广东省等的有关规定依法组建。评标委员会的主要工作内容包括：</w:t>
            </w:r>
          </w:p>
          <w:p>
            <w:pPr>
              <w:spacing w:line="240" w:lineRule="auto"/>
              <w:ind w:firstLine="420" w:firstLineChars="200"/>
              <w:jc w:val="both"/>
              <w:rPr>
                <w:rFonts w:hint="eastAsia" w:ascii="宋体" w:hAnsi="宋体" w:cs="宋体"/>
                <w:color w:val="auto"/>
                <w:kern w:val="2"/>
                <w:highlight w:val="none"/>
                <w:lang w:val="en-US"/>
              </w:rPr>
            </w:pPr>
            <w:r>
              <w:rPr>
                <w:rFonts w:hint="eastAsia" w:ascii="宋体" w:hAnsi="宋体" w:cs="宋体"/>
                <w:color w:val="auto"/>
                <w:kern w:val="2"/>
                <w:highlight w:val="none"/>
                <w:lang w:val="en-US"/>
              </w:rPr>
              <w:t>（1）评标委员会开始评标工作之前，首先听取招标人、协助工作组关于工程情况和辅助工作的说明，并认真研读招标文件，获取评标所需的重要信息和数据；</w:t>
            </w:r>
          </w:p>
          <w:p>
            <w:pPr>
              <w:spacing w:line="240" w:lineRule="auto"/>
              <w:ind w:firstLine="420" w:firstLineChars="200"/>
              <w:jc w:val="both"/>
              <w:rPr>
                <w:rFonts w:hint="eastAsia" w:ascii="宋体" w:hAnsi="宋体" w:cs="宋体"/>
                <w:color w:val="auto"/>
                <w:kern w:val="2"/>
                <w:highlight w:val="none"/>
                <w:lang w:val="en-US"/>
              </w:rPr>
            </w:pPr>
            <w:r>
              <w:rPr>
                <w:rFonts w:hint="eastAsia" w:ascii="宋体" w:hAnsi="宋体" w:cs="宋体"/>
                <w:color w:val="auto"/>
                <w:kern w:val="2"/>
                <w:highlight w:val="none"/>
                <w:lang w:val="en-US"/>
              </w:rPr>
              <w:t>（2）对协助工作组提供的评标工作用表和评标内容进行核查。</w:t>
            </w:r>
          </w:p>
          <w:p>
            <w:pPr>
              <w:spacing w:line="240" w:lineRule="auto"/>
              <w:ind w:firstLine="420" w:firstLineChars="200"/>
              <w:jc w:val="both"/>
              <w:rPr>
                <w:rFonts w:hint="eastAsia" w:ascii="宋体" w:hAnsi="宋体" w:cs="宋体"/>
                <w:color w:val="auto"/>
                <w:kern w:val="2"/>
                <w:highlight w:val="none"/>
                <w:lang w:val="en-US"/>
              </w:rPr>
            </w:pPr>
            <w:r>
              <w:rPr>
                <w:rFonts w:hint="eastAsia" w:ascii="宋体" w:hAnsi="宋体" w:cs="宋体"/>
                <w:color w:val="auto"/>
                <w:kern w:val="2"/>
                <w:highlight w:val="none"/>
                <w:lang w:val="en-US"/>
              </w:rPr>
              <w:t>（3）按照以下1.3款程序进行各项评审工作。</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1.3评审工作程序</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（一）第一个信封（商务及技术文件）：</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 xml:space="preserve"> l、初步评审：包括形式评审与响应性评审、资格评审；</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 xml:space="preserve"> 2、详细评审（评审打分）：评标委员会首先对通过第一个信封初步评审的投标文件进行详细评审，对投标人的施工组织设计、项目管理机构、其他因素等分别评审打分，并按照综合得分由高到低排序，排名在招标文件规定数量前5名（不少于3名但不足5名的，按全部实际数量）的投标人，其投标文件第一个信封（商务及技术文件）通过详细评审。</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（二）第二个信封（报价文件）：</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 xml:space="preserve"> 1、初步评审：</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（1）只有投标文件第一个信封通过详细评审的投标人的报价文件才能继续参加第二个信封报价文件的形式评审与响应性评审。</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 xml:space="preserve"> （2）报价算术性修正（如采用固化工程量清单，本步骤省略）；</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 xml:space="preserve"> 2、详细评审：计算评标价。</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（三）投标文件相关信息的核查。</w:t>
            </w:r>
          </w:p>
          <w:p>
            <w:pPr>
              <w:adjustRightInd w:val="0"/>
              <w:snapToGrid w:val="0"/>
              <w:ind w:firstLine="210" w:firstLineChars="100"/>
              <w:rPr>
                <w:rFonts w:hint="eastAsia" w:ascii="宋体" w:hAnsi="宋体" w:cs="宋体"/>
                <w:color w:val="auto"/>
                <w:kern w:val="2"/>
                <w:highlight w:val="none"/>
                <w:lang w:val="en-US"/>
              </w:rPr>
            </w:pPr>
            <w:r>
              <w:rPr>
                <w:rFonts w:hint="eastAsia" w:ascii="宋体" w:hAnsi="宋体" w:cs="宋体"/>
                <w:color w:val="auto"/>
                <w:kern w:val="2"/>
                <w:highlight w:val="none"/>
                <w:lang w:val="en-US"/>
              </w:rPr>
              <w:t>（四）投标文件的澄清和说明(如有)</w:t>
            </w:r>
          </w:p>
          <w:p>
            <w:pPr>
              <w:adjustRightInd w:val="0"/>
              <w:snapToGrid w:val="0"/>
              <w:ind w:firstLine="210" w:firstLineChars="100"/>
              <w:rPr>
                <w:rFonts w:hint="eastAsia" w:ascii="宋体" w:hAnsi="宋体" w:eastAsia="宋体" w:cs="宋体"/>
                <w:color w:val="auto"/>
                <w:szCs w:val="21"/>
                <w:highlight w:val="none"/>
              </w:rPr>
            </w:pPr>
            <w:r>
              <w:rPr>
                <w:rFonts w:hint="eastAsia" w:ascii="宋体" w:hAnsi="宋体" w:cs="宋体"/>
                <w:color w:val="auto"/>
                <w:kern w:val="2"/>
                <w:highlight w:val="none"/>
                <w:lang w:val="en-US"/>
              </w:rPr>
              <w:t>（五）按评标办法规定按照第二个信封的评标价由低到高的顺序推荐中标候选人，编写评标报告。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w:t>
            </w:r>
          </w:p>
        </w:tc>
        <w:tc>
          <w:tcPr>
            <w:tcW w:w="8126" w:type="dxa"/>
            <w:gridSpan w:val="8"/>
            <w:noWrap w:val="0"/>
            <w:vAlign w:val="center"/>
          </w:tcPr>
          <w:p>
            <w:pPr>
              <w:adjustRightInd w:val="0"/>
              <w:snapToGrid w:val="0"/>
              <w:spacing w:line="240" w:lineRule="auto"/>
              <w:rPr>
                <w:rFonts w:hint="eastAsia" w:ascii="宋体" w:hAnsi="宋体" w:cs="宋体"/>
                <w:color w:val="auto"/>
                <w:highlight w:val="none"/>
              </w:rPr>
            </w:pPr>
            <w:r>
              <w:rPr>
                <w:rFonts w:hint="eastAsia" w:ascii="宋体" w:hAnsi="宋体" w:cs="宋体"/>
                <w:color w:val="auto"/>
                <w:highlight w:val="none"/>
              </w:rPr>
              <w:t>将评标办法原文第3.2.2项修改如下：</w:t>
            </w:r>
          </w:p>
          <w:p>
            <w:pPr>
              <w:adjustRightInd w:val="0"/>
              <w:snapToGrid w:val="0"/>
              <w:ind w:firstLine="420" w:firstLineChars="200"/>
              <w:rPr>
                <w:rFonts w:hint="eastAsia" w:ascii="宋体" w:hAnsi="宋体" w:eastAsia="宋体" w:cs="宋体"/>
                <w:color w:val="auto"/>
                <w:szCs w:val="21"/>
                <w:highlight w:val="none"/>
              </w:rPr>
            </w:pPr>
            <w:r>
              <w:rPr>
                <w:rFonts w:hint="eastAsia" w:ascii="宋体" w:hAnsi="宋体" w:cs="宋体"/>
                <w:color w:val="auto"/>
                <w:highlight w:val="none"/>
              </w:rPr>
              <w:t>投标人的商务和技术得分分值计算保留小数点后三位，小数点后第四位“四舍五入”。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w:t>
            </w:r>
          </w:p>
        </w:tc>
        <w:tc>
          <w:tcPr>
            <w:tcW w:w="8126" w:type="dxa"/>
            <w:gridSpan w:val="8"/>
            <w:noWrap w:val="0"/>
            <w:vAlign w:val="center"/>
          </w:tcPr>
          <w:p>
            <w:pPr>
              <w:autoSpaceDE w:val="0"/>
              <w:autoSpaceDN w:val="0"/>
              <w:adjustRightInd w:val="0"/>
              <w:snapToGri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将评标办法范本原文第3.2.3项细化如下：</w:t>
            </w:r>
          </w:p>
          <w:p>
            <w:pPr>
              <w:autoSpaceDE w:val="0"/>
              <w:autoSpaceDN w:val="0"/>
              <w:adjustRightInd w:val="0"/>
              <w:snapToGri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投标人的商务和技术得分=A+B+C。</w:t>
            </w:r>
          </w:p>
          <w:p>
            <w:pPr>
              <w:autoSpaceDE w:val="0"/>
              <w:autoSpaceDN w:val="0"/>
              <w:adjustRightInd w:val="0"/>
              <w:snapToGri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除履约信誉得分外，投标文件各评分因素细分项得分均不应低于其权重分的60%，评分低于权重分值60%的，评标委员会成员应当在评标报告中作出说明。</w:t>
            </w:r>
          </w:p>
          <w:p>
            <w:pPr>
              <w:autoSpaceDE w:val="0"/>
              <w:autoSpaceDN w:val="0"/>
              <w:adjustRightInd w:val="0"/>
              <w:snapToGrid w:val="0"/>
              <w:spacing w:line="240" w:lineRule="auto"/>
              <w:ind w:firstLine="420"/>
              <w:rPr>
                <w:rFonts w:hint="eastAsia" w:ascii="宋体" w:hAnsi="宋体" w:cs="宋体"/>
                <w:strike/>
                <w:dstrike w:val="0"/>
                <w:color w:val="auto"/>
                <w:kern w:val="2"/>
                <w:highlight w:val="none"/>
                <w:lang w:val="en-US"/>
              </w:rPr>
            </w:pPr>
            <w:r>
              <w:rPr>
                <w:rFonts w:hint="eastAsia" w:ascii="宋体" w:hAnsi="宋体" w:cs="宋体"/>
                <w:strike/>
                <w:dstrike w:val="0"/>
                <w:color w:val="auto"/>
                <w:kern w:val="2"/>
                <w:highlight w:val="none"/>
                <w:lang w:val="en-US"/>
              </w:rPr>
              <w:t>评标委员会人数不少于9人单数时，计算投标人技术得分时:首先在评委技术评分中，采用取消同一评委对同一标段各投标人评分总分的差值最大的评委评分分值（当2名或以上技术评委评分总分差值最大时，应取消其中1名评委评分，具体办法如下），再对各评分因素细分项中取消一个最高、一个最低分后计算算术平均值的和为投标人的最终技术得分，平均值计算保留小数点后三位，小数点后第四位“四舍五入”。</w:t>
            </w:r>
          </w:p>
          <w:p>
            <w:pPr>
              <w:autoSpaceDE w:val="0"/>
              <w:autoSpaceDN w:val="0"/>
              <w:adjustRightInd w:val="0"/>
              <w:snapToGrid w:val="0"/>
              <w:spacing w:line="240" w:lineRule="auto"/>
              <w:ind w:firstLine="420"/>
              <w:rPr>
                <w:rFonts w:hint="eastAsia" w:ascii="宋体" w:hAnsi="宋体" w:cs="宋体"/>
                <w:strike/>
                <w:dstrike w:val="0"/>
                <w:color w:val="auto"/>
                <w:kern w:val="2"/>
                <w:highlight w:val="none"/>
                <w:lang w:val="en-US"/>
              </w:rPr>
            </w:pPr>
            <w:r>
              <w:rPr>
                <w:rFonts w:hint="eastAsia" w:ascii="宋体" w:hAnsi="宋体" w:cs="宋体"/>
                <w:strike/>
                <w:dstrike w:val="0"/>
                <w:color w:val="auto"/>
                <w:kern w:val="2"/>
                <w:highlight w:val="none"/>
                <w:lang w:val="en-US"/>
              </w:rPr>
              <w:t>取消其中1名评委评分的办法一（依次按照以下流程）：（1）对比上述出现技术评分总分差值最大的评委的次分差（次分差＝某一评委技术评分总分的最高分－该评委技术评分总分的次低分），取消次分差最大的评委评分；（2）如次分差仍相同，则按随机抽取的方式选定取消1名评委评分。</w:t>
            </w:r>
          </w:p>
          <w:p>
            <w:pPr>
              <w:autoSpaceDE w:val="0"/>
              <w:autoSpaceDN w:val="0"/>
              <w:adjustRightInd w:val="0"/>
              <w:snapToGrid w:val="0"/>
              <w:spacing w:line="240" w:lineRule="auto"/>
              <w:ind w:firstLine="420"/>
              <w:rPr>
                <w:rFonts w:hint="eastAsia" w:ascii="宋体" w:hAnsi="宋体" w:cs="宋体"/>
                <w:strike/>
                <w:dstrike w:val="0"/>
                <w:color w:val="auto"/>
                <w:kern w:val="2"/>
                <w:highlight w:val="none"/>
                <w:lang w:val="en-US"/>
              </w:rPr>
            </w:pPr>
            <w:r>
              <w:rPr>
                <w:rFonts w:hint="eastAsia" w:ascii="宋体" w:hAnsi="宋体" w:cs="宋体"/>
                <w:strike/>
                <w:dstrike w:val="0"/>
                <w:color w:val="auto"/>
                <w:kern w:val="2"/>
                <w:highlight w:val="none"/>
                <w:lang w:val="en-US"/>
              </w:rPr>
              <w:t>注：如某一评委对每个投标人评分如下：10分、10分、9分、8分、8分、7分、7分的情况，次分差计算方式如下：10分-8分=2分</w:t>
            </w:r>
          </w:p>
          <w:p>
            <w:pPr>
              <w:autoSpaceDE w:val="0"/>
              <w:autoSpaceDN w:val="0"/>
              <w:adjustRightInd w:val="0"/>
              <w:snapToGrid w:val="0"/>
              <w:spacing w:line="240" w:lineRule="auto"/>
              <w:ind w:firstLine="420"/>
              <w:rPr>
                <w:rFonts w:hint="eastAsia" w:ascii="宋体" w:hAnsi="宋体" w:cs="宋体"/>
                <w:color w:val="auto"/>
                <w:kern w:val="2"/>
                <w:highlight w:val="none"/>
                <w:lang w:val="en-US"/>
              </w:rPr>
            </w:pPr>
            <w:r>
              <w:rPr>
                <w:rFonts w:hint="eastAsia" w:ascii="宋体" w:hAnsi="宋体" w:cs="宋体"/>
                <w:strike/>
                <w:dstrike w:val="0"/>
                <w:color w:val="auto"/>
                <w:kern w:val="2"/>
                <w:highlight w:val="none"/>
                <w:lang w:val="en-US"/>
              </w:rPr>
              <w:t>取消其中1名评委评分的办法二：按随机抽取的方式选定取消1名评委评分。</w:t>
            </w:r>
          </w:p>
          <w:p>
            <w:pPr>
              <w:autoSpaceDE w:val="0"/>
              <w:autoSpaceDN w:val="0"/>
              <w:adjustRightInd w:val="0"/>
              <w:snapToGrid w:val="0"/>
              <w:spacing w:line="240" w:lineRule="auto"/>
              <w:ind w:firstLine="420"/>
              <w:rPr>
                <w:rFonts w:hint="eastAsia" w:ascii="宋体" w:hAnsi="宋体" w:cs="宋体"/>
                <w:color w:val="auto"/>
                <w:kern w:val="2"/>
                <w:highlight w:val="none"/>
                <w:lang w:val="en-US"/>
              </w:rPr>
            </w:pPr>
            <w:r>
              <w:rPr>
                <w:rFonts w:hint="eastAsia" w:ascii="宋体" w:hAnsi="宋体" w:cs="宋体"/>
                <w:color w:val="auto"/>
                <w:kern w:val="2"/>
                <w:highlight w:val="none"/>
                <w:lang w:val="en-US"/>
              </w:rPr>
              <w:t>评标委员会人数为7人时，计算投标人技术得分时:各评分因素细分项中取消一个最高、一个最低分后计算算术平均值的和为投标人的最终技术得分，平均值计算保留小数点后三位，小数点后第四位“四舍五入”。</w:t>
            </w:r>
          </w:p>
          <w:p>
            <w:pPr>
              <w:autoSpaceDE w:val="0"/>
              <w:autoSpaceDN w:val="0"/>
              <w:adjustRightInd w:val="0"/>
              <w:snapToGrid w:val="0"/>
              <w:spacing w:line="240" w:lineRule="auto"/>
              <w:ind w:firstLine="420"/>
              <w:rPr>
                <w:rFonts w:hint="eastAsia" w:ascii="宋体" w:hAnsi="宋体" w:eastAsia="宋体" w:cs="宋体"/>
                <w:color w:val="auto"/>
                <w:szCs w:val="21"/>
                <w:highlight w:val="none"/>
              </w:rPr>
            </w:pPr>
            <w:r>
              <w:rPr>
                <w:rFonts w:hint="eastAsia" w:ascii="宋体" w:hAnsi="宋体" w:cs="宋体"/>
                <w:color w:val="auto"/>
                <w:kern w:val="2"/>
                <w:highlight w:val="none"/>
                <w:lang w:val="en-US"/>
              </w:rPr>
              <w:t>以上评标委员会人数以实际参与评审的评标委员会人数数量为准。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3.6</w:t>
            </w:r>
          </w:p>
        </w:tc>
        <w:tc>
          <w:tcPr>
            <w:tcW w:w="8126" w:type="dxa"/>
            <w:gridSpan w:val="8"/>
            <w:noWrap w:val="0"/>
            <w:vAlign w:val="center"/>
          </w:tcPr>
          <w:p>
            <w:pPr>
              <w:adjustRightInd w:val="0"/>
              <w:snapToGrid w:val="0"/>
              <w:spacing w:line="240" w:lineRule="auto"/>
              <w:ind w:right="124" w:rightChars="59"/>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rPr>
              <w:t>6</w:t>
            </w:r>
            <w:r>
              <w:rPr>
                <w:rFonts w:hint="eastAsia" w:ascii="宋体" w:hAnsi="宋体" w:cs="宋体"/>
                <w:color w:val="auto"/>
                <w:szCs w:val="21"/>
                <w:highlight w:val="none"/>
              </w:rPr>
              <w:t>.</w:t>
            </w:r>
            <w:r>
              <w:rPr>
                <w:rFonts w:hint="eastAsia" w:ascii="宋体" w:hAnsi="宋体" w:cs="宋体"/>
                <w:color w:val="auto"/>
                <w:szCs w:val="21"/>
                <w:highlight w:val="none"/>
                <w:lang w:val="en-US"/>
              </w:rPr>
              <w:t>1</w:t>
            </w:r>
            <w:r>
              <w:rPr>
                <w:rFonts w:hint="eastAsia" w:ascii="宋体" w:hAnsi="宋体" w:cs="宋体"/>
                <w:color w:val="auto"/>
                <w:szCs w:val="21"/>
                <w:highlight w:val="none"/>
              </w:rPr>
              <w:t>项（2）目末增加以下条款：</w:t>
            </w:r>
          </w:p>
          <w:p>
            <w:pPr>
              <w:adjustRightInd w:val="0"/>
              <w:snapToGrid w:val="0"/>
              <w:spacing w:line="240" w:lineRule="auto"/>
              <w:ind w:firstLine="220" w:firstLineChars="105"/>
              <w:rPr>
                <w:rFonts w:hint="eastAsia" w:ascii="宋体" w:hAnsi="宋体" w:cs="宋体"/>
                <w:color w:val="auto"/>
                <w:szCs w:val="21"/>
                <w:highlight w:val="none"/>
              </w:rPr>
            </w:pPr>
            <w:r>
              <w:rPr>
                <w:rFonts w:hint="eastAsia" w:ascii="宋体" w:hAnsi="宋体" w:cs="宋体"/>
                <w:color w:val="auto"/>
                <w:szCs w:val="21"/>
                <w:highlight w:val="none"/>
                <w:lang w:val="en-US"/>
              </w:rPr>
              <w:t>g</w:t>
            </w:r>
            <w:r>
              <w:rPr>
                <w:rStyle w:val="26"/>
                <w:rFonts w:hint="eastAsia" w:ascii="宋体" w:hAnsi="宋体" w:eastAsia="宋体" w:cs="宋体"/>
                <w:color w:val="auto"/>
                <w:sz w:val="21"/>
                <w:szCs w:val="21"/>
                <w:highlight w:val="none"/>
              </w:rPr>
              <w:t>.当一家以上投标人评标价相同时，若各投标人工程量清单细目单价也相同，视为串标（一个标段仅一工作细目报价的除外）。</w:t>
            </w:r>
          </w:p>
          <w:p>
            <w:pPr>
              <w:adjustRightInd w:val="0"/>
              <w:snapToGrid w:val="0"/>
              <w:spacing w:line="240" w:lineRule="auto"/>
              <w:ind w:firstLine="220" w:firstLineChars="105"/>
              <w:rPr>
                <w:rStyle w:val="26"/>
                <w:rFonts w:hint="eastAsia" w:ascii="宋体" w:hAnsi="宋体" w:eastAsia="宋体" w:cs="宋体"/>
                <w:color w:val="auto"/>
                <w:sz w:val="21"/>
                <w:szCs w:val="21"/>
                <w:highlight w:val="none"/>
              </w:rPr>
            </w:pPr>
            <w:r>
              <w:rPr>
                <w:rFonts w:hint="eastAsia" w:ascii="宋体" w:hAnsi="宋体" w:cs="宋体"/>
                <w:color w:val="auto"/>
                <w:szCs w:val="21"/>
                <w:highlight w:val="none"/>
                <w:lang w:val="en-US"/>
              </w:rPr>
              <w:t>h</w:t>
            </w:r>
            <w:r>
              <w:rPr>
                <w:rFonts w:hint="eastAsia" w:ascii="宋体" w:hAnsi="宋体" w:cs="宋体"/>
                <w:color w:val="auto"/>
                <w:szCs w:val="21"/>
                <w:highlight w:val="none"/>
              </w:rPr>
              <w:t>.广东省实施《中华人民共和国招标投标法》办法第十六条规定的情形。</w:t>
            </w:r>
          </w:p>
          <w:p>
            <w:pPr>
              <w:adjustRightInd w:val="0"/>
              <w:snapToGrid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增加3.6.</w:t>
            </w:r>
            <w:r>
              <w:rPr>
                <w:rFonts w:hint="eastAsia" w:ascii="宋体" w:hAnsi="宋体" w:cs="宋体"/>
                <w:color w:val="auto"/>
                <w:szCs w:val="21"/>
                <w:highlight w:val="none"/>
                <w:lang w:val="en-US"/>
              </w:rPr>
              <w:t>2</w:t>
            </w:r>
            <w:r>
              <w:rPr>
                <w:rFonts w:hint="eastAsia" w:ascii="宋体" w:hAnsi="宋体" w:cs="宋体"/>
                <w:color w:val="auto"/>
                <w:szCs w:val="21"/>
                <w:highlight w:val="none"/>
              </w:rPr>
              <w:t>项：</w:t>
            </w:r>
          </w:p>
          <w:p>
            <w:pPr>
              <w:tabs>
                <w:tab w:val="left" w:pos="858"/>
              </w:tabs>
              <w:adjustRightInd w:val="0"/>
              <w:snapToGrid w:val="0"/>
              <w:ind w:firstLine="407" w:firstLineChars="194"/>
              <w:rPr>
                <w:rFonts w:hint="eastAsia" w:ascii="宋体" w:hAnsi="宋体" w:eastAsia="宋体" w:cs="宋体"/>
                <w:snapToGrid w:val="0"/>
                <w:color w:val="auto"/>
                <w:szCs w:val="21"/>
                <w:highlight w:val="none"/>
              </w:rPr>
            </w:pPr>
            <w:r>
              <w:rPr>
                <w:rFonts w:hint="eastAsia" w:ascii="宋体" w:hAnsi="宋体" w:cs="宋体"/>
                <w:color w:val="auto"/>
                <w:szCs w:val="21"/>
                <w:highlight w:val="none"/>
              </w:rPr>
              <w:t>3.6.</w:t>
            </w:r>
            <w:r>
              <w:rPr>
                <w:rFonts w:hint="eastAsia" w:ascii="宋体" w:hAnsi="宋体" w:cs="宋体"/>
                <w:color w:val="auto"/>
                <w:szCs w:val="21"/>
                <w:highlight w:val="none"/>
                <w:lang w:val="en-US"/>
              </w:rPr>
              <w:t>2</w:t>
            </w:r>
            <w:r>
              <w:rPr>
                <w:rFonts w:hint="eastAsia" w:ascii="宋体" w:hAnsi="宋体" w:cs="宋体"/>
                <w:color w:val="auto"/>
                <w:szCs w:val="21"/>
                <w:highlight w:val="none"/>
              </w:rPr>
              <w:t>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1" w:type="dxa"/>
          <w:cantSplit/>
          <w:trHeight w:val="23" w:hRule="atLeast"/>
        </w:trPr>
        <w:tc>
          <w:tcPr>
            <w:tcW w:w="1234" w:type="dxa"/>
            <w:gridSpan w:val="2"/>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3.9</w:t>
            </w:r>
          </w:p>
        </w:tc>
        <w:tc>
          <w:tcPr>
            <w:tcW w:w="8126" w:type="dxa"/>
            <w:gridSpan w:val="8"/>
            <w:noWrap w:val="0"/>
            <w:vAlign w:val="center"/>
          </w:tcPr>
          <w:p>
            <w:pPr>
              <w:adjustRightInd w:val="0"/>
              <w:snapToGrid w:val="0"/>
              <w:spacing w:line="240" w:lineRule="auto"/>
              <w:jc w:val="both"/>
              <w:rPr>
                <w:rFonts w:hint="eastAsia" w:ascii="宋体" w:hAnsi="宋体" w:cs="宋体"/>
                <w:bCs/>
                <w:color w:val="auto"/>
                <w:kern w:val="2"/>
                <w:highlight w:val="none"/>
                <w:lang w:val="en-US"/>
              </w:rPr>
            </w:pPr>
            <w:r>
              <w:rPr>
                <w:rFonts w:hint="eastAsia" w:ascii="宋体" w:hAnsi="宋体" w:cs="宋体"/>
                <w:bCs/>
                <w:color w:val="auto"/>
                <w:kern w:val="2"/>
                <w:highlight w:val="none"/>
                <w:lang w:val="en-US"/>
              </w:rPr>
              <w:t>增加3.9.3-3.9.</w:t>
            </w:r>
            <w:r>
              <w:rPr>
                <w:rFonts w:hint="eastAsia" w:ascii="宋体" w:hAnsi="宋体" w:cs="宋体"/>
                <w:bCs/>
                <w:color w:val="auto"/>
                <w:kern w:val="2"/>
                <w:highlight w:val="none"/>
                <w:lang w:val="en-US" w:eastAsia="zh-CN"/>
              </w:rPr>
              <w:t>6</w:t>
            </w:r>
            <w:r>
              <w:rPr>
                <w:rFonts w:hint="eastAsia" w:ascii="宋体" w:hAnsi="宋体" w:cs="宋体"/>
                <w:color w:val="auto"/>
                <w:highlight w:val="none"/>
              </w:rPr>
              <w:t>项</w:t>
            </w:r>
            <w:r>
              <w:rPr>
                <w:rFonts w:hint="eastAsia" w:ascii="宋体" w:hAnsi="宋体" w:cs="宋体"/>
                <w:bCs/>
                <w:color w:val="auto"/>
                <w:kern w:val="2"/>
                <w:highlight w:val="none"/>
                <w:lang w:val="en-US"/>
              </w:rPr>
              <w:t>：</w:t>
            </w:r>
          </w:p>
          <w:p>
            <w:pPr>
              <w:adjustRightInd w:val="0"/>
              <w:snapToGrid w:val="0"/>
              <w:spacing w:line="240" w:lineRule="auto"/>
              <w:ind w:firstLine="432" w:firstLineChars="206"/>
              <w:jc w:val="both"/>
              <w:rPr>
                <w:rFonts w:hint="eastAsia" w:ascii="宋体" w:hAnsi="宋体" w:cs="宋体"/>
                <w:color w:val="auto"/>
                <w:kern w:val="2"/>
                <w:highlight w:val="none"/>
                <w:lang w:val="en-US"/>
              </w:rPr>
            </w:pPr>
            <w:r>
              <w:rPr>
                <w:rFonts w:hint="eastAsia" w:ascii="宋体" w:hAnsi="宋体" w:cs="宋体"/>
                <w:color w:val="auto"/>
                <w:kern w:val="2"/>
                <w:highlight w:val="none"/>
                <w:lang w:val="en-US"/>
              </w:rPr>
              <w:t>3.9.</w:t>
            </w:r>
            <w:r>
              <w:rPr>
                <w:rFonts w:hint="eastAsia" w:ascii="宋体" w:hAnsi="宋体" w:cs="宋体"/>
                <w:color w:val="auto"/>
                <w:kern w:val="2"/>
                <w:highlight w:val="none"/>
                <w:lang w:val="en-US" w:eastAsia="zh-CN"/>
              </w:rPr>
              <w:t>3通过第一个信封商务及技术文件评审的投标人少于3个使得投标明显缺乏竞争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r>
              <w:rPr>
                <w:rFonts w:hint="eastAsia" w:ascii="宋体" w:hAnsi="宋体" w:cs="宋体"/>
                <w:color w:val="auto"/>
                <w:kern w:val="2"/>
                <w:highlight w:val="none"/>
                <w:lang w:val="en-US"/>
              </w:rPr>
              <w:t>。</w:t>
            </w:r>
          </w:p>
          <w:p>
            <w:pPr>
              <w:adjustRightInd w:val="0"/>
              <w:snapToGrid w:val="0"/>
              <w:spacing w:line="240" w:lineRule="auto"/>
              <w:ind w:firstLine="424" w:firstLineChars="202"/>
              <w:jc w:val="both"/>
              <w:rPr>
                <w:rFonts w:hint="eastAsia" w:ascii="宋体" w:hAnsi="宋体" w:cs="宋体"/>
                <w:color w:val="auto"/>
                <w:kern w:val="2"/>
                <w:highlight w:val="none"/>
                <w:lang w:val="en-US"/>
              </w:rPr>
            </w:pPr>
            <w:r>
              <w:rPr>
                <w:rFonts w:hint="eastAsia" w:ascii="宋体" w:hAnsi="宋体" w:cs="宋体"/>
                <w:color w:val="auto"/>
                <w:kern w:val="2"/>
                <w:highlight w:val="none"/>
                <w:lang w:val="en-US"/>
              </w:rPr>
              <w:t>3.9.</w:t>
            </w:r>
            <w:r>
              <w:rPr>
                <w:rFonts w:hint="eastAsia" w:ascii="宋体" w:hAnsi="宋体" w:cs="宋体"/>
                <w:color w:val="auto"/>
                <w:kern w:val="2"/>
                <w:highlight w:val="none"/>
                <w:lang w:val="en-US" w:eastAsia="zh-CN"/>
              </w:rPr>
              <w:t>4</w:t>
            </w:r>
            <w:r>
              <w:rPr>
                <w:rFonts w:hint="eastAsia" w:ascii="宋体" w:hAnsi="宋体" w:cs="宋体"/>
                <w:color w:val="auto"/>
                <w:kern w:val="2"/>
                <w:highlight w:val="none"/>
                <w:lang w:val="en-US"/>
              </w:rPr>
              <w:t>通过第一个信封商务及技术文件评审的投标人在3个及以上的，招标人应当按照招标文件规定的程序进行第二个信封报价文件开标；在对报价文件进行评审后，有效投标不足3个使得投标明显缺乏竞争的，评标委员会可以否决全部投标。未否决全部投标的，评标委员会应当在评标报告中阐明理由并推荐中标候选人。</w:t>
            </w:r>
          </w:p>
          <w:p>
            <w:pPr>
              <w:adjustRightInd w:val="0"/>
              <w:snapToGrid w:val="0"/>
              <w:spacing w:line="240" w:lineRule="auto"/>
              <w:ind w:firstLine="432" w:firstLineChars="206"/>
              <w:jc w:val="both"/>
              <w:rPr>
                <w:rFonts w:hint="eastAsia" w:ascii="宋体" w:hAnsi="宋体" w:cs="宋体"/>
                <w:color w:val="auto"/>
                <w:highlight w:val="none"/>
                <w:lang w:val="en-US"/>
              </w:rPr>
            </w:pPr>
            <w:r>
              <w:rPr>
                <w:rFonts w:hint="eastAsia" w:ascii="宋体" w:hAnsi="宋体" w:cs="宋体"/>
                <w:color w:val="auto"/>
                <w:kern w:val="2"/>
                <w:highlight w:val="none"/>
                <w:lang w:val="en-US"/>
              </w:rPr>
              <w:t>3.9.</w:t>
            </w:r>
            <w:r>
              <w:rPr>
                <w:rFonts w:hint="eastAsia" w:ascii="宋体" w:hAnsi="宋体" w:cs="宋体"/>
                <w:color w:val="auto"/>
                <w:kern w:val="2"/>
                <w:highlight w:val="none"/>
                <w:lang w:val="en-US" w:eastAsia="zh-CN"/>
              </w:rPr>
              <w:t>5如果发生无法确定推荐中标候选人的其他意外情况，评标委员会可建议招标人重新招标</w:t>
            </w:r>
            <w:r>
              <w:rPr>
                <w:rFonts w:hint="eastAsia" w:ascii="宋体" w:hAnsi="宋体" w:cs="宋体"/>
                <w:color w:val="auto"/>
                <w:highlight w:val="none"/>
                <w:lang w:val="en-US"/>
              </w:rPr>
              <w:t>。</w:t>
            </w:r>
          </w:p>
          <w:p>
            <w:pPr>
              <w:adjustRightInd w:val="0"/>
              <w:snapToGrid w:val="0"/>
              <w:spacing w:line="240" w:lineRule="auto"/>
              <w:ind w:right="124" w:rightChars="59" w:firstLine="420" w:firstLineChars="200"/>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rPr>
              <w:t>9</w:t>
            </w:r>
            <w:r>
              <w:rPr>
                <w:rFonts w:hint="eastAsia" w:ascii="宋体" w:hAnsi="宋体" w:cs="宋体"/>
                <w:color w:val="auto"/>
                <w:highlight w:val="none"/>
              </w:rPr>
              <w:t>.</w:t>
            </w:r>
            <w:r>
              <w:rPr>
                <w:rFonts w:hint="eastAsia" w:ascii="宋体" w:hAnsi="宋体" w:cs="宋体"/>
                <w:color w:val="auto"/>
                <w:highlight w:val="none"/>
                <w:lang w:val="en-US" w:eastAsia="zh-CN"/>
              </w:rPr>
              <w:t>6本招标文件规定的否决投标条款包含在以下条款</w:t>
            </w:r>
            <w:r>
              <w:rPr>
                <w:rFonts w:hint="eastAsia" w:ascii="宋体" w:hAnsi="宋体" w:cs="宋体"/>
                <w:color w:val="auto"/>
                <w:highlight w:val="none"/>
              </w:rPr>
              <w:t>：</w:t>
            </w:r>
          </w:p>
          <w:p>
            <w:pPr>
              <w:adjustRightInd w:val="0"/>
              <w:snapToGrid w:val="0"/>
              <w:spacing w:line="240" w:lineRule="auto"/>
              <w:ind w:right="124" w:rightChars="59" w:firstLine="420" w:firstLineChars="200"/>
              <w:rPr>
                <w:rFonts w:hint="eastAsia" w:ascii="宋体" w:hAnsi="宋体" w:cs="宋体"/>
                <w:color w:val="auto"/>
                <w:highlight w:val="none"/>
              </w:rPr>
            </w:pPr>
            <w:r>
              <w:rPr>
                <w:rFonts w:hint="eastAsia" w:ascii="宋体" w:hAnsi="宋体" w:cs="宋体"/>
                <w:color w:val="auto"/>
                <w:highlight w:val="none"/>
              </w:rPr>
              <w:t>（1）招标公告第3点 投标人资格要求；</w:t>
            </w:r>
          </w:p>
          <w:p>
            <w:pPr>
              <w:adjustRightInd w:val="0"/>
              <w:snapToGrid w:val="0"/>
              <w:spacing w:line="240" w:lineRule="auto"/>
              <w:ind w:right="124" w:rightChars="59"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u w:val="single"/>
              </w:rPr>
              <w:t>投标人须知1.4.3项、1.4.4项、1.11.1项、1.12</w:t>
            </w:r>
            <w:r>
              <w:rPr>
                <w:rFonts w:hint="eastAsia" w:ascii="宋体" w:hAnsi="宋体" w:cs="宋体"/>
                <w:color w:val="auto"/>
                <w:highlight w:val="none"/>
                <w:u w:val="single"/>
                <w:lang w:val="en-US"/>
              </w:rPr>
              <w:t>.2</w:t>
            </w:r>
            <w:r>
              <w:rPr>
                <w:rFonts w:hint="eastAsia" w:ascii="宋体" w:hAnsi="宋体" w:cs="宋体"/>
                <w:color w:val="auto"/>
                <w:highlight w:val="none"/>
                <w:u w:val="single"/>
              </w:rPr>
              <w:t>项、3.4</w:t>
            </w:r>
            <w:r>
              <w:rPr>
                <w:rFonts w:hint="eastAsia" w:ascii="宋体" w:hAnsi="宋体" w:cs="宋体"/>
                <w:color w:val="auto"/>
                <w:highlight w:val="none"/>
                <w:u w:val="single"/>
                <w:lang w:val="en-US"/>
              </w:rPr>
              <w:t>.2</w:t>
            </w:r>
            <w:r>
              <w:rPr>
                <w:rFonts w:hint="eastAsia" w:ascii="宋体" w:hAnsi="宋体" w:cs="宋体"/>
                <w:color w:val="auto"/>
                <w:highlight w:val="none"/>
                <w:u w:val="single"/>
              </w:rPr>
              <w:t>项、3.6</w:t>
            </w:r>
            <w:r>
              <w:rPr>
                <w:rFonts w:hint="eastAsia" w:ascii="宋体" w:hAnsi="宋体" w:cs="宋体"/>
                <w:color w:val="auto"/>
                <w:highlight w:val="none"/>
                <w:u w:val="single"/>
                <w:lang w:val="en-US"/>
              </w:rPr>
              <w:t>.1</w:t>
            </w:r>
            <w:r>
              <w:rPr>
                <w:rFonts w:hint="eastAsia" w:ascii="宋体" w:hAnsi="宋体" w:cs="宋体"/>
                <w:color w:val="auto"/>
                <w:highlight w:val="none"/>
                <w:u w:val="single"/>
              </w:rPr>
              <w:t>项</w:t>
            </w:r>
            <w:r>
              <w:rPr>
                <w:rFonts w:hint="eastAsia" w:ascii="宋体" w:hAnsi="宋体"/>
                <w:color w:val="auto"/>
                <w:highlight w:val="none"/>
                <w:u w:val="single"/>
              </w:rPr>
              <w:t>；</w:t>
            </w:r>
          </w:p>
          <w:p>
            <w:pPr>
              <w:adjustRightInd w:val="0"/>
              <w:snapToGrid w:val="0"/>
              <w:ind w:firstLine="432" w:firstLineChars="206"/>
              <w:rPr>
                <w:rFonts w:hint="eastAsia" w:ascii="宋体" w:hAnsi="宋体" w:eastAsia="宋体" w:cs="宋体"/>
                <w:color w:val="auto"/>
                <w:szCs w:val="21"/>
                <w:highlight w:val="none"/>
              </w:rPr>
            </w:pPr>
            <w:r>
              <w:rPr>
                <w:rFonts w:hint="eastAsia" w:ascii="宋体" w:hAnsi="宋体" w:cs="宋体"/>
                <w:color w:val="auto"/>
                <w:highlight w:val="none"/>
              </w:rPr>
              <w:t>（3）本评标办法的否决条款。</w:t>
            </w:r>
          </w:p>
        </w:tc>
      </w:tr>
      <w:bookmarkEnd w:id="7"/>
    </w:tbl>
    <w:p>
      <w:pPr>
        <w:pStyle w:val="5"/>
        <w:spacing w:before="0" w:after="0" w:line="360" w:lineRule="auto"/>
        <w:jc w:val="left"/>
        <w:rPr>
          <w:rStyle w:val="38"/>
          <w:rFonts w:hint="eastAsia" w:ascii="宋体" w:hAnsi="宋体" w:eastAsia="宋体" w:cs="宋体"/>
          <w:b w:val="0"/>
          <w:bCs/>
          <w:i w:val="0"/>
          <w:color w:val="auto"/>
          <w:sz w:val="24"/>
          <w:szCs w:val="24"/>
          <w:highlight w:val="none"/>
        </w:rPr>
        <w:sectPr>
          <w:pgSz w:w="11900" w:h="16838"/>
          <w:pgMar w:top="1417" w:right="1417" w:bottom="1417" w:left="1417" w:header="0" w:footer="669" w:gutter="0"/>
          <w:cols w:space="720" w:num="1"/>
        </w:sectPr>
      </w:pPr>
    </w:p>
    <w:p>
      <w:pPr>
        <w:keepNext/>
        <w:keepLines/>
        <w:widowControl w:val="0"/>
        <w:spacing w:before="0" w:after="0" w:line="360" w:lineRule="auto"/>
        <w:jc w:val="left"/>
        <w:outlineLvl w:val="1"/>
        <w:rPr>
          <w:rStyle w:val="38"/>
          <w:rFonts w:ascii="宋体" w:hAnsi="宋体" w:eastAsia="宋体" w:cs="Times New Roman"/>
          <w:bCs/>
          <w:i w:val="0"/>
          <w:iCs/>
          <w:color w:val="auto"/>
          <w:kern w:val="2"/>
          <w:sz w:val="24"/>
          <w:szCs w:val="24"/>
          <w:highlight w:val="none"/>
          <w:lang w:val="zh-CN" w:eastAsia="zh-CN" w:bidi="ar-SA"/>
        </w:rPr>
      </w:pPr>
      <w:r>
        <w:rPr>
          <w:rStyle w:val="38"/>
          <w:rFonts w:hint="eastAsia" w:ascii="Times New Roman" w:hAnsi="Times New Roman" w:eastAsia="宋体" w:cs="Times New Roman"/>
          <w:bCs/>
          <w:i w:val="0"/>
          <w:iCs/>
          <w:color w:val="auto"/>
          <w:sz w:val="24"/>
          <w:szCs w:val="24"/>
          <w:highlight w:val="none"/>
          <w:lang w:val="zh-CN" w:eastAsia="zh-CN" w:bidi="ar-SA"/>
        </w:rPr>
        <w:t>1．评标方法</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keepNext/>
        <w:keepLines/>
        <w:widowControl w:val="0"/>
        <w:spacing w:before="0" w:after="0" w:line="360" w:lineRule="auto"/>
        <w:jc w:val="left"/>
        <w:outlineLvl w:val="1"/>
        <w:rPr>
          <w:rStyle w:val="38"/>
          <w:rFonts w:hint="eastAsia" w:ascii="宋体" w:hAnsi="宋体" w:eastAsia="宋体" w:cs="Times New Roman"/>
          <w:bCs/>
          <w:i w:val="0"/>
          <w:iCs/>
          <w:color w:val="auto"/>
          <w:kern w:val="2"/>
          <w:sz w:val="24"/>
          <w:szCs w:val="24"/>
          <w:highlight w:val="none"/>
          <w:lang w:val="zh-CN" w:eastAsia="zh-CN" w:bidi="ar-SA"/>
        </w:rPr>
      </w:pPr>
      <w:r>
        <w:rPr>
          <w:rStyle w:val="38"/>
          <w:rFonts w:hint="eastAsia" w:ascii="Times New Roman" w:hAnsi="Times New Roman" w:eastAsia="宋体" w:cs="Times New Roman"/>
          <w:bCs/>
          <w:i w:val="0"/>
          <w:iCs/>
          <w:color w:val="auto"/>
          <w:sz w:val="24"/>
          <w:szCs w:val="24"/>
          <w:highlight w:val="none"/>
          <w:lang w:val="zh-CN" w:eastAsia="zh-CN" w:bidi="ar-SA"/>
        </w:rPr>
        <w:t>2．评审标准</w:t>
      </w:r>
    </w:p>
    <w:p>
      <w:pPr>
        <w:keepNext/>
        <w:keepLines/>
        <w:widowControl/>
        <w:numPr>
          <w:ilvl w:val="0"/>
          <w:numId w:val="0"/>
        </w:numPr>
        <w:spacing w:before="0" w:after="0" w:line="360" w:lineRule="auto"/>
        <w:ind w:left="425"/>
        <w:jc w:val="left"/>
        <w:outlineLvl w:val="2"/>
        <w:rPr>
          <w:rStyle w:val="38"/>
          <w:rFonts w:hint="eastAsia" w:ascii="宋体" w:hAnsi="宋体" w:eastAsia="宋体" w:cs="Times New Roman"/>
          <w:b/>
          <w:bCs w:val="0"/>
          <w:iCs/>
          <w:color w:val="auto"/>
          <w:sz w:val="24"/>
          <w:szCs w:val="24"/>
          <w:highlight w:val="none"/>
          <w:lang w:val="zh-CN" w:eastAsia="zh-CN" w:bidi="ar-SA"/>
        </w:rPr>
      </w:pPr>
      <w:r>
        <w:rPr>
          <w:rStyle w:val="38"/>
          <w:rFonts w:hint="eastAsia" w:ascii="宋体" w:hAnsi="宋体" w:eastAsia="宋体" w:cs="Times New Roman"/>
          <w:b/>
          <w:bCs w:val="0"/>
          <w:iCs/>
          <w:color w:val="auto"/>
          <w:sz w:val="24"/>
          <w:szCs w:val="24"/>
          <w:highlight w:val="none"/>
          <w:lang w:val="zh-CN" w:eastAsia="zh-CN" w:bidi="ar-SA"/>
        </w:rPr>
        <w:t>2</w:t>
      </w:r>
      <w:r>
        <w:rPr>
          <w:rStyle w:val="38"/>
          <w:rFonts w:hint="eastAsia" w:ascii="Times New Roman" w:hAnsi="Times New Roman" w:eastAsia="宋体" w:cs="Times New Roman"/>
          <w:b/>
          <w:bCs w:val="0"/>
          <w:iCs/>
          <w:color w:val="auto"/>
          <w:sz w:val="24"/>
          <w:szCs w:val="24"/>
          <w:highlight w:val="none"/>
          <w:lang w:val="zh-CN" w:eastAsia="zh-CN" w:bidi="ar-SA"/>
        </w:rPr>
        <w:t>.</w:t>
      </w:r>
      <w:r>
        <w:rPr>
          <w:rStyle w:val="38"/>
          <w:rFonts w:hint="eastAsia" w:ascii="宋体" w:hAnsi="宋体" w:eastAsia="宋体" w:cs="Times New Roman"/>
          <w:b/>
          <w:bCs w:val="0"/>
          <w:iCs/>
          <w:color w:val="auto"/>
          <w:sz w:val="24"/>
          <w:szCs w:val="24"/>
          <w:highlight w:val="none"/>
          <w:lang w:val="zh-CN" w:eastAsia="zh-CN" w:bidi="ar-SA"/>
        </w:rPr>
        <w:t>1初步评审标准</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2.1.1形式评审标准：见评标办法前附表。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2.1.2资格评审标准：见评标办法前附表。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2.1.3响应性评审标准：见评标办法前附表。</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2.2分值构成与评分标准</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w:t>
      </w:r>
      <w:r>
        <w:rPr>
          <w:rFonts w:ascii="宋体" w:hAnsi="宋体" w:cs="MingLiU_HKSCS"/>
          <w:color w:val="auto"/>
          <w:kern w:val="0"/>
          <w:sz w:val="24"/>
          <w:szCs w:val="21"/>
          <w:highlight w:val="none"/>
          <w:lang w:val="zh-CN"/>
        </w:rPr>
        <w:t>2</w:t>
      </w:r>
      <w:r>
        <w:rPr>
          <w:rFonts w:hint="eastAsia" w:ascii="宋体" w:hAnsi="宋体" w:cs="MingLiU_HKSCS"/>
          <w:color w:val="auto"/>
          <w:kern w:val="0"/>
          <w:sz w:val="24"/>
          <w:szCs w:val="21"/>
          <w:highlight w:val="none"/>
          <w:lang w:val="zh-CN"/>
        </w:rPr>
        <w:t>.1第一个信封评分分值构成</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（1）施工组织设计：见评标办法前附表；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（2）主要人员：见评标办法前附表；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（3）其他因素：见评标办法前附表。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2.2.2第一个信封评分标准</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（1）施工组织设计评分标准：见评标办法前附表；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（2）主要人员评分标准：见评标办法前附表；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（3）其他因素评分标准：见评标办法前附表.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2.2.3第二个信封详细评审标准：见评标办法前附表。</w:t>
      </w:r>
    </w:p>
    <w:p>
      <w:pPr>
        <w:keepNext/>
        <w:keepLines/>
        <w:widowControl w:val="0"/>
        <w:spacing w:before="0" w:after="0" w:line="360" w:lineRule="auto"/>
        <w:jc w:val="left"/>
        <w:outlineLvl w:val="1"/>
        <w:rPr>
          <w:rStyle w:val="38"/>
          <w:rFonts w:hint="eastAsia" w:ascii="宋体" w:hAnsi="宋体" w:eastAsia="宋体" w:cs="Times New Roman"/>
          <w:bCs/>
          <w:i w:val="0"/>
          <w:iCs/>
          <w:color w:val="auto"/>
          <w:kern w:val="2"/>
          <w:sz w:val="24"/>
          <w:szCs w:val="24"/>
          <w:highlight w:val="none"/>
          <w:lang w:val="zh-CN" w:eastAsia="zh-CN" w:bidi="ar-SA"/>
        </w:rPr>
      </w:pPr>
      <w:r>
        <w:rPr>
          <w:rStyle w:val="38"/>
          <w:rFonts w:hint="eastAsia" w:ascii="Times New Roman" w:hAnsi="Times New Roman" w:eastAsia="宋体" w:cs="Times New Roman"/>
          <w:bCs/>
          <w:i w:val="0"/>
          <w:iCs/>
          <w:color w:val="auto"/>
          <w:sz w:val="24"/>
          <w:szCs w:val="24"/>
          <w:highlight w:val="none"/>
          <w:lang w:val="zh-CN" w:eastAsia="zh-CN" w:bidi="ar-SA"/>
        </w:rPr>
        <w:t>3．评标程序</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3.1 第一个信封初步评审</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3.2 第一个信封详细评审</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3.2.1 评标委员会按本章第2.2款规定的量化因素和分值进行打分，并计算出各投标人的商务和技术得分。</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（1）按本章第2.2.2项（1）目规定的评审因素和分值对施工组织设计部分计算出得分A；</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（2）按本章第2.2.2项（2）目规定的评审因素和分值对主要人员部分计算出得分B；</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（3）按本章第2.2.2项（3）目规定的评审因素和分值对其他部分计算出得分C。</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3.2.2 投标人的商务和技术得分分值计算保留小数点后两位，小数点后第三位“四舍五入”。</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3.2.3 投标人的商务和技术得分=A+B+C。</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3.2.4评标委员会按照投标人的商务和技术得分由高到低排序，排名在评标办法前附表规定数量以内的投标人，其投标文件第一个信封（商务及技术文件）通过详细评审。</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3.3 第二个信封开标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第一个信封（商务及技术文件）评审结束后，招标人将按照第二章“投标人须知”第5.1款规定的时间和地点对通过投标文件第一个信封（商务及技术文件）评审的投标文件第二个信封（报价文件）进行开标。</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3.4 第二个信封初步评审</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3.4.1 评标委员会依据本章第2.1.1项、第2.1.3项规定的评审标准对投标文件第二个信封（报价文件）进行初步评审。有一项不符合评审标准的，评标委员会应否决其投标。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 xml:space="preserve">3.4.2 </w:t>
      </w:r>
      <w:r>
        <w:rPr>
          <w:rStyle w:val="15"/>
          <w:rFonts w:ascii="宋体" w:hAnsi="宋体" w:cs="Times New Roman"/>
          <w:color w:val="auto"/>
          <w:kern w:val="0"/>
          <w:sz w:val="21"/>
          <w:szCs w:val="21"/>
          <w:highlight w:val="none"/>
          <w:lang w:val="zh-CN"/>
        </w:rPr>
        <w:footnoteReference w:id="1"/>
      </w:r>
      <w:r>
        <w:rPr>
          <w:rFonts w:hint="eastAsia" w:ascii="宋体" w:hAnsi="宋体" w:cs="MingLiU_HKSCS"/>
          <w:color w:val="auto"/>
          <w:kern w:val="0"/>
          <w:sz w:val="24"/>
          <w:szCs w:val="21"/>
          <w:highlight w:val="none"/>
          <w:lang w:val="zh-CN"/>
        </w:rPr>
        <w:t>投标报价有算术错误的，评标委员会按以下原则对投标报价进行修正，修正的价格经投标人书面确认后具有约束力。投标人不接受修正价格的，评标委员会应否决其投标。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（1）投标文件中的大写金额与小写金额不一致的，以大写金额为准；</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（2）总价金额与依据单价计算出的结果不一致的，以单价金额为准修正总价，但单价金额小数点有明显错误的除外；</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（3）当单价与数量相乘不等于合价时，以单价计算为准，如果单价有明显的小数点位置差错，应以标出的合价为准，同时对单价予以修正；</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（4）当各子目的合价累计不等于总价时，应以各子目合价累计数为准，修正总价。</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3.4.3工程量清单中的投标报价有其他错误的，评标委员会按以下原则对投标报价进行修正，修正的价格经投标人书面确认后具有约束力。投标人不接受修正价格的，评标委员会应否决其投标。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(3)当单价与数量的乘积与合价(金额)虽然一致，但投标人修改了该子目的工程数量，则其合价按招标人给定的工程数量乘以投标人所报单价予以修正。</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3.4.4修正后的最终投标报价若超过最高投标限价(如有)，评标委员会应否决其投标。</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3.5第二个信封详细评审</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3.5.1评标委员会按本章第2.2款规定的量化因素和标准进行价格折算，计算出评标价，并编制价格比较一览表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3.6投标文件相关信息的核查</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3.6.1评标委员会应对在评标过程中发现的投标人与投标人之间、投标人与招标人之间存在的串通投标的情形进行评审和认定。投标人存在串通投标、弄虚作假、行贿等违法行为的，评标委员会应否决其投标。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（1）有下列情形之一的，属于投标人相互串通投标：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a.投标人之间协商投标报价等投标文件的实质性内容；</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b.投标人之间约定中标人；</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c.投标人之间约定部分投标人放弃投标或中标；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d.属于同一集团、协会、商会等组织成员的投标人按照该组织要求协同投标；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e.投标人之间为谋取中标或排斥特定投标人而采取的其他联合行动。</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（2）有下列情形之一的，视为投标人相互串通投标：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a.不同投标人的投标文件由同一单位或个人编制；</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b.不同投标人委托同一单位或个人办理投标事宜；</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c.不同投标人的投标文件载明的项目管理成员为同一人；</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d.不同投标人的投标文件异常一致或投标报价呈规律性差异；</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e.不同投标人的投标文件相互混装；</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f.不同投标人的投标保证金从同一单位或个人的账户转出。</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（3）有下列情形之一的，属于招标人与投标人串通投标：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a.招标人在开标前开启投标文件并将有关信息泄露给其他投标人;</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b.招标人直接或间接向投标人泄露标底、评标委员会成员等信息；</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c.招标人明示或暗示投标人压低或抬高投标报价；</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d.招标人授意投标人撤换、修改投标文件；</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e.招标人明示或暗示投标人为特定投标人中标提供方便；</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f.招标人与投标人为谋求特定投标人中标而采取的其他串通行为。</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（4）投标人有下列情形之一的，属于弄虚作假的行为：</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a.使用通过受让或租借等方式获取的资格、资质证书投标；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b.使用伪造、变造的许可证件；</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c.提供虚假的财务状况或业绩；</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d.提供虚假的项目负责人或主要技术人员简历、劳动关系证明；</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e.提供虚假的信用状况；</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f.其他弄虚作假的行为。</w:t>
      </w:r>
    </w:p>
    <w:p>
      <w:pPr>
        <w:keepNext/>
        <w:keepLines/>
        <w:widowControl/>
        <w:numPr>
          <w:ilvl w:val="0"/>
          <w:numId w:val="0"/>
        </w:numPr>
        <w:spacing w:before="0" w:after="0" w:line="360" w:lineRule="auto"/>
        <w:ind w:left="425"/>
        <w:jc w:val="left"/>
        <w:outlineLvl w:val="2"/>
        <w:rPr>
          <w:rStyle w:val="38"/>
          <w:rFonts w:hint="eastAsia" w:ascii="宋体" w:hAnsi="宋体" w:eastAsia="宋体" w:cs="Times New Roman"/>
          <w:b/>
          <w:bCs w:val="0"/>
          <w:iCs/>
          <w:color w:val="auto"/>
          <w:sz w:val="24"/>
          <w:szCs w:val="24"/>
          <w:highlight w:val="none"/>
          <w:lang w:val="zh-CN" w:eastAsia="zh-CN" w:bidi="ar-SA"/>
        </w:rPr>
      </w:pPr>
      <w:r>
        <w:rPr>
          <w:rStyle w:val="38"/>
          <w:rFonts w:hint="eastAsia" w:ascii="宋体" w:hAnsi="宋体" w:eastAsia="宋体" w:cs="Times New Roman"/>
          <w:b/>
          <w:bCs w:val="0"/>
          <w:iCs/>
          <w:color w:val="auto"/>
          <w:sz w:val="24"/>
          <w:szCs w:val="24"/>
          <w:highlight w:val="none"/>
          <w:lang w:val="zh-CN" w:eastAsia="zh-CN" w:bidi="ar-SA"/>
        </w:rPr>
        <w:t>3</w:t>
      </w:r>
      <w:r>
        <w:rPr>
          <w:rFonts w:hint="eastAsia" w:ascii="宋体" w:hAnsi="宋体" w:eastAsia="宋体" w:cs="Times New Roman"/>
          <w:b w:val="0"/>
          <w:bCs/>
          <w:color w:val="auto"/>
          <w:sz w:val="32"/>
          <w:szCs w:val="21"/>
          <w:highlight w:val="none"/>
          <w:lang w:val="zh-CN" w:eastAsia="zh-CN" w:bidi="ar-SA"/>
        </w:rPr>
        <w:t>.</w:t>
      </w:r>
      <w:r>
        <w:rPr>
          <w:rStyle w:val="38"/>
          <w:rFonts w:hint="eastAsia" w:ascii="宋体" w:hAnsi="宋体" w:eastAsia="宋体" w:cs="Times New Roman"/>
          <w:b/>
          <w:bCs w:val="0"/>
          <w:iCs/>
          <w:color w:val="auto"/>
          <w:sz w:val="24"/>
          <w:szCs w:val="24"/>
          <w:highlight w:val="none"/>
          <w:lang w:val="zh-CN" w:eastAsia="zh-CN" w:bidi="ar-SA"/>
        </w:rPr>
        <w:t>7投标文件的澄清和说明</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3.7.1 在评标过程中，评标委员会可以书面形式要求投标人对所提交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3.7.2 澄清和说明不得超出投标文件的范围或改变投标文件的实质性内容（算术性错误的修正除外）。投标人的书面澄清、说明属于投标文件的组成部分。</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3.7.3 评标委员会不得暗示或诱导投标人作出澄清、说明，对投标人提交的澄清、说明有疑问的，可以要求投标人进一步澄清或说明，直至满足评标委员会的要求。</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3.7.4 凡超出招标文件规定的或给发包人带来未曾要求的利益的变化、偏差或其他因素在评标时不予考虑。</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3.8不得否决投标的情形</w:t>
      </w:r>
    </w:p>
    <w:p>
      <w:pPr>
        <w:spacing w:line="360" w:lineRule="auto"/>
        <w:ind w:firstLine="480" w:firstLineChars="200"/>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投标文件存在第二章“投标人须知”第1.12.3项所列情形的，均视为细微偏差，评标委员会不得否决投标人的投标，应按照第二章“投标人须知”第1.12.4项规定的原则处理。</w:t>
      </w:r>
    </w:p>
    <w:p>
      <w:pPr>
        <w:keepNext/>
        <w:keepLines/>
        <w:widowControl/>
        <w:numPr>
          <w:ilvl w:val="0"/>
          <w:numId w:val="0"/>
        </w:numPr>
        <w:spacing w:before="0" w:after="0" w:line="360" w:lineRule="auto"/>
        <w:ind w:left="425"/>
        <w:jc w:val="left"/>
        <w:outlineLvl w:val="2"/>
        <w:rPr>
          <w:rStyle w:val="38"/>
          <w:rFonts w:hint="eastAsia" w:ascii="Times New Roman" w:hAnsi="Times New Roman" w:eastAsia="宋体" w:cs="Times New Roman"/>
          <w:b/>
          <w:bCs w:val="0"/>
          <w:iCs/>
          <w:color w:val="auto"/>
          <w:sz w:val="24"/>
          <w:szCs w:val="24"/>
          <w:highlight w:val="none"/>
          <w:lang w:val="zh-CN" w:eastAsia="zh-CN" w:bidi="ar-SA"/>
        </w:rPr>
      </w:pPr>
      <w:r>
        <w:rPr>
          <w:rStyle w:val="38"/>
          <w:rFonts w:hint="eastAsia" w:ascii="Times New Roman" w:hAnsi="Times New Roman" w:eastAsia="宋体" w:cs="Times New Roman"/>
          <w:b/>
          <w:bCs w:val="0"/>
          <w:iCs/>
          <w:color w:val="auto"/>
          <w:sz w:val="24"/>
          <w:szCs w:val="24"/>
          <w:highlight w:val="none"/>
          <w:lang w:val="zh-CN" w:eastAsia="zh-CN" w:bidi="ar-SA"/>
        </w:rPr>
        <w:t>3.9评标结果</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3.9.1 除第二章“投标人须知”前附表授权直</w:t>
      </w:r>
      <w:bookmarkStart w:id="8" w:name="_GoBack"/>
      <w:bookmarkEnd w:id="8"/>
      <w:r>
        <w:rPr>
          <w:rFonts w:hint="eastAsia" w:ascii="宋体" w:hAnsi="宋体" w:cs="MingLiU_HKSCS"/>
          <w:color w:val="auto"/>
          <w:kern w:val="0"/>
          <w:sz w:val="24"/>
          <w:szCs w:val="21"/>
          <w:highlight w:val="none"/>
          <w:lang w:val="zh-CN"/>
        </w:rPr>
        <w:t>接确定中标人外，评标委员会按照得分由高到低的顺序推荐中标候选人，并标明排序。</w:t>
      </w:r>
    </w:p>
    <w:p>
      <w:pPr>
        <w:spacing w:line="360" w:lineRule="auto"/>
        <w:ind w:firstLine="424" w:firstLineChars="177"/>
        <w:jc w:val="left"/>
        <w:rPr>
          <w:rFonts w:hint="eastAsia" w:ascii="宋体" w:hAnsi="宋体" w:cs="MingLiU_HKSCS"/>
          <w:color w:val="auto"/>
          <w:kern w:val="0"/>
          <w:sz w:val="24"/>
          <w:szCs w:val="21"/>
          <w:highlight w:val="none"/>
          <w:lang w:val="zh-CN"/>
        </w:rPr>
      </w:pPr>
      <w:r>
        <w:rPr>
          <w:rFonts w:hint="eastAsia" w:ascii="宋体" w:hAnsi="宋体" w:cs="MingLiU_HKSCS"/>
          <w:color w:val="auto"/>
          <w:kern w:val="0"/>
          <w:sz w:val="24"/>
          <w:szCs w:val="21"/>
          <w:highlight w:val="none"/>
          <w:lang w:val="zh-CN"/>
        </w:rPr>
        <w:t>3.9.2 评标委员会完成评标后，应向招标人提交书面评标报告。</w:t>
      </w:r>
    </w:p>
    <w:sectPr>
      <w:headerReference r:id="rId4" w:type="default"/>
      <w:footerReference r:id="rId5"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9"/>
      <w:pBdr>
        <w:bottom w:val="none" w:color="auto" w:sz="0" w:space="0"/>
      </w:pBd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spacing w:line="240" w:lineRule="atLeast"/>
        <w:ind w:firstLine="0"/>
      </w:pPr>
      <w:r>
        <w:rPr>
          <w:rStyle w:val="15"/>
        </w:rPr>
        <w:footnoteRef/>
      </w:r>
      <w:r>
        <w:rPr>
          <w:rFonts w:hint="eastAsia" w:cs="宋体"/>
        </w:rPr>
        <w:t>本条内容所指的行政处罚和正式约谈是指本范本施行之日起发生的行政处罚和正式约谈</w:t>
      </w:r>
      <w:r>
        <w:rPr>
          <w:rFonts w:hint="eastAsia" w:cs="宋体"/>
          <w:lang w:eastAsia="zh-CN"/>
        </w:rPr>
        <w:t>。</w:t>
      </w:r>
      <w:r>
        <w:rPr>
          <w:rFonts w:hint="eastAsia" w:cs="宋体"/>
        </w:rPr>
        <w:t>其中</w:t>
      </w:r>
      <w:r>
        <w:rPr>
          <w:rFonts w:hint="eastAsia" w:cs="宋体"/>
          <w:lang w:eastAsia="zh-CN"/>
        </w:rPr>
        <w:t>：</w:t>
      </w:r>
      <w:r>
        <w:rPr>
          <w:rFonts w:hint="eastAsia" w:cs="宋体"/>
        </w:rPr>
        <w:t>正式约谈是指从业单位的企业法人因建设项目质量、安全、履约或招标投标等问题，被上述单位约谈的情形。行政处罚要以上述单位正式发文为依据，以正式发文时间为准；正式约谈要以上述单位的书面通知和约谈会议纪要为依据，时间以约谈会议纪要发文时间为准。</w:t>
      </w:r>
    </w:p>
  </w:footnote>
  <w:footnote w:id="1">
    <w:p>
      <w:pPr>
        <w:widowControl w:val="0"/>
        <w:adjustRightInd w:val="0"/>
        <w:snapToGrid w:val="0"/>
        <w:spacing w:line="240" w:lineRule="auto"/>
        <w:ind w:firstLine="0"/>
        <w:textAlignment w:val="baseline"/>
        <w:rPr>
          <w:rFonts w:hint="eastAsia" w:ascii="Times New Roman" w:hAnsi="Times New Roman" w:eastAsia="宋体" w:cs="Times New Roman"/>
          <w:color w:val="auto"/>
          <w:sz w:val="21"/>
          <w:szCs w:val="21"/>
          <w:lang w:val="zh-CN" w:eastAsia="zh-CN" w:bidi="ar-SA"/>
        </w:rPr>
      </w:pPr>
      <w:r>
        <w:rPr>
          <w:rStyle w:val="15"/>
          <w:rFonts w:ascii="Times New Roman" w:hAnsi="Times New Roman" w:eastAsia="宋体" w:cs="Times New Roman"/>
          <w:color w:val="auto"/>
          <w:sz w:val="21"/>
          <w:szCs w:val="21"/>
          <w:lang w:val="zh-CN" w:eastAsia="zh-CN" w:bidi="ar-SA"/>
        </w:rPr>
        <w:footnoteRef/>
      </w:r>
      <w:r>
        <w:rPr>
          <w:rFonts w:hint="eastAsia" w:ascii="宋体" w:hAnsi="宋体" w:eastAsia="宋体" w:cs="Times New Roman"/>
          <w:color w:val="auto"/>
          <w:sz w:val="21"/>
          <w:szCs w:val="21"/>
          <w:lang w:val="zh-CN" w:eastAsia="zh-CN" w:bidi="ar-SA"/>
        </w:rPr>
        <w:t>如本项目招标采用第二章“投标人须知”第3．2．1项(2)目规定的由投标人按照招标人提供的工程量清单填写本合同各工程子目的单价、</w:t>
      </w:r>
      <w:r>
        <w:rPr>
          <w:rFonts w:hint="eastAsia" w:ascii="宋体" w:hAnsi="宋体" w:eastAsia="宋体" w:cs="Times New Roman"/>
          <w:color w:val="auto"/>
          <w:sz w:val="21"/>
          <w:szCs w:val="21"/>
          <w:lang w:val="en-US" w:eastAsia="zh-CN" w:bidi="ar-SA"/>
        </w:rPr>
        <w:t>合价</w:t>
      </w:r>
      <w:r>
        <w:rPr>
          <w:rFonts w:hint="eastAsia" w:ascii="宋体" w:hAnsi="宋体" w:eastAsia="宋体" w:cs="Times New Roman"/>
          <w:color w:val="auto"/>
          <w:sz w:val="21"/>
          <w:szCs w:val="21"/>
          <w:lang w:val="zh-CN" w:eastAsia="zh-CN" w:bidi="ar-SA"/>
        </w:rPr>
        <w:t>和总额价方式，则评标委员会按照本章第3.4.2项和第3.4.3项的规定对投标人的投标报价进行修正。如本项目招标采用第二章“投标人须知”第3.2.1项(1)目规定的投标人按照招标人提供的工程量固化清单电子文件填写工程量清单的，无须按照本章第3.4.2项和第3.4.3项的规定对投标报价进行修正，第3.4.2项至第3.4.4项内容不适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ACB4C"/>
    <w:multiLevelType w:val="singleLevel"/>
    <w:tmpl w:val="FCDACB4C"/>
    <w:lvl w:ilvl="0" w:tentative="0">
      <w:start w:val="1"/>
      <w:numFmt w:val="decimal"/>
      <w:suff w:val="nothing"/>
      <w:lvlText w:val="%1、"/>
      <w:lvlJc w:val="left"/>
    </w:lvl>
  </w:abstractNum>
  <w:abstractNum w:abstractNumId="1">
    <w:nsid w:val="1A085AF1"/>
    <w:multiLevelType w:val="multilevel"/>
    <w:tmpl w:val="1A085AF1"/>
    <w:lvl w:ilvl="0"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1"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2"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3"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4"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5"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6"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7"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8" w:tentative="0">
      <w:start w:val="4"/>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abstractNum>
  <w:abstractNum w:abstractNumId="2">
    <w:nsid w:val="38FA074C"/>
    <w:multiLevelType w:val="multilevel"/>
    <w:tmpl w:val="38FA074C"/>
    <w:lvl w:ilvl="0"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1"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2"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3"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4"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5"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6"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7"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lvl w:ilvl="8" w:tentative="0">
      <w:start w:val="1"/>
      <w:numFmt w:val="lowerLetter"/>
      <w:lvlText w:val="%1."/>
      <w:lvlJc w:val="left"/>
      <w:rPr>
        <w:rFonts w:ascii="MingLiU" w:eastAsia="MingLiU" w:cs="MingLiU"/>
        <w:b w:val="0"/>
        <w:bCs w:val="0"/>
        <w:i w:val="0"/>
        <w:iCs w:val="0"/>
        <w:smallCaps w:val="0"/>
        <w:strike w:val="0"/>
        <w:color w:val="000000"/>
        <w:spacing w:val="0"/>
        <w:w w:val="100"/>
        <w:position w:val="0"/>
        <w:sz w:val="20"/>
        <w:szCs w:val="20"/>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U1NDU4MzVkMWRlYWJiMDY3YzA1OTJkYTQxODQifQ=="/>
  </w:docVars>
  <w:rsids>
    <w:rsidRoot w:val="00000000"/>
    <w:rsid w:val="040354C1"/>
    <w:rsid w:val="04107835"/>
    <w:rsid w:val="0DCD0230"/>
    <w:rsid w:val="0F971A30"/>
    <w:rsid w:val="1E42220E"/>
    <w:rsid w:val="499A2315"/>
    <w:rsid w:val="742E4CE9"/>
    <w:rsid w:val="7D20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宋体" w:hAnsi="宋体" w:eastAsia="宋体" w:cs="宋体"/>
      <w:sz w:val="21"/>
      <w:szCs w:val="21"/>
      <w:lang w:val="zh-CN" w:eastAsia="zh-CN" w:bidi="zh-CN"/>
    </w:rPr>
  </w:style>
  <w:style w:type="paragraph" w:styleId="6">
    <w:name w:val="Body Text 3"/>
    <w:basedOn w:val="1"/>
    <w:qFormat/>
    <w:uiPriority w:val="0"/>
    <w:rPr>
      <w:rFonts w:ascii="宋体"/>
      <w:sz w:val="24"/>
      <w:szCs w:val="20"/>
    </w:r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1"/>
    <w:qFormat/>
    <w:uiPriority w:val="0"/>
    <w:pPr>
      <w:snapToGrid w:val="0"/>
      <w:jc w:val="left"/>
    </w:pPr>
    <w:rPr>
      <w:rFonts w:ascii="宋体" w:hAnsi="宋体"/>
      <w:sz w:val="18"/>
      <w:szCs w:val="18"/>
    </w:rPr>
  </w:style>
  <w:style w:type="paragraph" w:styleId="11">
    <w:name w:val="Title"/>
    <w:basedOn w:val="1"/>
    <w:qFormat/>
    <w:uiPriority w:val="0"/>
    <w:pPr>
      <w:adjustRightInd w:val="0"/>
      <w:spacing w:before="240" w:after="60" w:line="420" w:lineRule="atLeast"/>
      <w:jc w:val="center"/>
      <w:textAlignment w:val="baseline"/>
      <w:outlineLvl w:val="0"/>
    </w:pPr>
    <w:rPr>
      <w:rFonts w:ascii="Arial" w:hAnsi="Arial" w:cs="Times New Roman"/>
      <w:b/>
      <w:color w:val="auto"/>
      <w:sz w:val="32"/>
      <w:szCs w:val="20"/>
    </w:rPr>
  </w:style>
  <w:style w:type="character" w:styleId="14">
    <w:name w:val="Hyperlink"/>
    <w:qFormat/>
    <w:uiPriority w:val="0"/>
    <w:rPr>
      <w:color w:val="000000"/>
      <w:u w:val="none"/>
    </w:rPr>
  </w:style>
  <w:style w:type="character" w:styleId="15">
    <w:name w:val="footnote reference"/>
    <w:qFormat/>
    <w:uiPriority w:val="0"/>
    <w:rPr>
      <w:vertAlign w:val="superscript"/>
    </w:rPr>
  </w:style>
  <w:style w:type="paragraph" w:customStyle="1" w:styleId="16">
    <w:name w:val="样式 宋体 行距: 1.5 倍行距"/>
    <w:basedOn w:val="1"/>
    <w:qFormat/>
    <w:uiPriority w:val="0"/>
    <w:pPr>
      <w:jc w:val="center"/>
    </w:pPr>
    <w:rPr>
      <w:rFonts w:ascii="Times New Roman" w:hAnsi="Times New Roman" w:eastAsia="宋体" w:cs="Times New Roman"/>
      <w:b/>
    </w:rPr>
  </w:style>
  <w:style w:type="paragraph" w:customStyle="1" w:styleId="17">
    <w:name w:val="CM78"/>
    <w:basedOn w:val="18"/>
    <w:next w:val="18"/>
    <w:qFormat/>
    <w:uiPriority w:val="0"/>
    <w:pPr>
      <w:spacing w:after="5970" w:afterLines="0"/>
    </w:pPr>
    <w:rPr>
      <w:rFonts w:cs="Times New Roman"/>
      <w:color w:val="auto"/>
    </w:rPr>
  </w:style>
  <w:style w:type="paragraph" w:customStyle="1" w:styleId="1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9">
    <w:name w:val="CM86"/>
    <w:basedOn w:val="18"/>
    <w:next w:val="18"/>
    <w:qFormat/>
    <w:uiPriority w:val="0"/>
    <w:pPr>
      <w:spacing w:after="400" w:afterLines="0"/>
    </w:pPr>
    <w:rPr>
      <w:rFonts w:cs="Times New Roman"/>
      <w:color w:val="auto"/>
    </w:rPr>
  </w:style>
  <w:style w:type="paragraph" w:customStyle="1" w:styleId="20">
    <w:name w:val="正文文本 (2)1"/>
    <w:basedOn w:val="1"/>
    <w:link w:val="21"/>
    <w:qFormat/>
    <w:uiPriority w:val="0"/>
    <w:pPr>
      <w:shd w:val="clear" w:color="auto" w:fill="FFFFFF"/>
      <w:spacing w:before="300" w:beforeLines="0" w:line="439" w:lineRule="exact"/>
      <w:jc w:val="distribute"/>
    </w:pPr>
    <w:rPr>
      <w:rFonts w:ascii="MingLiU" w:eastAsia="MingLiU" w:cs="MingLiU"/>
      <w:spacing w:val="20"/>
      <w:sz w:val="22"/>
      <w:shd w:val="clear" w:color="auto" w:fill="FFFFFF"/>
    </w:rPr>
  </w:style>
  <w:style w:type="character" w:customStyle="1" w:styleId="21">
    <w:name w:val="正文文本 (2)_"/>
    <w:link w:val="20"/>
    <w:qFormat/>
    <w:locked/>
    <w:uiPriority w:val="99"/>
    <w:rPr>
      <w:rFonts w:ascii="MingLiU" w:eastAsia="MingLiU" w:cs="MingLiU"/>
      <w:spacing w:val="20"/>
      <w:sz w:val="22"/>
      <w:shd w:val="clear" w:color="auto" w:fill="FFFFFF"/>
    </w:rPr>
  </w:style>
  <w:style w:type="paragraph" w:customStyle="1" w:styleId="22">
    <w:name w:val="附件正文ffff"/>
    <w:basedOn w:val="1"/>
    <w:qFormat/>
    <w:uiPriority w:val="0"/>
    <w:pPr>
      <w:spacing w:line="340" w:lineRule="exact"/>
      <w:ind w:firstLine="436" w:firstLineChars="200"/>
      <w:jc w:val="both"/>
    </w:pPr>
    <w:rPr>
      <w:rFonts w:ascii="方正宋三简体" w:eastAsia="方正宋三简体" w:cs="Times New Roman"/>
      <w:color w:val="auto"/>
      <w:spacing w:val="4"/>
      <w:kern w:val="2"/>
      <w:sz w:val="21"/>
      <w:szCs w:val="20"/>
    </w:rPr>
  </w:style>
  <w:style w:type="character" w:customStyle="1" w:styleId="23">
    <w:name w:val="正文文本 (13)_"/>
    <w:link w:val="24"/>
    <w:qFormat/>
    <w:locked/>
    <w:uiPriority w:val="99"/>
    <w:rPr>
      <w:rFonts w:ascii="MingLiU" w:eastAsia="MingLiU" w:cs="Times New Roman"/>
      <w:color w:val="auto"/>
      <w:spacing w:val="40"/>
      <w:sz w:val="56"/>
      <w:szCs w:val="56"/>
    </w:rPr>
  </w:style>
  <w:style w:type="paragraph" w:customStyle="1" w:styleId="24">
    <w:name w:val="正文文本 (13)"/>
    <w:basedOn w:val="1"/>
    <w:link w:val="23"/>
    <w:qFormat/>
    <w:uiPriority w:val="99"/>
    <w:pPr>
      <w:shd w:val="clear" w:color="auto" w:fill="FFFFFF"/>
      <w:spacing w:line="240" w:lineRule="atLeast"/>
    </w:pPr>
    <w:rPr>
      <w:rFonts w:ascii="MingLiU" w:eastAsia="MingLiU" w:cs="Times New Roman"/>
      <w:color w:val="auto"/>
      <w:spacing w:val="40"/>
      <w:sz w:val="56"/>
      <w:szCs w:val="56"/>
    </w:rPr>
  </w:style>
  <w:style w:type="character" w:customStyle="1" w:styleId="25">
    <w:name w:val="正文文本 (2) + 10 pt23"/>
    <w:qFormat/>
    <w:uiPriority w:val="99"/>
    <w:rPr>
      <w:rFonts w:ascii="MingLiU" w:eastAsia="MingLiU" w:cs="MingLiU"/>
      <w:b/>
      <w:bCs/>
      <w:spacing w:val="0"/>
      <w:sz w:val="20"/>
      <w:szCs w:val="20"/>
      <w:u w:val="none"/>
    </w:rPr>
  </w:style>
  <w:style w:type="character" w:customStyle="1" w:styleId="26">
    <w:name w:val="正文文本 (2) + 10 pt37"/>
    <w:qFormat/>
    <w:uiPriority w:val="0"/>
    <w:rPr>
      <w:rFonts w:ascii="MingLiU" w:eastAsia="MingLiU" w:cs="MingLiU"/>
      <w:spacing w:val="0"/>
      <w:sz w:val="20"/>
      <w:szCs w:val="20"/>
      <w:u w:val="none"/>
    </w:rPr>
  </w:style>
  <w:style w:type="character" w:customStyle="1" w:styleId="27">
    <w:name w:val="正文文本 (2) + 10 pt21"/>
    <w:qFormat/>
    <w:uiPriority w:val="99"/>
    <w:rPr>
      <w:rFonts w:ascii="MingLiU" w:eastAsia="MingLiU" w:cs="MingLiU"/>
      <w:b/>
      <w:bCs/>
      <w:spacing w:val="-20"/>
      <w:sz w:val="20"/>
      <w:szCs w:val="20"/>
      <w:u w:val="none"/>
      <w:lang w:val="en-US" w:eastAsia="en-US"/>
    </w:rPr>
  </w:style>
  <w:style w:type="character" w:customStyle="1" w:styleId="28">
    <w:name w:val="正文文本 (2) + 10 pt34"/>
    <w:qFormat/>
    <w:uiPriority w:val="99"/>
    <w:rPr>
      <w:rFonts w:ascii="MingLiU" w:eastAsia="MingLiU" w:cs="MingLiU"/>
      <w:spacing w:val="-20"/>
      <w:sz w:val="20"/>
      <w:szCs w:val="20"/>
      <w:u w:val="none"/>
      <w:lang w:val="en-US" w:eastAsia="en-US"/>
    </w:rPr>
  </w:style>
  <w:style w:type="character" w:customStyle="1" w:styleId="29">
    <w:name w:val="正文文本 (2) + Sylfaen13"/>
    <w:qFormat/>
    <w:uiPriority w:val="99"/>
    <w:rPr>
      <w:rFonts w:ascii="Sylfaen" w:hAnsi="Sylfaen" w:eastAsia="MingLiU" w:cs="Sylfaen"/>
      <w:spacing w:val="0"/>
      <w:sz w:val="14"/>
      <w:szCs w:val="14"/>
      <w:u w:val="none"/>
      <w:lang w:val="en-US" w:eastAsia="en-US"/>
    </w:rPr>
  </w:style>
  <w:style w:type="character" w:customStyle="1" w:styleId="30">
    <w:name w:val="正文文本 (2) + 间距 0 pt3"/>
    <w:qFormat/>
    <w:uiPriority w:val="99"/>
    <w:rPr>
      <w:rFonts w:ascii="MingLiU" w:eastAsia="MingLiU" w:cs="MingLiU"/>
      <w:spacing w:val="0"/>
      <w:sz w:val="22"/>
      <w:szCs w:val="22"/>
      <w:u w:val="none"/>
    </w:rPr>
  </w:style>
  <w:style w:type="character" w:customStyle="1" w:styleId="31">
    <w:name w:val="正文文本 (2) + 10 pt27"/>
    <w:qFormat/>
    <w:uiPriority w:val="99"/>
    <w:rPr>
      <w:rFonts w:ascii="MingLiU" w:eastAsia="MingLiU" w:cs="MingLiU"/>
      <w:spacing w:val="0"/>
      <w:w w:val="100"/>
      <w:sz w:val="20"/>
      <w:szCs w:val="20"/>
      <w:u w:val="none"/>
      <w:lang w:val="en-US" w:eastAsia="en-US"/>
    </w:rPr>
  </w:style>
  <w:style w:type="paragraph" w:customStyle="1" w:styleId="32">
    <w:name w:val="正文文本 (5)1"/>
    <w:basedOn w:val="1"/>
    <w:link w:val="33"/>
    <w:qFormat/>
    <w:uiPriority w:val="99"/>
    <w:pPr>
      <w:shd w:val="clear" w:color="auto" w:fill="FFFFFF"/>
      <w:spacing w:before="5100" w:line="240" w:lineRule="atLeast"/>
    </w:pPr>
    <w:rPr>
      <w:rFonts w:ascii="MingLiU" w:eastAsia="MingLiU" w:cs="Times New Roman"/>
      <w:color w:val="auto"/>
      <w:sz w:val="20"/>
      <w:szCs w:val="20"/>
    </w:rPr>
  </w:style>
  <w:style w:type="character" w:customStyle="1" w:styleId="33">
    <w:name w:val="正文文本 (5)_"/>
    <w:link w:val="32"/>
    <w:qFormat/>
    <w:locked/>
    <w:uiPriority w:val="99"/>
    <w:rPr>
      <w:rFonts w:ascii="MingLiU" w:eastAsia="MingLiU" w:cs="Times New Roman"/>
      <w:color w:val="auto"/>
      <w:sz w:val="20"/>
      <w:szCs w:val="20"/>
    </w:rPr>
  </w:style>
  <w:style w:type="paragraph" w:customStyle="1" w:styleId="34">
    <w:name w:val="正文文本 (17)"/>
    <w:basedOn w:val="1"/>
    <w:qFormat/>
    <w:uiPriority w:val="99"/>
    <w:pPr>
      <w:shd w:val="clear" w:color="auto" w:fill="FFFFFF"/>
      <w:spacing w:line="240" w:lineRule="atLeast"/>
      <w:jc w:val="distribute"/>
    </w:pPr>
    <w:rPr>
      <w:rFonts w:ascii="MingLiU" w:eastAsia="MingLiU" w:cs="Times New Roman"/>
      <w:color w:val="auto"/>
      <w:spacing w:val="-10"/>
      <w:sz w:val="22"/>
      <w:szCs w:val="22"/>
    </w:rPr>
  </w:style>
  <w:style w:type="character" w:customStyle="1" w:styleId="35">
    <w:name w:val="正文文本 (5) + 间距 -1 pt"/>
    <w:qFormat/>
    <w:uiPriority w:val="99"/>
    <w:rPr>
      <w:rFonts w:ascii="MingLiU" w:eastAsia="MingLiU" w:cs="MingLiU"/>
      <w:spacing w:val="-20"/>
      <w:sz w:val="20"/>
      <w:szCs w:val="20"/>
      <w:u w:val="none"/>
      <w:lang w:val="en-US" w:eastAsia="en-US"/>
    </w:rPr>
  </w:style>
  <w:style w:type="character" w:customStyle="1" w:styleId="36">
    <w:name w:val="正文文本 (2) + 间距 0 pt5"/>
    <w:qFormat/>
    <w:uiPriority w:val="99"/>
    <w:rPr>
      <w:rFonts w:ascii="MingLiU" w:eastAsia="MingLiU" w:cs="MingLiU"/>
      <w:spacing w:val="0"/>
      <w:sz w:val="22"/>
      <w:szCs w:val="22"/>
      <w:u w:val="none"/>
    </w:rPr>
  </w:style>
  <w:style w:type="character" w:customStyle="1" w:styleId="37">
    <w:name w:val="正文文本 (2) + 10 pt24"/>
    <w:qFormat/>
    <w:uiPriority w:val="99"/>
    <w:rPr>
      <w:rFonts w:ascii="MingLiU" w:eastAsia="MingLiU" w:cs="MingLiU"/>
      <w:b/>
      <w:bCs/>
      <w:spacing w:val="0"/>
      <w:sz w:val="20"/>
      <w:szCs w:val="20"/>
      <w:u w:val="none"/>
    </w:rPr>
  </w:style>
  <w:style w:type="character" w:customStyle="1" w:styleId="38">
    <w:name w:val="标题 1 Char1"/>
    <w:qFormat/>
    <w:locked/>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69</Characters>
  <Lines>0</Lines>
  <Paragraphs>0</Paragraphs>
  <TotalTime>0</TotalTime>
  <ScaleCrop>false</ScaleCrop>
  <LinksUpToDate>false</LinksUpToDate>
  <CharactersWithSpaces>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2022-04-19T00:20:00Z</dcterms:created>
  <dc:creator>Administrator</dc:creator>
  <cp:lastModifiedBy>ppl</cp:lastModifiedBy>
  <dcterms:modified xsi:type="dcterms:W3CDTF">2025-04-29T07:56:17Z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8CC6F851F5384D32AA03F4107CCEDE4C</vt:lpwstr>
  </property>
</Properties>
</file>