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baseline"/>
        <w:outlineLvl w:val="9"/>
        <w:rPr>
          <w:rStyle w:val="63"/>
          <w:rFonts w:ascii="宋体" w:hAnsi="宋体"/>
          <w:color w:val="auto"/>
          <w:spacing w:val="0"/>
          <w:highlight w:val="none"/>
        </w:rPr>
      </w:pPr>
    </w:p>
    <w:p>
      <w:pPr>
        <w:pStyle w:val="103"/>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highlight w:val="none"/>
        </w:rPr>
      </w:pPr>
    </w:p>
    <w:p>
      <w:pPr>
        <w:pStyle w:val="103"/>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highlight w:val="none"/>
        </w:rPr>
      </w:pPr>
    </w:p>
    <w:p>
      <w:pPr>
        <w:pStyle w:val="103"/>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baseline"/>
        <w:outlineLvl w:val="9"/>
        <w:rPr>
          <w:rStyle w:val="63"/>
          <w:rFonts w:ascii="宋体" w:hAnsi="宋体"/>
          <w:color w:val="auto"/>
          <w:spacing w:val="0"/>
          <w:sz w:val="48"/>
          <w:szCs w:val="48"/>
          <w:highlight w:val="none"/>
        </w:rPr>
      </w:pPr>
      <w:r>
        <w:rPr>
          <w:rStyle w:val="63"/>
          <w:rFonts w:hint="eastAsia" w:ascii="宋体" w:hAnsi="宋体" w:cs="宋体"/>
          <w:b/>
          <w:bCs/>
          <w:color w:val="auto"/>
          <w:spacing w:val="0"/>
          <w:sz w:val="48"/>
          <w:szCs w:val="48"/>
          <w:highlight w:val="none"/>
        </w:rPr>
        <w:t>沧联社区榕村片城中村改造项目复建安置01、02地块工程施工图技术审查</w:t>
      </w:r>
    </w:p>
    <w:p>
      <w:pPr>
        <w:pStyle w:val="103"/>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highlight w:val="none"/>
        </w:rPr>
      </w:pPr>
    </w:p>
    <w:p>
      <w:pPr>
        <w:pStyle w:val="103"/>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highlight w:val="none"/>
        </w:rPr>
      </w:pPr>
    </w:p>
    <w:p>
      <w:pPr>
        <w:pStyle w:val="103"/>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highlight w:val="none"/>
        </w:rPr>
      </w:pPr>
    </w:p>
    <w:p>
      <w:pPr>
        <w:pStyle w:val="103"/>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highlight w:val="none"/>
        </w:rPr>
      </w:pPr>
    </w:p>
    <w:p>
      <w:pPr>
        <w:pStyle w:val="103"/>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highlight w:val="none"/>
        </w:rPr>
      </w:pPr>
    </w:p>
    <w:p>
      <w:pPr>
        <w:pStyle w:val="103"/>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highlight w:val="none"/>
        </w:rPr>
      </w:pPr>
    </w:p>
    <w:p>
      <w:pPr>
        <w:pStyle w:val="103"/>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highlight w:val="none"/>
        </w:rPr>
      </w:pPr>
    </w:p>
    <w:p>
      <w:pPr>
        <w:pStyle w:val="103"/>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highlight w:val="none"/>
        </w:rPr>
      </w:pPr>
    </w:p>
    <w:p>
      <w:pPr>
        <w:pStyle w:val="103"/>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highlight w:val="none"/>
        </w:rPr>
      </w:pPr>
    </w:p>
    <w:p>
      <w:pPr>
        <w:pStyle w:val="103"/>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highlight w:val="none"/>
        </w:rPr>
      </w:pPr>
    </w:p>
    <w:p>
      <w:pPr>
        <w:pStyle w:val="103"/>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highlight w:val="none"/>
        </w:rPr>
      </w:pPr>
    </w:p>
    <w:p>
      <w:pPr>
        <w:pStyle w:val="103"/>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outlineLvl w:val="9"/>
        <w:rPr>
          <w:rStyle w:val="63"/>
          <w:rFonts w:ascii="宋体" w:hAnsi="宋体"/>
          <w:b/>
          <w:bCs/>
          <w:color w:val="auto"/>
          <w:spacing w:val="0"/>
          <w:sz w:val="96"/>
          <w:szCs w:val="96"/>
          <w:highlight w:val="none"/>
        </w:rPr>
      </w:pPr>
      <w:bookmarkStart w:id="0" w:name="_Toc29600"/>
      <w:r>
        <w:rPr>
          <w:rStyle w:val="63"/>
          <w:rFonts w:hint="eastAsia" w:ascii="宋体" w:hAnsi="宋体" w:cs="宋体"/>
          <w:b/>
          <w:bCs/>
          <w:color w:val="auto"/>
          <w:spacing w:val="0"/>
          <w:sz w:val="96"/>
          <w:szCs w:val="96"/>
          <w:highlight w:val="none"/>
        </w:rPr>
        <w:t>招标</w:t>
      </w:r>
      <w:r>
        <w:rPr>
          <w:rStyle w:val="63"/>
          <w:rFonts w:hint="eastAsia" w:ascii="宋体" w:hAnsi="宋体" w:cs="宋体"/>
          <w:b/>
          <w:bCs/>
          <w:color w:val="auto"/>
          <w:spacing w:val="0"/>
          <w:sz w:val="96"/>
          <w:szCs w:val="96"/>
          <w:highlight w:val="none"/>
          <w:lang w:val="en-US"/>
        </w:rPr>
        <w:t>文件</w:t>
      </w:r>
      <w:bookmarkEnd w:id="0"/>
    </w:p>
    <w:p>
      <w:pPr>
        <w:keepNext w:val="0"/>
        <w:keepLines w:val="0"/>
        <w:pageBreakBefore w:val="0"/>
        <w:widowControl w:val="0"/>
        <w:kinsoku/>
        <w:wordWrap/>
        <w:overflowPunct/>
        <w:topLinePunct w:val="0"/>
        <w:autoSpaceDE/>
        <w:autoSpaceDN/>
        <w:bidi w:val="0"/>
        <w:adjustRightInd/>
        <w:snapToGrid/>
        <w:jc w:val="left"/>
        <w:textAlignment w:val="baseline"/>
        <w:outlineLvl w:val="9"/>
        <w:rPr>
          <w:rStyle w:val="63"/>
          <w:rFonts w:ascii="宋体" w:hAnsi="宋体"/>
          <w:color w:val="auto"/>
          <w:spacing w:val="0"/>
          <w:highlight w:val="none"/>
        </w:rPr>
      </w:pPr>
    </w:p>
    <w:p>
      <w:pPr>
        <w:pStyle w:val="103"/>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highlight w:val="none"/>
        </w:rPr>
      </w:pPr>
    </w:p>
    <w:p>
      <w:pPr>
        <w:pStyle w:val="103"/>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highlight w:val="none"/>
        </w:rPr>
      </w:pPr>
    </w:p>
    <w:p>
      <w:pPr>
        <w:keepNext w:val="0"/>
        <w:keepLines w:val="0"/>
        <w:pageBreakBefore w:val="0"/>
        <w:widowControl w:val="0"/>
        <w:kinsoku/>
        <w:wordWrap/>
        <w:overflowPunct/>
        <w:topLinePunct w:val="0"/>
        <w:autoSpaceDE/>
        <w:autoSpaceDN/>
        <w:bidi w:val="0"/>
        <w:adjustRightInd/>
        <w:snapToGrid/>
        <w:jc w:val="left"/>
        <w:textAlignment w:val="baseline"/>
        <w:outlineLvl w:val="9"/>
        <w:rPr>
          <w:rStyle w:val="63"/>
          <w:rFonts w:ascii="宋体" w:hAnsi="宋体"/>
          <w:color w:val="auto"/>
          <w:spacing w:val="0"/>
          <w:highlight w:val="none"/>
        </w:rPr>
      </w:pPr>
    </w:p>
    <w:p>
      <w:pPr>
        <w:keepNext w:val="0"/>
        <w:keepLines w:val="0"/>
        <w:pageBreakBefore w:val="0"/>
        <w:widowControl w:val="0"/>
        <w:kinsoku/>
        <w:wordWrap/>
        <w:overflowPunct/>
        <w:topLinePunct w:val="0"/>
        <w:autoSpaceDE/>
        <w:autoSpaceDN/>
        <w:bidi w:val="0"/>
        <w:adjustRightInd/>
        <w:snapToGrid/>
        <w:jc w:val="left"/>
        <w:textAlignment w:val="baseline"/>
        <w:outlineLvl w:val="9"/>
        <w:rPr>
          <w:rStyle w:val="63"/>
          <w:rFonts w:ascii="宋体" w:hAnsi="宋体"/>
          <w:color w:val="auto"/>
          <w:spacing w:val="0"/>
          <w:highlight w:val="none"/>
        </w:rPr>
      </w:pPr>
    </w:p>
    <w:p>
      <w:pPr>
        <w:keepNext w:val="0"/>
        <w:keepLines w:val="0"/>
        <w:pageBreakBefore w:val="0"/>
        <w:widowControl w:val="0"/>
        <w:kinsoku/>
        <w:wordWrap/>
        <w:overflowPunct/>
        <w:topLinePunct w:val="0"/>
        <w:autoSpaceDE/>
        <w:autoSpaceDN/>
        <w:bidi w:val="0"/>
        <w:adjustRightInd/>
        <w:snapToGrid/>
        <w:jc w:val="left"/>
        <w:textAlignment w:val="baseline"/>
        <w:outlineLvl w:val="9"/>
        <w:rPr>
          <w:rStyle w:val="63"/>
          <w:rFonts w:ascii="宋体" w:hAnsi="宋体"/>
          <w:color w:val="auto"/>
          <w:spacing w:val="0"/>
          <w:highlight w:val="none"/>
        </w:rPr>
      </w:pPr>
    </w:p>
    <w:p>
      <w:pPr>
        <w:pStyle w:val="103"/>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highlight w:val="none"/>
        </w:rPr>
      </w:pPr>
    </w:p>
    <w:p>
      <w:pPr>
        <w:keepNext w:val="0"/>
        <w:keepLines w:val="0"/>
        <w:pageBreakBefore w:val="0"/>
        <w:widowControl w:val="0"/>
        <w:kinsoku/>
        <w:wordWrap/>
        <w:overflowPunct/>
        <w:topLinePunct w:val="0"/>
        <w:autoSpaceDE/>
        <w:autoSpaceDN/>
        <w:bidi w:val="0"/>
        <w:adjustRightInd/>
        <w:snapToGrid/>
        <w:jc w:val="left"/>
        <w:textAlignment w:val="baseline"/>
        <w:outlineLvl w:val="9"/>
        <w:rPr>
          <w:rStyle w:val="63"/>
          <w:rFonts w:ascii="宋体" w:hAnsi="宋体"/>
          <w:color w:val="auto"/>
          <w:spacing w:val="0"/>
          <w:highlight w:val="none"/>
        </w:rPr>
      </w:pPr>
    </w:p>
    <w:p>
      <w:pPr>
        <w:keepNext w:val="0"/>
        <w:keepLines w:val="0"/>
        <w:pageBreakBefore w:val="0"/>
        <w:widowControl w:val="0"/>
        <w:kinsoku/>
        <w:wordWrap/>
        <w:overflowPunct/>
        <w:topLinePunct w:val="0"/>
        <w:autoSpaceDE/>
        <w:autoSpaceDN/>
        <w:bidi w:val="0"/>
        <w:adjustRightInd/>
        <w:snapToGrid/>
        <w:jc w:val="left"/>
        <w:textAlignment w:val="baseline"/>
        <w:outlineLvl w:val="9"/>
        <w:rPr>
          <w:rStyle w:val="63"/>
          <w:rFonts w:ascii="宋体" w:hAnsi="宋体"/>
          <w:color w:val="auto"/>
          <w:spacing w:val="0"/>
          <w:highlight w:val="none"/>
        </w:rPr>
      </w:pPr>
    </w:p>
    <w:p>
      <w:pPr>
        <w:keepNext w:val="0"/>
        <w:keepLines w:val="0"/>
        <w:pageBreakBefore w:val="0"/>
        <w:widowControl w:val="0"/>
        <w:kinsoku/>
        <w:wordWrap/>
        <w:overflowPunct/>
        <w:topLinePunct w:val="0"/>
        <w:autoSpaceDE/>
        <w:autoSpaceDN/>
        <w:bidi w:val="0"/>
        <w:adjustRightInd/>
        <w:snapToGrid/>
        <w:jc w:val="left"/>
        <w:textAlignment w:val="baseline"/>
        <w:outlineLvl w:val="9"/>
        <w:rPr>
          <w:rStyle w:val="63"/>
          <w:rFonts w:ascii="宋体" w:hAnsi="宋体"/>
          <w:color w:val="auto"/>
          <w:spacing w:val="0"/>
          <w:highlight w:val="none"/>
        </w:rPr>
      </w:pPr>
    </w:p>
    <w:p>
      <w:pPr>
        <w:keepNext w:val="0"/>
        <w:keepLines w:val="0"/>
        <w:pageBreakBefore w:val="0"/>
        <w:widowControl w:val="0"/>
        <w:kinsoku/>
        <w:wordWrap/>
        <w:overflowPunct/>
        <w:topLinePunct w:val="0"/>
        <w:autoSpaceDE/>
        <w:autoSpaceDN/>
        <w:bidi w:val="0"/>
        <w:adjustRightInd/>
        <w:snapToGrid/>
        <w:jc w:val="left"/>
        <w:textAlignment w:val="baseline"/>
        <w:outlineLvl w:val="9"/>
        <w:rPr>
          <w:rStyle w:val="63"/>
          <w:rFonts w:ascii="宋体" w:hAnsi="宋体"/>
          <w:color w:val="auto"/>
          <w:spacing w:val="0"/>
          <w:highlight w:val="none"/>
        </w:rPr>
      </w:pPr>
    </w:p>
    <w:p>
      <w:pPr>
        <w:keepNext w:val="0"/>
        <w:keepLines w:val="0"/>
        <w:pageBreakBefore w:val="0"/>
        <w:widowControl w:val="0"/>
        <w:kinsoku/>
        <w:wordWrap/>
        <w:overflowPunct/>
        <w:topLinePunct w:val="0"/>
        <w:autoSpaceDE/>
        <w:autoSpaceDN/>
        <w:bidi w:val="0"/>
        <w:adjustRightInd/>
        <w:snapToGrid/>
        <w:jc w:val="left"/>
        <w:textAlignment w:val="baseline"/>
        <w:outlineLvl w:val="9"/>
        <w:rPr>
          <w:rStyle w:val="63"/>
          <w:rFonts w:ascii="宋体" w:hAnsi="宋体"/>
          <w:color w:val="auto"/>
          <w:spacing w:val="0"/>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842" w:firstLineChars="262"/>
        <w:textAlignment w:val="baseline"/>
        <w:outlineLvl w:val="9"/>
        <w:rPr>
          <w:rStyle w:val="63"/>
          <w:rFonts w:ascii="宋体" w:hAnsi="宋体"/>
          <w:b/>
          <w:color w:val="auto"/>
          <w:spacing w:val="0"/>
          <w:sz w:val="32"/>
          <w:szCs w:val="32"/>
          <w:highlight w:val="none"/>
        </w:rPr>
      </w:pPr>
      <w:bookmarkStart w:id="1" w:name="_Toc8928"/>
      <w:r>
        <w:rPr>
          <w:rStyle w:val="63"/>
          <w:rFonts w:ascii="宋体" w:hAnsi="宋体"/>
          <w:b/>
          <w:color w:val="auto"/>
          <w:spacing w:val="0"/>
          <w:sz w:val="32"/>
          <w:szCs w:val="32"/>
          <w:highlight w:val="none"/>
        </w:rPr>
        <w:t>招   标   人：</w:t>
      </w:r>
      <w:r>
        <w:rPr>
          <w:rStyle w:val="63"/>
          <w:rFonts w:hint="eastAsia" w:ascii="宋体" w:hAnsi="宋体"/>
          <w:b/>
          <w:color w:val="auto"/>
          <w:spacing w:val="0"/>
          <w:sz w:val="32"/>
          <w:szCs w:val="32"/>
          <w:highlight w:val="none"/>
        </w:rPr>
        <w:t>广州市黄埔丰镐有限公司</w:t>
      </w:r>
      <w:bookmarkEnd w:id="1"/>
    </w:p>
    <w:p>
      <w:pPr>
        <w:keepNext w:val="0"/>
        <w:keepLines w:val="0"/>
        <w:pageBreakBefore w:val="0"/>
        <w:widowControl w:val="0"/>
        <w:kinsoku/>
        <w:wordWrap/>
        <w:overflowPunct/>
        <w:topLinePunct w:val="0"/>
        <w:autoSpaceDE/>
        <w:autoSpaceDN/>
        <w:bidi w:val="0"/>
        <w:adjustRightInd/>
        <w:snapToGrid/>
        <w:spacing w:line="360" w:lineRule="auto"/>
        <w:ind w:left="0" w:leftChars="0" w:firstLine="842" w:firstLineChars="262"/>
        <w:textAlignment w:val="baseline"/>
        <w:outlineLvl w:val="9"/>
        <w:rPr>
          <w:rStyle w:val="63"/>
          <w:rFonts w:ascii="宋体" w:hAnsi="宋体"/>
          <w:b/>
          <w:color w:val="auto"/>
          <w:spacing w:val="0"/>
          <w:sz w:val="32"/>
          <w:szCs w:val="32"/>
          <w:highlight w:val="none"/>
        </w:rPr>
      </w:pPr>
      <w:bookmarkStart w:id="2" w:name="_Toc6214"/>
      <w:r>
        <w:rPr>
          <w:rStyle w:val="63"/>
          <w:rFonts w:ascii="宋体" w:hAnsi="宋体"/>
          <w:b/>
          <w:color w:val="auto"/>
          <w:spacing w:val="0"/>
          <w:sz w:val="32"/>
          <w:szCs w:val="32"/>
          <w:highlight w:val="none"/>
        </w:rPr>
        <w:t>招标代理机构：</w:t>
      </w:r>
      <w:r>
        <w:rPr>
          <w:rStyle w:val="63"/>
          <w:rFonts w:hint="eastAsia" w:ascii="宋体" w:hAnsi="宋体"/>
          <w:b/>
          <w:color w:val="auto"/>
          <w:spacing w:val="0"/>
          <w:sz w:val="32"/>
          <w:szCs w:val="32"/>
          <w:highlight w:val="none"/>
        </w:rPr>
        <w:t>广东省国际工程咨询有限公司</w:t>
      </w:r>
      <w:bookmarkEnd w:id="2"/>
    </w:p>
    <w:p>
      <w:pPr>
        <w:keepNext w:val="0"/>
        <w:keepLines w:val="0"/>
        <w:pageBreakBefore w:val="0"/>
        <w:widowControl w:val="0"/>
        <w:kinsoku/>
        <w:wordWrap/>
        <w:overflowPunct/>
        <w:topLinePunct w:val="0"/>
        <w:autoSpaceDE/>
        <w:autoSpaceDN/>
        <w:bidi w:val="0"/>
        <w:adjustRightInd/>
        <w:snapToGrid/>
        <w:spacing w:line="360" w:lineRule="auto"/>
        <w:ind w:left="0" w:leftChars="0" w:firstLine="842" w:firstLineChars="262"/>
        <w:textAlignment w:val="baseline"/>
        <w:outlineLvl w:val="9"/>
        <w:rPr>
          <w:rStyle w:val="63"/>
          <w:rFonts w:ascii="宋体" w:hAnsi="宋体"/>
          <w:b/>
          <w:color w:val="auto"/>
          <w:spacing w:val="0"/>
          <w:sz w:val="32"/>
          <w:szCs w:val="32"/>
          <w:highlight w:val="none"/>
        </w:rPr>
      </w:pPr>
      <w:bookmarkStart w:id="3" w:name="_Toc11353"/>
      <w:r>
        <w:rPr>
          <w:rStyle w:val="63"/>
          <w:rFonts w:ascii="宋体" w:hAnsi="宋体"/>
          <w:b/>
          <w:color w:val="auto"/>
          <w:spacing w:val="0"/>
          <w:sz w:val="32"/>
          <w:szCs w:val="32"/>
          <w:highlight w:val="none"/>
        </w:rPr>
        <w:t>日        期：202</w:t>
      </w:r>
      <w:r>
        <w:rPr>
          <w:rStyle w:val="63"/>
          <w:rFonts w:hint="eastAsia" w:ascii="宋体" w:hAnsi="宋体"/>
          <w:b/>
          <w:color w:val="auto"/>
          <w:spacing w:val="0"/>
          <w:sz w:val="32"/>
          <w:szCs w:val="32"/>
          <w:highlight w:val="none"/>
          <w:lang w:val="en-US"/>
        </w:rPr>
        <w:t>5</w:t>
      </w:r>
      <w:r>
        <w:rPr>
          <w:rStyle w:val="63"/>
          <w:rFonts w:ascii="宋体" w:hAnsi="宋体"/>
          <w:b/>
          <w:color w:val="auto"/>
          <w:spacing w:val="0"/>
          <w:sz w:val="32"/>
          <w:szCs w:val="32"/>
          <w:highlight w:val="none"/>
        </w:rPr>
        <w:t>年</w:t>
      </w:r>
      <w:r>
        <w:rPr>
          <w:rStyle w:val="63"/>
          <w:rFonts w:hint="eastAsia" w:ascii="宋体" w:hAnsi="宋体"/>
          <w:b/>
          <w:color w:val="auto"/>
          <w:spacing w:val="0"/>
          <w:sz w:val="32"/>
          <w:szCs w:val="32"/>
          <w:highlight w:val="none"/>
          <w:lang w:val="en-US"/>
        </w:rPr>
        <w:t>4</w:t>
      </w:r>
      <w:r>
        <w:rPr>
          <w:rStyle w:val="63"/>
          <w:rFonts w:ascii="宋体" w:hAnsi="宋体"/>
          <w:b/>
          <w:color w:val="auto"/>
          <w:spacing w:val="0"/>
          <w:sz w:val="32"/>
          <w:szCs w:val="32"/>
          <w:highlight w:val="none"/>
        </w:rPr>
        <w:t>月</w:t>
      </w:r>
      <w:bookmarkEnd w:id="3"/>
    </w:p>
    <w:p>
      <w:pPr>
        <w:pStyle w:val="2"/>
        <w:keepNext w:val="0"/>
        <w:keepLines w:val="0"/>
        <w:pageBreakBefore w:val="0"/>
        <w:widowControl w:val="0"/>
        <w:kinsoku/>
        <w:overflowPunct/>
        <w:bidi w:val="0"/>
        <w:ind w:left="0" w:leftChars="0" w:firstLine="0" w:firstLineChars="0"/>
        <w:rPr>
          <w:rFonts w:hint="eastAsia"/>
          <w:color w:val="auto"/>
          <w:spacing w:val="0"/>
          <w:lang w:eastAsia="zh-CN"/>
        </w:rPr>
      </w:pPr>
    </w:p>
    <w:p>
      <w:pPr>
        <w:pStyle w:val="2"/>
        <w:keepNext w:val="0"/>
        <w:keepLines w:val="0"/>
        <w:pageBreakBefore w:val="0"/>
        <w:widowControl w:val="0"/>
        <w:kinsoku/>
        <w:overflowPunct/>
        <w:bidi w:val="0"/>
        <w:ind w:left="0" w:leftChars="0" w:firstLine="0" w:firstLineChars="0"/>
        <w:rPr>
          <w:rFonts w:hint="eastAsia"/>
          <w:color w:val="auto"/>
          <w:spacing w:val="0"/>
          <w:lang w:eastAsia="zh-CN"/>
        </w:rPr>
        <w:sectPr>
          <w:headerReference r:id="rId3" w:type="default"/>
          <w:footerReference r:id="rId4" w:type="default"/>
          <w:pgSz w:w="11907" w:h="16839"/>
          <w:pgMar w:top="1440" w:right="1701" w:bottom="1440" w:left="1701" w:header="720" w:footer="890" w:gutter="0"/>
          <w:pgBorders>
            <w:top w:val="none" w:sz="0" w:space="0"/>
            <w:left w:val="none" w:sz="0" w:space="0"/>
            <w:bottom w:val="none" w:sz="0" w:space="0"/>
            <w:right w:val="none" w:sz="0" w:space="0"/>
          </w:pgBorders>
          <w:cols w:space="720" w:num="1"/>
          <w:rtlGutter w:val="0"/>
          <w:docGrid w:linePitch="286" w:charSpace="0"/>
        </w:sectPr>
      </w:pPr>
    </w:p>
    <w:p>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Style w:val="63"/>
          <w:rFonts w:ascii="宋体" w:hAnsi="宋体" w:eastAsia="宋体" w:cs="Times New Roman"/>
          <w:b/>
          <w:bCs/>
          <w:color w:val="auto"/>
          <w:spacing w:val="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outlineLvl w:val="9"/>
        <w:rPr>
          <w:rStyle w:val="63"/>
          <w:rFonts w:ascii="宋体" w:hAnsi="宋体"/>
          <w:b/>
          <w:bCs/>
          <w:color w:val="auto"/>
          <w:spacing w:val="0"/>
          <w:sz w:val="36"/>
          <w:szCs w:val="36"/>
          <w:highlight w:val="none"/>
        </w:rPr>
      </w:pPr>
      <w:bookmarkStart w:id="4" w:name="_Toc23104"/>
      <w:r>
        <w:rPr>
          <w:rStyle w:val="63"/>
          <w:rFonts w:ascii="宋体" w:hAnsi="宋体"/>
          <w:b/>
          <w:bCs/>
          <w:color w:val="auto"/>
          <w:spacing w:val="0"/>
          <w:sz w:val="36"/>
          <w:szCs w:val="36"/>
          <w:highlight w:val="none"/>
        </w:rPr>
        <w:t>重要提示</w:t>
      </w:r>
      <w:bookmarkEnd w:id="4"/>
    </w:p>
    <w:p>
      <w:pPr>
        <w:keepNext w:val="0"/>
        <w:keepLines w:val="0"/>
        <w:pageBreakBefore w:val="0"/>
        <w:widowControl w:val="0"/>
        <w:kinsoku/>
        <w:wordWrap/>
        <w:overflowPunct/>
        <w:topLinePunct w:val="0"/>
        <w:autoSpaceDE/>
        <w:autoSpaceDN/>
        <w:bidi w:val="0"/>
        <w:adjustRightInd/>
        <w:snapToGrid/>
        <w:spacing w:line="360" w:lineRule="auto"/>
        <w:ind w:firstLine="537" w:firstLineChars="224"/>
        <w:jc w:val="center"/>
        <w:textAlignment w:val="baseline"/>
        <w:outlineLvl w:val="9"/>
        <w:rPr>
          <w:rStyle w:val="63"/>
          <w:rFonts w:ascii="宋体" w:hAnsi="宋体"/>
          <w:bCs/>
          <w:color w:val="auto"/>
          <w:spacing w:val="0"/>
          <w:sz w:val="24"/>
          <w:highlight w:val="none"/>
        </w:rPr>
      </w:pPr>
    </w:p>
    <w:p>
      <w:pPr>
        <w:pStyle w:val="3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Style w:val="63"/>
          <w:rFonts w:ascii="宋体" w:hAnsi="宋体"/>
          <w:color w:val="auto"/>
          <w:spacing w:val="0"/>
          <w:sz w:val="24"/>
          <w:highlight w:val="none"/>
        </w:rPr>
      </w:pPr>
      <w:r>
        <w:rPr>
          <w:rStyle w:val="63"/>
          <w:rFonts w:ascii="宋体" w:hAnsi="宋体"/>
          <w:color w:val="auto"/>
          <w:spacing w:val="0"/>
          <w:sz w:val="24"/>
          <w:highlight w:val="none"/>
        </w:rPr>
        <w:t>本项目实施电子招投标，投标人应先认真阅读</w:t>
      </w:r>
      <w:r>
        <w:rPr>
          <w:rStyle w:val="63"/>
          <w:rFonts w:hint="eastAsia" w:ascii="宋体" w:hAnsi="宋体"/>
          <w:color w:val="auto"/>
          <w:spacing w:val="0"/>
          <w:sz w:val="24"/>
          <w:highlight w:val="none"/>
        </w:rPr>
        <w:t>广州交易集团有限公司（广州公共资源交易中心）网站最新发布的</w:t>
      </w:r>
      <w:r>
        <w:rPr>
          <w:rStyle w:val="63"/>
          <w:rFonts w:ascii="宋体" w:hAnsi="宋体"/>
          <w:color w:val="auto"/>
          <w:spacing w:val="0"/>
          <w:sz w:val="24"/>
          <w:highlight w:val="none"/>
        </w:rPr>
        <w:t>《</w:t>
      </w:r>
      <w:r>
        <w:rPr>
          <w:rStyle w:val="63"/>
          <w:rFonts w:hint="eastAsia" w:ascii="宋体" w:hAnsi="宋体"/>
          <w:color w:val="auto"/>
          <w:spacing w:val="0"/>
          <w:sz w:val="24"/>
          <w:highlight w:val="none"/>
        </w:rPr>
        <w:t>建设工程全流程电子化项目操作指南</w:t>
      </w:r>
      <w:r>
        <w:rPr>
          <w:rStyle w:val="63"/>
          <w:rFonts w:ascii="宋体" w:hAnsi="宋体"/>
          <w:color w:val="auto"/>
          <w:spacing w:val="0"/>
          <w:sz w:val="24"/>
          <w:highlight w:val="none"/>
        </w:rPr>
        <w:t>》，详见：</w:t>
      </w:r>
      <w:r>
        <w:rPr>
          <w:rStyle w:val="63"/>
          <w:rFonts w:hint="eastAsia" w:ascii="宋体" w:hAnsi="宋体"/>
          <w:color w:val="auto"/>
          <w:spacing w:val="0"/>
          <w:sz w:val="24"/>
          <w:highlight w:val="none"/>
        </w:rPr>
        <w:t>https://www.gzggzy.cn/fwznbszyjsgc/988010.jhtml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outlineLvl w:val="9"/>
        <w:rPr>
          <w:rStyle w:val="63"/>
          <w:rFonts w:ascii="宋体" w:hAnsi="宋体"/>
          <w:color w:val="auto"/>
          <w:spacing w:val="0"/>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baseline"/>
        <w:outlineLvl w:val="9"/>
        <w:rPr>
          <w:rStyle w:val="63"/>
          <w:rFonts w:ascii="宋体" w:hAnsi="宋体"/>
          <w:b/>
          <w:color w:val="auto"/>
          <w:spacing w:val="0"/>
          <w:sz w:val="24"/>
          <w:szCs w:val="24"/>
          <w:highlight w:val="none"/>
        </w:rPr>
      </w:pPr>
    </w:p>
    <w:p>
      <w:pPr>
        <w:pStyle w:val="2"/>
        <w:keepNext w:val="0"/>
        <w:keepLines w:val="0"/>
        <w:pageBreakBefore w:val="0"/>
        <w:widowControl w:val="0"/>
        <w:kinsoku/>
        <w:overflowPunct/>
        <w:bidi w:val="0"/>
        <w:ind w:left="0" w:leftChars="0" w:firstLine="0" w:firstLineChars="0"/>
        <w:rPr>
          <w:color w:val="auto"/>
          <w:spacing w:val="0"/>
        </w:rPr>
        <w:sectPr>
          <w:footerReference r:id="rId5" w:type="default"/>
          <w:pgSz w:w="11907" w:h="16839"/>
          <w:pgMar w:top="1440" w:right="1701" w:bottom="1440" w:left="1701" w:header="720" w:footer="890" w:gutter="0"/>
          <w:pgBorders>
            <w:top w:val="none" w:sz="0" w:space="0"/>
            <w:left w:val="none" w:sz="0" w:space="0"/>
            <w:bottom w:val="none" w:sz="0" w:space="0"/>
            <w:right w:val="none" w:sz="0" w:space="0"/>
          </w:pgBorders>
          <w:pgNumType w:start="1"/>
          <w:cols w:space="720" w:num="1"/>
          <w:rtlGutter w:val="0"/>
          <w:docGrid w:linePitch="286" w:charSpace="0"/>
        </w:sectPr>
      </w:pPr>
    </w:p>
    <w:p>
      <w:pPr>
        <w:pStyle w:val="2"/>
        <w:keepNext w:val="0"/>
        <w:keepLines w:val="0"/>
        <w:pageBreakBefore w:val="0"/>
        <w:widowControl w:val="0"/>
        <w:kinsoku/>
        <w:overflowPunct/>
        <w:bidi w:val="0"/>
        <w:ind w:left="0" w:leftChars="0" w:firstLine="0" w:firstLineChars="0"/>
        <w:rPr>
          <w:color w:val="auto"/>
          <w:spacing w:val="0"/>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baseline"/>
        <w:outlineLvl w:val="9"/>
        <w:rPr>
          <w:rStyle w:val="63"/>
          <w:rFonts w:ascii="宋体" w:hAnsi="宋体"/>
          <w:b/>
          <w:color w:val="auto"/>
          <w:spacing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outlineLvl w:val="9"/>
        <w:rPr>
          <w:rStyle w:val="63"/>
          <w:rFonts w:ascii="宋体" w:hAnsi="宋体"/>
          <w:b/>
          <w:color w:val="auto"/>
          <w:spacing w:val="0"/>
          <w:sz w:val="32"/>
          <w:szCs w:val="32"/>
          <w:highlight w:val="none"/>
        </w:rPr>
      </w:pPr>
      <w:bookmarkStart w:id="5" w:name="_Toc32086"/>
      <w:r>
        <w:rPr>
          <w:rStyle w:val="63"/>
          <w:rFonts w:ascii="宋体" w:hAnsi="宋体"/>
          <w:b/>
          <w:color w:val="auto"/>
          <w:spacing w:val="0"/>
          <w:sz w:val="32"/>
          <w:szCs w:val="32"/>
          <w:highlight w:val="none"/>
          <w:lang w:val="zh-CN"/>
        </w:rPr>
        <w:t>目  录</w:t>
      </w:r>
      <w:bookmarkEnd w:id="5"/>
    </w:p>
    <w:p>
      <w:pPr>
        <w:keepNext w:val="0"/>
        <w:keepLines w:val="0"/>
        <w:pageBreakBefore w:val="0"/>
        <w:widowControl w:val="0"/>
        <w:kinsoku/>
        <w:wordWrap/>
        <w:overflowPunct/>
        <w:topLinePunct w:val="0"/>
        <w:autoSpaceDE/>
        <w:autoSpaceDN/>
        <w:bidi w:val="0"/>
        <w:adjustRightInd/>
        <w:snapToGrid/>
        <w:spacing w:line="360" w:lineRule="auto"/>
        <w:ind w:leftChars="0"/>
        <w:jc w:val="both"/>
        <w:textAlignment w:val="baseline"/>
        <w:outlineLvl w:val="9"/>
        <w:rPr>
          <w:rFonts w:hint="eastAsia" w:ascii="宋体" w:hAnsi="宋体" w:eastAsia="宋体" w:cs="宋体"/>
          <w:color w:val="auto"/>
          <w:spacing w:val="0"/>
          <w:sz w:val="21"/>
          <w:szCs w:val="21"/>
        </w:rPr>
      </w:pPr>
    </w:p>
    <w:p>
      <w:pPr>
        <w:pStyle w:val="113"/>
        <w:keepNext w:val="0"/>
        <w:keepLines w:val="0"/>
        <w:pageBreakBefore w:val="0"/>
        <w:widowControl w:val="0"/>
        <w:tabs>
          <w:tab w:val="right" w:leader="dot" w:pos="8845"/>
        </w:tabs>
        <w:kinsoku/>
        <w:wordWrap/>
        <w:overflowPunct/>
        <w:topLinePunct w:val="0"/>
        <w:autoSpaceDE/>
        <w:autoSpaceDN/>
        <w:bidi w:val="0"/>
        <w:adjustRightInd/>
        <w:snapToGrid/>
        <w:spacing w:line="360" w:lineRule="auto"/>
        <w:ind w:leftChars="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TOC \o "1-3" \h \u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\l _Toc480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kern w:val="44"/>
          <w:sz w:val="24"/>
          <w:szCs w:val="24"/>
          <w:highlight w:val="none"/>
        </w:rPr>
        <w:t>第一章</w:t>
      </w:r>
      <w:r>
        <w:rPr>
          <w:rFonts w:hint="eastAsia" w:ascii="宋体" w:hAnsi="宋体" w:eastAsia="宋体" w:cs="宋体"/>
          <w:color w:val="auto"/>
          <w:spacing w:val="0"/>
          <w:kern w:val="44"/>
          <w:sz w:val="24"/>
          <w:szCs w:val="24"/>
          <w:highlight w:val="none"/>
          <w:lang w:val="en-US"/>
        </w:rPr>
        <w:t xml:space="preserve"> </w:t>
      </w:r>
      <w:r>
        <w:rPr>
          <w:rFonts w:hint="eastAsia" w:ascii="宋体" w:hAnsi="宋体" w:eastAsia="宋体" w:cs="宋体"/>
          <w:color w:val="auto"/>
          <w:spacing w:val="0"/>
          <w:kern w:val="44"/>
          <w:sz w:val="24"/>
          <w:szCs w:val="24"/>
          <w:highlight w:val="none"/>
        </w:rPr>
        <w:t xml:space="preserve"> 招标公告</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PAGEREF _Toc480 \h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3</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fldChar w:fldCharType="end"/>
      </w:r>
    </w:p>
    <w:p>
      <w:pPr>
        <w:pStyle w:val="113"/>
        <w:keepNext w:val="0"/>
        <w:keepLines w:val="0"/>
        <w:pageBreakBefore w:val="0"/>
        <w:widowControl w:val="0"/>
        <w:tabs>
          <w:tab w:val="right" w:leader="dot" w:pos="8845"/>
        </w:tabs>
        <w:kinsoku/>
        <w:wordWrap/>
        <w:overflowPunct/>
        <w:topLinePunct w:val="0"/>
        <w:autoSpaceDE/>
        <w:autoSpaceDN/>
        <w:bidi w:val="0"/>
        <w:adjustRightInd/>
        <w:snapToGrid/>
        <w:spacing w:line="360" w:lineRule="auto"/>
        <w:ind w:leftChars="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\l _Toc3374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kern w:val="44"/>
          <w:sz w:val="24"/>
          <w:szCs w:val="24"/>
          <w:highlight w:val="none"/>
        </w:rPr>
        <w:t xml:space="preserve">第二章 </w:t>
      </w:r>
      <w:r>
        <w:rPr>
          <w:rFonts w:hint="eastAsia" w:ascii="宋体" w:hAnsi="宋体" w:eastAsia="宋体" w:cs="宋体"/>
          <w:color w:val="auto"/>
          <w:spacing w:val="0"/>
          <w:kern w:val="44"/>
          <w:sz w:val="24"/>
          <w:szCs w:val="24"/>
          <w:highlight w:val="none"/>
          <w:lang w:val="en-US"/>
        </w:rPr>
        <w:t xml:space="preserve"> </w:t>
      </w:r>
      <w:r>
        <w:rPr>
          <w:rFonts w:hint="eastAsia" w:ascii="宋体" w:hAnsi="宋体" w:eastAsia="宋体" w:cs="宋体"/>
          <w:color w:val="auto"/>
          <w:spacing w:val="0"/>
          <w:kern w:val="44"/>
          <w:sz w:val="24"/>
          <w:szCs w:val="24"/>
          <w:highlight w:val="none"/>
        </w:rPr>
        <w:t>投标须知</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PAGEREF _Toc3374 \h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4</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fldChar w:fldCharType="end"/>
      </w:r>
    </w:p>
    <w:p>
      <w:pPr>
        <w:pStyle w:val="112"/>
        <w:keepNext w:val="0"/>
        <w:keepLines w:val="0"/>
        <w:pageBreakBefore w:val="0"/>
        <w:widowControl w:val="0"/>
        <w:tabs>
          <w:tab w:val="right" w:leader="dot" w:pos="8845"/>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\l _Toc18339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highlight w:val="none"/>
        </w:rPr>
        <w:t>投标须知前附表</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PAGEREF _Toc18339 \h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4</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fldChar w:fldCharType="end"/>
      </w:r>
    </w:p>
    <w:p>
      <w:pPr>
        <w:pStyle w:val="113"/>
        <w:keepNext w:val="0"/>
        <w:keepLines w:val="0"/>
        <w:pageBreakBefore w:val="0"/>
        <w:widowControl w:val="0"/>
        <w:tabs>
          <w:tab w:val="right" w:leader="dot" w:pos="8845"/>
        </w:tabs>
        <w:kinsoku/>
        <w:wordWrap/>
        <w:overflowPunct/>
        <w:topLinePunct w:val="0"/>
        <w:autoSpaceDE/>
        <w:autoSpaceDN/>
        <w:bidi w:val="0"/>
        <w:adjustRightInd/>
        <w:snapToGrid/>
        <w:spacing w:line="360" w:lineRule="auto"/>
        <w:ind w:leftChars="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\l _Toc21282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kern w:val="44"/>
          <w:sz w:val="24"/>
          <w:szCs w:val="24"/>
          <w:highlight w:val="none"/>
        </w:rPr>
        <w:t xml:space="preserve">第三章 </w:t>
      </w:r>
      <w:r>
        <w:rPr>
          <w:rFonts w:hint="eastAsia" w:ascii="宋体" w:hAnsi="宋体" w:eastAsia="宋体" w:cs="宋体"/>
          <w:color w:val="auto"/>
          <w:spacing w:val="0"/>
          <w:kern w:val="44"/>
          <w:sz w:val="24"/>
          <w:szCs w:val="24"/>
          <w:highlight w:val="none"/>
          <w:lang w:val="en-US"/>
        </w:rPr>
        <w:t xml:space="preserve"> </w:t>
      </w:r>
      <w:r>
        <w:rPr>
          <w:rFonts w:hint="eastAsia" w:ascii="宋体" w:hAnsi="宋体" w:eastAsia="宋体" w:cs="宋体"/>
          <w:color w:val="auto"/>
          <w:spacing w:val="0"/>
          <w:kern w:val="44"/>
          <w:sz w:val="24"/>
          <w:szCs w:val="24"/>
          <w:highlight w:val="none"/>
        </w:rPr>
        <w:t>评标办法（综合评估法）</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PAGEREF _Toc21282 \h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27</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fldChar w:fldCharType="end"/>
      </w:r>
    </w:p>
    <w:p>
      <w:pPr>
        <w:pStyle w:val="112"/>
        <w:keepNext w:val="0"/>
        <w:keepLines w:val="0"/>
        <w:pageBreakBefore w:val="0"/>
        <w:widowControl w:val="0"/>
        <w:tabs>
          <w:tab w:val="right" w:leader="dot" w:pos="8845"/>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\l _Toc9258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评标办法前附表</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PAGEREF _Toc9258 \h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27</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fldChar w:fldCharType="end"/>
      </w:r>
    </w:p>
    <w:p>
      <w:pPr>
        <w:pStyle w:val="113"/>
        <w:keepNext w:val="0"/>
        <w:keepLines w:val="0"/>
        <w:pageBreakBefore w:val="0"/>
        <w:widowControl w:val="0"/>
        <w:tabs>
          <w:tab w:val="right" w:leader="dot" w:pos="8845"/>
        </w:tabs>
        <w:kinsoku/>
        <w:wordWrap/>
        <w:overflowPunct/>
        <w:topLinePunct w:val="0"/>
        <w:autoSpaceDE/>
        <w:autoSpaceDN/>
        <w:bidi w:val="0"/>
        <w:adjustRightInd/>
        <w:snapToGrid/>
        <w:spacing w:line="360" w:lineRule="auto"/>
        <w:ind w:leftChars="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\l _Toc31799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highlight w:val="none"/>
        </w:rPr>
        <w:t xml:space="preserve">第四章 </w:t>
      </w:r>
      <w:r>
        <w:rPr>
          <w:rFonts w:hint="eastAsia" w:ascii="宋体" w:hAnsi="宋体" w:eastAsia="宋体" w:cs="宋体"/>
          <w:color w:val="auto"/>
          <w:spacing w:val="0"/>
          <w:sz w:val="24"/>
          <w:szCs w:val="24"/>
          <w:highlight w:val="none"/>
          <w:lang w:val="en-US"/>
        </w:rPr>
        <w:t xml:space="preserve"> </w:t>
      </w:r>
      <w:r>
        <w:rPr>
          <w:rFonts w:hint="eastAsia" w:ascii="宋体" w:hAnsi="宋体" w:eastAsia="宋体" w:cs="宋体"/>
          <w:color w:val="auto"/>
          <w:spacing w:val="0"/>
          <w:sz w:val="24"/>
          <w:szCs w:val="24"/>
          <w:highlight w:val="none"/>
        </w:rPr>
        <w:t>合同条款及格式</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PAGEREF _Toc31799 \h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39</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fldChar w:fldCharType="end"/>
      </w:r>
    </w:p>
    <w:p>
      <w:pPr>
        <w:pStyle w:val="113"/>
        <w:keepNext w:val="0"/>
        <w:keepLines w:val="0"/>
        <w:pageBreakBefore w:val="0"/>
        <w:widowControl w:val="0"/>
        <w:tabs>
          <w:tab w:val="right" w:leader="dot" w:pos="8845"/>
        </w:tabs>
        <w:kinsoku/>
        <w:wordWrap/>
        <w:overflowPunct/>
        <w:topLinePunct w:val="0"/>
        <w:autoSpaceDE/>
        <w:autoSpaceDN/>
        <w:bidi w:val="0"/>
        <w:adjustRightInd/>
        <w:snapToGrid/>
        <w:spacing w:line="360" w:lineRule="auto"/>
        <w:ind w:leftChars="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\l _Toc6170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highlight w:val="none"/>
        </w:rPr>
        <w:t xml:space="preserve">第五章 </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委托人要求</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PAGEREF _Toc6170 \h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40</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fldChar w:fldCharType="end"/>
      </w:r>
    </w:p>
    <w:p>
      <w:pPr>
        <w:pStyle w:val="113"/>
        <w:keepNext w:val="0"/>
        <w:keepLines w:val="0"/>
        <w:pageBreakBefore w:val="0"/>
        <w:widowControl w:val="0"/>
        <w:tabs>
          <w:tab w:val="right" w:leader="dot" w:pos="8845"/>
        </w:tabs>
        <w:kinsoku/>
        <w:wordWrap/>
        <w:overflowPunct/>
        <w:topLinePunct w:val="0"/>
        <w:autoSpaceDE/>
        <w:autoSpaceDN/>
        <w:bidi w:val="0"/>
        <w:adjustRightInd/>
        <w:snapToGrid/>
        <w:spacing w:line="360" w:lineRule="auto"/>
        <w:ind w:leftChars="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\l _Toc446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kern w:val="44"/>
          <w:sz w:val="24"/>
          <w:szCs w:val="24"/>
          <w:highlight w:val="none"/>
        </w:rPr>
        <w:t>第六章</w:t>
      </w:r>
      <w:r>
        <w:rPr>
          <w:rFonts w:hint="eastAsia" w:ascii="宋体" w:hAnsi="宋体" w:eastAsia="宋体" w:cs="宋体"/>
          <w:color w:val="auto"/>
          <w:spacing w:val="0"/>
          <w:kern w:val="44"/>
          <w:sz w:val="24"/>
          <w:szCs w:val="24"/>
          <w:highlight w:val="none"/>
          <w:lang w:val="en-US"/>
        </w:rPr>
        <w:t xml:space="preserve"> </w:t>
      </w:r>
      <w:r>
        <w:rPr>
          <w:rFonts w:hint="eastAsia" w:ascii="宋体" w:hAnsi="宋体" w:eastAsia="宋体" w:cs="宋体"/>
          <w:color w:val="auto"/>
          <w:spacing w:val="0"/>
          <w:kern w:val="44"/>
          <w:sz w:val="24"/>
          <w:szCs w:val="24"/>
          <w:highlight w:val="none"/>
        </w:rPr>
        <w:t xml:space="preserve"> 投标文件格式</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PAGEREF _Toc446 \h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41</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fldChar w:fldCharType="end"/>
      </w:r>
    </w:p>
    <w:p>
      <w:pPr>
        <w:pStyle w:val="112"/>
        <w:keepNext w:val="0"/>
        <w:keepLines w:val="0"/>
        <w:pageBreakBefore w:val="0"/>
        <w:widowControl w:val="0"/>
        <w:tabs>
          <w:tab w:val="right" w:leader="dot" w:pos="8845"/>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\l _Toc31976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一、投标函及投标函附录</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PAGEREF _Toc31976 \h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43</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fldChar w:fldCharType="end"/>
      </w:r>
    </w:p>
    <w:p>
      <w:pPr>
        <w:pStyle w:val="112"/>
        <w:keepNext w:val="0"/>
        <w:keepLines w:val="0"/>
        <w:pageBreakBefore w:val="0"/>
        <w:widowControl w:val="0"/>
        <w:tabs>
          <w:tab w:val="right" w:leader="dot" w:pos="8845"/>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\l _Toc11087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二、法定代表人证明书及授权委托书</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PAGEREF _Toc11087 \h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45</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fldChar w:fldCharType="end"/>
      </w:r>
    </w:p>
    <w:p>
      <w:pPr>
        <w:pStyle w:val="112"/>
        <w:keepNext w:val="0"/>
        <w:keepLines w:val="0"/>
        <w:pageBreakBefore w:val="0"/>
        <w:widowControl w:val="0"/>
        <w:tabs>
          <w:tab w:val="right" w:leader="dot" w:pos="8845"/>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\l _Toc17076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lang w:val="en-US" w:eastAsia="zh-CN"/>
        </w:rPr>
        <w:t>三</w:t>
      </w:r>
      <w:r>
        <w:rPr>
          <w:rFonts w:hint="eastAsia" w:ascii="宋体" w:hAnsi="宋体" w:eastAsia="宋体" w:cs="宋体"/>
          <w:color w:val="auto"/>
          <w:spacing w:val="0"/>
          <w:sz w:val="24"/>
          <w:szCs w:val="24"/>
        </w:rPr>
        <w:t>、投标报价汇总表</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PAGEREF _Toc17076 \h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47</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fldChar w:fldCharType="end"/>
      </w:r>
    </w:p>
    <w:p>
      <w:pPr>
        <w:pStyle w:val="112"/>
        <w:keepNext w:val="0"/>
        <w:keepLines w:val="0"/>
        <w:pageBreakBefore w:val="0"/>
        <w:widowControl w:val="0"/>
        <w:tabs>
          <w:tab w:val="right" w:leader="dot" w:pos="8845"/>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\l _Toc17051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lang w:val="en-US" w:eastAsia="zh-CN"/>
        </w:rPr>
        <w:t>四、资格审查资料</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PAGEREF _Toc17051 \h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48</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fldChar w:fldCharType="end"/>
      </w:r>
    </w:p>
    <w:p>
      <w:pPr>
        <w:pStyle w:val="112"/>
        <w:keepNext w:val="0"/>
        <w:keepLines w:val="0"/>
        <w:pageBreakBefore w:val="0"/>
        <w:widowControl w:val="0"/>
        <w:tabs>
          <w:tab w:val="right" w:leader="dot" w:pos="8845"/>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\l _Toc1540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lang w:val="en-US" w:eastAsia="zh-CN"/>
        </w:rPr>
        <w:t>五、施工图审查服务方案</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PAGEREF _Toc1540 \h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49</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fldChar w:fldCharType="end"/>
      </w:r>
    </w:p>
    <w:p>
      <w:pPr>
        <w:pStyle w:val="112"/>
        <w:keepNext w:val="0"/>
        <w:keepLines w:val="0"/>
        <w:pageBreakBefore w:val="0"/>
        <w:widowControl w:val="0"/>
        <w:tabs>
          <w:tab w:val="right" w:leader="dot" w:pos="8845"/>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\l _Toc14765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lang w:val="en-US" w:eastAsia="zh-CN"/>
        </w:rPr>
        <w:t>六、公司简介</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PAGEREF _Toc14765 \h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50</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fldChar w:fldCharType="end"/>
      </w:r>
    </w:p>
    <w:p>
      <w:pPr>
        <w:pStyle w:val="112"/>
        <w:keepNext w:val="0"/>
        <w:keepLines w:val="0"/>
        <w:pageBreakBefore w:val="0"/>
        <w:widowControl w:val="0"/>
        <w:tabs>
          <w:tab w:val="right" w:leader="dot" w:pos="8845"/>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\l _Toc3736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lang w:val="en-US" w:eastAsia="zh-CN"/>
        </w:rPr>
        <w:t>七、项目机构人员配备情况</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PAGEREF _Toc3736 \h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51</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fldChar w:fldCharType="end"/>
      </w:r>
    </w:p>
    <w:p>
      <w:pPr>
        <w:pStyle w:val="112"/>
        <w:keepNext w:val="0"/>
        <w:keepLines w:val="0"/>
        <w:pageBreakBefore w:val="0"/>
        <w:widowControl w:val="0"/>
        <w:tabs>
          <w:tab w:val="right" w:leader="dot" w:pos="8845"/>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\l _Toc30848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lang w:val="en-US" w:eastAsia="zh-CN"/>
        </w:rPr>
        <w:t>八、其他资料</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PAGEREF _Toc30848 \h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55</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Chars="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fldChar w:fldCharType="end"/>
      </w:r>
    </w:p>
    <w:p>
      <w:pPr>
        <w:keepNext w:val="0"/>
        <w:keepLines w:val="0"/>
        <w:pageBreakBefore w:val="0"/>
        <w:widowControl w:val="0"/>
        <w:kinsoku/>
        <w:wordWrap/>
        <w:overflowPunct/>
        <w:topLinePunct w:val="0"/>
        <w:autoSpaceDE/>
        <w:autoSpaceDN/>
        <w:bidi w:val="0"/>
        <w:adjustRightInd/>
        <w:snapToGrid/>
        <w:textAlignment w:val="baseline"/>
        <w:rPr>
          <w:rFonts w:hint="eastAsia" w:ascii="Times New Roman" w:hAnsi="Times New Roman" w:eastAsia="宋体" w:cs="Times New Roman"/>
          <w:color w:val="auto"/>
          <w:spacing w:val="0"/>
        </w:rPr>
      </w:pPr>
    </w:p>
    <w:p>
      <w:pPr>
        <w:pStyle w:val="2"/>
        <w:rPr>
          <w:rFonts w:hint="eastAsia"/>
          <w:color w:val="auto"/>
        </w:rPr>
        <w:sectPr>
          <w:pgSz w:w="11907" w:h="16839"/>
          <w:pgMar w:top="1361" w:right="1587" w:bottom="1361" w:left="1587" w:header="720" w:footer="890" w:gutter="0"/>
          <w:pgBorders>
            <w:top w:val="none" w:sz="0" w:space="0"/>
            <w:left w:val="none" w:sz="0" w:space="0"/>
            <w:bottom w:val="none" w:sz="0" w:space="0"/>
            <w:right w:val="none" w:sz="0" w:space="0"/>
          </w:pgBorders>
          <w:cols w:space="720" w:num="1"/>
          <w:rtlGutter w:val="0"/>
          <w:docGrid w:linePitch="286"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Times New Roman" w:hAnsi="Times New Roman" w:eastAsia="宋体" w:cs="Times New Roman"/>
          <w:color w:val="auto"/>
          <w:spacing w:val="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63"/>
          <w:rFonts w:ascii="宋体" w:hAnsi="宋体"/>
          <w:b/>
          <w:color w:val="auto"/>
          <w:spacing w:val="0"/>
          <w:kern w:val="44"/>
          <w:sz w:val="36"/>
          <w:szCs w:val="36"/>
          <w:highlight w:val="none"/>
        </w:rPr>
      </w:pPr>
      <w:bookmarkStart w:id="6" w:name="_Toc15586"/>
      <w:bookmarkStart w:id="7" w:name="_Toc22775"/>
      <w:bookmarkStart w:id="8" w:name="_Toc480"/>
      <w:bookmarkStart w:id="9" w:name="_Toc32236"/>
      <w:r>
        <w:rPr>
          <w:rStyle w:val="63"/>
          <w:rFonts w:hint="eastAsia" w:ascii="宋体" w:hAnsi="宋体"/>
          <w:b/>
          <w:color w:val="auto"/>
          <w:spacing w:val="0"/>
          <w:kern w:val="44"/>
          <w:sz w:val="36"/>
          <w:szCs w:val="36"/>
          <w:highlight w:val="none"/>
        </w:rPr>
        <w:t>第一章</w:t>
      </w:r>
      <w:r>
        <w:rPr>
          <w:rStyle w:val="63"/>
          <w:rFonts w:hint="eastAsia" w:ascii="宋体" w:hAnsi="宋体"/>
          <w:b/>
          <w:color w:val="auto"/>
          <w:spacing w:val="0"/>
          <w:kern w:val="44"/>
          <w:sz w:val="36"/>
          <w:szCs w:val="36"/>
          <w:highlight w:val="none"/>
          <w:lang w:val="en-US"/>
        </w:rPr>
        <w:t xml:space="preserve"> </w:t>
      </w:r>
      <w:r>
        <w:rPr>
          <w:rStyle w:val="63"/>
          <w:rFonts w:hint="eastAsia" w:ascii="宋体" w:hAnsi="宋体"/>
          <w:b/>
          <w:color w:val="auto"/>
          <w:spacing w:val="0"/>
          <w:kern w:val="44"/>
          <w:sz w:val="36"/>
          <w:szCs w:val="36"/>
          <w:highlight w:val="none"/>
        </w:rPr>
        <w:t xml:space="preserve"> </w:t>
      </w:r>
      <w:r>
        <w:rPr>
          <w:rStyle w:val="63"/>
          <w:rFonts w:ascii="宋体" w:hAnsi="宋体"/>
          <w:b/>
          <w:color w:val="auto"/>
          <w:spacing w:val="0"/>
          <w:kern w:val="44"/>
          <w:sz w:val="36"/>
          <w:szCs w:val="36"/>
          <w:highlight w:val="none"/>
        </w:rPr>
        <w:t>招标公告</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Times New Roman" w:hAnsi="Times New Roman" w:eastAsia="宋体" w:cs="Times New Roman"/>
          <w:color w:val="auto"/>
          <w:spacing w:val="0"/>
        </w:rPr>
      </w:pPr>
    </w:p>
    <w:p>
      <w:pPr>
        <w:pStyle w:val="2"/>
        <w:ind w:left="0" w:leftChars="0" w:firstLine="0" w:firstLineChars="0"/>
        <w:rPr>
          <w:rFonts w:hint="eastAsia"/>
          <w:color w:val="auto"/>
        </w:rPr>
      </w:pPr>
    </w:p>
    <w:p>
      <w:pPr>
        <w:pStyle w:val="3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baseline"/>
        <w:rPr>
          <w:rFonts w:hint="eastAsia" w:ascii="Times New Roman" w:hAnsi="Times New Roman" w:eastAsia="宋体" w:cs="Times New Roman"/>
          <w:color w:val="auto"/>
          <w:spacing w:val="0"/>
          <w:sz w:val="30"/>
          <w:szCs w:val="30"/>
          <w:highlight w:val="none"/>
        </w:rPr>
      </w:pPr>
      <w:r>
        <w:rPr>
          <w:rFonts w:hint="eastAsia" w:ascii="Times New Roman" w:hAnsi="Times New Roman" w:eastAsia="宋体" w:cs="Times New Roman"/>
          <w:color w:val="auto"/>
          <w:spacing w:val="0"/>
          <w:sz w:val="30"/>
          <w:szCs w:val="30"/>
          <w:highlight w:val="none"/>
        </w:rPr>
        <w:t>（另册）</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Times New Roman" w:hAnsi="Times New Roman" w:eastAsia="宋体" w:cs="Times New Roman"/>
          <w:color w:val="auto"/>
          <w:spacing w:val="0"/>
        </w:rPr>
      </w:pPr>
    </w:p>
    <w:p>
      <w:pPr>
        <w:pStyle w:val="2"/>
        <w:ind w:left="0" w:leftChars="0" w:firstLine="0" w:firstLineChars="0"/>
        <w:rPr>
          <w:rFonts w:hint="eastAsia"/>
          <w:color w:val="auto"/>
        </w:rPr>
      </w:pPr>
    </w:p>
    <w:p>
      <w:pPr>
        <w:pStyle w:val="2"/>
        <w:keepNext w:val="0"/>
        <w:keepLines w:val="0"/>
        <w:pageBreakBefore w:val="0"/>
        <w:widowControl w:val="0"/>
        <w:kinsoku/>
        <w:overflowPunct/>
        <w:bidi w:val="0"/>
        <w:ind w:left="0" w:leftChars="0" w:firstLine="0" w:firstLineChars="0"/>
        <w:rPr>
          <w:rFonts w:hint="eastAsia"/>
          <w:color w:val="auto"/>
          <w:spacing w:val="0"/>
        </w:rPr>
      </w:pPr>
    </w:p>
    <w:p>
      <w:pPr>
        <w:pStyle w:val="2"/>
        <w:keepNext w:val="0"/>
        <w:keepLines w:val="0"/>
        <w:pageBreakBefore w:val="0"/>
        <w:widowControl w:val="0"/>
        <w:kinsoku/>
        <w:overflowPunct/>
        <w:bidi w:val="0"/>
        <w:ind w:left="0" w:leftChars="0" w:firstLine="0" w:firstLineChars="0"/>
        <w:rPr>
          <w:rFonts w:hint="eastAsia"/>
          <w:color w:val="auto"/>
          <w:spacing w:val="0"/>
        </w:rPr>
        <w:sectPr>
          <w:pgSz w:w="11907" w:h="16839"/>
          <w:pgMar w:top="1361" w:right="1587" w:bottom="1361" w:left="1587" w:header="720" w:footer="890" w:gutter="0"/>
          <w:pgBorders>
            <w:top w:val="none" w:sz="0" w:space="0"/>
            <w:left w:val="none" w:sz="0" w:space="0"/>
            <w:bottom w:val="none" w:sz="0" w:space="0"/>
            <w:right w:val="none" w:sz="0" w:space="0"/>
          </w:pgBorders>
          <w:cols w:space="720" w:num="1"/>
          <w:rtlGutter w:val="0"/>
          <w:docGrid w:linePitch="286" w:charSpace="0"/>
        </w:sectPr>
      </w:pPr>
    </w:p>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hint="eastAsia" w:ascii="Times New Roman" w:hAnsi="Times New Roman" w:eastAsia="宋体" w:cs="Times New Roman"/>
          <w:color w:val="auto"/>
          <w:spacing w:val="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63"/>
          <w:rFonts w:hint="eastAsia" w:ascii="宋体" w:hAnsi="宋体" w:eastAsia="宋体" w:cs="Times New Roman"/>
          <w:b/>
          <w:color w:val="auto"/>
          <w:spacing w:val="0"/>
          <w:kern w:val="44"/>
          <w:sz w:val="36"/>
          <w:szCs w:val="36"/>
          <w:highlight w:val="none"/>
        </w:rPr>
      </w:pPr>
      <w:bookmarkStart w:id="10" w:name="_Toc8985"/>
      <w:bookmarkStart w:id="11" w:name="_Toc3374"/>
      <w:bookmarkStart w:id="12" w:name="_Toc11063"/>
      <w:bookmarkStart w:id="13" w:name="_Toc25520"/>
      <w:r>
        <w:rPr>
          <w:rStyle w:val="63"/>
          <w:rFonts w:hint="eastAsia" w:ascii="宋体" w:hAnsi="宋体" w:eastAsia="宋体" w:cs="Times New Roman"/>
          <w:b/>
          <w:color w:val="auto"/>
          <w:spacing w:val="0"/>
          <w:kern w:val="44"/>
          <w:sz w:val="36"/>
          <w:szCs w:val="36"/>
          <w:highlight w:val="none"/>
        </w:rPr>
        <w:t xml:space="preserve">第二章 </w:t>
      </w:r>
      <w:r>
        <w:rPr>
          <w:rStyle w:val="63"/>
          <w:rFonts w:hint="eastAsia" w:ascii="宋体" w:hAnsi="宋体" w:eastAsia="宋体" w:cs="Times New Roman"/>
          <w:b/>
          <w:color w:val="auto"/>
          <w:spacing w:val="0"/>
          <w:kern w:val="44"/>
          <w:sz w:val="36"/>
          <w:szCs w:val="36"/>
          <w:highlight w:val="none"/>
          <w:lang w:val="en-US"/>
        </w:rPr>
        <w:t xml:space="preserve"> </w:t>
      </w:r>
      <w:r>
        <w:rPr>
          <w:rStyle w:val="63"/>
          <w:rFonts w:hint="eastAsia" w:ascii="宋体" w:hAnsi="宋体" w:eastAsia="宋体" w:cs="Times New Roman"/>
          <w:b/>
          <w:color w:val="auto"/>
          <w:spacing w:val="0"/>
          <w:kern w:val="44"/>
          <w:sz w:val="36"/>
          <w:szCs w:val="36"/>
          <w:highlight w:val="none"/>
        </w:rPr>
        <w:t>投标须知</w:t>
      </w:r>
      <w:bookmarkEnd w:id="10"/>
      <w:bookmarkEnd w:id="11"/>
      <w:bookmarkEnd w:id="12"/>
      <w:bookmarkEnd w:id="13"/>
    </w:p>
    <w:p>
      <w:pPr>
        <w:pStyle w:val="100"/>
        <w:keepNext w:val="0"/>
        <w:keepLines w:val="0"/>
        <w:pageBreakBefore w:val="0"/>
        <w:widowControl w:val="0"/>
        <w:kinsoku/>
        <w:wordWrap/>
        <w:overflowPunct/>
        <w:topLinePunct w:val="0"/>
        <w:autoSpaceDE/>
        <w:autoSpaceDN/>
        <w:bidi w:val="0"/>
        <w:adjustRightInd/>
        <w:snapToGrid/>
        <w:spacing w:before="120" w:after="120" w:line="240" w:lineRule="auto"/>
        <w:jc w:val="center"/>
        <w:textAlignment w:val="baseline"/>
        <w:outlineLvl w:val="1"/>
        <w:rPr>
          <w:rStyle w:val="63"/>
          <w:rFonts w:ascii="宋体" w:hAnsi="宋体"/>
          <w:color w:val="auto"/>
          <w:spacing w:val="0"/>
          <w:sz w:val="32"/>
          <w:szCs w:val="20"/>
          <w:highlight w:val="none"/>
        </w:rPr>
      </w:pPr>
      <w:bookmarkStart w:id="14" w:name="_Toc12367"/>
      <w:bookmarkStart w:id="15" w:name="_Toc18446"/>
      <w:bookmarkStart w:id="16" w:name="_Toc12528"/>
      <w:bookmarkStart w:id="17" w:name="_Toc18339"/>
      <w:r>
        <w:rPr>
          <w:rStyle w:val="63"/>
          <w:rFonts w:ascii="宋体" w:hAnsi="宋体"/>
          <w:color w:val="auto"/>
          <w:spacing w:val="0"/>
          <w:sz w:val="32"/>
          <w:szCs w:val="20"/>
          <w:highlight w:val="none"/>
        </w:rPr>
        <w:t>投标须知前附表</w:t>
      </w:r>
      <w:bookmarkEnd w:id="14"/>
      <w:bookmarkEnd w:id="15"/>
      <w:bookmarkEnd w:id="16"/>
      <w:bookmarkEnd w:id="17"/>
    </w:p>
    <w:tbl>
      <w:tblPr>
        <w:tblStyle w:val="36"/>
        <w:tblW w:w="9293"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022"/>
        <w:gridCol w:w="2138"/>
        <w:gridCol w:w="613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tblHeader/>
          <w:jc w:val="center"/>
        </w:trPr>
        <w:tc>
          <w:tcPr>
            <w:tcW w:w="1022" w:type="dxa"/>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b/>
                <w:color w:val="auto"/>
                <w:spacing w:val="0"/>
                <w:sz w:val="21"/>
                <w:szCs w:val="21"/>
                <w:highlight w:val="none"/>
              </w:rPr>
            </w:pPr>
            <w:r>
              <w:rPr>
                <w:rStyle w:val="63"/>
                <w:rFonts w:hint="eastAsia" w:ascii="宋体" w:hAnsi="宋体" w:eastAsia="宋体" w:cs="宋体"/>
                <w:b/>
                <w:color w:val="auto"/>
                <w:spacing w:val="0"/>
                <w:sz w:val="21"/>
                <w:szCs w:val="21"/>
                <w:highlight w:val="none"/>
              </w:rPr>
              <w:t>条款号</w:t>
            </w:r>
          </w:p>
        </w:tc>
        <w:tc>
          <w:tcPr>
            <w:tcW w:w="2138" w:type="dxa"/>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b/>
                <w:color w:val="auto"/>
                <w:spacing w:val="0"/>
                <w:sz w:val="21"/>
                <w:szCs w:val="21"/>
                <w:highlight w:val="none"/>
              </w:rPr>
            </w:pPr>
            <w:r>
              <w:rPr>
                <w:rStyle w:val="63"/>
                <w:rFonts w:hint="eastAsia" w:ascii="宋体" w:hAnsi="宋体" w:eastAsia="宋体" w:cs="宋体"/>
                <w:b/>
                <w:color w:val="auto"/>
                <w:spacing w:val="0"/>
                <w:sz w:val="21"/>
                <w:szCs w:val="21"/>
                <w:highlight w:val="none"/>
              </w:rPr>
              <w:t>条款名称</w:t>
            </w:r>
          </w:p>
        </w:tc>
        <w:tc>
          <w:tcPr>
            <w:tcW w:w="6133" w:type="dxa"/>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b/>
                <w:color w:val="auto"/>
                <w:spacing w:val="0"/>
                <w:sz w:val="21"/>
                <w:szCs w:val="21"/>
                <w:highlight w:val="none"/>
              </w:rPr>
            </w:pPr>
            <w:r>
              <w:rPr>
                <w:rStyle w:val="63"/>
                <w:rFonts w:hint="eastAsia" w:ascii="宋体" w:hAnsi="宋体" w:eastAsia="宋体" w:cs="宋体"/>
                <w:b/>
                <w:color w:val="auto"/>
                <w:spacing w:val="0"/>
                <w:sz w:val="21"/>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1.1.2</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招标人</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single"/>
                <w:lang w:eastAsia="zh-CN"/>
              </w:rPr>
            </w:pPr>
            <w:r>
              <w:rPr>
                <w:rStyle w:val="63"/>
                <w:rFonts w:hint="eastAsia" w:ascii="宋体" w:hAnsi="宋体" w:eastAsia="宋体" w:cs="宋体"/>
                <w:color w:val="auto"/>
                <w:spacing w:val="0"/>
                <w:sz w:val="21"/>
                <w:szCs w:val="21"/>
                <w:highlight w:val="none"/>
              </w:rPr>
              <w:t>名称：</w:t>
            </w:r>
            <w:r>
              <w:rPr>
                <w:rStyle w:val="66"/>
                <w:rFonts w:hint="eastAsia" w:ascii="宋体" w:hAnsi="宋体" w:eastAsia="宋体" w:cs="宋体"/>
                <w:color w:val="auto"/>
                <w:spacing w:val="0"/>
                <w:sz w:val="21"/>
                <w:szCs w:val="21"/>
                <w:highlight w:val="none"/>
                <w:u w:val="single"/>
                <w:lang w:eastAsia="zh-CN"/>
              </w:rPr>
              <w:t>广州市黄埔丰镐有限公司</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single"/>
              </w:rPr>
            </w:pPr>
            <w:r>
              <w:rPr>
                <w:rStyle w:val="63"/>
                <w:rFonts w:hint="eastAsia" w:ascii="宋体" w:hAnsi="宋体" w:eastAsia="宋体" w:cs="宋体"/>
                <w:color w:val="auto"/>
                <w:spacing w:val="0"/>
                <w:sz w:val="21"/>
                <w:szCs w:val="21"/>
                <w:highlight w:val="none"/>
              </w:rPr>
              <w:t>地址：</w:t>
            </w:r>
            <w:r>
              <w:rPr>
                <w:rStyle w:val="63"/>
                <w:rFonts w:hint="eastAsia" w:ascii="宋体" w:hAnsi="宋体" w:eastAsia="宋体" w:cs="宋体"/>
                <w:color w:val="auto"/>
                <w:spacing w:val="0"/>
                <w:sz w:val="21"/>
                <w:szCs w:val="21"/>
                <w:highlight w:val="none"/>
                <w:u w:val="single"/>
              </w:rPr>
              <w:t>广州市黄埔区丰乐北路928号A2栋6楼</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single"/>
                <w:lang w:val="en-US"/>
              </w:rPr>
            </w:pPr>
            <w:r>
              <w:rPr>
                <w:rStyle w:val="63"/>
                <w:rFonts w:hint="eastAsia" w:ascii="宋体" w:hAnsi="宋体" w:eastAsia="宋体" w:cs="宋体"/>
                <w:color w:val="auto"/>
                <w:spacing w:val="0"/>
                <w:sz w:val="21"/>
                <w:szCs w:val="21"/>
                <w:highlight w:val="none"/>
              </w:rPr>
              <w:t>联系人：</w:t>
            </w:r>
            <w:r>
              <w:rPr>
                <w:rStyle w:val="63"/>
                <w:rFonts w:hint="eastAsia" w:ascii="宋体" w:hAnsi="宋体" w:eastAsia="宋体" w:cs="宋体"/>
                <w:color w:val="auto"/>
                <w:spacing w:val="0"/>
                <w:sz w:val="21"/>
                <w:szCs w:val="21"/>
                <w:highlight w:val="none"/>
                <w:u w:val="single"/>
              </w:rPr>
              <w:t>杨工</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lang w:val="en-US"/>
              </w:rPr>
            </w:pPr>
            <w:r>
              <w:rPr>
                <w:rStyle w:val="63"/>
                <w:rFonts w:hint="eastAsia" w:ascii="宋体" w:hAnsi="宋体" w:eastAsia="宋体" w:cs="宋体"/>
                <w:color w:val="auto"/>
                <w:spacing w:val="0"/>
                <w:sz w:val="21"/>
                <w:szCs w:val="21"/>
                <w:highlight w:val="none"/>
              </w:rPr>
              <w:t>电话：</w:t>
            </w:r>
            <w:r>
              <w:rPr>
                <w:rFonts w:hint="eastAsia" w:ascii="宋体" w:hAnsi="宋体" w:eastAsia="宋体" w:cs="宋体"/>
                <w:color w:val="auto"/>
                <w:spacing w:val="0"/>
                <w:sz w:val="21"/>
                <w:szCs w:val="21"/>
                <w:highlight w:val="none"/>
                <w:u w:val="single"/>
                <w:lang w:val="en-US" w:eastAsia="zh-CN"/>
              </w:rPr>
              <w:t xml:space="preserve">020-82282627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1.1.3</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招标代理机构</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left"/>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名称：</w:t>
            </w:r>
            <w:r>
              <w:rPr>
                <w:rStyle w:val="63"/>
                <w:rFonts w:hint="eastAsia" w:ascii="宋体" w:hAnsi="宋体" w:eastAsia="宋体" w:cs="宋体"/>
                <w:color w:val="auto"/>
                <w:spacing w:val="0"/>
                <w:sz w:val="21"/>
                <w:szCs w:val="21"/>
                <w:highlight w:val="none"/>
                <w:u w:val="single"/>
              </w:rPr>
              <w:t>广东省国际工程咨询有限公司</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left"/>
              <w:outlineLvl w:val="9"/>
              <w:rPr>
                <w:rStyle w:val="63"/>
                <w:rFonts w:hint="eastAsia" w:ascii="宋体" w:hAnsi="宋体" w:eastAsia="宋体" w:cs="宋体"/>
                <w:color w:val="auto"/>
                <w:spacing w:val="0"/>
                <w:sz w:val="21"/>
                <w:szCs w:val="21"/>
                <w:highlight w:val="none"/>
                <w:lang w:val="en-US"/>
              </w:rPr>
            </w:pPr>
            <w:r>
              <w:rPr>
                <w:rStyle w:val="63"/>
                <w:rFonts w:hint="eastAsia" w:ascii="宋体" w:hAnsi="宋体" w:eastAsia="宋体" w:cs="宋体"/>
                <w:color w:val="auto"/>
                <w:spacing w:val="0"/>
                <w:sz w:val="21"/>
                <w:szCs w:val="21"/>
                <w:highlight w:val="none"/>
              </w:rPr>
              <w:t>地址：</w:t>
            </w:r>
            <w:r>
              <w:rPr>
                <w:rStyle w:val="63"/>
                <w:rFonts w:hint="eastAsia" w:ascii="宋体" w:hAnsi="宋体" w:eastAsia="宋体" w:cs="宋体"/>
                <w:color w:val="auto"/>
                <w:spacing w:val="0"/>
                <w:sz w:val="21"/>
                <w:szCs w:val="21"/>
                <w:highlight w:val="none"/>
                <w:u w:val="single"/>
              </w:rPr>
              <w:t>广州市越秀区环市中路316号金鹰大厦</w:t>
            </w:r>
            <w:r>
              <w:rPr>
                <w:rStyle w:val="63"/>
                <w:rFonts w:hint="eastAsia" w:ascii="宋体" w:hAnsi="宋体" w:eastAsia="宋体" w:cs="宋体"/>
                <w:color w:val="auto"/>
                <w:spacing w:val="0"/>
                <w:sz w:val="21"/>
                <w:szCs w:val="21"/>
                <w:highlight w:val="none"/>
                <w:u w:val="single"/>
                <w:lang w:val="en-US"/>
              </w:rPr>
              <w:t>16楼</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left"/>
              <w:outlineLvl w:val="9"/>
              <w:rPr>
                <w:rStyle w:val="63"/>
                <w:rFonts w:hint="eastAsia" w:ascii="宋体" w:hAnsi="宋体" w:eastAsia="宋体" w:cs="宋体"/>
                <w:color w:val="auto"/>
                <w:spacing w:val="0"/>
                <w:sz w:val="21"/>
                <w:szCs w:val="21"/>
                <w:highlight w:val="none"/>
                <w:lang w:val="en-US"/>
              </w:rPr>
            </w:pPr>
            <w:r>
              <w:rPr>
                <w:rStyle w:val="63"/>
                <w:rFonts w:hint="eastAsia" w:ascii="宋体" w:hAnsi="宋体" w:eastAsia="宋体" w:cs="宋体"/>
                <w:color w:val="auto"/>
                <w:spacing w:val="0"/>
                <w:sz w:val="21"/>
                <w:szCs w:val="21"/>
                <w:highlight w:val="none"/>
              </w:rPr>
              <w:t>联系人：</w:t>
            </w:r>
            <w:r>
              <w:rPr>
                <w:rStyle w:val="63"/>
                <w:rFonts w:hint="eastAsia" w:ascii="宋体" w:hAnsi="宋体" w:eastAsia="宋体" w:cs="宋体"/>
                <w:color w:val="auto"/>
                <w:spacing w:val="0"/>
                <w:sz w:val="21"/>
                <w:szCs w:val="21"/>
                <w:highlight w:val="none"/>
                <w:u w:val="single"/>
                <w:lang w:val="en-US" w:eastAsia="zh-CN"/>
              </w:rPr>
              <w:t>杨工</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left"/>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电话：</w:t>
            </w:r>
            <w:r>
              <w:rPr>
                <w:rStyle w:val="63"/>
                <w:rFonts w:hint="eastAsia" w:ascii="宋体" w:hAnsi="宋体" w:eastAsia="宋体" w:cs="宋体"/>
                <w:color w:val="auto"/>
                <w:spacing w:val="0"/>
                <w:sz w:val="21"/>
                <w:szCs w:val="21"/>
                <w:highlight w:val="none"/>
                <w:u w:val="single"/>
              </w:rPr>
              <w:t>020-83549690</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left"/>
              <w:outlineLvl w:val="9"/>
              <w:rPr>
                <w:rFonts w:hint="eastAsia" w:ascii="宋体" w:hAnsi="宋体" w:eastAsia="宋体" w:cs="宋体"/>
                <w:color w:val="auto"/>
                <w:spacing w:val="0"/>
                <w:szCs w:val="21"/>
              </w:rPr>
            </w:pPr>
            <w:r>
              <w:rPr>
                <w:rStyle w:val="63"/>
                <w:rFonts w:hint="eastAsia" w:ascii="宋体" w:hAnsi="宋体" w:eastAsia="宋体" w:cs="宋体"/>
                <w:color w:val="auto"/>
                <w:spacing w:val="0"/>
                <w:sz w:val="21"/>
                <w:szCs w:val="21"/>
                <w:highlight w:val="none"/>
              </w:rPr>
              <w:t>电子邮箱：</w:t>
            </w:r>
            <w:r>
              <w:rPr>
                <w:rStyle w:val="63"/>
                <w:rFonts w:hint="eastAsia" w:ascii="宋体" w:hAnsi="宋体" w:eastAsia="宋体" w:cs="宋体"/>
                <w:color w:val="auto"/>
                <w:spacing w:val="0"/>
                <w:sz w:val="21"/>
                <w:szCs w:val="21"/>
                <w:highlight w:val="none"/>
                <w:u w:val="single"/>
              </w:rPr>
              <w:t>pj3gdgj@163.com</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1.1.4</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招标项目名称</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single"/>
                <w:lang w:eastAsia="zh-CN"/>
              </w:rPr>
            </w:pPr>
            <w:r>
              <w:rPr>
                <w:rStyle w:val="66"/>
                <w:rFonts w:hint="eastAsia" w:ascii="宋体" w:hAnsi="宋体" w:eastAsia="宋体" w:cs="宋体"/>
                <w:color w:val="auto"/>
                <w:spacing w:val="0"/>
                <w:sz w:val="21"/>
                <w:szCs w:val="21"/>
                <w:highlight w:val="none"/>
                <w:u w:val="single"/>
                <w:lang w:eastAsia="zh-CN"/>
              </w:rPr>
              <w:t>沧联社区榕村片城中村改造项目复建安置01、02地块工程施工图技术审查</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1.1.5</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项目建设地点</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1.1.6</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项目建设规模</w:t>
            </w:r>
          </w:p>
        </w:tc>
        <w:tc>
          <w:tcPr>
            <w:tcW w:w="6133" w:type="dxa"/>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1.1.7</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工程项目预计开工日期和建设周期</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6"/>
                <w:rFonts w:hint="eastAsia" w:ascii="宋体" w:hAnsi="宋体" w:eastAsia="宋体" w:cs="宋体"/>
                <w:color w:val="auto"/>
                <w:spacing w:val="0"/>
                <w:sz w:val="21"/>
                <w:szCs w:val="21"/>
                <w:highlight w:val="none"/>
                <w:u w:val="single"/>
              </w:rPr>
            </w:pPr>
            <w:r>
              <w:rPr>
                <w:rStyle w:val="66"/>
                <w:rFonts w:hint="eastAsia" w:ascii="宋体" w:hAnsi="宋体" w:eastAsia="宋体" w:cs="宋体"/>
                <w:color w:val="auto"/>
                <w:spacing w:val="0"/>
                <w:sz w:val="21"/>
                <w:szCs w:val="21"/>
                <w:highlight w:val="none"/>
              </w:rPr>
              <w:t>工程项目预计开工日期：</w:t>
            </w:r>
            <w:r>
              <w:rPr>
                <w:rStyle w:val="66"/>
                <w:rFonts w:hint="eastAsia" w:ascii="宋体" w:hAnsi="宋体" w:eastAsia="宋体" w:cs="宋体"/>
                <w:color w:val="auto"/>
                <w:spacing w:val="0"/>
                <w:sz w:val="21"/>
                <w:szCs w:val="21"/>
                <w:highlight w:val="none"/>
                <w:u w:val="single"/>
              </w:rPr>
              <w:t>开工时间以</w:t>
            </w:r>
            <w:r>
              <w:rPr>
                <w:rStyle w:val="66"/>
                <w:rFonts w:hint="eastAsia" w:ascii="宋体" w:hAnsi="宋体" w:eastAsia="宋体" w:cs="宋体"/>
                <w:color w:val="auto"/>
                <w:spacing w:val="0"/>
                <w:sz w:val="21"/>
                <w:szCs w:val="21"/>
                <w:highlight w:val="none"/>
                <w:u w:val="single"/>
                <w:lang w:eastAsia="zh-CN"/>
              </w:rPr>
              <w:t>招标人</w:t>
            </w:r>
            <w:r>
              <w:rPr>
                <w:rStyle w:val="66"/>
                <w:rFonts w:hint="eastAsia" w:ascii="宋体" w:hAnsi="宋体" w:eastAsia="宋体" w:cs="宋体"/>
                <w:color w:val="auto"/>
                <w:spacing w:val="0"/>
                <w:sz w:val="21"/>
                <w:szCs w:val="21"/>
                <w:highlight w:val="none"/>
                <w:u w:val="single"/>
              </w:rPr>
              <w:t>通知为准。</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建设周期：</w:t>
            </w:r>
            <w:r>
              <w:rPr>
                <w:rStyle w:val="66"/>
                <w:rFonts w:hint="eastAsia" w:ascii="宋体" w:hAnsi="宋体" w:eastAsia="宋体" w:cs="宋体"/>
                <w:color w:val="auto"/>
                <w:spacing w:val="0"/>
                <w:sz w:val="21"/>
                <w:szCs w:val="21"/>
                <w:highlight w:val="none"/>
                <w:u w:val="single"/>
              </w:rPr>
              <w:t>自合同签订之日起至完成所有服务内容为止。</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1.1.8</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建筑安装工程费</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1.2.1</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资金来源及比例</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1.2.2</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资金落实情况</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u w:val="none"/>
                <w:lang w:val="en-US"/>
              </w:rPr>
              <w:t>已落实</w:t>
            </w:r>
            <w:r>
              <w:rPr>
                <w:rStyle w:val="63"/>
                <w:rFonts w:hint="eastAsia" w:ascii="宋体" w:hAnsi="宋体" w:eastAsia="宋体" w:cs="宋体"/>
                <w:color w:val="auto"/>
                <w:spacing w:val="0"/>
                <w:sz w:val="21"/>
                <w:szCs w:val="21"/>
                <w:highlight w:val="none"/>
                <w:u w:val="non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1.3.1</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招标范围</w:t>
            </w:r>
          </w:p>
        </w:tc>
        <w:tc>
          <w:tcPr>
            <w:tcW w:w="6133" w:type="dxa"/>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1.3.2</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服务期限</w:t>
            </w:r>
          </w:p>
        </w:tc>
        <w:tc>
          <w:tcPr>
            <w:tcW w:w="6133" w:type="dxa"/>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1.3.3</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质量标准</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pStyle w:val="77"/>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u w:val="single"/>
              </w:rPr>
              <w:t>符合国家及省、市有关施工图审查标准。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1.4.1</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投标人资质条件、能力、信誉</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（1）资质要求：</w:t>
            </w:r>
            <w:r>
              <w:rPr>
                <w:rStyle w:val="63"/>
                <w:rFonts w:hint="eastAsia" w:ascii="宋体" w:hAnsi="宋体" w:eastAsia="宋体" w:cs="宋体"/>
                <w:color w:val="auto"/>
                <w:spacing w:val="0"/>
                <w:sz w:val="21"/>
                <w:szCs w:val="21"/>
                <w:highlight w:val="none"/>
                <w:u w:val="single"/>
              </w:rPr>
              <w:t>详见招标公告投标人资格要求</w:t>
            </w:r>
            <w:r>
              <w:rPr>
                <w:rStyle w:val="63"/>
                <w:rFonts w:hint="eastAsia" w:ascii="宋体" w:hAnsi="宋体" w:eastAsia="宋体" w:cs="宋体"/>
                <w:color w:val="auto"/>
                <w:spacing w:val="0"/>
                <w:sz w:val="21"/>
                <w:szCs w:val="21"/>
                <w:highlight w:val="none"/>
              </w:rPr>
              <w:t>。</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（2）财务要求：</w:t>
            </w:r>
            <w:r>
              <w:rPr>
                <w:rStyle w:val="63"/>
                <w:rFonts w:hint="eastAsia" w:ascii="宋体" w:hAnsi="宋体" w:eastAsia="宋体" w:cs="宋体"/>
                <w:color w:val="auto"/>
                <w:spacing w:val="0"/>
                <w:sz w:val="21"/>
                <w:szCs w:val="21"/>
                <w:highlight w:val="none"/>
                <w:u w:val="single"/>
                <w:lang w:val="en-US"/>
              </w:rPr>
              <w:t xml:space="preserve"> </w:t>
            </w:r>
            <w:r>
              <w:rPr>
                <w:rStyle w:val="63"/>
                <w:rFonts w:hint="eastAsia" w:ascii="宋体" w:hAnsi="宋体" w:eastAsia="宋体" w:cs="宋体"/>
                <w:color w:val="auto"/>
                <w:spacing w:val="0"/>
                <w:sz w:val="21"/>
                <w:szCs w:val="21"/>
                <w:highlight w:val="none"/>
                <w:u w:val="single"/>
              </w:rPr>
              <w:t>/</w:t>
            </w:r>
            <w:r>
              <w:rPr>
                <w:rStyle w:val="63"/>
                <w:rFonts w:hint="eastAsia" w:ascii="宋体" w:hAnsi="宋体" w:eastAsia="宋体" w:cs="宋体"/>
                <w:color w:val="auto"/>
                <w:spacing w:val="0"/>
                <w:sz w:val="21"/>
                <w:szCs w:val="21"/>
                <w:highlight w:val="none"/>
                <w:u w:val="single"/>
                <w:lang w:val="en-US"/>
              </w:rPr>
              <w:t xml:space="preserve"> </w:t>
            </w:r>
            <w:r>
              <w:rPr>
                <w:rStyle w:val="63"/>
                <w:rFonts w:hint="eastAsia" w:ascii="宋体" w:hAnsi="宋体" w:eastAsia="宋体" w:cs="宋体"/>
                <w:color w:val="auto"/>
                <w:spacing w:val="0"/>
                <w:sz w:val="21"/>
                <w:szCs w:val="21"/>
                <w:highlight w:val="none"/>
                <w:u w:val="single"/>
              </w:rPr>
              <w:t>。</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（3）业绩要求：</w:t>
            </w:r>
            <w:r>
              <w:rPr>
                <w:rStyle w:val="63"/>
                <w:rFonts w:hint="eastAsia" w:ascii="宋体" w:hAnsi="宋体" w:eastAsia="宋体" w:cs="宋体"/>
                <w:color w:val="auto"/>
                <w:spacing w:val="0"/>
                <w:sz w:val="21"/>
                <w:szCs w:val="21"/>
                <w:highlight w:val="none"/>
                <w:u w:val="single"/>
                <w:lang w:val="en-US"/>
              </w:rPr>
              <w:t xml:space="preserve"> </w:t>
            </w:r>
            <w:r>
              <w:rPr>
                <w:rStyle w:val="63"/>
                <w:rFonts w:hint="eastAsia" w:ascii="宋体" w:hAnsi="宋体" w:eastAsia="宋体" w:cs="宋体"/>
                <w:color w:val="auto"/>
                <w:spacing w:val="0"/>
                <w:sz w:val="21"/>
                <w:szCs w:val="21"/>
                <w:highlight w:val="none"/>
                <w:u w:val="single"/>
              </w:rPr>
              <w:t>/</w:t>
            </w:r>
            <w:r>
              <w:rPr>
                <w:rStyle w:val="63"/>
                <w:rFonts w:hint="eastAsia" w:ascii="宋体" w:hAnsi="宋体" w:eastAsia="宋体" w:cs="宋体"/>
                <w:color w:val="auto"/>
                <w:spacing w:val="0"/>
                <w:sz w:val="21"/>
                <w:szCs w:val="21"/>
                <w:highlight w:val="none"/>
                <w:u w:val="single"/>
                <w:lang w:val="en-US"/>
              </w:rPr>
              <w:t xml:space="preserve"> </w:t>
            </w:r>
            <w:r>
              <w:rPr>
                <w:rStyle w:val="63"/>
                <w:rFonts w:hint="eastAsia" w:ascii="宋体" w:hAnsi="宋体" w:eastAsia="宋体" w:cs="宋体"/>
                <w:color w:val="auto"/>
                <w:spacing w:val="0"/>
                <w:sz w:val="21"/>
                <w:szCs w:val="21"/>
                <w:highlight w:val="none"/>
                <w:u w:val="single"/>
              </w:rPr>
              <w:t>。</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（4）信誉要求：</w:t>
            </w:r>
            <w:r>
              <w:rPr>
                <w:rStyle w:val="63"/>
                <w:rFonts w:hint="eastAsia" w:ascii="宋体" w:hAnsi="宋体" w:eastAsia="宋体" w:cs="宋体"/>
                <w:color w:val="auto"/>
                <w:spacing w:val="0"/>
                <w:sz w:val="21"/>
                <w:szCs w:val="21"/>
                <w:highlight w:val="none"/>
                <w:u w:val="single"/>
                <w:lang w:val="en-US"/>
              </w:rPr>
              <w:t xml:space="preserve"> </w:t>
            </w:r>
            <w:r>
              <w:rPr>
                <w:rStyle w:val="63"/>
                <w:rFonts w:hint="eastAsia" w:ascii="宋体" w:hAnsi="宋体" w:eastAsia="宋体" w:cs="宋体"/>
                <w:color w:val="auto"/>
                <w:spacing w:val="0"/>
                <w:sz w:val="21"/>
                <w:szCs w:val="21"/>
                <w:highlight w:val="none"/>
                <w:u w:val="single"/>
              </w:rPr>
              <w:t>/</w:t>
            </w:r>
            <w:r>
              <w:rPr>
                <w:rStyle w:val="63"/>
                <w:rFonts w:hint="eastAsia" w:ascii="宋体" w:hAnsi="宋体" w:eastAsia="宋体" w:cs="宋体"/>
                <w:color w:val="auto"/>
                <w:spacing w:val="0"/>
                <w:sz w:val="21"/>
                <w:szCs w:val="21"/>
                <w:highlight w:val="none"/>
                <w:u w:val="single"/>
                <w:lang w:val="en-US"/>
              </w:rPr>
              <w:t xml:space="preserve"> </w:t>
            </w:r>
            <w:r>
              <w:rPr>
                <w:rStyle w:val="63"/>
                <w:rFonts w:hint="eastAsia" w:ascii="宋体" w:hAnsi="宋体" w:eastAsia="宋体" w:cs="宋体"/>
                <w:color w:val="auto"/>
                <w:spacing w:val="0"/>
                <w:sz w:val="21"/>
                <w:szCs w:val="21"/>
                <w:highlight w:val="none"/>
                <w:u w:val="single"/>
              </w:rPr>
              <w:t>。</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（5）项目负责人的资格要求：</w:t>
            </w:r>
            <w:r>
              <w:rPr>
                <w:rStyle w:val="63"/>
                <w:rFonts w:hint="eastAsia" w:ascii="宋体" w:hAnsi="宋体" w:eastAsia="宋体" w:cs="宋体"/>
                <w:color w:val="auto"/>
                <w:spacing w:val="0"/>
                <w:sz w:val="21"/>
                <w:szCs w:val="21"/>
                <w:highlight w:val="none"/>
                <w:u w:val="single"/>
              </w:rPr>
              <w:t>详见招标公告投标人资格要求。</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（6）其他主要人员要求：</w:t>
            </w:r>
            <w:r>
              <w:rPr>
                <w:rStyle w:val="63"/>
                <w:rFonts w:hint="eastAsia" w:ascii="宋体" w:hAnsi="宋体" w:eastAsia="宋体" w:cs="宋体"/>
                <w:color w:val="auto"/>
                <w:spacing w:val="0"/>
                <w:sz w:val="21"/>
                <w:szCs w:val="21"/>
                <w:highlight w:val="none"/>
                <w:u w:val="single"/>
                <w:lang w:val="en-US"/>
              </w:rPr>
              <w:t xml:space="preserve"> </w:t>
            </w:r>
            <w:r>
              <w:rPr>
                <w:rStyle w:val="63"/>
                <w:rFonts w:hint="eastAsia" w:ascii="宋体" w:hAnsi="宋体" w:eastAsia="宋体" w:cs="宋体"/>
                <w:color w:val="auto"/>
                <w:spacing w:val="0"/>
                <w:sz w:val="21"/>
                <w:szCs w:val="21"/>
                <w:highlight w:val="none"/>
                <w:u w:val="single"/>
              </w:rPr>
              <w:t>/</w:t>
            </w:r>
            <w:r>
              <w:rPr>
                <w:rStyle w:val="63"/>
                <w:rFonts w:hint="eastAsia" w:ascii="宋体" w:hAnsi="宋体" w:eastAsia="宋体" w:cs="宋体"/>
                <w:color w:val="auto"/>
                <w:spacing w:val="0"/>
                <w:sz w:val="21"/>
                <w:szCs w:val="21"/>
                <w:highlight w:val="none"/>
                <w:u w:val="single"/>
                <w:lang w:val="en-US"/>
              </w:rPr>
              <w:t xml:space="preserve"> </w:t>
            </w:r>
            <w:r>
              <w:rPr>
                <w:rStyle w:val="63"/>
                <w:rFonts w:hint="eastAsia" w:ascii="宋体" w:hAnsi="宋体" w:eastAsia="宋体" w:cs="宋体"/>
                <w:color w:val="auto"/>
                <w:spacing w:val="0"/>
                <w:sz w:val="21"/>
                <w:szCs w:val="21"/>
                <w:highlight w:val="none"/>
                <w:u w:val="single"/>
              </w:rPr>
              <w:t>。</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（7）试验仪器设备要求：</w:t>
            </w:r>
            <w:r>
              <w:rPr>
                <w:rStyle w:val="63"/>
                <w:rFonts w:hint="eastAsia" w:ascii="宋体" w:hAnsi="宋体" w:eastAsia="宋体" w:cs="宋体"/>
                <w:color w:val="auto"/>
                <w:spacing w:val="0"/>
                <w:sz w:val="21"/>
                <w:szCs w:val="21"/>
                <w:highlight w:val="none"/>
                <w:u w:val="single"/>
                <w:lang w:val="en-US"/>
              </w:rPr>
              <w:t xml:space="preserve"> </w:t>
            </w:r>
            <w:r>
              <w:rPr>
                <w:rStyle w:val="63"/>
                <w:rFonts w:hint="eastAsia" w:ascii="宋体" w:hAnsi="宋体" w:eastAsia="宋体" w:cs="宋体"/>
                <w:color w:val="auto"/>
                <w:spacing w:val="0"/>
                <w:sz w:val="21"/>
                <w:szCs w:val="21"/>
                <w:highlight w:val="none"/>
                <w:u w:val="single"/>
              </w:rPr>
              <w:t>/</w:t>
            </w:r>
            <w:r>
              <w:rPr>
                <w:rStyle w:val="63"/>
                <w:rFonts w:hint="eastAsia" w:ascii="宋体" w:hAnsi="宋体" w:eastAsia="宋体" w:cs="宋体"/>
                <w:color w:val="auto"/>
                <w:spacing w:val="0"/>
                <w:sz w:val="21"/>
                <w:szCs w:val="21"/>
                <w:highlight w:val="none"/>
                <w:u w:val="single"/>
                <w:lang w:val="en-US"/>
              </w:rPr>
              <w:t xml:space="preserve"> </w:t>
            </w:r>
            <w:r>
              <w:rPr>
                <w:rStyle w:val="63"/>
                <w:rFonts w:hint="eastAsia" w:ascii="宋体" w:hAnsi="宋体" w:eastAsia="宋体" w:cs="宋体"/>
                <w:color w:val="auto"/>
                <w:spacing w:val="0"/>
                <w:sz w:val="21"/>
                <w:szCs w:val="21"/>
                <w:highlight w:val="none"/>
                <w:u w:val="single"/>
              </w:rPr>
              <w:t>。</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（8）其他要求：</w:t>
            </w:r>
            <w:r>
              <w:rPr>
                <w:rStyle w:val="63"/>
                <w:rFonts w:hint="eastAsia" w:ascii="宋体" w:hAnsi="宋体" w:eastAsia="宋体" w:cs="宋体"/>
                <w:color w:val="auto"/>
                <w:spacing w:val="0"/>
                <w:sz w:val="21"/>
                <w:szCs w:val="21"/>
                <w:highlight w:val="none"/>
                <w:u w:val="single"/>
              </w:rPr>
              <w:t>详见招标公告投标人资格要求。</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1.4.2</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是否接受联合体投标</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sym w:font="Wingdings" w:char="00FE"/>
            </w:r>
            <w:r>
              <w:rPr>
                <w:rStyle w:val="63"/>
                <w:rFonts w:hint="eastAsia" w:ascii="宋体" w:hAnsi="宋体" w:eastAsia="宋体" w:cs="宋体"/>
                <w:color w:val="auto"/>
                <w:spacing w:val="0"/>
                <w:sz w:val="21"/>
                <w:szCs w:val="21"/>
                <w:highlight w:val="none"/>
              </w:rPr>
              <w:t>不接受</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sym w:font="Wingdings" w:char="00A8"/>
            </w:r>
            <w:r>
              <w:rPr>
                <w:rStyle w:val="63"/>
                <w:rFonts w:hint="eastAsia" w:ascii="宋体" w:hAnsi="宋体" w:eastAsia="宋体" w:cs="宋体"/>
                <w:color w:val="auto"/>
                <w:spacing w:val="0"/>
                <w:sz w:val="21"/>
                <w:szCs w:val="21"/>
                <w:highlight w:val="none"/>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1.4.3</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投标人不得存在的其他情形</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lang w:val="en-US"/>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1.9.1</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踏勘现场</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☑不组织，由投标人自行踏勘。</w:t>
            </w:r>
          </w:p>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补充说明如下：</w:t>
            </w:r>
          </w:p>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2）投标人及其代表进入考察的现场，须自行承担那些进入现场后，由于他们的行为所造成的人身伤害（不管是否致命）、财产损失或损坏，以及其他任何原因造成的损失、损坏或费用等风险。招标人对此不负任何责任。</w:t>
            </w:r>
          </w:p>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（3）由招标人提供的资料和数据，只是为了使投标人能够利用招标人现有的资料。招标人对投标人由此而作出的推论、解释和结论概不负责。</w:t>
            </w:r>
          </w:p>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□组织，踏勘时间：</w:t>
            </w:r>
            <w:r>
              <w:rPr>
                <w:rStyle w:val="63"/>
                <w:rFonts w:hint="eastAsia" w:ascii="宋体" w:hAnsi="宋体" w:eastAsia="宋体" w:cs="宋体"/>
                <w:color w:val="auto"/>
                <w:spacing w:val="0"/>
                <w:sz w:val="21"/>
                <w:szCs w:val="21"/>
                <w:highlight w:val="none"/>
                <w:u w:val="single"/>
                <w:lang w:val="en-US"/>
              </w:rPr>
              <w:t xml:space="preserve"> </w:t>
            </w:r>
            <w:r>
              <w:rPr>
                <w:rStyle w:val="63"/>
                <w:rFonts w:hint="eastAsia" w:ascii="宋体" w:hAnsi="宋体" w:eastAsia="宋体" w:cs="宋体"/>
                <w:color w:val="auto"/>
                <w:spacing w:val="0"/>
                <w:sz w:val="21"/>
                <w:szCs w:val="21"/>
                <w:highlight w:val="none"/>
                <w:u w:val="single"/>
              </w:rPr>
              <w:t>/</w:t>
            </w:r>
            <w:r>
              <w:rPr>
                <w:rStyle w:val="63"/>
                <w:rFonts w:hint="eastAsia" w:ascii="宋体" w:hAnsi="宋体" w:eastAsia="宋体" w:cs="宋体"/>
                <w:color w:val="auto"/>
                <w:spacing w:val="0"/>
                <w:sz w:val="21"/>
                <w:szCs w:val="21"/>
                <w:highlight w:val="none"/>
                <w:u w:val="single"/>
                <w:lang w:val="en-US"/>
              </w:rPr>
              <w:t xml:space="preserve"> </w:t>
            </w:r>
            <w:r>
              <w:rPr>
                <w:rStyle w:val="63"/>
                <w:rFonts w:hint="eastAsia" w:ascii="宋体" w:hAnsi="宋体" w:eastAsia="宋体" w:cs="宋体"/>
                <w:color w:val="auto"/>
                <w:spacing w:val="0"/>
                <w:sz w:val="21"/>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1.10.1</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投标预备会</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☑不召开</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□召开，召开时间：</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召开地点：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1.10.2</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投标人在投标预备会前提出问题</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u w:val="single"/>
              </w:rPr>
              <w:t>本项目不召开投标预备会</w:t>
            </w:r>
            <w:r>
              <w:rPr>
                <w:rStyle w:val="63"/>
                <w:rFonts w:hint="eastAsia" w:ascii="宋体" w:hAnsi="宋体" w:eastAsia="宋体" w:cs="宋体"/>
                <w:color w:val="auto"/>
                <w:spacing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1.10.3</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招标文件澄清发出的形式</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single"/>
              </w:rPr>
            </w:pPr>
            <w:r>
              <w:rPr>
                <w:rStyle w:val="63"/>
                <w:rFonts w:hint="eastAsia" w:ascii="宋体" w:hAnsi="宋体" w:eastAsia="宋体" w:cs="宋体"/>
                <w:color w:val="auto"/>
                <w:spacing w:val="0"/>
                <w:sz w:val="21"/>
                <w:szCs w:val="21"/>
                <w:highlight w:val="none"/>
                <w:u w:val="single"/>
              </w:rPr>
              <w:t xml:space="preserve"> / </w:t>
            </w:r>
            <w:r>
              <w:rPr>
                <w:rStyle w:val="63"/>
                <w:rFonts w:hint="eastAsia" w:ascii="宋体" w:hAnsi="宋体" w:eastAsia="宋体" w:cs="宋体"/>
                <w:color w:val="auto"/>
                <w:spacing w:val="0"/>
                <w:sz w:val="21"/>
                <w:szCs w:val="21"/>
                <w:highlight w:val="none"/>
                <w:u w:val="none"/>
              </w:rPr>
              <w:t>（此为投标预备会的答疑澄清）</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lang w:val="en-US" w:eastAsia="zh-CN"/>
              </w:rPr>
            </w:pPr>
            <w:r>
              <w:rPr>
                <w:rStyle w:val="63"/>
                <w:rFonts w:hint="eastAsia" w:ascii="宋体" w:hAnsi="宋体" w:eastAsia="宋体" w:cs="宋体"/>
                <w:color w:val="auto"/>
                <w:spacing w:val="0"/>
                <w:sz w:val="21"/>
                <w:szCs w:val="21"/>
                <w:highlight w:val="none"/>
              </w:rPr>
              <w:t>1.11.1</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lang w:val="en-US" w:eastAsia="zh-CN"/>
              </w:rPr>
            </w:pPr>
            <w:r>
              <w:rPr>
                <w:rStyle w:val="63"/>
                <w:rFonts w:hint="eastAsia" w:ascii="宋体" w:hAnsi="宋体" w:eastAsia="宋体" w:cs="宋体"/>
                <w:color w:val="auto"/>
                <w:spacing w:val="0"/>
                <w:sz w:val="21"/>
                <w:szCs w:val="21"/>
                <w:highlight w:val="none"/>
              </w:rPr>
              <w:t>分包</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left"/>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■不允许</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left"/>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□允许，分包内容要求：</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left"/>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分包金额要求：</w:t>
            </w:r>
            <w:r>
              <w:rPr>
                <w:rStyle w:val="63"/>
                <w:rFonts w:hint="eastAsia" w:ascii="宋体" w:hAnsi="宋体" w:eastAsia="宋体" w:cs="宋体"/>
                <w:color w:val="auto"/>
                <w:spacing w:val="0"/>
                <w:sz w:val="21"/>
                <w:szCs w:val="21"/>
                <w:highlight w:val="none"/>
                <w:u w:val="single"/>
              </w:rPr>
              <w:t xml:space="preserve"> / </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left"/>
              <w:outlineLvl w:val="9"/>
              <w:rPr>
                <w:rStyle w:val="63"/>
                <w:rFonts w:hint="eastAsia" w:ascii="宋体" w:hAnsi="宋体" w:eastAsia="宋体" w:cs="宋体"/>
                <w:color w:val="auto"/>
                <w:spacing w:val="0"/>
                <w:sz w:val="21"/>
                <w:szCs w:val="21"/>
                <w:highlight w:val="none"/>
                <w:lang w:val="en-US" w:eastAsia="zh-CN"/>
              </w:rPr>
            </w:pPr>
            <w:r>
              <w:rPr>
                <w:rStyle w:val="63"/>
                <w:rFonts w:hint="eastAsia" w:ascii="宋体" w:hAnsi="宋体" w:eastAsia="宋体" w:cs="宋体"/>
                <w:color w:val="auto"/>
                <w:spacing w:val="0"/>
                <w:sz w:val="21"/>
                <w:szCs w:val="21"/>
                <w:highlight w:val="none"/>
              </w:rPr>
              <w:t>对分包人的资质要求：</w:t>
            </w:r>
            <w:r>
              <w:rPr>
                <w:rStyle w:val="63"/>
                <w:rFonts w:hint="eastAsia" w:ascii="宋体" w:hAnsi="宋体" w:eastAsia="宋体" w:cs="宋体"/>
                <w:color w:val="auto"/>
                <w:spacing w:val="0"/>
                <w:sz w:val="21"/>
                <w:szCs w:val="21"/>
                <w:highlight w:val="none"/>
                <w:u w:val="single"/>
              </w:rPr>
              <w:t xml:space="preserve"> / </w:t>
            </w:r>
            <w:r>
              <w:rPr>
                <w:rStyle w:val="63"/>
                <w:rFonts w:hint="eastAsia" w:ascii="宋体" w:hAnsi="宋体" w:eastAsia="宋体" w:cs="宋体"/>
                <w:color w:val="auto"/>
                <w:spacing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1.12.1</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实质性要求和条件</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single"/>
              </w:rPr>
            </w:pPr>
            <w:r>
              <w:rPr>
                <w:rStyle w:val="63"/>
                <w:rFonts w:hint="eastAsia" w:ascii="宋体" w:hAnsi="宋体" w:eastAsia="宋体" w:cs="宋体"/>
                <w:color w:val="auto"/>
                <w:spacing w:val="0"/>
                <w:sz w:val="21"/>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1.12.3</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偏差</w:t>
            </w:r>
          </w:p>
        </w:tc>
        <w:tc>
          <w:tcPr>
            <w:tcW w:w="6133" w:type="dxa"/>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☑不允许</w:t>
            </w:r>
          </w:p>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□允许，偏差范围：</w:t>
            </w:r>
            <w:r>
              <w:rPr>
                <w:rStyle w:val="63"/>
                <w:rFonts w:hint="eastAsia" w:ascii="宋体" w:hAnsi="宋体" w:eastAsia="宋体" w:cs="宋体"/>
                <w:color w:val="auto"/>
                <w:spacing w:val="0"/>
                <w:sz w:val="21"/>
                <w:szCs w:val="21"/>
                <w:highlight w:val="none"/>
                <w:u w:val="single"/>
              </w:rPr>
              <w:t xml:space="preserve"> / </w:t>
            </w:r>
          </w:p>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偏差幅度：</w:t>
            </w:r>
            <w:r>
              <w:rPr>
                <w:rStyle w:val="63"/>
                <w:rFonts w:hint="eastAsia" w:ascii="宋体" w:hAnsi="宋体" w:eastAsia="宋体" w:cs="宋体"/>
                <w:color w:val="auto"/>
                <w:spacing w:val="0"/>
                <w:sz w:val="21"/>
                <w:szCs w:val="21"/>
                <w:highlight w:val="none"/>
                <w:u w:val="single"/>
              </w:rPr>
              <w:t xml:space="preserve"> /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4"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2.1</w:t>
            </w:r>
          </w:p>
        </w:tc>
        <w:tc>
          <w:tcPr>
            <w:tcW w:w="2138" w:type="dxa"/>
            <w:tcBorders>
              <w:top w:val="single" w:color="000000" w:sz="6" w:space="0"/>
              <w:left w:val="single" w:color="000000" w:sz="6" w:space="0"/>
              <w:bottom w:val="single" w:color="000000" w:sz="4"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构成招标文件的其他资料</w:t>
            </w:r>
          </w:p>
        </w:tc>
        <w:tc>
          <w:tcPr>
            <w:tcW w:w="6133" w:type="dxa"/>
            <w:tcBorders>
              <w:top w:val="single" w:color="000000" w:sz="6" w:space="0"/>
              <w:left w:val="single" w:color="000000" w:sz="6"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u w:val="single"/>
              </w:rPr>
              <w:t xml:space="preserve"> /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vMerge w:val="restart"/>
            <w:tcBorders>
              <w:top w:val="single" w:color="000000" w:sz="4" w:space="0"/>
              <w:left w:val="single" w:color="000000" w:sz="4"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2.2.1</w:t>
            </w:r>
          </w:p>
        </w:tc>
        <w:tc>
          <w:tcPr>
            <w:tcW w:w="2138" w:type="dxa"/>
            <w:vMerge w:val="restart"/>
            <w:tcBorders>
              <w:top w:val="single" w:color="000000" w:sz="4" w:space="0"/>
              <w:left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投标人要求澄清招标文件</w:t>
            </w:r>
          </w:p>
        </w:tc>
        <w:tc>
          <w:tcPr>
            <w:tcW w:w="6133" w:type="dxa"/>
            <w:tcBorders>
              <w:top w:val="single" w:color="000000" w:sz="4" w:space="0"/>
              <w:left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时间：</w:t>
            </w:r>
            <w:r>
              <w:rPr>
                <w:rFonts w:hint="eastAsia" w:ascii="宋体" w:hAnsi="宋体" w:eastAsia="宋体" w:cs="宋体"/>
                <w:color w:val="auto"/>
                <w:spacing w:val="0"/>
                <w:sz w:val="21"/>
                <w:szCs w:val="21"/>
                <w:highlight w:val="none"/>
                <w:u w:val="none"/>
              </w:rPr>
              <w:t>在提交投标文件截止时间18天前提出。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vMerge w:val="continue"/>
            <w:tcBorders>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p>
        </w:tc>
        <w:tc>
          <w:tcPr>
            <w:tcW w:w="2138" w:type="dxa"/>
            <w:vMerge w:val="continue"/>
            <w:tcBorders>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p>
        </w:tc>
        <w:tc>
          <w:tcPr>
            <w:tcW w:w="6133" w:type="dxa"/>
            <w:tcBorders>
              <w:top w:val="single" w:color="000000" w:sz="4" w:space="0"/>
              <w:left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形式：招标答疑采用网上答疑方式进行。投标人若对招标文件（包括图纸、合同版本、最高投标限价等）有疑问的，可在规定的时间内通过广州交易集团有限公司（广州公共资源交易中心）网站将问题提交给招标人或招标代理人，提交问题时一律不得署名。</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网上答疑的操作指南为：登陆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r>
              <w:rPr>
                <w:rFonts w:hint="eastAsia" w:ascii="宋体" w:hAnsi="宋体" w:eastAsia="宋体" w:cs="宋体"/>
                <w:color w:val="auto"/>
                <w:spacing w:val="0"/>
                <w:sz w:val="21"/>
                <w:szCs w:val="21"/>
                <w:highlight w:val="none"/>
                <w:lang w:eastAsia="zh-CN"/>
              </w:rPr>
              <w:t>。</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具体操作方法详见广州交易集团有限公司（广州公共资源交易中心）网站发布的相关建设工程全流程电子化项目操作指南。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2.2.2</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招标文件澄清发出的形式</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u w:val="none"/>
                <w:lang w:eastAsia="zh-CN"/>
              </w:rPr>
            </w:pPr>
            <w:r>
              <w:rPr>
                <w:rFonts w:hint="eastAsia" w:ascii="宋体" w:hAnsi="宋体" w:eastAsia="宋体" w:cs="宋体"/>
                <w:color w:val="auto"/>
                <w:spacing w:val="0"/>
                <w:sz w:val="21"/>
                <w:szCs w:val="21"/>
                <w:highlight w:val="none"/>
                <w:u w:val="none"/>
              </w:rPr>
              <w:t>时间：在递交投标文件截止时间15天前</w:t>
            </w:r>
            <w:r>
              <w:rPr>
                <w:rFonts w:hint="eastAsia" w:ascii="宋体" w:hAnsi="宋体" w:eastAsia="宋体" w:cs="宋体"/>
                <w:color w:val="auto"/>
                <w:spacing w:val="0"/>
                <w:sz w:val="21"/>
                <w:szCs w:val="21"/>
                <w:highlight w:val="none"/>
                <w:u w:val="none"/>
                <w:lang w:eastAsia="zh-CN"/>
              </w:rPr>
              <w:t>。</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u w:val="none"/>
              </w:rPr>
              <w:t>形式：在</w:t>
            </w:r>
            <w:r>
              <w:rPr>
                <w:rFonts w:hint="eastAsia" w:ascii="宋体" w:hAnsi="宋体" w:eastAsia="宋体" w:cs="宋体"/>
                <w:color w:val="auto"/>
                <w:spacing w:val="0"/>
                <w:sz w:val="21"/>
                <w:szCs w:val="21"/>
                <w:highlight w:val="none"/>
                <w:u w:val="none"/>
                <w:lang w:eastAsia="zh-CN"/>
              </w:rPr>
              <w:t>广州交易集团有限公司（广州公共资源交易中心）</w:t>
            </w:r>
            <w:r>
              <w:rPr>
                <w:rFonts w:hint="eastAsia" w:ascii="宋体" w:hAnsi="宋体" w:eastAsia="宋体" w:cs="宋体"/>
                <w:color w:val="auto"/>
                <w:spacing w:val="0"/>
                <w:sz w:val="21"/>
                <w:szCs w:val="21"/>
                <w:highlight w:val="none"/>
                <w:u w:val="none"/>
              </w:rPr>
              <w:t>网站通过</w:t>
            </w:r>
            <w:r>
              <w:rPr>
                <w:rFonts w:hint="eastAsia" w:ascii="宋体" w:hAnsi="宋体" w:eastAsia="宋体" w:cs="宋体"/>
                <w:color w:val="auto"/>
                <w:spacing w:val="0"/>
                <w:sz w:val="21"/>
                <w:szCs w:val="21"/>
                <w:highlight w:val="none"/>
                <w:u w:val="single"/>
              </w:rPr>
              <w:t>“项目查询(日程安排、答疑纪要)”</w:t>
            </w:r>
            <w:r>
              <w:rPr>
                <w:rFonts w:hint="eastAsia" w:ascii="宋体" w:hAnsi="宋体" w:eastAsia="宋体" w:cs="宋体"/>
                <w:color w:val="auto"/>
                <w:spacing w:val="0"/>
                <w:sz w:val="21"/>
                <w:szCs w:val="21"/>
                <w:highlight w:val="none"/>
                <w:u w:val="none"/>
              </w:rPr>
              <w:t>专区网上公开发布。</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vMerge w:val="restart"/>
            <w:tcBorders>
              <w:top w:val="single" w:color="000000" w:sz="6" w:space="0"/>
              <w:left w:val="single" w:color="000000" w:sz="4"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2.2.3</w:t>
            </w:r>
          </w:p>
        </w:tc>
        <w:tc>
          <w:tcPr>
            <w:tcW w:w="2138" w:type="dxa"/>
            <w:vMerge w:val="restart"/>
            <w:tcBorders>
              <w:top w:val="single" w:color="000000" w:sz="6" w:space="0"/>
              <w:left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投标人确认收到招标文件澄清</w:t>
            </w:r>
          </w:p>
        </w:tc>
        <w:tc>
          <w:tcPr>
            <w:tcW w:w="6133" w:type="dxa"/>
            <w:tcBorders>
              <w:top w:val="single" w:color="000000" w:sz="6" w:space="0"/>
              <w:left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u w:val="none"/>
              </w:rPr>
              <w:t>时间：发出即视作收到。</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vMerge w:val="continue"/>
            <w:tcBorders>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p>
        </w:tc>
        <w:tc>
          <w:tcPr>
            <w:tcW w:w="2138" w:type="dxa"/>
            <w:vMerge w:val="continue"/>
            <w:tcBorders>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p>
        </w:tc>
        <w:tc>
          <w:tcPr>
            <w:tcW w:w="6133" w:type="dxa"/>
            <w:tcBorders>
              <w:top w:val="single" w:color="000000" w:sz="6" w:space="0"/>
              <w:left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u w:val="none"/>
              </w:rPr>
              <w:t>形式：招标文件澄清（招标答疑纪要）一经在</w:t>
            </w:r>
            <w:r>
              <w:rPr>
                <w:rFonts w:hint="eastAsia" w:ascii="宋体" w:hAnsi="宋体" w:eastAsia="宋体" w:cs="宋体"/>
                <w:color w:val="auto"/>
                <w:spacing w:val="0"/>
                <w:sz w:val="21"/>
                <w:szCs w:val="21"/>
                <w:highlight w:val="none"/>
                <w:u w:val="none"/>
                <w:lang w:eastAsia="zh-CN"/>
              </w:rPr>
              <w:t>广州交易集团有限公司（广州公共资源交易中心）</w:t>
            </w:r>
            <w:r>
              <w:rPr>
                <w:rFonts w:hint="eastAsia" w:ascii="宋体" w:hAnsi="宋体" w:eastAsia="宋体" w:cs="宋体"/>
                <w:color w:val="auto"/>
                <w:spacing w:val="0"/>
                <w:sz w:val="21"/>
                <w:szCs w:val="21"/>
                <w:highlight w:val="none"/>
                <w:u w:val="none"/>
              </w:rPr>
              <w:t>网站发布，视作已发放给所有投标人。招标文件澄清文件（招标答疑纪要）为招标文件的一部分。投标人可在广州交易集团有限公司（广州公共资源交易中心）网站浏览、下载招标文件澄清文件（招标答疑纪要）。若招标文件澄清文件（招标答疑纪要）与招标文件有矛盾时，以广州交易集团有限公司（广州公共资源交易中心）网站最后发布的招标文件澄清文件（招标答疑纪要）为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2.3.1</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招标文件修改发出的形式</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none"/>
              </w:rPr>
            </w:pPr>
            <w:r>
              <w:rPr>
                <w:rStyle w:val="63"/>
                <w:rFonts w:hint="eastAsia" w:ascii="宋体" w:hAnsi="宋体" w:eastAsia="宋体" w:cs="宋体"/>
                <w:color w:val="auto"/>
                <w:spacing w:val="0"/>
                <w:sz w:val="21"/>
                <w:szCs w:val="21"/>
                <w:highlight w:val="none"/>
                <w:u w:val="none"/>
              </w:rPr>
              <w:t>以补充公告或项目答疑澄清的方式在广州交易集团有限公司（广州公共资源交易中心）网站发布。</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vMerge w:val="restart"/>
            <w:tcBorders>
              <w:top w:val="single" w:color="000000" w:sz="6" w:space="0"/>
              <w:left w:val="single" w:color="000000" w:sz="4"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2.3.2</w:t>
            </w:r>
          </w:p>
        </w:tc>
        <w:tc>
          <w:tcPr>
            <w:tcW w:w="2138" w:type="dxa"/>
            <w:vMerge w:val="restart"/>
            <w:tcBorders>
              <w:top w:val="single" w:color="000000" w:sz="6" w:space="0"/>
              <w:left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投标人确认收到招标文件修改</w:t>
            </w:r>
          </w:p>
        </w:tc>
        <w:tc>
          <w:tcPr>
            <w:tcW w:w="6133" w:type="dxa"/>
            <w:tcBorders>
              <w:top w:val="single" w:color="000000" w:sz="6" w:space="0"/>
              <w:left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u w:val="none"/>
              </w:rPr>
              <w:t>时间：发出即视作收到。</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vMerge w:val="continue"/>
            <w:tcBorders>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p>
        </w:tc>
        <w:tc>
          <w:tcPr>
            <w:tcW w:w="2138" w:type="dxa"/>
            <w:vMerge w:val="continue"/>
            <w:tcBorders>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p>
        </w:tc>
        <w:tc>
          <w:tcPr>
            <w:tcW w:w="6133" w:type="dxa"/>
            <w:tcBorders>
              <w:top w:val="single" w:color="000000" w:sz="6" w:space="0"/>
              <w:left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u w:val="none"/>
              </w:rPr>
              <w:t>形式：招标文件修改一经在</w:t>
            </w:r>
            <w:r>
              <w:rPr>
                <w:rFonts w:hint="eastAsia" w:ascii="宋体" w:hAnsi="宋体" w:eastAsia="宋体" w:cs="宋体"/>
                <w:color w:val="auto"/>
                <w:spacing w:val="0"/>
                <w:sz w:val="21"/>
                <w:szCs w:val="21"/>
                <w:highlight w:val="none"/>
                <w:u w:val="none"/>
                <w:lang w:eastAsia="zh-CN"/>
              </w:rPr>
              <w:t>广州交易集团有限公司（广州公共资源交易中心）</w:t>
            </w:r>
            <w:r>
              <w:rPr>
                <w:rFonts w:hint="eastAsia" w:ascii="宋体" w:hAnsi="宋体" w:eastAsia="宋体" w:cs="宋体"/>
                <w:color w:val="auto"/>
                <w:spacing w:val="0"/>
                <w:sz w:val="21"/>
                <w:szCs w:val="21"/>
                <w:highlight w:val="none"/>
                <w:u w:val="none"/>
              </w:rPr>
              <w:t>网站发布，视作已发放给所有投标人，无需确认。潜在投标人应自行关注招标公告公布的网站公告，招标人不再一一通知。投标人因自身贻误行为导致投标失败的，责任自负。</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3.1.1</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构成投标文件的其他资料</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满足本项目评审要求的其他资料。具体内容要求按投标文件格式填写，如无提供格式则由投标人自拟。</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3.2.1</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增值税税金的计算方法</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none"/>
              </w:rPr>
            </w:pPr>
            <w:r>
              <w:rPr>
                <w:rStyle w:val="63"/>
                <w:rFonts w:hint="eastAsia" w:ascii="宋体" w:hAnsi="宋体" w:eastAsia="宋体" w:cs="宋体"/>
                <w:color w:val="auto"/>
                <w:spacing w:val="0"/>
                <w:sz w:val="21"/>
                <w:szCs w:val="21"/>
                <w:highlight w:val="none"/>
                <w:u w:val="none"/>
              </w:rPr>
              <w:t>按国家税务机关的规定执行。</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3.2.3</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报价方式</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u w:val="none"/>
              </w:rPr>
              <w:t>由投标人在最高投标限价内根据企业自身实力进行含税报价（</w:t>
            </w:r>
            <w:r>
              <w:rPr>
                <w:rFonts w:hint="eastAsia" w:ascii="宋体" w:hAnsi="宋体" w:eastAsia="宋体" w:cs="宋体"/>
                <w:b/>
                <w:bCs/>
                <w:color w:val="auto"/>
                <w:spacing w:val="0"/>
                <w:sz w:val="21"/>
                <w:szCs w:val="21"/>
                <w:highlight w:val="none"/>
                <w:u w:val="none"/>
              </w:rPr>
              <w:t>以元为单位，保留两位小数，第三位小数四舍五入</w:t>
            </w:r>
            <w:r>
              <w:rPr>
                <w:rFonts w:hint="eastAsia" w:ascii="宋体" w:hAnsi="宋体" w:eastAsia="宋体" w:cs="宋体"/>
                <w:color w:val="auto"/>
                <w:spacing w:val="0"/>
                <w:sz w:val="21"/>
                <w:szCs w:val="21"/>
                <w:highlight w:val="none"/>
                <w:u w:val="non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3.2.4</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最高投标限价</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□无</w:t>
            </w:r>
          </w:p>
          <w:p>
            <w:pPr>
              <w:keepNext w:val="0"/>
              <w:keepLines w:val="0"/>
              <w:pageBreakBefore w:val="0"/>
              <w:widowControl w:val="0"/>
              <w:suppressLineNumbers w:val="0"/>
              <w:tabs>
                <w:tab w:val="left" w:pos="7513"/>
              </w:tabs>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b/>
                <w:bCs/>
                <w:color w:val="auto"/>
                <w:spacing w:val="0"/>
                <w:szCs w:val="21"/>
                <w:highlight w:val="none"/>
              </w:rPr>
            </w:pPr>
            <w:r>
              <w:rPr>
                <w:rStyle w:val="63"/>
                <w:rFonts w:hint="eastAsia" w:ascii="宋体" w:hAnsi="宋体" w:eastAsia="宋体" w:cs="宋体"/>
                <w:color w:val="auto"/>
                <w:spacing w:val="0"/>
                <w:sz w:val="21"/>
                <w:szCs w:val="21"/>
                <w:highlight w:val="none"/>
              </w:rPr>
              <w:t>☑</w:t>
            </w:r>
            <w:r>
              <w:rPr>
                <w:rStyle w:val="63"/>
                <w:rFonts w:hint="eastAsia" w:ascii="宋体" w:hAnsi="宋体" w:eastAsia="宋体" w:cs="宋体"/>
                <w:b w:val="0"/>
                <w:color w:val="auto"/>
                <w:spacing w:val="0"/>
                <w:sz w:val="21"/>
                <w:szCs w:val="21"/>
                <w:highlight w:val="none"/>
              </w:rPr>
              <w:t>有，</w:t>
            </w:r>
            <w:r>
              <w:rPr>
                <w:rFonts w:hint="eastAsia" w:ascii="宋体" w:hAnsi="宋体" w:eastAsia="宋体" w:cs="宋体"/>
                <w:color w:val="auto"/>
                <w:spacing w:val="0"/>
                <w:szCs w:val="21"/>
                <w:highlight w:val="none"/>
              </w:rPr>
              <w:t>最高投标限价（即招标控制价，下同）</w:t>
            </w:r>
            <w:r>
              <w:rPr>
                <w:rFonts w:hint="eastAsia" w:ascii="宋体" w:hAnsi="宋体" w:eastAsia="宋体" w:cs="宋体"/>
                <w:b w:val="0"/>
                <w:bCs w:val="0"/>
                <w:color w:val="auto"/>
                <w:spacing w:val="0"/>
                <w:szCs w:val="21"/>
                <w:highlight w:val="none"/>
              </w:rPr>
              <w:t>：</w:t>
            </w:r>
            <w:r>
              <w:rPr>
                <w:rFonts w:hint="eastAsia" w:ascii="宋体" w:hAnsi="宋体" w:eastAsia="宋体" w:cs="宋体"/>
                <w:b w:val="0"/>
                <w:bCs w:val="0"/>
                <w:color w:val="auto"/>
                <w:spacing w:val="0"/>
                <w:szCs w:val="21"/>
                <w:highlight w:val="none"/>
                <w:u w:val="single"/>
                <w:lang w:val="en-US" w:eastAsia="zh-CN"/>
              </w:rPr>
              <w:t>941,898.99</w:t>
            </w:r>
            <w:r>
              <w:rPr>
                <w:rFonts w:hint="eastAsia" w:ascii="宋体" w:hAnsi="宋体" w:eastAsia="宋体" w:cs="宋体"/>
                <w:b w:val="0"/>
                <w:bCs w:val="0"/>
                <w:color w:val="auto"/>
                <w:spacing w:val="0"/>
                <w:szCs w:val="21"/>
                <w:highlight w:val="none"/>
              </w:rPr>
              <w:t>元。</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lang w:eastAsia="zh-CN"/>
              </w:rPr>
            </w:pPr>
            <w:bookmarkStart w:id="18" w:name="_Toc23758"/>
            <w:bookmarkStart w:id="19" w:name="_Toc15975"/>
            <w:bookmarkStart w:id="20" w:name="_Toc2068"/>
            <w:bookmarkStart w:id="21" w:name="_Toc2833"/>
            <w:r>
              <w:rPr>
                <w:rFonts w:hint="eastAsia" w:ascii="宋体" w:hAnsi="宋体" w:eastAsia="宋体" w:cs="宋体"/>
                <w:b w:val="0"/>
                <w:bCs w:val="0"/>
                <w:color w:val="auto"/>
                <w:spacing w:val="0"/>
                <w:kern w:val="2"/>
                <w:sz w:val="21"/>
                <w:szCs w:val="21"/>
                <w:highlight w:val="none"/>
                <w:lang w:val="en-US" w:eastAsia="zh-CN" w:bidi="ar-SA"/>
              </w:rPr>
              <w:t>投标人投标报价超过最高投标限价的为无效标。</w:t>
            </w:r>
            <w:bookmarkEnd w:id="18"/>
            <w:bookmarkEnd w:id="19"/>
            <w:bookmarkEnd w:id="20"/>
            <w:bookmarkEnd w:id="21"/>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3.2.5</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投标报价的其他要求</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pStyle w:val="17"/>
              <w:keepNext w:val="0"/>
              <w:keepLines w:val="0"/>
              <w:widowControl/>
              <w:suppressLineNumbers w:val="0"/>
              <w:spacing w:before="0" w:beforeAutospacing="0" w:after="0" w:afterAutospacing="0"/>
              <w:ind w:left="0" w:right="0"/>
              <w:rPr>
                <w:rStyle w:val="63"/>
                <w:rFonts w:hint="eastAsia" w:ascii="宋体" w:hAnsi="宋体" w:eastAsia="宋体" w:cs="宋体"/>
                <w:color w:val="auto"/>
                <w:spacing w:val="0"/>
                <w:sz w:val="21"/>
                <w:szCs w:val="21"/>
                <w:highlight w:val="none"/>
                <w:u w:val="none"/>
              </w:rPr>
            </w:pPr>
            <w:r>
              <w:rPr>
                <w:rStyle w:val="63"/>
                <w:rFonts w:hint="eastAsia" w:ascii="宋体" w:hAnsi="宋体" w:eastAsia="宋体" w:cs="宋体"/>
                <w:color w:val="auto"/>
                <w:spacing w:val="0"/>
                <w:sz w:val="21"/>
                <w:szCs w:val="21"/>
                <w:highlight w:val="none"/>
                <w:u w:val="none"/>
              </w:rPr>
              <w:t>投标人必须详细审阅全部招标文件，充分考虑职责和义务，全面地理解招标文件对投标报价的要求，并按招标人提出的条件及内容进行报价。</w:t>
            </w:r>
          </w:p>
          <w:p>
            <w:pPr>
              <w:pStyle w:val="17"/>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u w:val="single"/>
              </w:rPr>
              <w:t>本项目合同结算按下述约定执行：</w:t>
            </w:r>
          </w:p>
          <w:p>
            <w:pPr>
              <w:pStyle w:val="17"/>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u w:val="single"/>
              </w:rPr>
              <w:t>施工图审查费根据国家发展改革委《关于降低部分建设项目收费标准规范收费行为等有关问题的通知》(发改价格【2011】534号文)及广州市物价局《转发省物价局关于降低部分建设项目收费标准规范收费行为等有关问题的通知》（穗价【2011】126号文），施工图审查服务费以工程勘察设计收费为基数乘以6.5%</w:t>
            </w:r>
            <w:r>
              <w:rPr>
                <w:rFonts w:hint="eastAsia" w:ascii="宋体" w:hAnsi="宋体" w:eastAsia="宋体" w:cs="宋体"/>
                <w:color w:val="auto"/>
                <w:spacing w:val="0"/>
                <w:sz w:val="21"/>
                <w:szCs w:val="21"/>
                <w:highlight w:val="none"/>
                <w:u w:val="single"/>
                <w:lang w:val="en-US" w:eastAsia="zh-CN"/>
              </w:rPr>
              <w:t>后再下浮5%X（1-投标下浮率），</w:t>
            </w:r>
            <w:r>
              <w:rPr>
                <w:rFonts w:hint="eastAsia" w:ascii="宋体" w:hAnsi="宋体" w:eastAsia="宋体" w:cs="宋体"/>
                <w:color w:val="auto"/>
                <w:spacing w:val="0"/>
                <w:sz w:val="21"/>
                <w:szCs w:val="21"/>
                <w:highlight w:val="none"/>
                <w:u w:val="single"/>
              </w:rPr>
              <w:t>本工程施工图审查服务费计费基数暂按勘察设计费</w:t>
            </w:r>
            <w:r>
              <w:rPr>
                <w:rFonts w:hint="eastAsia" w:ascii="宋体" w:hAnsi="宋体" w:eastAsia="宋体" w:cs="宋体"/>
                <w:color w:val="auto"/>
                <w:spacing w:val="0"/>
                <w:sz w:val="21"/>
                <w:szCs w:val="21"/>
                <w:highlight w:val="none"/>
                <w:u w:val="single"/>
                <w:lang w:val="en-US" w:eastAsia="zh-CN"/>
              </w:rPr>
              <w:t>15,253,424.96</w:t>
            </w:r>
            <w:r>
              <w:rPr>
                <w:rFonts w:hint="eastAsia" w:ascii="宋体" w:hAnsi="宋体" w:eastAsia="宋体" w:cs="宋体"/>
                <w:color w:val="auto"/>
                <w:spacing w:val="0"/>
                <w:sz w:val="21"/>
                <w:szCs w:val="21"/>
                <w:highlight w:val="none"/>
                <w:u w:val="single"/>
              </w:rPr>
              <w:t>元计算，施工图审查费最终以广州开发区财政局或其授权委托单位审核的结算价为准，且不得超过审定概算中的施工图审查费。</w:t>
            </w:r>
          </w:p>
          <w:p>
            <w:pPr>
              <w:pStyle w:val="17"/>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u w:val="none"/>
              </w:rPr>
              <w:t>（</w:t>
            </w:r>
            <w:r>
              <w:rPr>
                <w:rStyle w:val="63"/>
                <w:rFonts w:hint="eastAsia" w:ascii="宋体" w:hAnsi="宋体" w:eastAsia="宋体" w:cs="宋体"/>
                <w:color w:val="auto"/>
                <w:spacing w:val="0"/>
                <w:sz w:val="21"/>
                <w:szCs w:val="21"/>
                <w:highlight w:val="none"/>
                <w:u w:val="none"/>
                <w:lang w:val="en-US"/>
              </w:rPr>
              <w:t>2</w:t>
            </w:r>
            <w:r>
              <w:rPr>
                <w:rStyle w:val="63"/>
                <w:rFonts w:hint="eastAsia" w:ascii="宋体" w:hAnsi="宋体" w:eastAsia="宋体" w:cs="宋体"/>
                <w:color w:val="auto"/>
                <w:spacing w:val="0"/>
                <w:sz w:val="21"/>
                <w:szCs w:val="21"/>
                <w:highlight w:val="none"/>
                <w:u w:val="none"/>
              </w:rPr>
              <w:t>）除非合同另有规定，投标报价应已包括但不限于设备、劳务、管理、交通、维护、保险、利润、税金、政策性文件规定及合同包含的所有风险、责任等各项所有费用。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3.3.1</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投标有效期</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u w:val="single"/>
              </w:rPr>
              <w:t>90</w:t>
            </w:r>
            <w:r>
              <w:rPr>
                <w:rStyle w:val="63"/>
                <w:rFonts w:hint="eastAsia" w:ascii="宋体" w:hAnsi="宋体" w:eastAsia="宋体" w:cs="宋体"/>
                <w:color w:val="auto"/>
                <w:spacing w:val="0"/>
                <w:sz w:val="21"/>
                <w:szCs w:val="21"/>
                <w:highlight w:val="none"/>
              </w:rPr>
              <w:t>日历天</w:t>
            </w:r>
            <w:r>
              <w:rPr>
                <w:rFonts w:hint="eastAsia" w:ascii="宋体" w:hAnsi="宋体" w:eastAsia="宋体" w:cs="宋体"/>
                <w:color w:val="auto"/>
                <w:spacing w:val="0"/>
                <w:sz w:val="21"/>
                <w:szCs w:val="21"/>
                <w:highlight w:val="none"/>
              </w:rPr>
              <w:t>（从提交投标截止之日起计算。如出现异议或投诉，则投标有效期自动延长至异议或投诉处理结束</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3.4.1</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投标保证金</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63" w:leftChars="30" w:right="63" w:rightChars="30" w:firstLine="0" w:firstLineChars="0"/>
              <w:jc w:val="both"/>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是否要求投标人递交投标保证金：</w:t>
            </w:r>
          </w:p>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u w:val="none"/>
              </w:rPr>
              <w:t>☑</w:t>
            </w:r>
            <w:r>
              <w:rPr>
                <w:rFonts w:hint="eastAsia" w:ascii="宋体" w:hAnsi="宋体" w:eastAsia="宋体" w:cs="宋体"/>
                <w:color w:val="auto"/>
                <w:spacing w:val="0"/>
                <w:sz w:val="21"/>
                <w:szCs w:val="21"/>
                <w:highlight w:val="none"/>
              </w:rPr>
              <w:t>不要求</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3.5</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资格审查资料的特殊要求</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none"/>
              </w:rPr>
            </w:pPr>
            <w:r>
              <w:rPr>
                <w:rStyle w:val="63"/>
                <w:rFonts w:hint="eastAsia" w:ascii="宋体" w:hAnsi="宋体" w:eastAsia="宋体" w:cs="宋体"/>
                <w:color w:val="auto"/>
                <w:spacing w:val="0"/>
                <w:sz w:val="21"/>
                <w:szCs w:val="21"/>
                <w:highlight w:val="none"/>
                <w:u w:val="none"/>
              </w:rPr>
              <w:t>☑无</w:t>
            </w:r>
          </w:p>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single"/>
                <w:lang w:val="en-US"/>
              </w:rPr>
            </w:pPr>
            <w:r>
              <w:rPr>
                <w:rStyle w:val="63"/>
                <w:rFonts w:hint="eastAsia" w:ascii="宋体" w:hAnsi="宋体" w:eastAsia="宋体" w:cs="宋体"/>
                <w:color w:val="auto"/>
                <w:spacing w:val="0"/>
                <w:sz w:val="21"/>
                <w:szCs w:val="21"/>
                <w:highlight w:val="none"/>
                <w:u w:val="none"/>
              </w:rPr>
              <w:t>□有，具体要求：</w:t>
            </w:r>
            <w:r>
              <w:rPr>
                <w:rStyle w:val="63"/>
                <w:rFonts w:hint="eastAsia" w:ascii="宋体" w:hAnsi="宋体" w:eastAsia="宋体" w:cs="宋体"/>
                <w:color w:val="auto"/>
                <w:spacing w:val="0"/>
                <w:sz w:val="21"/>
                <w:szCs w:val="21"/>
                <w:highlight w:val="none"/>
                <w:u w:val="single"/>
              </w:rPr>
              <w:t xml:space="preserve"> /</w:t>
            </w:r>
            <w:r>
              <w:rPr>
                <w:rStyle w:val="63"/>
                <w:rFonts w:hint="eastAsia" w:ascii="宋体" w:hAnsi="宋体" w:eastAsia="宋体" w:cs="宋体"/>
                <w:color w:val="auto"/>
                <w:spacing w:val="0"/>
                <w:sz w:val="21"/>
                <w:szCs w:val="21"/>
                <w:highlight w:val="none"/>
                <w:u w:val="single"/>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3.6.1</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是否允许递交备选投标方案</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☑不允许</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□允许</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3.7.3A（2）</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投标文件副本份数及其他要求</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3.7.3A（3）</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投标文件是否需分册装订</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3.7.3（B）</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投标文件所附证书证件要求</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u w:val="none"/>
                <w:lang w:val="en-US" w:eastAsia="zh-CN"/>
              </w:rPr>
              <w:t>证书证件需为清晰扫描件或电子证书证件。</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3.7.3（B）</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投标文件签字或盖章要求</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u w:val="none"/>
                <w:lang w:val="en-US" w:eastAsia="zh-CN"/>
              </w:rPr>
            </w:pPr>
            <w:r>
              <w:rPr>
                <w:rFonts w:hint="eastAsia" w:ascii="宋体" w:hAnsi="宋体" w:eastAsia="宋体" w:cs="宋体"/>
                <w:color w:val="auto"/>
                <w:spacing w:val="0"/>
                <w:sz w:val="21"/>
                <w:szCs w:val="21"/>
                <w:highlight w:val="none"/>
                <w:u w:val="none"/>
                <w:lang w:val="en-US" w:eastAsia="zh-CN"/>
              </w:rPr>
              <w:t>投标文件中需个人签字或盖章的，应加盖个人电子印章或线下完成后原件扫描上传。</w:t>
            </w:r>
          </w:p>
          <w:p>
            <w:pPr>
              <w:pStyle w:val="11"/>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u w:val="none"/>
              </w:rPr>
              <w:t>具体操作详见广州交易集团有限公司（广州公共资源交易中心）网站最新发布的《建设工程全流程电子化项目操作指南》。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4.1.1（B）</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投标文件加密要求</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lang w:val="en-US"/>
              </w:rPr>
              <w:t>1.</w:t>
            </w:r>
            <w:r>
              <w:rPr>
                <w:rStyle w:val="63"/>
                <w:rFonts w:hint="eastAsia" w:ascii="宋体" w:hAnsi="宋体" w:eastAsia="宋体" w:cs="宋体"/>
                <w:color w:val="auto"/>
                <w:spacing w:val="0"/>
                <w:sz w:val="21"/>
                <w:szCs w:val="21"/>
                <w:highlight w:val="none"/>
              </w:rPr>
              <w:t>网上递交的电子投标文件须进行加密。未按要求加密的投标文件，新交易平台将予以拒收。具体操作详见广州交易集团有限公司（广州公共资源交易中心）网站最新发布的《建设工程全流程电子化项目操作指南》。</w:t>
            </w:r>
          </w:p>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single"/>
              </w:rPr>
            </w:pPr>
            <w:r>
              <w:rPr>
                <w:rStyle w:val="63"/>
                <w:rFonts w:hint="eastAsia" w:ascii="宋体" w:hAnsi="宋体" w:eastAsia="宋体" w:cs="宋体"/>
                <w:color w:val="auto"/>
                <w:spacing w:val="0"/>
                <w:sz w:val="21"/>
                <w:szCs w:val="21"/>
                <w:highlight w:val="none"/>
                <w:lang w:val="en-US"/>
              </w:rPr>
              <w:t>2.如有提交备用投标文件电子光盘，备用投标文件电子光盘应密封包装，并在封套的封口处加盖投标人单位公章。未按要求密封的投标文件，招标人将予以拒收</w:t>
            </w:r>
            <w:r>
              <w:rPr>
                <w:rStyle w:val="63"/>
                <w:rFonts w:hint="eastAsia" w:ascii="宋体" w:hAnsi="宋体" w:eastAsia="宋体" w:cs="宋体"/>
                <w:color w:val="auto"/>
                <w:spacing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4.1.2</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shd w:val="clear" w:color="auto" w:fill="D9D9D9"/>
              </w:rPr>
            </w:pPr>
            <w:r>
              <w:rPr>
                <w:rStyle w:val="63"/>
                <w:rFonts w:hint="eastAsia" w:ascii="宋体" w:hAnsi="宋体" w:eastAsia="宋体" w:cs="宋体"/>
                <w:color w:val="auto"/>
                <w:spacing w:val="0"/>
                <w:sz w:val="21"/>
                <w:szCs w:val="21"/>
                <w:highlight w:val="none"/>
              </w:rPr>
              <w:t>封套上应载明的信息</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single"/>
                <w:lang w:eastAsia="zh-CN"/>
              </w:rPr>
            </w:pPr>
            <w:r>
              <w:rPr>
                <w:rStyle w:val="63"/>
                <w:rFonts w:hint="eastAsia" w:ascii="宋体" w:hAnsi="宋体" w:eastAsia="宋体" w:cs="宋体"/>
                <w:color w:val="auto"/>
                <w:spacing w:val="0"/>
                <w:sz w:val="21"/>
                <w:szCs w:val="21"/>
                <w:highlight w:val="none"/>
              </w:rPr>
              <w:t>招标人名称：</w:t>
            </w:r>
            <w:r>
              <w:rPr>
                <w:rStyle w:val="63"/>
                <w:rFonts w:hint="eastAsia" w:ascii="宋体" w:hAnsi="宋体" w:eastAsia="宋体" w:cs="宋体"/>
                <w:color w:val="auto"/>
                <w:spacing w:val="0"/>
                <w:sz w:val="21"/>
                <w:szCs w:val="21"/>
                <w:highlight w:val="none"/>
                <w:u w:val="single"/>
              </w:rPr>
              <w:t xml:space="preserve">          </w:t>
            </w:r>
            <w:r>
              <w:rPr>
                <w:rStyle w:val="63"/>
                <w:rFonts w:hint="eastAsia" w:ascii="宋体" w:hAnsi="宋体" w:eastAsia="宋体" w:cs="宋体"/>
                <w:color w:val="auto"/>
                <w:spacing w:val="0"/>
                <w:sz w:val="21"/>
                <w:szCs w:val="21"/>
                <w:highlight w:val="none"/>
                <w:u w:val="single"/>
                <w:lang w:val="en-US"/>
              </w:rPr>
              <w:t xml:space="preserve">  </w:t>
            </w:r>
            <w:r>
              <w:rPr>
                <w:rStyle w:val="63"/>
                <w:rFonts w:hint="eastAsia" w:ascii="宋体" w:hAnsi="宋体" w:eastAsia="宋体" w:cs="宋体"/>
                <w:color w:val="auto"/>
                <w:spacing w:val="0"/>
                <w:sz w:val="21"/>
                <w:szCs w:val="21"/>
                <w:highlight w:val="none"/>
                <w:u w:val="single"/>
              </w:rPr>
              <w:t xml:space="preserve">    </w:t>
            </w:r>
          </w:p>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u w:val="single"/>
              </w:rPr>
              <w:t xml:space="preserve">   </w:t>
            </w:r>
            <w:r>
              <w:rPr>
                <w:rStyle w:val="63"/>
                <w:rFonts w:hint="eastAsia" w:ascii="宋体" w:hAnsi="宋体" w:eastAsia="宋体" w:cs="宋体"/>
                <w:color w:val="auto"/>
                <w:spacing w:val="0"/>
                <w:sz w:val="21"/>
                <w:szCs w:val="21"/>
                <w:highlight w:val="none"/>
                <w:u w:val="single"/>
                <w:lang w:val="en-US"/>
              </w:rPr>
              <w:t xml:space="preserve">  </w:t>
            </w:r>
            <w:r>
              <w:rPr>
                <w:rStyle w:val="63"/>
                <w:rFonts w:hint="eastAsia" w:ascii="宋体" w:hAnsi="宋体" w:eastAsia="宋体" w:cs="宋体"/>
                <w:color w:val="auto"/>
                <w:spacing w:val="0"/>
                <w:sz w:val="21"/>
                <w:szCs w:val="21"/>
                <w:highlight w:val="none"/>
                <w:u w:val="single"/>
              </w:rPr>
              <w:t xml:space="preserve">  （项目名称）  </w:t>
            </w:r>
            <w:r>
              <w:rPr>
                <w:rStyle w:val="63"/>
                <w:rFonts w:hint="eastAsia" w:ascii="宋体" w:hAnsi="宋体" w:eastAsia="宋体" w:cs="宋体"/>
                <w:color w:val="auto"/>
                <w:spacing w:val="0"/>
                <w:sz w:val="21"/>
                <w:szCs w:val="21"/>
                <w:highlight w:val="none"/>
                <w:u w:val="single"/>
                <w:lang w:val="en-US"/>
              </w:rPr>
              <w:t xml:space="preserve">  </w:t>
            </w:r>
            <w:r>
              <w:rPr>
                <w:rStyle w:val="63"/>
                <w:rFonts w:hint="eastAsia" w:ascii="宋体" w:hAnsi="宋体" w:eastAsia="宋体" w:cs="宋体"/>
                <w:color w:val="auto"/>
                <w:spacing w:val="0"/>
                <w:sz w:val="21"/>
                <w:szCs w:val="21"/>
                <w:highlight w:val="none"/>
                <w:u w:val="single"/>
              </w:rPr>
              <w:t xml:space="preserve">   </w:t>
            </w:r>
            <w:r>
              <w:rPr>
                <w:rStyle w:val="63"/>
                <w:rFonts w:hint="eastAsia" w:ascii="宋体" w:hAnsi="宋体" w:eastAsia="宋体" w:cs="宋体"/>
                <w:color w:val="auto"/>
                <w:spacing w:val="0"/>
                <w:sz w:val="21"/>
                <w:szCs w:val="21"/>
                <w:highlight w:val="none"/>
              </w:rPr>
              <w:t>投标文件</w:t>
            </w:r>
          </w:p>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招标项目编号：</w:t>
            </w:r>
            <w:r>
              <w:rPr>
                <w:rStyle w:val="63"/>
                <w:rFonts w:hint="eastAsia" w:ascii="宋体" w:hAnsi="宋体" w:eastAsia="宋体" w:cs="宋体"/>
                <w:color w:val="auto"/>
                <w:spacing w:val="0"/>
                <w:sz w:val="21"/>
                <w:szCs w:val="21"/>
                <w:highlight w:val="none"/>
                <w:u w:val="single"/>
              </w:rPr>
              <w:t xml:space="preserve">              </w:t>
            </w:r>
          </w:p>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投标人名称：</w:t>
            </w:r>
            <w:r>
              <w:rPr>
                <w:rStyle w:val="63"/>
                <w:rFonts w:hint="eastAsia" w:ascii="宋体" w:hAnsi="宋体" w:eastAsia="宋体" w:cs="宋体"/>
                <w:color w:val="auto"/>
                <w:spacing w:val="0"/>
                <w:sz w:val="21"/>
                <w:szCs w:val="21"/>
                <w:highlight w:val="none"/>
                <w:u w:val="single"/>
              </w:rPr>
              <w:t xml:space="preserve">              </w:t>
            </w:r>
          </w:p>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投标人地址：</w:t>
            </w:r>
            <w:r>
              <w:rPr>
                <w:rStyle w:val="63"/>
                <w:rFonts w:hint="eastAsia" w:ascii="宋体" w:hAnsi="宋体" w:eastAsia="宋体" w:cs="宋体"/>
                <w:color w:val="auto"/>
                <w:spacing w:val="0"/>
                <w:sz w:val="21"/>
                <w:szCs w:val="21"/>
                <w:highlight w:val="none"/>
                <w:u w:val="single"/>
              </w:rPr>
              <w:t xml:space="preserve">              </w:t>
            </w:r>
          </w:p>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在</w:t>
            </w:r>
            <w:r>
              <w:rPr>
                <w:rStyle w:val="63"/>
                <w:rFonts w:hint="eastAsia" w:ascii="宋体" w:hAnsi="宋体" w:eastAsia="宋体" w:cs="宋体"/>
                <w:color w:val="auto"/>
                <w:spacing w:val="0"/>
                <w:sz w:val="21"/>
                <w:szCs w:val="21"/>
                <w:highlight w:val="none"/>
                <w:u w:val="single"/>
              </w:rPr>
              <w:t xml:space="preserve">  </w:t>
            </w:r>
            <w:r>
              <w:rPr>
                <w:rStyle w:val="63"/>
                <w:rFonts w:hint="eastAsia" w:ascii="宋体" w:hAnsi="宋体" w:eastAsia="宋体" w:cs="宋体"/>
                <w:color w:val="auto"/>
                <w:spacing w:val="0"/>
                <w:sz w:val="21"/>
                <w:szCs w:val="21"/>
                <w:highlight w:val="none"/>
                <w:u w:val="single"/>
                <w:lang w:val="en-US"/>
              </w:rPr>
              <w:t xml:space="preserve">  </w:t>
            </w:r>
            <w:r>
              <w:rPr>
                <w:rStyle w:val="63"/>
                <w:rFonts w:hint="eastAsia" w:ascii="宋体" w:hAnsi="宋体" w:eastAsia="宋体" w:cs="宋体"/>
                <w:color w:val="auto"/>
                <w:spacing w:val="0"/>
                <w:sz w:val="21"/>
                <w:szCs w:val="21"/>
                <w:highlight w:val="none"/>
                <w:u w:val="single"/>
              </w:rPr>
              <w:t xml:space="preserve">  </w:t>
            </w:r>
            <w:r>
              <w:rPr>
                <w:rStyle w:val="63"/>
                <w:rFonts w:hint="eastAsia" w:ascii="宋体" w:hAnsi="宋体" w:eastAsia="宋体" w:cs="宋体"/>
                <w:color w:val="auto"/>
                <w:spacing w:val="0"/>
                <w:sz w:val="21"/>
                <w:szCs w:val="21"/>
                <w:highlight w:val="none"/>
              </w:rPr>
              <w:t>年</w:t>
            </w:r>
            <w:r>
              <w:rPr>
                <w:rStyle w:val="63"/>
                <w:rFonts w:hint="eastAsia" w:ascii="宋体" w:hAnsi="宋体" w:eastAsia="宋体" w:cs="宋体"/>
                <w:color w:val="auto"/>
                <w:spacing w:val="0"/>
                <w:sz w:val="21"/>
                <w:szCs w:val="21"/>
                <w:highlight w:val="none"/>
                <w:u w:val="single"/>
              </w:rPr>
              <w:t xml:space="preserve">    </w:t>
            </w:r>
            <w:r>
              <w:rPr>
                <w:rStyle w:val="63"/>
                <w:rFonts w:hint="eastAsia" w:ascii="宋体" w:hAnsi="宋体" w:eastAsia="宋体" w:cs="宋体"/>
                <w:color w:val="auto"/>
                <w:spacing w:val="0"/>
                <w:sz w:val="21"/>
                <w:szCs w:val="21"/>
                <w:highlight w:val="none"/>
              </w:rPr>
              <w:t>月</w:t>
            </w:r>
            <w:r>
              <w:rPr>
                <w:rStyle w:val="63"/>
                <w:rFonts w:hint="eastAsia" w:ascii="宋体" w:hAnsi="宋体" w:eastAsia="宋体" w:cs="宋体"/>
                <w:color w:val="auto"/>
                <w:spacing w:val="0"/>
                <w:sz w:val="21"/>
                <w:szCs w:val="21"/>
                <w:highlight w:val="none"/>
                <w:u w:val="single"/>
              </w:rPr>
              <w:t xml:space="preserve">    </w:t>
            </w:r>
            <w:r>
              <w:rPr>
                <w:rStyle w:val="63"/>
                <w:rFonts w:hint="eastAsia" w:ascii="宋体" w:hAnsi="宋体" w:eastAsia="宋体" w:cs="宋体"/>
                <w:color w:val="auto"/>
                <w:spacing w:val="0"/>
                <w:sz w:val="21"/>
                <w:szCs w:val="21"/>
                <w:highlight w:val="none"/>
              </w:rPr>
              <w:t>日</w:t>
            </w:r>
            <w:r>
              <w:rPr>
                <w:rStyle w:val="63"/>
                <w:rFonts w:hint="eastAsia" w:ascii="宋体" w:hAnsi="宋体" w:eastAsia="宋体" w:cs="宋体"/>
                <w:color w:val="auto"/>
                <w:spacing w:val="0"/>
                <w:sz w:val="21"/>
                <w:szCs w:val="21"/>
                <w:highlight w:val="none"/>
                <w:u w:val="single"/>
              </w:rPr>
              <w:t xml:space="preserve">    </w:t>
            </w:r>
            <w:r>
              <w:rPr>
                <w:rStyle w:val="63"/>
                <w:rFonts w:hint="eastAsia" w:ascii="宋体" w:hAnsi="宋体" w:eastAsia="宋体" w:cs="宋体"/>
                <w:color w:val="auto"/>
                <w:spacing w:val="0"/>
                <w:sz w:val="21"/>
                <w:szCs w:val="21"/>
                <w:highlight w:val="none"/>
              </w:rPr>
              <w:t>时前不得开启（按投标截止时间）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4.2.1</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投标截止时间</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single"/>
              </w:rPr>
            </w:pPr>
            <w:r>
              <w:rPr>
                <w:rStyle w:val="63"/>
                <w:rFonts w:hint="eastAsia" w:ascii="宋体" w:hAnsi="宋体" w:eastAsia="宋体" w:cs="宋体"/>
                <w:color w:val="auto"/>
                <w:spacing w:val="0"/>
                <w:sz w:val="21"/>
                <w:szCs w:val="21"/>
                <w:highlight w:val="none"/>
                <w:u w:val="none"/>
              </w:rPr>
              <w:t>详见招标公告。具体时间可以到广州交易集团有限公司（广州公共资源交易中心）网站主页“建设工程→项目查询（日程安排、答疑纪要）”输入本“项目编号”或“项目名称”进行查询。</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4"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4.2.2（A）</w:t>
            </w:r>
          </w:p>
        </w:tc>
        <w:tc>
          <w:tcPr>
            <w:tcW w:w="2138" w:type="dxa"/>
            <w:tcBorders>
              <w:top w:val="single" w:color="000000" w:sz="6" w:space="0"/>
              <w:left w:val="single" w:color="000000" w:sz="6" w:space="0"/>
              <w:bottom w:val="single" w:color="000000" w:sz="4"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递交投标文件地点</w:t>
            </w:r>
          </w:p>
        </w:tc>
        <w:tc>
          <w:tcPr>
            <w:tcW w:w="6133" w:type="dxa"/>
            <w:tcBorders>
              <w:top w:val="single" w:color="000000" w:sz="6" w:space="0"/>
              <w:left w:val="single" w:color="000000" w:sz="6"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4"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lang w:val="en-US"/>
              </w:rPr>
            </w:pPr>
            <w:r>
              <w:rPr>
                <w:rStyle w:val="63"/>
                <w:rFonts w:hint="eastAsia" w:ascii="宋体" w:hAnsi="宋体" w:eastAsia="宋体" w:cs="宋体"/>
                <w:color w:val="auto"/>
                <w:spacing w:val="0"/>
                <w:sz w:val="21"/>
                <w:szCs w:val="21"/>
                <w:highlight w:val="none"/>
                <w:lang w:val="en-US"/>
              </w:rPr>
              <w:t>4.2.2（B）</w:t>
            </w:r>
          </w:p>
        </w:tc>
        <w:tc>
          <w:tcPr>
            <w:tcW w:w="2138" w:type="dxa"/>
            <w:tcBorders>
              <w:top w:val="single" w:color="000000" w:sz="6" w:space="0"/>
              <w:left w:val="single" w:color="000000" w:sz="6" w:space="0"/>
              <w:bottom w:val="single" w:color="000000" w:sz="4"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递交电子投标文件交易平台</w:t>
            </w:r>
          </w:p>
        </w:tc>
        <w:tc>
          <w:tcPr>
            <w:tcW w:w="6133" w:type="dxa"/>
            <w:tcBorders>
              <w:top w:val="single" w:color="000000" w:sz="6" w:space="0"/>
              <w:left w:val="single" w:color="000000" w:sz="6"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u w:val="single"/>
              </w:rPr>
              <w:t>1.递交方式：网上递交投标文件</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u w:val="single"/>
              </w:rPr>
              <w:t>2.交易平台：广州交易集团有限公司（广州公共资源交易中心）网站。</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u w:val="single"/>
                <w:lang w:val="en-US" w:eastAsia="zh-CN"/>
              </w:rPr>
              <w:t>3</w:t>
            </w:r>
            <w:r>
              <w:rPr>
                <w:rFonts w:hint="eastAsia" w:ascii="宋体" w:hAnsi="宋体" w:eastAsia="宋体" w:cs="宋体"/>
                <w:color w:val="auto"/>
                <w:spacing w:val="0"/>
                <w:sz w:val="21"/>
                <w:szCs w:val="21"/>
                <w:highlight w:val="none"/>
                <w:u w:val="single"/>
              </w:rPr>
              <w:t>.上述时间是否有改变，请密切留意补充公告（如有）和招标答疑纪要（如有）的相关信息。</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4.2.3</w:t>
            </w:r>
          </w:p>
        </w:tc>
        <w:tc>
          <w:tcPr>
            <w:tcW w:w="2138" w:type="dxa"/>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投标文件是否退还</w:t>
            </w:r>
          </w:p>
        </w:tc>
        <w:tc>
          <w:tcPr>
            <w:tcW w:w="6133" w:type="dxa"/>
            <w:tcBorders>
              <w:top w:val="single" w:color="000000" w:sz="4" w:space="0"/>
              <w:left w:val="single" w:color="000000" w:sz="6" w:space="0"/>
              <w:bottom w:val="single" w:color="000000" w:sz="6" w:space="0"/>
              <w:right w:val="single" w:color="000000" w:sz="4" w:space="0"/>
            </w:tcBorders>
            <w:noWrap w:val="0"/>
            <w:vAlign w:val="center"/>
          </w:tcPr>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☑否</w:t>
            </w:r>
          </w:p>
          <w:p>
            <w:pPr>
              <w:pStyle w:val="106"/>
              <w:keepNext w:val="0"/>
              <w:keepLines w:val="0"/>
              <w:pageBreakBefore w:val="0"/>
              <w:widowControl w:val="0"/>
              <w:suppressLineNumbers w:val="0"/>
              <w:kinsoku/>
              <w:wordWrap/>
              <w:overflowPunct/>
              <w:topLine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□是，退还时间：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5.1（A）</w:t>
            </w:r>
          </w:p>
        </w:tc>
        <w:tc>
          <w:tcPr>
            <w:tcW w:w="2138" w:type="dxa"/>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开标时间和地点</w:t>
            </w:r>
          </w:p>
        </w:tc>
        <w:tc>
          <w:tcPr>
            <w:tcW w:w="6133" w:type="dxa"/>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5.1（B）</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开标时间和地点</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具体开标时间、开标地点详见广州交易集团有限公司（广州公共资源交易中心）网站（http://www.gzggzy.cn）的项目查询(日程安排、答疑纪要)中输入本项目编号或项目名称进行查询。</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在广州交易集团有限公司（广州公共资源交易中心）公开开标，并邀请所有投标人的法定代表人（单位负责人）或其委托代理人准时参加。开标时，投标人代表有权出席开标会，也可以自主决定不参加开标会。也可选择参加在线开标，在线开标具体按照交易平台相关指南进行操作。</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u w:val="single"/>
                <w:lang w:val="en-US" w:eastAsia="zh-CN" w:bidi="ar-SA"/>
              </w:rPr>
              <w:t>上述时间及地点是否有改变，请密切留意补充公告（如有）和招标答疑纪要（如有）的相关信息。</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5.2（B）</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开标程序</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pStyle w:val="91"/>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lang w:val="zh-CN"/>
              </w:rPr>
            </w:pPr>
            <w:r>
              <w:rPr>
                <w:rStyle w:val="63"/>
                <w:rFonts w:hint="eastAsia" w:ascii="宋体" w:hAnsi="宋体" w:eastAsia="宋体" w:cs="宋体"/>
                <w:color w:val="auto"/>
                <w:spacing w:val="0"/>
                <w:sz w:val="21"/>
                <w:szCs w:val="21"/>
                <w:highlight w:val="none"/>
                <w:lang w:val="zh-CN"/>
              </w:rPr>
              <w:t>5.2.1主持人按下列程序进行开标：</w:t>
            </w:r>
          </w:p>
          <w:p>
            <w:pPr>
              <w:pStyle w:val="91"/>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lang w:val="zh-CN"/>
              </w:rPr>
            </w:pPr>
            <w:r>
              <w:rPr>
                <w:rStyle w:val="63"/>
                <w:rFonts w:hint="eastAsia" w:ascii="宋体" w:hAnsi="宋体" w:eastAsia="宋体" w:cs="宋体"/>
                <w:color w:val="auto"/>
                <w:spacing w:val="0"/>
                <w:sz w:val="21"/>
                <w:szCs w:val="21"/>
                <w:highlight w:val="none"/>
                <w:lang w:val="zh-CN"/>
              </w:rPr>
              <w:t>（1）宣布开标纪律；</w:t>
            </w:r>
          </w:p>
          <w:p>
            <w:pPr>
              <w:pStyle w:val="91"/>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lang w:val="zh-CN"/>
              </w:rPr>
            </w:pPr>
            <w:r>
              <w:rPr>
                <w:rStyle w:val="63"/>
                <w:rFonts w:hint="eastAsia" w:ascii="宋体" w:hAnsi="宋体" w:eastAsia="宋体" w:cs="宋体"/>
                <w:color w:val="auto"/>
                <w:spacing w:val="0"/>
                <w:sz w:val="21"/>
                <w:szCs w:val="21"/>
                <w:highlight w:val="none"/>
                <w:lang w:val="zh-CN"/>
              </w:rPr>
              <w:t>（2）公布在投标截止时间前递交投标文件的投标人名称；</w:t>
            </w:r>
          </w:p>
          <w:p>
            <w:pPr>
              <w:pStyle w:val="91"/>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lang w:val="zh-CN"/>
              </w:rPr>
            </w:pPr>
            <w:r>
              <w:rPr>
                <w:rStyle w:val="63"/>
                <w:rFonts w:hint="eastAsia" w:ascii="宋体" w:hAnsi="宋体" w:eastAsia="宋体" w:cs="宋体"/>
                <w:color w:val="auto"/>
                <w:spacing w:val="0"/>
                <w:sz w:val="21"/>
                <w:szCs w:val="21"/>
                <w:highlight w:val="none"/>
                <w:lang w:val="zh-CN"/>
              </w:rPr>
              <w:t>（3）宣布开标人、唱标人、记录人、监标人等有关人员姓名；</w:t>
            </w:r>
          </w:p>
          <w:p>
            <w:pPr>
              <w:pStyle w:val="91"/>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lang w:val="zh-CN"/>
              </w:rPr>
            </w:pPr>
            <w:r>
              <w:rPr>
                <w:rStyle w:val="63"/>
                <w:rFonts w:hint="eastAsia" w:ascii="宋体" w:hAnsi="宋体" w:eastAsia="宋体" w:cs="宋体"/>
                <w:color w:val="auto"/>
                <w:spacing w:val="0"/>
                <w:sz w:val="21"/>
                <w:szCs w:val="21"/>
                <w:highlight w:val="none"/>
                <w:lang w:val="zh-CN"/>
              </w:rPr>
              <w:t>（4）投标人通过电子招标投标交易平台对已递交的电子投标文件进行解密，公布招标项目名称、投标人名称、投标报价、服务期限及其他内容，并记录在案；</w:t>
            </w:r>
          </w:p>
          <w:p>
            <w:pPr>
              <w:pStyle w:val="91"/>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lang w:val="zh-CN"/>
              </w:rPr>
            </w:pPr>
            <w:r>
              <w:rPr>
                <w:rStyle w:val="63"/>
                <w:rFonts w:hint="eastAsia" w:ascii="宋体" w:hAnsi="宋体" w:eastAsia="宋体" w:cs="宋体"/>
                <w:color w:val="auto"/>
                <w:spacing w:val="0"/>
                <w:sz w:val="21"/>
                <w:szCs w:val="21"/>
                <w:highlight w:val="none"/>
                <w:lang w:val="zh-CN"/>
              </w:rPr>
              <w:t>（5）投标人代表、招标人代表、监标人、记录人等有关人员在开标记录上签字确认；若有关人员不签字的，不影响开标程序；</w:t>
            </w:r>
          </w:p>
          <w:p>
            <w:pPr>
              <w:pStyle w:val="91"/>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lang w:val="zh-CN"/>
              </w:rPr>
            </w:pPr>
            <w:r>
              <w:rPr>
                <w:rStyle w:val="63"/>
                <w:rFonts w:hint="eastAsia" w:ascii="宋体" w:hAnsi="宋体" w:eastAsia="宋体" w:cs="宋体"/>
                <w:color w:val="auto"/>
                <w:spacing w:val="0"/>
                <w:sz w:val="21"/>
                <w:szCs w:val="21"/>
                <w:highlight w:val="none"/>
                <w:lang w:val="zh-CN"/>
              </w:rPr>
              <w:t>（6）开标结束。</w:t>
            </w:r>
          </w:p>
          <w:p>
            <w:pPr>
              <w:pStyle w:val="91"/>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lang w:val="zh-CN"/>
              </w:rPr>
            </w:pPr>
            <w:r>
              <w:rPr>
                <w:rStyle w:val="63"/>
                <w:rFonts w:hint="eastAsia" w:ascii="宋体" w:hAnsi="宋体" w:eastAsia="宋体" w:cs="宋体"/>
                <w:color w:val="auto"/>
                <w:spacing w:val="0"/>
                <w:sz w:val="21"/>
                <w:szCs w:val="21"/>
                <w:highlight w:val="none"/>
                <w:lang w:val="zh-CN"/>
              </w:rPr>
              <w:t>5.2.2投标截止时间前未完成投标文件传输的或因投标人之外的原因造成投标文件未解密的，视为投标人其撤回投标文件。因投标人原因造成投标文件未解密的，视为撤销其投标文件。</w:t>
            </w:r>
          </w:p>
          <w:p>
            <w:pPr>
              <w:pStyle w:val="91"/>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lang w:val="zh-CN"/>
              </w:rPr>
            </w:pPr>
            <w:r>
              <w:rPr>
                <w:rStyle w:val="63"/>
                <w:rFonts w:hint="eastAsia" w:ascii="宋体" w:hAnsi="宋体" w:eastAsia="宋体" w:cs="宋体"/>
                <w:color w:val="auto"/>
                <w:spacing w:val="0"/>
                <w:sz w:val="21"/>
                <w:szCs w:val="21"/>
                <w:highlight w:val="none"/>
                <w:lang w:val="zh-CN"/>
              </w:rPr>
              <w:t>5.2.3开标时，两个（含两个）以上的投标人加密打包投标文件电脑机器特征码一致的，不参与下一程序，并由评标委员会否决其投标。</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overflowPunct/>
              <w:bidi w:val="0"/>
              <w:spacing w:before="0" w:beforeAutospacing="0" w:after="0" w:afterAutospacing="0" w:line="380" w:lineRule="exact"/>
              <w:ind w:left="0" w:right="0" w:firstLine="0" w:firstLineChars="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szCs w:val="21"/>
              </w:rPr>
              <w:t>5.3</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overflowPunct/>
              <w:bidi w:val="0"/>
              <w:spacing w:before="0" w:beforeAutospacing="0" w:after="0" w:afterAutospacing="0" w:line="380" w:lineRule="exact"/>
              <w:ind w:left="0" w:right="105" w:rightChars="50" w:firstLine="0" w:firstLineChars="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szCs w:val="21"/>
              </w:rPr>
              <w:t>开标异议</w:t>
            </w:r>
          </w:p>
        </w:tc>
        <w:tc>
          <w:tcPr>
            <w:tcW w:w="6133" w:type="dxa"/>
            <w:tcBorders>
              <w:top w:val="single" w:color="000000" w:sz="6" w:space="0"/>
              <w:left w:val="single" w:color="000000" w:sz="6" w:space="0"/>
              <w:bottom w:val="single" w:color="000000" w:sz="6" w:space="0"/>
              <w:right w:val="single" w:color="000000" w:sz="4" w:space="0"/>
            </w:tcBorders>
            <w:noWrap w:val="0"/>
            <w:vAlign w:val="bottom"/>
          </w:tcPr>
          <w:p>
            <w:pPr>
              <w:keepNext w:val="0"/>
              <w:keepLines w:val="0"/>
              <w:pageBreakBefore w:val="0"/>
              <w:widowControl w:val="0"/>
              <w:suppressLineNumbers w:val="0"/>
              <w:kinsoku/>
              <w:overflowPunct/>
              <w:bidi w:val="0"/>
              <w:spacing w:before="0" w:beforeAutospacing="0" w:after="0" w:afterAutospacing="0" w:line="380" w:lineRule="exact"/>
              <w:ind w:left="105" w:leftChars="50" w:right="105" w:rightChars="50" w:firstLine="0" w:firstLineChars="0"/>
              <w:rPr>
                <w:rFonts w:hint="eastAsia" w:ascii="宋体" w:hAnsi="宋体" w:eastAsia="宋体" w:cs="宋体"/>
                <w:color w:val="auto"/>
                <w:spacing w:val="0"/>
                <w:szCs w:val="21"/>
              </w:rPr>
            </w:pPr>
            <w:r>
              <w:rPr>
                <w:rFonts w:hint="eastAsia" w:ascii="宋体" w:hAnsi="宋体" w:eastAsia="宋体" w:cs="宋体"/>
                <w:color w:val="auto"/>
                <w:spacing w:val="0"/>
                <w:szCs w:val="21"/>
              </w:rPr>
              <w:t>5.3.1开标时，投标人代表有权出席开标会，也可以自主决定不参加开标会。</w:t>
            </w:r>
          </w:p>
          <w:p>
            <w:pPr>
              <w:keepNext w:val="0"/>
              <w:keepLines w:val="0"/>
              <w:pageBreakBefore w:val="0"/>
              <w:widowControl w:val="0"/>
              <w:suppressLineNumbers w:val="0"/>
              <w:kinsoku/>
              <w:overflowPunct/>
              <w:bidi w:val="0"/>
              <w:spacing w:before="0" w:beforeAutospacing="0" w:after="0" w:afterAutospacing="0" w:line="380" w:lineRule="exact"/>
              <w:ind w:left="105" w:leftChars="50" w:right="105" w:rightChars="50" w:firstLine="0" w:firstLineChars="0"/>
              <w:rPr>
                <w:rFonts w:hint="eastAsia" w:ascii="宋体" w:hAnsi="宋体" w:eastAsia="宋体" w:cs="宋体"/>
                <w:color w:val="auto"/>
                <w:spacing w:val="0"/>
                <w:szCs w:val="21"/>
              </w:rPr>
            </w:pPr>
            <w:r>
              <w:rPr>
                <w:rFonts w:hint="eastAsia" w:ascii="宋体" w:hAnsi="宋体" w:eastAsia="宋体" w:cs="宋体"/>
                <w:color w:val="auto"/>
                <w:spacing w:val="0"/>
                <w:szCs w:val="21"/>
              </w:rPr>
              <w:t>5.3.2参加在线开标的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未答复的，开标程序不得结束。</w:t>
            </w:r>
          </w:p>
          <w:p>
            <w:pPr>
              <w:keepNext w:val="0"/>
              <w:keepLines w:val="0"/>
              <w:pageBreakBefore w:val="0"/>
              <w:widowControl w:val="0"/>
              <w:suppressLineNumbers w:val="0"/>
              <w:kinsoku/>
              <w:overflowPunct/>
              <w:bidi w:val="0"/>
              <w:spacing w:before="0" w:beforeAutospacing="0" w:after="0" w:afterAutospacing="0" w:line="380" w:lineRule="exact"/>
              <w:ind w:left="105" w:leftChars="50" w:right="105" w:rightChars="50" w:firstLine="0" w:firstLineChars="0"/>
              <w:rPr>
                <w:rFonts w:hint="eastAsia" w:ascii="宋体" w:hAnsi="宋体" w:eastAsia="宋体" w:cs="宋体"/>
                <w:color w:val="auto"/>
                <w:spacing w:val="0"/>
                <w:kern w:val="2"/>
                <w:sz w:val="21"/>
                <w:szCs w:val="21"/>
                <w:lang w:val="zh-CN" w:eastAsia="zh-CN" w:bidi="ar-SA"/>
              </w:rPr>
            </w:pPr>
            <w:r>
              <w:rPr>
                <w:rFonts w:hint="eastAsia" w:ascii="宋体" w:hAnsi="宋体" w:eastAsia="宋体" w:cs="宋体"/>
                <w:color w:val="auto"/>
                <w:spacing w:val="0"/>
                <w:szCs w:val="21"/>
              </w:rPr>
              <w:t>5.3.3投标人未参加开标或在规定的时间内未提出异议的，视为对开标无异议。</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6.1.1</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评标委员会的组建</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评标委员会由招标人依法组建。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6.3.2</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评标委员会推荐中标候选人的人数</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推荐中标候选人：</w:t>
            </w:r>
            <w:r>
              <w:rPr>
                <w:rStyle w:val="63"/>
                <w:rFonts w:hint="eastAsia" w:ascii="宋体" w:hAnsi="宋体" w:eastAsia="宋体" w:cs="宋体"/>
                <w:color w:val="auto"/>
                <w:spacing w:val="0"/>
                <w:sz w:val="21"/>
                <w:szCs w:val="21"/>
                <w:highlight w:val="none"/>
                <w:u w:val="single"/>
              </w:rPr>
              <w:t xml:space="preserve"> 3名。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7.1</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中标候选人公示媒介及期限</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公示媒介：</w:t>
            </w:r>
            <w:r>
              <w:rPr>
                <w:rStyle w:val="63"/>
                <w:rFonts w:hint="eastAsia" w:ascii="宋体" w:hAnsi="宋体" w:eastAsia="宋体" w:cs="宋体"/>
                <w:color w:val="auto"/>
                <w:spacing w:val="0"/>
                <w:sz w:val="21"/>
                <w:szCs w:val="21"/>
                <w:highlight w:val="none"/>
                <w:u w:val="none"/>
              </w:rPr>
              <w:t>广州交易集团有限公司（广州公共资源交易中心）网站、广东省招标投标监管网、中国招标投标公共服务平台</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Cs w:val="21"/>
                <w:highlight w:val="none"/>
              </w:rPr>
            </w:pPr>
            <w:r>
              <w:rPr>
                <w:rStyle w:val="63"/>
                <w:rFonts w:hint="eastAsia" w:ascii="宋体" w:hAnsi="宋体" w:eastAsia="宋体" w:cs="宋体"/>
                <w:color w:val="auto"/>
                <w:spacing w:val="0"/>
                <w:sz w:val="21"/>
                <w:szCs w:val="21"/>
                <w:highlight w:val="none"/>
              </w:rPr>
              <w:t>公示期限：</w:t>
            </w:r>
            <w:r>
              <w:rPr>
                <w:rStyle w:val="63"/>
                <w:rFonts w:hint="eastAsia" w:ascii="宋体" w:hAnsi="宋体" w:eastAsia="宋体" w:cs="宋体"/>
                <w:color w:val="auto"/>
                <w:spacing w:val="0"/>
                <w:sz w:val="21"/>
                <w:szCs w:val="21"/>
                <w:highlight w:val="none"/>
                <w:u w:val="none"/>
              </w:rPr>
              <w:t>3</w:t>
            </w:r>
            <w:r>
              <w:rPr>
                <w:rStyle w:val="63"/>
                <w:rFonts w:hint="eastAsia" w:ascii="宋体" w:hAnsi="宋体" w:eastAsia="宋体" w:cs="宋体"/>
                <w:color w:val="auto"/>
                <w:spacing w:val="0"/>
                <w:sz w:val="21"/>
                <w:szCs w:val="21"/>
                <w:highlight w:val="none"/>
              </w:rPr>
              <w:t>日</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bookmarkStart w:id="22" w:name="_Toc20614"/>
            <w:bookmarkStart w:id="23" w:name="_Toc18383"/>
            <w:bookmarkStart w:id="24" w:name="_Toc15345"/>
            <w:bookmarkStart w:id="25" w:name="_Toc4243"/>
            <w:r>
              <w:rPr>
                <w:rStyle w:val="63"/>
                <w:rFonts w:hint="eastAsia" w:ascii="宋体" w:hAnsi="宋体" w:eastAsia="宋体" w:cs="宋体"/>
                <w:b w:val="0"/>
                <w:bCs w:val="0"/>
                <w:color w:val="auto"/>
                <w:spacing w:val="0"/>
                <w:sz w:val="21"/>
                <w:szCs w:val="21"/>
                <w:highlight w:val="none"/>
              </w:rPr>
              <w:t>注：投标人或者其他利害关系人对依法必须进行招标的项目的评标结果有异议的，应当在中标候选人公示期间通过电子交易系统提出。招标人应当在规定的异议答复期限内作出答复；作出答复前，应当暂停招标投标活动。</w:t>
            </w:r>
            <w:bookmarkEnd w:id="22"/>
            <w:bookmarkEnd w:id="23"/>
            <w:bookmarkEnd w:id="24"/>
            <w:bookmarkEnd w:id="25"/>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7.4</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是否授权评标委员会确定中标人</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□是</w:t>
            </w:r>
          </w:p>
          <w:p>
            <w:pPr>
              <w:pStyle w:val="91"/>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7.6.1</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履约保证金</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是否要求中标人提交履约保证金：</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textAlignment w:val="auto"/>
              <w:outlineLvl w:val="9"/>
              <w:rPr>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rPr>
              <w:t>要求，</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中标人提供的履约保函为中标价款的10%，具体见合同相关条款。</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rPr>
              <w:t>不要求</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9</w:t>
            </w:r>
          </w:p>
        </w:tc>
        <w:tc>
          <w:tcPr>
            <w:tcW w:w="2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是否采用电子招标投标</w:t>
            </w:r>
          </w:p>
        </w:tc>
        <w:tc>
          <w:tcPr>
            <w:tcW w:w="6133"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rPr>
              <w:t>否</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■是，具体要求：</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b/>
                <w:color w:val="auto"/>
                <w:spacing w:val="0"/>
                <w:sz w:val="21"/>
                <w:szCs w:val="21"/>
                <w:highlight w:val="none"/>
              </w:rPr>
            </w:pPr>
            <w:r>
              <w:rPr>
                <w:rFonts w:hint="eastAsia" w:ascii="宋体" w:hAnsi="宋体" w:eastAsia="宋体" w:cs="宋体"/>
                <w:color w:val="auto"/>
                <w:spacing w:val="0"/>
                <w:sz w:val="21"/>
                <w:szCs w:val="21"/>
                <w:highlight w:val="none"/>
              </w:rPr>
              <w:t>1</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pacing w:val="0"/>
                <w:sz w:val="21"/>
                <w:szCs w:val="21"/>
                <w:highlight w:val="none"/>
              </w:rPr>
              <w:t>具体操作详见</w:t>
            </w:r>
            <w:r>
              <w:rPr>
                <w:rFonts w:hint="eastAsia" w:ascii="宋体" w:hAnsi="宋体" w:eastAsia="宋体" w:cs="宋体"/>
                <w:color w:val="auto"/>
                <w:spacing w:val="0"/>
                <w:sz w:val="21"/>
                <w:szCs w:val="21"/>
                <w:highlight w:val="none"/>
                <w:lang w:eastAsia="zh-CN"/>
              </w:rPr>
              <w:t>广州交易集团有限公司（广州公共资源交易中心）</w:t>
            </w:r>
            <w:r>
              <w:rPr>
                <w:rFonts w:hint="eastAsia" w:ascii="宋体" w:hAnsi="宋体" w:eastAsia="宋体" w:cs="宋体"/>
                <w:color w:val="auto"/>
                <w:spacing w:val="0"/>
                <w:sz w:val="21"/>
                <w:szCs w:val="21"/>
                <w:highlight w:val="none"/>
              </w:rPr>
              <w:t>网站最新发布的《建设工程全流程电子化项目操作指南》。</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pacing w:val="0"/>
                <w:sz w:val="21"/>
                <w:szCs w:val="21"/>
                <w:highlight w:val="none"/>
              </w:rPr>
              <w:t>现场提交投标文件备用光盘</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b/>
                <w:bCs/>
                <w:color w:val="auto"/>
                <w:spacing w:val="0"/>
                <w:sz w:val="21"/>
                <w:szCs w:val="21"/>
                <w:highlight w:val="none"/>
                <w:u w:val="single"/>
              </w:rPr>
            </w:pPr>
            <w:r>
              <w:rPr>
                <w:rFonts w:hint="eastAsia" w:ascii="宋体" w:hAnsi="宋体" w:eastAsia="宋体" w:cs="宋体"/>
                <w:color w:val="auto"/>
                <w:spacing w:val="0"/>
                <w:sz w:val="21"/>
                <w:szCs w:val="21"/>
                <w:highlight w:val="none"/>
              </w:rPr>
              <w:t>投标人将按《建设工程全流程电子化项目操作指南》的操作方法制作的非加密的电子投标文件刻入光盘或U盘（1份），在规定的时间、地点提交备用。</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刻录好的投标文件备用光盘或U盘密封在密封袋中，并在封口处加盖投标人单位公章。密封袋上应写明的内容见投标人须知前附表要求4.1.2。现场递交的投标文件（光盘或U盘）不得加密。投标文件（光盘或U盘）无法读取或导入的，则视为未提交投标文件备用光盘或U盘。如果投标人没有按规定通过交易平台网上递交电子投标文件的，不再接受现场提交的投标文件备用光盘或U盘。</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pacing w:val="0"/>
                <w:sz w:val="21"/>
                <w:szCs w:val="21"/>
                <w:highlight w:val="none"/>
              </w:rPr>
              <w:t>补救方案</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（1）投标文件解密失败的补救方案：</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在规定时间内，因投标人之外原因（指网络瘫痪、服务器损坏、交易系统故障短期无法恢复等因素）导致的电子投标文件解密失败，在开标现场读取光盘或U盘内容，继续开标程序。评标委员会对其投标文件的评审以光盘或U盘内容为准。因投标人原因解密失败且未递交电子光盘（U盘）或递交的电子光盘（U盘）不能读取的，视为撤回投标文件。</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（2）评标时突发情况的补救方案</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若遇不可抗力发生（如：网络瘫痪、服务器损坏、交易系统故障短期无法恢复等因素），由评标委员会开启现场递交的全部投标文件光盘或U盘，并按光盘或U盘内容进行评审。</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rPr>
              <w:t>（3）除发生上述情况外，开标评标均以投标人通过交易平台网上递交的电子投标文件为准。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10</w:t>
            </w:r>
          </w:p>
        </w:tc>
        <w:tc>
          <w:tcPr>
            <w:tcW w:w="8271" w:type="dxa"/>
            <w:gridSpan w:val="2"/>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single"/>
              </w:rPr>
            </w:pPr>
            <w:r>
              <w:rPr>
                <w:rStyle w:val="63"/>
                <w:rFonts w:hint="eastAsia" w:ascii="宋体" w:hAnsi="宋体" w:eastAsia="宋体" w:cs="宋体"/>
                <w:color w:val="auto"/>
                <w:spacing w:val="0"/>
                <w:sz w:val="21"/>
                <w:szCs w:val="21"/>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特别提示</w:t>
            </w:r>
          </w:p>
        </w:tc>
        <w:tc>
          <w:tcPr>
            <w:tcW w:w="8271" w:type="dxa"/>
            <w:gridSpan w:val="2"/>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投标人在本项目招标人的工程项目中存在下列行为的，将被拒绝一</w:t>
            </w:r>
            <w:r>
              <w:rPr>
                <w:rFonts w:hint="eastAsia" w:ascii="宋体" w:hAnsi="宋体" w:eastAsia="宋体" w:cs="宋体"/>
                <w:color w:val="auto"/>
                <w:spacing w:val="0"/>
                <w:kern w:val="0"/>
                <w:sz w:val="21"/>
                <w:szCs w:val="21"/>
                <w:highlight w:val="none"/>
                <w:lang w:eastAsia="zh-CN"/>
              </w:rPr>
              <w:t>年内</w:t>
            </w:r>
            <w:r>
              <w:rPr>
                <w:rFonts w:hint="eastAsia" w:ascii="宋体" w:hAnsi="宋体" w:eastAsia="宋体" w:cs="宋体"/>
                <w:color w:val="auto"/>
                <w:spacing w:val="0"/>
                <w:kern w:val="0"/>
                <w:sz w:val="21"/>
                <w:szCs w:val="21"/>
                <w:highlight w:val="none"/>
              </w:rPr>
              <w:t>参与我单位后续工程投标。（注：拒绝投标时限自招标人发出通知之日起计）：</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（1）将中标工程转包或者违法分包的；</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（2）在中标工程中不执行质量、安全生产相关规定的，造成质量或安全事故的；</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（3）存在围标或串标情形的；</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rPr>
              <w:t>（4）存在弄虚作假骗取中标情形的</w:t>
            </w:r>
            <w:r>
              <w:rPr>
                <w:rFonts w:hint="eastAsia" w:ascii="宋体" w:hAnsi="宋体" w:eastAsia="宋体" w:cs="宋体"/>
                <w:color w:val="auto"/>
                <w:spacing w:val="0"/>
                <w:kern w:val="0"/>
                <w:sz w:val="21"/>
                <w:szCs w:val="21"/>
                <w:highlight w:val="none"/>
                <w:lang w:eastAsia="zh-CN"/>
              </w:rPr>
              <w:t>；</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u w:val="single"/>
              </w:rPr>
            </w:pPr>
            <w:r>
              <w:rPr>
                <w:rStyle w:val="63"/>
                <w:rFonts w:hint="eastAsia" w:ascii="宋体" w:hAnsi="宋体" w:eastAsia="宋体" w:cs="宋体"/>
                <w:color w:val="auto"/>
                <w:spacing w:val="0"/>
                <w:sz w:val="21"/>
                <w:szCs w:val="21"/>
                <w:highlight w:val="none"/>
                <w:u w:val="none"/>
              </w:rPr>
              <w:t>（</w:t>
            </w:r>
            <w:r>
              <w:rPr>
                <w:rStyle w:val="63"/>
                <w:rFonts w:hint="eastAsia" w:ascii="宋体" w:hAnsi="宋体" w:eastAsia="宋体" w:cs="宋体"/>
                <w:color w:val="auto"/>
                <w:spacing w:val="0"/>
                <w:sz w:val="21"/>
                <w:szCs w:val="21"/>
                <w:highlight w:val="none"/>
                <w:u w:val="none"/>
                <w:lang w:val="en-US"/>
              </w:rPr>
              <w:t>5</w:t>
            </w:r>
            <w:r>
              <w:rPr>
                <w:rStyle w:val="63"/>
                <w:rFonts w:hint="eastAsia" w:ascii="宋体" w:hAnsi="宋体" w:eastAsia="宋体" w:cs="宋体"/>
                <w:color w:val="auto"/>
                <w:spacing w:val="0"/>
                <w:sz w:val="21"/>
                <w:szCs w:val="21"/>
                <w:highlight w:val="none"/>
                <w:u w:val="none"/>
              </w:rPr>
              <w:t>）中标人在收到中标通知书后，无正当理由拒签合同。</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招标失败情形</w:t>
            </w:r>
          </w:p>
        </w:tc>
        <w:tc>
          <w:tcPr>
            <w:tcW w:w="8271" w:type="dxa"/>
            <w:gridSpan w:val="2"/>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Style w:val="63"/>
                <w:rFonts w:hint="eastAsia" w:ascii="宋体" w:hAnsi="宋体" w:eastAsia="宋体" w:cs="宋体"/>
                <w:color w:val="auto"/>
                <w:spacing w:val="0"/>
                <w:sz w:val="21"/>
                <w:szCs w:val="21"/>
                <w:highlight w:val="none"/>
              </w:rPr>
            </w:pPr>
            <w:r>
              <w:rPr>
                <w:rStyle w:val="63"/>
                <w:rFonts w:hint="eastAsia" w:ascii="宋体" w:hAnsi="宋体" w:eastAsia="宋体" w:cs="宋体"/>
                <w:color w:val="auto"/>
                <w:spacing w:val="0"/>
                <w:sz w:val="21"/>
                <w:szCs w:val="21"/>
                <w:highlight w:val="none"/>
              </w:rPr>
              <w:t>本项目采用资格后审方式。若投标登记或递交投标文件或通过初步评审（含形式评审、资格评审、响应性评审）的合格投标人不足3家的，则该项目招标失败。招标人分析招标失败原因，修正招标方案，重新组织招标。</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招标人拒绝接收备用投标文件电子光盘（或U盘）的情况</w:t>
            </w:r>
          </w:p>
        </w:tc>
        <w:tc>
          <w:tcPr>
            <w:tcW w:w="8271" w:type="dxa"/>
            <w:gridSpan w:val="2"/>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1、投标人在投标截止期后逾期或未在指定地点递交备用投标文件电子光盘（或U盘）的；</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2、投标人递交的备用投标文件电子光盘（或U盘）未按招标文件要求密封或未在密封处盖章的；</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3、投标人代表未凭法定代表人证明书原件、授权委托书原件（仅限于非法定代表人）、本人身份证原件</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委托投标的还应提供授权委托人2025年4月在本公司缴纳社保的有效社保证按要求递交备用投标文件电子光盘（或U盘）的；</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第一中标候选人放弃中标资格情形</w:t>
            </w:r>
          </w:p>
        </w:tc>
        <w:tc>
          <w:tcPr>
            <w:tcW w:w="8271" w:type="dxa"/>
            <w:gridSpan w:val="2"/>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2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autoSpaceDE/>
              <w:autoSpaceDN/>
              <w:bidi w:val="0"/>
              <w:snapToGrid w:val="0"/>
              <w:spacing w:before="0" w:beforeAutospacing="0" w:after="0" w:afterAutospacing="0" w:line="360" w:lineRule="exact"/>
              <w:ind w:left="63" w:leftChars="30" w:right="63" w:rightChars="30" w:firstLine="0" w:firstLineChars="0"/>
              <w:jc w:val="center"/>
              <w:outlineLvl w:val="9"/>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u w:val="single"/>
              </w:rPr>
              <w:t>其他</w:t>
            </w:r>
          </w:p>
        </w:tc>
        <w:tc>
          <w:tcPr>
            <w:tcW w:w="8271" w:type="dxa"/>
            <w:gridSpan w:val="2"/>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suppressLineNumbers w:val="0"/>
              <w:tabs>
                <w:tab w:val="left" w:pos="5814"/>
              </w:tabs>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1.在产生中标候选人后，招标人将中标候选人的投标文件商务部分的电子版（报价清单、方案等涉及商业秘密的内容除外）在广州交易集团有限公司（广州公共资源交易中心）网站公开。</w:t>
            </w:r>
          </w:p>
          <w:p>
            <w:pPr>
              <w:keepNext w:val="0"/>
              <w:keepLines w:val="0"/>
              <w:pageBreakBefore w:val="0"/>
              <w:widowControl w:val="0"/>
              <w:suppressLineNumbers w:val="0"/>
              <w:tabs>
                <w:tab w:val="left" w:pos="5814"/>
              </w:tabs>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2.招标公告、招标文件、答疑纪要、图纸等招标资料全部发布在广州交易集团有限公司（广州公共资源交易中心）网站，由投标人自行下载查阅。</w:t>
            </w:r>
          </w:p>
          <w:p>
            <w:pPr>
              <w:keepNext w:val="0"/>
              <w:keepLines w:val="0"/>
              <w:pageBreakBefore w:val="0"/>
              <w:widowControl w:val="0"/>
              <w:suppressLineNumbers w:val="0"/>
              <w:tabs>
                <w:tab w:val="left" w:pos="5814"/>
              </w:tabs>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3.投标截止时间、开标时间和地点：发布在广州交易集团有限公司（广州公共资源交易中心）网站（具体安排请投标人自行登陆查询）。</w:t>
            </w:r>
          </w:p>
          <w:p>
            <w:pPr>
              <w:keepNext w:val="0"/>
              <w:keepLines w:val="0"/>
              <w:pageBreakBefore w:val="0"/>
              <w:widowControl w:val="0"/>
              <w:suppressLineNumbers w:val="0"/>
              <w:tabs>
                <w:tab w:val="left" w:pos="5814"/>
              </w:tabs>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4.中标后，中标单位须提交与网上上传电子投标文件完全一致的纸质投标文件（一式两份，盖单位公章）给招标单位，费用自理</w:t>
            </w:r>
          </w:p>
          <w:p>
            <w:pPr>
              <w:keepNext w:val="0"/>
              <w:keepLines w:val="0"/>
              <w:pageBreakBefore w:val="0"/>
              <w:widowControl w:val="0"/>
              <w:suppressLineNumbers w:val="0"/>
              <w:tabs>
                <w:tab w:val="left" w:pos="5814"/>
              </w:tabs>
              <w:kinsoku/>
              <w:wordWrap/>
              <w:overflowPunct/>
              <w:autoSpaceDE/>
              <w:autoSpaceDN/>
              <w:bidi w:val="0"/>
              <w:snapToGrid w:val="0"/>
              <w:spacing w:before="0" w:beforeAutospacing="0" w:after="0" w:afterAutospacing="0" w:line="360" w:lineRule="exact"/>
              <w:ind w:left="63" w:leftChars="30" w:right="63" w:rightChars="30" w:firstLine="0" w:firstLineChars="0"/>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3、交易服务费：由中标人按相关文件规定缴纳。本费用包含在中标人的投标报价中，招标人不再另行支付</w:t>
            </w:r>
            <w:r>
              <w:rPr>
                <w:rFonts w:hint="eastAsia" w:ascii="宋体" w:hAnsi="宋体" w:eastAsia="宋体" w:cs="宋体"/>
                <w:color w:val="auto"/>
                <w:spacing w:val="0"/>
                <w:sz w:val="21"/>
                <w:szCs w:val="21"/>
                <w:highlight w:val="none"/>
              </w:rPr>
              <w:t>。</w:t>
            </w:r>
          </w:p>
        </w:tc>
      </w:tr>
    </w:tbl>
    <w:p>
      <w:pPr>
        <w:keepNext w:val="0"/>
        <w:keepLines w:val="0"/>
        <w:pageBreakBefore w:val="0"/>
        <w:widowControl w:val="0"/>
        <w:kinsoku/>
        <w:wordWrap/>
        <w:overflowPunct/>
        <w:topLinePunct w:val="0"/>
        <w:autoSpaceDE/>
        <w:autoSpaceDN/>
        <w:bidi w:val="0"/>
        <w:adjustRightInd/>
        <w:snapToGrid/>
        <w:spacing w:line="240" w:lineRule="auto"/>
        <w:textAlignment w:val="baseline"/>
        <w:outlineLvl w:val="9"/>
        <w:rPr>
          <w:rStyle w:val="63"/>
          <w:rFonts w:ascii="宋体" w:hAnsi="宋体" w:cs="宋体"/>
          <w:b w:val="0"/>
          <w:bCs w:val="0"/>
          <w:color w:val="auto"/>
          <w:spacing w:val="0"/>
          <w:position w:val="-1"/>
          <w:sz w:val="21"/>
          <w:szCs w:val="21"/>
          <w:highlight w:val="none"/>
        </w:rPr>
      </w:pPr>
      <w:bookmarkStart w:id="26" w:name="_Toc8667"/>
      <w:bookmarkStart w:id="27" w:name="_Toc22557"/>
      <w:bookmarkStart w:id="28" w:name="_Toc24079"/>
      <w:bookmarkStart w:id="29" w:name="_Toc26840"/>
    </w:p>
    <w:p>
      <w:pPr>
        <w:keepNext w:val="0"/>
        <w:keepLines w:val="0"/>
        <w:pageBreakBefore w:val="0"/>
        <w:widowControl w:val="0"/>
        <w:kinsoku/>
        <w:wordWrap/>
        <w:overflowPunct/>
        <w:topLinePunct w:val="0"/>
        <w:autoSpaceDE/>
        <w:autoSpaceDN/>
        <w:bidi w:val="0"/>
        <w:adjustRightInd/>
        <w:snapToGrid/>
        <w:spacing w:line="240" w:lineRule="auto"/>
        <w:textAlignment w:val="baseline"/>
        <w:outlineLvl w:val="9"/>
        <w:rPr>
          <w:rStyle w:val="63"/>
          <w:rFonts w:ascii="宋体" w:hAnsi="宋体" w:eastAsia="宋体" w:cs="宋体"/>
          <w:b w:val="0"/>
          <w:bCs w:val="0"/>
          <w:color w:val="auto"/>
          <w:spacing w:val="0"/>
          <w:position w:val="-1"/>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baseline"/>
        <w:outlineLvl w:val="1"/>
        <w:rPr>
          <w:rStyle w:val="63"/>
          <w:rFonts w:ascii="宋体" w:hAnsi="宋体" w:eastAsia="宋体" w:cs="宋体"/>
          <w:b w:val="0"/>
          <w:bCs w:val="0"/>
          <w:color w:val="auto"/>
          <w:spacing w:val="0"/>
          <w:position w:val="-1"/>
          <w:sz w:val="21"/>
          <w:szCs w:val="21"/>
          <w:highlight w:val="none"/>
        </w:rPr>
        <w:sectPr>
          <w:pgSz w:w="11907" w:h="16839"/>
          <w:pgMar w:top="1361" w:right="1587" w:bottom="1361" w:left="1587" w:header="720" w:footer="890" w:gutter="0"/>
          <w:pgBorders>
            <w:top w:val="none" w:sz="0" w:space="0"/>
            <w:left w:val="none" w:sz="0" w:space="0"/>
            <w:bottom w:val="none" w:sz="0" w:space="0"/>
            <w:right w:val="none" w:sz="0" w:space="0"/>
          </w:pgBorders>
          <w:cols w:space="720" w:num="1"/>
          <w:rtlGutter w:val="0"/>
          <w:docGrid w:linePitch="286" w:charSpace="0"/>
        </w:sectPr>
      </w:pPr>
    </w:p>
    <w:p>
      <w:pPr>
        <w:pStyle w:val="2"/>
        <w:ind w:left="0" w:leftChars="0" w:firstLine="0" w:firstLineChars="0"/>
        <w:rPr>
          <w:color w:val="auto"/>
        </w:rPr>
      </w:pPr>
    </w:p>
    <w:p>
      <w:pPr>
        <w:keepNext w:val="0"/>
        <w:keepLines w:val="0"/>
        <w:pageBreakBefore w:val="0"/>
        <w:widowControl w:val="0"/>
        <w:kinsoku/>
        <w:overflowPunct/>
        <w:bidi w:val="0"/>
        <w:spacing w:line="360" w:lineRule="auto"/>
        <w:outlineLvl w:val="1"/>
        <w:rPr>
          <w:rStyle w:val="63"/>
          <w:rFonts w:ascii="宋体" w:hAnsi="宋体"/>
          <w:b/>
          <w:color w:val="auto"/>
          <w:spacing w:val="0"/>
          <w:sz w:val="24"/>
          <w:szCs w:val="24"/>
          <w:highlight w:val="none"/>
        </w:rPr>
      </w:pPr>
      <w:r>
        <w:rPr>
          <w:rStyle w:val="63"/>
          <w:rFonts w:ascii="宋体" w:hAnsi="宋体" w:cs="宋体"/>
          <w:b/>
          <w:bCs/>
          <w:color w:val="auto"/>
          <w:spacing w:val="0"/>
          <w:position w:val="-1"/>
          <w:sz w:val="24"/>
          <w:szCs w:val="24"/>
          <w:highlight w:val="none"/>
        </w:rPr>
        <w:t>1.</w:t>
      </w:r>
      <w:r>
        <w:rPr>
          <w:rStyle w:val="63"/>
          <w:rFonts w:ascii="宋体" w:hAnsi="宋体"/>
          <w:b/>
          <w:color w:val="auto"/>
          <w:spacing w:val="0"/>
          <w:position w:val="-1"/>
          <w:sz w:val="24"/>
          <w:szCs w:val="24"/>
          <w:highlight w:val="none"/>
        </w:rPr>
        <w:t>总则</w:t>
      </w:r>
      <w:bookmarkEnd w:id="26"/>
      <w:bookmarkEnd w:id="27"/>
      <w:bookmarkEnd w:id="28"/>
      <w:bookmarkEnd w:id="29"/>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30" w:name="_Toc25346"/>
      <w:bookmarkStart w:id="31" w:name="_Toc19934"/>
      <w:bookmarkStart w:id="32" w:name="_Toc16262"/>
      <w:bookmarkStart w:id="33" w:name="_Toc23205"/>
      <w:r>
        <w:rPr>
          <w:rStyle w:val="63"/>
          <w:rFonts w:ascii="宋体" w:hAnsi="宋体"/>
          <w:b/>
          <w:bCs/>
          <w:color w:val="auto"/>
          <w:spacing w:val="0"/>
          <w:sz w:val="24"/>
          <w:szCs w:val="24"/>
          <w:highlight w:val="none"/>
        </w:rPr>
        <w:t>1.1招标项目概况</w:t>
      </w:r>
      <w:bookmarkEnd w:id="30"/>
      <w:bookmarkEnd w:id="31"/>
      <w:bookmarkEnd w:id="32"/>
      <w:bookmarkEnd w:id="33"/>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1.1.1根据《中华人民共和国招标投标法》、《中华人民共和国招标投标法实施条例》等有关法律、法规和规章的规定，本招标项目已具备招标条件，现对其进行招标。</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1.1.2招标人：见投标人须知前附表。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1.1.3招标代理机构：见投标人须知前附表。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1.1.4招标项目名称：见投标人须知前附表。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1.1.5项目建设地点：见投标人须知前附表。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1.1.6项目建设规模：见投标人须知前附表。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1.1.7工程项目施工预计开工日期和建设周期：见投标人须知前附表。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1.1.8建筑安装工程费/工程概算：见投标人须知前附表。</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34" w:name="_Toc1163"/>
      <w:bookmarkStart w:id="35" w:name="_Toc21860"/>
      <w:bookmarkStart w:id="36" w:name="_Toc224"/>
      <w:bookmarkStart w:id="37" w:name="_Toc8374"/>
      <w:r>
        <w:rPr>
          <w:rStyle w:val="63"/>
          <w:rFonts w:ascii="宋体" w:hAnsi="宋体"/>
          <w:b/>
          <w:bCs/>
          <w:color w:val="auto"/>
          <w:spacing w:val="0"/>
          <w:sz w:val="24"/>
          <w:szCs w:val="24"/>
          <w:highlight w:val="none"/>
        </w:rPr>
        <w:t>1.2招标项目的资金来源和落实情况</w:t>
      </w:r>
      <w:bookmarkEnd w:id="34"/>
      <w:bookmarkEnd w:id="35"/>
      <w:bookmarkEnd w:id="36"/>
      <w:bookmarkEnd w:id="37"/>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1.2.1资金来源及比例：见投标人须知前附表。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1.2.2资金落实情况：见投标人须知前附表。</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38" w:name="_Toc1951"/>
      <w:bookmarkStart w:id="39" w:name="_Toc16323"/>
      <w:bookmarkStart w:id="40" w:name="_Toc926"/>
      <w:bookmarkStart w:id="41" w:name="_Toc13521"/>
      <w:r>
        <w:rPr>
          <w:rStyle w:val="63"/>
          <w:rFonts w:ascii="宋体" w:hAnsi="宋体"/>
          <w:b/>
          <w:bCs/>
          <w:color w:val="auto"/>
          <w:spacing w:val="0"/>
          <w:sz w:val="24"/>
          <w:szCs w:val="24"/>
          <w:highlight w:val="none"/>
        </w:rPr>
        <w:t>1.3 招标范围、服务期限和质量标准</w:t>
      </w:r>
      <w:bookmarkEnd w:id="38"/>
      <w:bookmarkEnd w:id="39"/>
      <w:bookmarkEnd w:id="40"/>
      <w:bookmarkEnd w:id="41"/>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1.3.1招标范围：见投标人须知前附表。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1.3.2服务期限：见投标人须知前附表。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1.3.3质量标准：见投标人须知前附表。</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42" w:name="_Toc7605"/>
      <w:bookmarkStart w:id="43" w:name="_Toc8524"/>
      <w:bookmarkStart w:id="44" w:name="_Toc22985"/>
      <w:bookmarkStart w:id="45" w:name="_Toc4280"/>
      <w:r>
        <w:rPr>
          <w:rStyle w:val="63"/>
          <w:rFonts w:ascii="宋体" w:hAnsi="宋体"/>
          <w:b/>
          <w:bCs/>
          <w:color w:val="auto"/>
          <w:spacing w:val="0"/>
          <w:sz w:val="24"/>
          <w:szCs w:val="24"/>
          <w:highlight w:val="none"/>
        </w:rPr>
        <w:t>1.4投标人资格要求</w:t>
      </w:r>
      <w:bookmarkEnd w:id="42"/>
      <w:bookmarkEnd w:id="43"/>
      <w:bookmarkEnd w:id="44"/>
      <w:bookmarkEnd w:id="45"/>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1.4.1投标人应具备承担本招标项目资质条件、能力和信誉：</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（1）资质要求：见投标人须知前附表；</w:t>
      </w:r>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sz w:val="24"/>
          <w:szCs w:val="24"/>
          <w:highlight w:val="none"/>
        </w:rPr>
        <w:t>（2）财务要求：见投标人须知前附表；</w:t>
      </w:r>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sz w:val="24"/>
          <w:szCs w:val="24"/>
          <w:highlight w:val="none"/>
        </w:rPr>
        <w:t>（3）业绩要求：见投标人须知前附表；</w:t>
      </w:r>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sz w:val="24"/>
          <w:szCs w:val="24"/>
          <w:highlight w:val="none"/>
        </w:rPr>
        <w:t>（4）信誉要求：见投标人须知前附表；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（5）项目负责人的资格要求：见投标人须知前附表；</w:t>
      </w:r>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position w:val="-1"/>
          <w:sz w:val="24"/>
          <w:szCs w:val="24"/>
          <w:highlight w:val="none"/>
        </w:rPr>
        <w:t>（6）其他主要人员要求：见投标人须知前附表。</w:t>
      </w:r>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sz w:val="24"/>
          <w:szCs w:val="24"/>
          <w:highlight w:val="none"/>
        </w:rPr>
        <w:t>（7）仪器设备要求：见投标人须知前附表。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（8）其他要求：见投标人须知前附表。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需要提交的相关证明材料见本章第 3.5 款的规定。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1.4.2投标人须知前附表规定接受联合体投标的，联合体除应符合本章第1.4.1 项和投标人须知前附表的要求外，还应遵守以下规定：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（1）联合体各方应按招标文件提供的格式签订联合体协议书，明确联合体牵头人和各方权利义务，并承诺就中标项目向招标人承担连带责任；</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（2）由同一专业的单位组成的联合体，按照资质等级较低的单位确定资质等级；</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（3）联合体各方不得再以自己名义单独或参加其他联合体在本招标项目中投标，否则相关投标均无效。</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1.4.3投标人不得存在下列情形之一：</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（1）为招标人不具有独立法人资格的附属机构（单位）</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（2）与招标人存在利害关系且可能影响招标公正性；</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（3）与本招标项目的其他投标人为同一个单位负责人；</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（4）与本招标项目的其他投标人存在控股、管理关系；</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（5）为本招标项目的代建人；</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（6）为本招标项目的招标代理机构；</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（7）与本招标项目的代建人或招标代理机构同为一个法定代表人；</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（8）与本招标项目的代建人或招标代理机构存在控股或参股关系；</w:t>
      </w:r>
    </w:p>
    <w:p>
      <w:pPr>
        <w:keepNext w:val="0"/>
        <w:keepLines w:val="0"/>
        <w:pageBreakBefore w:val="0"/>
        <w:widowControl w:val="0"/>
        <w:kinsoku/>
        <w:overflowPunct/>
        <w:bidi w:val="0"/>
        <w:spacing w:line="360" w:lineRule="auto"/>
        <w:ind w:firstLine="480" w:firstLineChars="200"/>
        <w:rPr>
          <w:rStyle w:val="63"/>
          <w:rFonts w:ascii="宋体" w:hAnsi="宋体" w:eastAsia="宋体" w:cs="Times New Roman"/>
          <w:color w:val="auto"/>
          <w:spacing w:val="0"/>
          <w:sz w:val="24"/>
          <w:szCs w:val="24"/>
          <w:highlight w:val="none"/>
        </w:rPr>
      </w:pPr>
      <w:r>
        <w:rPr>
          <w:rStyle w:val="63"/>
          <w:rFonts w:ascii="宋体" w:hAnsi="宋体" w:eastAsia="宋体" w:cs="Times New Roman"/>
          <w:color w:val="auto"/>
          <w:spacing w:val="0"/>
          <w:sz w:val="24"/>
          <w:szCs w:val="24"/>
          <w:highlight w:val="none"/>
        </w:rPr>
        <w:t>（9）</w:t>
      </w:r>
      <w:r>
        <w:rPr>
          <w:rStyle w:val="63"/>
          <w:rFonts w:hint="eastAsia" w:ascii="宋体" w:hAnsi="宋体" w:eastAsia="宋体" w:cs="Times New Roman"/>
          <w:color w:val="auto"/>
          <w:spacing w:val="0"/>
          <w:sz w:val="24"/>
          <w:szCs w:val="24"/>
          <w:highlight w:val="none"/>
        </w:rPr>
        <w:t>与本标段的招标人、设计单位、招标代理、施工单位、监理单位以及建筑材料、建筑构配件和设备供应商有隶属关系或者其他利害关系</w:t>
      </w:r>
      <w:r>
        <w:rPr>
          <w:rStyle w:val="63"/>
          <w:rFonts w:ascii="宋体" w:hAnsi="宋体" w:eastAsia="宋体" w:cs="Times New Roman"/>
          <w:color w:val="auto"/>
          <w:spacing w:val="0"/>
          <w:sz w:val="24"/>
          <w:szCs w:val="24"/>
          <w:highlight w:val="none"/>
        </w:rPr>
        <w:t>；</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（10）被依法暂停或者取消投标资格</w:t>
      </w:r>
      <w:r>
        <w:rPr>
          <w:rStyle w:val="63"/>
          <w:rFonts w:hint="eastAsia" w:ascii="宋体" w:hAnsi="宋体"/>
          <w:color w:val="auto"/>
          <w:spacing w:val="0"/>
          <w:sz w:val="24"/>
          <w:szCs w:val="24"/>
          <w:highlight w:val="none"/>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Style w:val="63"/>
          <w:rFonts w:ascii="宋体" w:hAnsi="宋体"/>
          <w:color w:val="auto"/>
          <w:spacing w:val="0"/>
          <w:sz w:val="24"/>
          <w:szCs w:val="24"/>
          <w:highlight w:val="none"/>
        </w:rPr>
        <w:t>；</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（11）被责令停产停业、暂扣或者吊销许可证、暂扣或者吊销执照</w:t>
      </w:r>
      <w:r>
        <w:rPr>
          <w:rStyle w:val="63"/>
          <w:rFonts w:hint="eastAsia" w:ascii="宋体" w:hAnsi="宋体"/>
          <w:color w:val="auto"/>
          <w:spacing w:val="0"/>
          <w:sz w:val="24"/>
          <w:szCs w:val="24"/>
          <w:highlight w:val="none"/>
        </w:rPr>
        <w:t>（本项事实应当以根据《中华人民共和国行政处罚法》依法作出并已经生效的行政处罚决定为认定依据。）</w:t>
      </w:r>
      <w:r>
        <w:rPr>
          <w:rStyle w:val="63"/>
          <w:rFonts w:ascii="宋体" w:hAnsi="宋体"/>
          <w:color w:val="auto"/>
          <w:spacing w:val="0"/>
          <w:sz w:val="24"/>
          <w:szCs w:val="24"/>
          <w:highlight w:val="none"/>
        </w:rPr>
        <w:t>；</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（12）进入清算程序，或被宣告破产，或其他丧失履约能力的情形；</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position w:val="-1"/>
          <w:sz w:val="24"/>
          <w:szCs w:val="24"/>
          <w:highlight w:val="none"/>
        </w:rPr>
        <w:t>（</w:t>
      </w:r>
      <w:r>
        <w:rPr>
          <w:rStyle w:val="63"/>
          <w:rFonts w:hint="eastAsia" w:ascii="宋体" w:hAnsi="宋体"/>
          <w:color w:val="auto"/>
          <w:spacing w:val="0"/>
          <w:position w:val="-1"/>
          <w:sz w:val="24"/>
          <w:szCs w:val="24"/>
          <w:highlight w:val="none"/>
          <w:lang w:val="en-US"/>
        </w:rPr>
        <w:t>13</w:t>
      </w:r>
      <w:r>
        <w:rPr>
          <w:rStyle w:val="63"/>
          <w:rFonts w:ascii="宋体" w:hAnsi="宋体"/>
          <w:color w:val="auto"/>
          <w:spacing w:val="0"/>
          <w:position w:val="-1"/>
          <w:sz w:val="24"/>
          <w:szCs w:val="24"/>
          <w:highlight w:val="none"/>
        </w:rPr>
        <w:t>）法律法规或投标人须知前附表规定的其他情形。</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46" w:name="_Toc16517"/>
      <w:bookmarkStart w:id="47" w:name="_Toc29047"/>
      <w:bookmarkStart w:id="48" w:name="_Toc2498"/>
      <w:bookmarkStart w:id="49" w:name="_Toc26053"/>
      <w:r>
        <w:rPr>
          <w:rStyle w:val="63"/>
          <w:rFonts w:ascii="宋体" w:hAnsi="宋体"/>
          <w:b/>
          <w:bCs/>
          <w:color w:val="auto"/>
          <w:spacing w:val="0"/>
          <w:sz w:val="24"/>
          <w:szCs w:val="24"/>
          <w:highlight w:val="none"/>
        </w:rPr>
        <w:t>1.5费用承担</w:t>
      </w:r>
      <w:bookmarkEnd w:id="46"/>
      <w:bookmarkEnd w:id="47"/>
      <w:bookmarkEnd w:id="48"/>
      <w:bookmarkEnd w:id="49"/>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投标人准备和参加投标活动发生的费用自理。</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50" w:name="_Toc11712"/>
      <w:bookmarkStart w:id="51" w:name="_Toc4229"/>
      <w:bookmarkStart w:id="52" w:name="_Toc24286"/>
      <w:bookmarkStart w:id="53" w:name="_Toc29408"/>
      <w:r>
        <w:rPr>
          <w:rStyle w:val="63"/>
          <w:rFonts w:ascii="宋体" w:hAnsi="宋体"/>
          <w:b/>
          <w:bCs/>
          <w:color w:val="auto"/>
          <w:spacing w:val="0"/>
          <w:sz w:val="24"/>
          <w:szCs w:val="24"/>
          <w:highlight w:val="none"/>
        </w:rPr>
        <w:t>1.6保密</w:t>
      </w:r>
      <w:bookmarkEnd w:id="50"/>
      <w:bookmarkEnd w:id="51"/>
      <w:bookmarkEnd w:id="52"/>
      <w:bookmarkEnd w:id="53"/>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参与招标投标活动的各方应对招标文件和投标文件中的商业和技术等秘密保密，否则应承担相应的法律责任。</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54" w:name="_Toc64"/>
      <w:bookmarkStart w:id="55" w:name="_Toc3017"/>
      <w:bookmarkStart w:id="56" w:name="_Toc13025"/>
      <w:bookmarkStart w:id="57" w:name="_Toc24769"/>
      <w:r>
        <w:rPr>
          <w:rStyle w:val="63"/>
          <w:rFonts w:ascii="宋体" w:hAnsi="宋体"/>
          <w:b/>
          <w:bCs/>
          <w:color w:val="auto"/>
          <w:spacing w:val="0"/>
          <w:sz w:val="24"/>
          <w:szCs w:val="24"/>
          <w:highlight w:val="none"/>
        </w:rPr>
        <w:t>1.7语言文字</w:t>
      </w:r>
      <w:bookmarkEnd w:id="54"/>
      <w:bookmarkEnd w:id="55"/>
      <w:bookmarkEnd w:id="56"/>
      <w:bookmarkEnd w:id="57"/>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招标投标文件使用的语言文字为中文。专用术语使用外文的，应附有中文注释。</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58" w:name="_Toc1667"/>
      <w:bookmarkStart w:id="59" w:name="_Toc14142"/>
      <w:bookmarkStart w:id="60" w:name="_Toc22540"/>
      <w:bookmarkStart w:id="61" w:name="_Toc11572"/>
      <w:r>
        <w:rPr>
          <w:rStyle w:val="63"/>
          <w:rFonts w:ascii="宋体" w:hAnsi="宋体"/>
          <w:b/>
          <w:bCs/>
          <w:color w:val="auto"/>
          <w:spacing w:val="0"/>
          <w:sz w:val="24"/>
          <w:szCs w:val="24"/>
          <w:highlight w:val="none"/>
        </w:rPr>
        <w:t>1.8计量单位</w:t>
      </w:r>
      <w:bookmarkEnd w:id="58"/>
      <w:bookmarkEnd w:id="59"/>
      <w:bookmarkEnd w:id="60"/>
      <w:bookmarkEnd w:id="61"/>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所有计量均采用中华人民共和国法定计量单位。</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strike/>
          <w:dstrike w:val="0"/>
          <w:color w:val="auto"/>
          <w:spacing w:val="0"/>
          <w:sz w:val="24"/>
          <w:szCs w:val="24"/>
          <w:highlight w:val="none"/>
        </w:rPr>
      </w:pPr>
      <w:bookmarkStart w:id="62" w:name="_Toc31161"/>
      <w:bookmarkStart w:id="63" w:name="_Toc13803"/>
      <w:bookmarkStart w:id="64" w:name="_Toc15888"/>
      <w:bookmarkStart w:id="65" w:name="_Toc18723"/>
      <w:r>
        <w:rPr>
          <w:rStyle w:val="63"/>
          <w:rFonts w:ascii="宋体" w:hAnsi="宋体"/>
          <w:b/>
          <w:bCs/>
          <w:strike/>
          <w:dstrike w:val="0"/>
          <w:color w:val="auto"/>
          <w:spacing w:val="0"/>
          <w:sz w:val="24"/>
          <w:szCs w:val="24"/>
          <w:highlight w:val="none"/>
        </w:rPr>
        <w:t>1.9踏勘现场</w:t>
      </w:r>
      <w:bookmarkEnd w:id="62"/>
      <w:bookmarkEnd w:id="63"/>
      <w:bookmarkEnd w:id="64"/>
      <w:bookmarkEnd w:id="65"/>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sz w:val="24"/>
          <w:szCs w:val="24"/>
          <w:highlight w:val="none"/>
        </w:rPr>
        <w:t>1.9.1投标人须知前附表规定组织踏勘现场的，招标人按投标人须知前附表规定的时间、地点组织投标人踏勘项目现场。部分投标人未按时参加踏勘现场的，不影响踏勘现场的正常进行。</w:t>
      </w:r>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sz w:val="24"/>
          <w:szCs w:val="24"/>
          <w:highlight w:val="none"/>
        </w:rPr>
        <w:t>1.9.2投标人踏勘现场发生的费用自理。</w:t>
      </w:r>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sz w:val="24"/>
          <w:szCs w:val="24"/>
          <w:highlight w:val="none"/>
        </w:rPr>
        <w:t>1.9.3除招标人的原因外，投标人自行负责在踏勘现场中所发生的人员伤亡和财产损失。</w:t>
      </w:r>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sz w:val="24"/>
          <w:szCs w:val="24"/>
          <w:highlight w:val="none"/>
        </w:rPr>
        <w:t>1.9.4招标人在踏勘现场中介绍的工程场地和相关的周边环境情况，供投标人在编制投标文件时参考，招标人不对投标人据此作出的判断和决策负责。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strike/>
          <w:dstrike w:val="0"/>
          <w:color w:val="auto"/>
          <w:spacing w:val="0"/>
          <w:sz w:val="24"/>
          <w:szCs w:val="24"/>
          <w:highlight w:val="none"/>
        </w:rPr>
      </w:pPr>
      <w:bookmarkStart w:id="66" w:name="_Toc7390"/>
      <w:bookmarkStart w:id="67" w:name="_Toc11651"/>
      <w:bookmarkStart w:id="68" w:name="_Toc29973"/>
      <w:bookmarkStart w:id="69" w:name="_Toc1054"/>
      <w:r>
        <w:rPr>
          <w:rStyle w:val="63"/>
          <w:rFonts w:ascii="宋体" w:hAnsi="宋体"/>
          <w:b/>
          <w:bCs/>
          <w:strike/>
          <w:dstrike w:val="0"/>
          <w:color w:val="auto"/>
          <w:spacing w:val="0"/>
          <w:sz w:val="24"/>
          <w:szCs w:val="24"/>
          <w:highlight w:val="none"/>
        </w:rPr>
        <w:t>1.10投标预备会</w:t>
      </w:r>
      <w:bookmarkEnd w:id="66"/>
      <w:bookmarkEnd w:id="67"/>
      <w:bookmarkEnd w:id="68"/>
      <w:bookmarkEnd w:id="69"/>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sz w:val="24"/>
          <w:szCs w:val="24"/>
          <w:highlight w:val="none"/>
        </w:rPr>
        <w:t>1.10.1投标人须知前附表规定召开投标预备会的，招标人按投标人须知前附表规定的时间和地点召开投标预备会，澄清投标人提出的问题。</w:t>
      </w:r>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sz w:val="24"/>
          <w:szCs w:val="24"/>
          <w:highlight w:val="none"/>
        </w:rPr>
        <w:t>1.10.2投标人应按投标人须知前附表规定的时间和形式将提出的问题送达招标人，以便招标人在会议期间澄清。</w:t>
      </w:r>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sz w:val="24"/>
          <w:szCs w:val="24"/>
          <w:highlight w:val="none"/>
        </w:rPr>
        <w:t>1.10.3投标预备会后，招标人将对投标人所提问题的澄清，以投标人须知前附表规定的形式通知所有购买招标文件的投标人。该澄清内容为招标文件的组成部分。</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70" w:name="_Toc8870"/>
      <w:bookmarkStart w:id="71" w:name="_Toc30831"/>
      <w:bookmarkStart w:id="72" w:name="_Toc343"/>
      <w:bookmarkStart w:id="73" w:name="_Toc17137"/>
      <w:r>
        <w:rPr>
          <w:rStyle w:val="63"/>
          <w:rFonts w:ascii="宋体" w:hAnsi="宋体"/>
          <w:b/>
          <w:bCs/>
          <w:color w:val="auto"/>
          <w:spacing w:val="0"/>
          <w:position w:val="-1"/>
          <w:sz w:val="24"/>
          <w:szCs w:val="24"/>
          <w:highlight w:val="none"/>
        </w:rPr>
        <w:t>1.11分包</w:t>
      </w:r>
      <w:bookmarkEnd w:id="70"/>
      <w:bookmarkEnd w:id="71"/>
      <w:bookmarkEnd w:id="72"/>
      <w:bookmarkEnd w:id="73"/>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u w:val="single"/>
        </w:rPr>
      </w:pPr>
      <w:r>
        <w:rPr>
          <w:rStyle w:val="63"/>
          <w:rFonts w:hint="eastAsia" w:ascii="宋体" w:hAnsi="宋体"/>
          <w:color w:val="auto"/>
          <w:spacing w:val="0"/>
          <w:sz w:val="24"/>
          <w:szCs w:val="24"/>
          <w:highlight w:val="none"/>
          <w:u w:val="single"/>
        </w:rPr>
        <w:t>不允许分包。</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74" w:name="_Toc1427"/>
      <w:bookmarkStart w:id="75" w:name="_Toc13402"/>
      <w:bookmarkStart w:id="76" w:name="_Toc19246"/>
      <w:bookmarkStart w:id="77" w:name="_Toc20642"/>
      <w:r>
        <w:rPr>
          <w:rStyle w:val="63"/>
          <w:rFonts w:ascii="宋体" w:hAnsi="宋体"/>
          <w:b/>
          <w:bCs/>
          <w:color w:val="auto"/>
          <w:spacing w:val="0"/>
          <w:sz w:val="24"/>
          <w:szCs w:val="24"/>
          <w:highlight w:val="none"/>
        </w:rPr>
        <w:t>1.12响应和偏差</w:t>
      </w:r>
      <w:bookmarkEnd w:id="74"/>
      <w:bookmarkEnd w:id="75"/>
      <w:bookmarkEnd w:id="76"/>
      <w:bookmarkEnd w:id="77"/>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1.12.1投标文件应当对招标文件的实质性要求和条件作出满足性或更有利于招标人的响应，否则，投标人的投标将被否决。实质性要求和条件见投标人须知前附表。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1.12.2投标人应根据招标文件的要求提供投标施工图审查服务方案等内容以对招标文件作出响应。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1.12.3投标人须知前附表允许投标文件偏离招标文件某些要求的，偏差应当符合招标文件规定的偏差范围和幅度。</w:t>
      </w:r>
    </w:p>
    <w:p>
      <w:pPr>
        <w:keepNext w:val="0"/>
        <w:keepLines w:val="0"/>
        <w:pageBreakBefore w:val="0"/>
        <w:widowControl w:val="0"/>
        <w:kinsoku/>
        <w:overflowPunct/>
        <w:bidi w:val="0"/>
        <w:spacing w:before="120" w:line="360" w:lineRule="auto"/>
        <w:outlineLvl w:val="1"/>
        <w:rPr>
          <w:rStyle w:val="63"/>
          <w:rFonts w:ascii="宋体" w:hAnsi="宋体"/>
          <w:b/>
          <w:color w:val="auto"/>
          <w:spacing w:val="0"/>
          <w:sz w:val="24"/>
          <w:szCs w:val="24"/>
          <w:highlight w:val="none"/>
        </w:rPr>
      </w:pPr>
      <w:bookmarkStart w:id="78" w:name="_Toc19826"/>
      <w:bookmarkStart w:id="79" w:name="_Toc13758"/>
      <w:bookmarkStart w:id="80" w:name="_Toc15289"/>
      <w:bookmarkStart w:id="81" w:name="_Toc10043"/>
      <w:r>
        <w:rPr>
          <w:rStyle w:val="63"/>
          <w:rFonts w:ascii="宋体" w:hAnsi="宋体" w:cs="宋体"/>
          <w:b/>
          <w:bCs/>
          <w:color w:val="auto"/>
          <w:spacing w:val="0"/>
          <w:sz w:val="24"/>
          <w:szCs w:val="24"/>
          <w:highlight w:val="none"/>
        </w:rPr>
        <w:t>2.</w:t>
      </w:r>
      <w:r>
        <w:rPr>
          <w:rStyle w:val="63"/>
          <w:rFonts w:ascii="宋体" w:hAnsi="宋体"/>
          <w:b/>
          <w:color w:val="auto"/>
          <w:spacing w:val="0"/>
          <w:sz w:val="24"/>
          <w:szCs w:val="24"/>
          <w:highlight w:val="none"/>
        </w:rPr>
        <w:t>招标文件</w:t>
      </w:r>
      <w:bookmarkEnd w:id="78"/>
      <w:bookmarkEnd w:id="79"/>
      <w:bookmarkEnd w:id="80"/>
      <w:bookmarkEnd w:id="81"/>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82" w:name="_Toc8982"/>
      <w:bookmarkStart w:id="83" w:name="_Toc31481"/>
      <w:bookmarkStart w:id="84" w:name="_Toc29195"/>
      <w:bookmarkStart w:id="85" w:name="_Toc22527"/>
      <w:r>
        <w:rPr>
          <w:rStyle w:val="63"/>
          <w:rFonts w:ascii="宋体" w:hAnsi="宋体"/>
          <w:b/>
          <w:bCs/>
          <w:color w:val="auto"/>
          <w:spacing w:val="0"/>
          <w:sz w:val="24"/>
          <w:szCs w:val="24"/>
          <w:highlight w:val="none"/>
        </w:rPr>
        <w:t>2.1招标文件的组成</w:t>
      </w:r>
      <w:bookmarkEnd w:id="82"/>
      <w:bookmarkEnd w:id="83"/>
      <w:bookmarkEnd w:id="84"/>
      <w:bookmarkEnd w:id="85"/>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本招标文件包括：</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（1）招标公告</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（2）投标人须知；</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（3）评标办法；</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（4）合同条款及格式；</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（5）委托人要求；</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（6）投标文件格式；</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（7）投标人须知前附表规定的其他资料。</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根据本章第 1.10 款、第 2.2 款和第 2.3 款对招标文件所作的澄清、修改，构成招标文件的组成部分。</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86" w:name="_Toc30642"/>
      <w:bookmarkStart w:id="87" w:name="_Toc22997"/>
      <w:bookmarkStart w:id="88" w:name="_Toc6276"/>
      <w:bookmarkStart w:id="89" w:name="_Toc13689"/>
      <w:r>
        <w:rPr>
          <w:rStyle w:val="63"/>
          <w:rFonts w:ascii="宋体" w:hAnsi="宋体"/>
          <w:b/>
          <w:bCs/>
          <w:color w:val="auto"/>
          <w:spacing w:val="0"/>
          <w:sz w:val="24"/>
          <w:szCs w:val="24"/>
          <w:highlight w:val="none"/>
        </w:rPr>
        <w:t>2.2招标文件的澄清</w:t>
      </w:r>
      <w:bookmarkEnd w:id="86"/>
      <w:bookmarkEnd w:id="87"/>
      <w:bookmarkEnd w:id="88"/>
      <w:bookmarkEnd w:id="89"/>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2.2.2招标文件的澄清以投标人须知前附表规定的形式发给所有的投标人，但不指明澄清问题的来源。澄清发出的时间距本章第4.2.1项规定的投标截止时间不足15日的，</w:t>
      </w:r>
      <w:r>
        <w:rPr>
          <w:rStyle w:val="63"/>
          <w:rFonts w:ascii="宋体" w:hAnsi="宋体"/>
          <w:color w:val="auto"/>
          <w:spacing w:val="0"/>
          <w:position w:val="-1"/>
          <w:sz w:val="24"/>
          <w:szCs w:val="24"/>
          <w:highlight w:val="none"/>
        </w:rPr>
        <w:t>并且澄清内容可能影响投标文件编制的，将相应延长投标截止时间。</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2.2.3</w:t>
      </w:r>
      <w:r>
        <w:rPr>
          <w:rFonts w:hint="eastAsia" w:ascii="Times New Roman" w:hAnsi="Times New Roman" w:eastAsia="宋体" w:cs="Times New Roman"/>
          <w:color w:val="auto"/>
          <w:spacing w:val="0"/>
          <w:kern w:val="2"/>
          <w:sz w:val="24"/>
          <w:szCs w:val="24"/>
          <w:highlight w:val="none"/>
          <w:u w:val="single"/>
          <w:lang w:val="en-US" w:eastAsia="zh-CN" w:bidi="ar-SA"/>
        </w:rPr>
        <w:t>招标文件的澄清或修改在广州交易集团有限公司（广州公共资源交易中心）网站答疑专区网上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2.2.4除非招标人认为确有必要答复，否则，招标人有权拒绝回复投标人在本章第2.2.1项规定的时间后的任何澄清要求。</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90" w:name="_Toc2516"/>
      <w:bookmarkStart w:id="91" w:name="_Toc25198"/>
      <w:bookmarkStart w:id="92" w:name="_Toc32451"/>
      <w:bookmarkStart w:id="93" w:name="_Toc21017"/>
      <w:r>
        <w:rPr>
          <w:rStyle w:val="63"/>
          <w:rFonts w:ascii="宋体" w:hAnsi="宋体"/>
          <w:b/>
          <w:bCs/>
          <w:color w:val="auto"/>
          <w:spacing w:val="0"/>
          <w:sz w:val="24"/>
          <w:szCs w:val="24"/>
          <w:highlight w:val="none"/>
        </w:rPr>
        <w:t>2.3招标文件的修改</w:t>
      </w:r>
      <w:bookmarkEnd w:id="90"/>
      <w:bookmarkEnd w:id="91"/>
      <w:bookmarkEnd w:id="92"/>
      <w:bookmarkEnd w:id="9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Style w:val="63"/>
          <w:rFonts w:ascii="宋体" w:hAnsi="宋体"/>
          <w:color w:val="auto"/>
          <w:spacing w:val="0"/>
          <w:sz w:val="24"/>
          <w:szCs w:val="24"/>
          <w:highlight w:val="none"/>
        </w:rPr>
      </w:pPr>
      <w:r>
        <w:rPr>
          <w:rStyle w:val="63"/>
          <w:rFonts w:ascii="宋体" w:hAnsi="宋体"/>
          <w:color w:val="auto"/>
          <w:spacing w:val="0"/>
          <w:sz w:val="24"/>
          <w:szCs w:val="24"/>
          <w:highlight w:val="none"/>
        </w:rPr>
        <w:t>2.3.1招标人以投标人须知前附表规定的形式修改招标文件，并通知所有投标人。修改招标文件的时间距本章第4.2.1项规定的投标截止时间不足15日的，并且修改内容可能影响投标文件编制的，将相应延长投标截止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Style w:val="63"/>
          <w:rFonts w:ascii="宋体" w:hAnsi="宋体"/>
          <w:color w:val="auto"/>
          <w:spacing w:val="0"/>
          <w:sz w:val="24"/>
          <w:szCs w:val="24"/>
          <w:highlight w:val="none"/>
        </w:rPr>
      </w:pPr>
      <w:r>
        <w:rPr>
          <w:rStyle w:val="63"/>
          <w:rFonts w:ascii="宋体" w:hAnsi="宋体"/>
          <w:color w:val="auto"/>
          <w:spacing w:val="0"/>
          <w:sz w:val="24"/>
          <w:szCs w:val="24"/>
          <w:highlight w:val="none"/>
        </w:rPr>
        <w:t>2.3.2</w:t>
      </w:r>
      <w:r>
        <w:rPr>
          <w:rFonts w:hint="eastAsia" w:ascii="Times New Roman" w:hAnsi="Times New Roman" w:eastAsia="宋体" w:cs="Times New Roman"/>
          <w:color w:val="auto"/>
          <w:spacing w:val="0"/>
          <w:sz w:val="24"/>
          <w:szCs w:val="24"/>
          <w:highlight w:val="none"/>
          <w:u w:val="single"/>
          <w:lang w:eastAsia="zh-CN"/>
        </w:rPr>
        <w:t>招标文件的澄清或修改在广州交易集团有限公司（广州公共资源交易中心）网站答疑专区网上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94" w:name="_Toc32458"/>
      <w:bookmarkStart w:id="95" w:name="_Toc2672"/>
      <w:bookmarkStart w:id="96" w:name="_Toc6076"/>
      <w:bookmarkStart w:id="97" w:name="_Toc1158"/>
      <w:r>
        <w:rPr>
          <w:rStyle w:val="63"/>
          <w:rFonts w:ascii="宋体" w:hAnsi="宋体"/>
          <w:b/>
          <w:bCs/>
          <w:color w:val="auto"/>
          <w:spacing w:val="0"/>
          <w:sz w:val="24"/>
          <w:szCs w:val="24"/>
          <w:highlight w:val="none"/>
        </w:rPr>
        <w:t>2.4招标文件的异议</w:t>
      </w:r>
      <w:bookmarkEnd w:id="94"/>
      <w:bookmarkEnd w:id="95"/>
      <w:bookmarkEnd w:id="96"/>
      <w:bookmarkEnd w:id="97"/>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投标人或者其他利害关系人对招标文件有异议的，应当在投标截止时间10日前以书面形式提出。招标人将在收到异议之日起3日内作出答复；作出答复前，将暂停招标投标活动。</w:t>
      </w:r>
    </w:p>
    <w:p>
      <w:pPr>
        <w:keepNext w:val="0"/>
        <w:keepLines w:val="0"/>
        <w:pageBreakBefore w:val="0"/>
        <w:widowControl w:val="0"/>
        <w:kinsoku/>
        <w:overflowPunct/>
        <w:bidi w:val="0"/>
        <w:spacing w:before="120" w:line="360" w:lineRule="auto"/>
        <w:outlineLvl w:val="1"/>
        <w:rPr>
          <w:rStyle w:val="63"/>
          <w:rFonts w:ascii="宋体" w:hAnsi="宋体" w:cs="宋体"/>
          <w:b/>
          <w:bCs/>
          <w:color w:val="auto"/>
          <w:spacing w:val="0"/>
          <w:sz w:val="24"/>
          <w:szCs w:val="24"/>
          <w:highlight w:val="none"/>
        </w:rPr>
      </w:pPr>
      <w:bookmarkStart w:id="98" w:name="_Toc7740"/>
      <w:bookmarkStart w:id="99" w:name="_Toc2554"/>
      <w:bookmarkStart w:id="100" w:name="_Toc22065"/>
      <w:bookmarkStart w:id="101" w:name="_Toc1082"/>
      <w:r>
        <w:rPr>
          <w:rStyle w:val="63"/>
          <w:rFonts w:ascii="宋体" w:hAnsi="宋体" w:cs="宋体"/>
          <w:b/>
          <w:bCs/>
          <w:color w:val="auto"/>
          <w:spacing w:val="0"/>
          <w:sz w:val="24"/>
          <w:szCs w:val="24"/>
          <w:highlight w:val="none"/>
        </w:rPr>
        <w:t>3. 投标文件</w:t>
      </w:r>
      <w:bookmarkEnd w:id="98"/>
      <w:bookmarkEnd w:id="99"/>
      <w:bookmarkEnd w:id="100"/>
      <w:bookmarkEnd w:id="101"/>
    </w:p>
    <w:p>
      <w:pPr>
        <w:keepNext w:val="0"/>
        <w:keepLines w:val="0"/>
        <w:pageBreakBefore w:val="0"/>
        <w:widowControl w:val="0"/>
        <w:kinsoku/>
        <w:overflowPunct/>
        <w:bidi w:val="0"/>
        <w:spacing w:line="360" w:lineRule="auto"/>
        <w:ind w:firstLine="480" w:firstLineChars="200"/>
        <w:outlineLvl w:val="2"/>
        <w:rPr>
          <w:rStyle w:val="63"/>
          <w:rFonts w:ascii="宋体" w:hAnsi="宋体"/>
          <w:color w:val="auto"/>
          <w:spacing w:val="0"/>
          <w:sz w:val="24"/>
          <w:szCs w:val="24"/>
          <w:highlight w:val="none"/>
        </w:rPr>
      </w:pPr>
      <w:bookmarkStart w:id="102" w:name="_Toc4777"/>
      <w:bookmarkStart w:id="103" w:name="_Toc5821"/>
      <w:bookmarkStart w:id="104" w:name="_Toc21530"/>
      <w:bookmarkStart w:id="105" w:name="_Toc7610"/>
      <w:r>
        <w:rPr>
          <w:rStyle w:val="63"/>
          <w:rFonts w:ascii="宋体" w:hAnsi="宋体"/>
          <w:color w:val="auto"/>
          <w:spacing w:val="0"/>
          <w:sz w:val="24"/>
          <w:szCs w:val="24"/>
          <w:highlight w:val="none"/>
        </w:rPr>
        <w:t>3.1投标文件的组成</w:t>
      </w:r>
      <w:bookmarkEnd w:id="102"/>
      <w:bookmarkEnd w:id="103"/>
      <w:bookmarkEnd w:id="104"/>
      <w:bookmarkEnd w:id="105"/>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3.1.1投标文件应包括下列内容：</w:t>
      </w:r>
    </w:p>
    <w:p>
      <w:pPr>
        <w:pStyle w:val="86"/>
        <w:keepNext w:val="0"/>
        <w:keepLines w:val="0"/>
        <w:pageBreakBefore w:val="0"/>
        <w:widowControl w:val="0"/>
        <w:numPr>
          <w:ilvl w:val="0"/>
          <w:numId w:val="1"/>
        </w:numPr>
        <w:kinsoku/>
        <w:overflowPunct/>
        <w:bidi w:val="0"/>
        <w:spacing w:line="360" w:lineRule="auto"/>
        <w:rPr>
          <w:rStyle w:val="66"/>
          <w:rFonts w:ascii="宋体" w:hAnsi="宋体"/>
          <w:color w:val="auto"/>
          <w:spacing w:val="0"/>
          <w:sz w:val="24"/>
          <w:szCs w:val="24"/>
          <w:highlight w:val="none"/>
          <w:u w:val="single"/>
        </w:rPr>
      </w:pPr>
      <w:r>
        <w:rPr>
          <w:rStyle w:val="66"/>
          <w:rFonts w:ascii="宋体" w:hAnsi="宋体"/>
          <w:color w:val="auto"/>
          <w:spacing w:val="0"/>
          <w:sz w:val="24"/>
          <w:szCs w:val="24"/>
          <w:highlight w:val="none"/>
          <w:u w:val="single"/>
        </w:rPr>
        <w:t>封面：写明项目名称、投标人单位及</w:t>
      </w:r>
      <w:r>
        <w:rPr>
          <w:rStyle w:val="66"/>
          <w:rFonts w:hint="eastAsia" w:ascii="宋体" w:hAnsi="宋体"/>
          <w:color w:val="auto"/>
          <w:spacing w:val="0"/>
          <w:sz w:val="24"/>
          <w:szCs w:val="24"/>
          <w:highlight w:val="none"/>
          <w:u w:val="single"/>
          <w:lang w:eastAsia="zh-CN"/>
        </w:rPr>
        <w:t>日期</w:t>
      </w:r>
      <w:r>
        <w:rPr>
          <w:rStyle w:val="66"/>
          <w:rFonts w:ascii="宋体" w:hAnsi="宋体"/>
          <w:color w:val="auto"/>
          <w:spacing w:val="0"/>
          <w:sz w:val="24"/>
          <w:szCs w:val="24"/>
          <w:highlight w:val="none"/>
          <w:u w:val="single"/>
        </w:rPr>
        <w:t>，并加盖投标人公章。</w:t>
      </w:r>
    </w:p>
    <w:p>
      <w:pPr>
        <w:pStyle w:val="86"/>
        <w:keepNext w:val="0"/>
        <w:keepLines w:val="0"/>
        <w:pageBreakBefore w:val="0"/>
        <w:widowControl w:val="0"/>
        <w:numPr>
          <w:ilvl w:val="0"/>
          <w:numId w:val="1"/>
        </w:numPr>
        <w:kinsoku/>
        <w:overflowPunct/>
        <w:bidi w:val="0"/>
        <w:spacing w:line="360" w:lineRule="auto"/>
        <w:rPr>
          <w:rStyle w:val="66"/>
          <w:rFonts w:ascii="宋体" w:hAnsi="宋体"/>
          <w:color w:val="auto"/>
          <w:spacing w:val="0"/>
          <w:sz w:val="24"/>
          <w:szCs w:val="24"/>
          <w:highlight w:val="none"/>
          <w:u w:val="single"/>
        </w:rPr>
      </w:pPr>
      <w:r>
        <w:rPr>
          <w:rStyle w:val="66"/>
          <w:rFonts w:ascii="宋体" w:hAnsi="宋体"/>
          <w:color w:val="auto"/>
          <w:spacing w:val="0"/>
          <w:sz w:val="24"/>
          <w:szCs w:val="24"/>
          <w:highlight w:val="none"/>
          <w:u w:val="single"/>
        </w:rPr>
        <w:t>目录；</w:t>
      </w:r>
    </w:p>
    <w:p>
      <w:pPr>
        <w:pStyle w:val="86"/>
        <w:keepNext w:val="0"/>
        <w:keepLines w:val="0"/>
        <w:pageBreakBefore w:val="0"/>
        <w:widowControl w:val="0"/>
        <w:numPr>
          <w:ilvl w:val="0"/>
          <w:numId w:val="1"/>
        </w:numPr>
        <w:kinsoku/>
        <w:overflowPunct/>
        <w:bidi w:val="0"/>
        <w:spacing w:line="360" w:lineRule="auto"/>
        <w:rPr>
          <w:rStyle w:val="63"/>
          <w:rFonts w:ascii="宋体" w:hAnsi="宋体"/>
          <w:color w:val="auto"/>
          <w:spacing w:val="0"/>
          <w:sz w:val="24"/>
          <w:szCs w:val="24"/>
          <w:highlight w:val="none"/>
        </w:rPr>
      </w:pPr>
      <w:r>
        <w:rPr>
          <w:rStyle w:val="63"/>
          <w:rFonts w:ascii="宋体" w:hAnsi="宋体"/>
          <w:color w:val="auto"/>
          <w:spacing w:val="0"/>
          <w:sz w:val="24"/>
          <w:szCs w:val="24"/>
          <w:highlight w:val="none"/>
        </w:rPr>
        <w:t>投标函及投标函附录；</w:t>
      </w:r>
    </w:p>
    <w:p>
      <w:pPr>
        <w:pStyle w:val="86"/>
        <w:keepNext w:val="0"/>
        <w:keepLines w:val="0"/>
        <w:pageBreakBefore w:val="0"/>
        <w:widowControl w:val="0"/>
        <w:numPr>
          <w:ilvl w:val="0"/>
          <w:numId w:val="1"/>
        </w:numPr>
        <w:kinsoku/>
        <w:overflowPunct/>
        <w:bidi w:val="0"/>
        <w:spacing w:line="360" w:lineRule="auto"/>
        <w:rPr>
          <w:rStyle w:val="63"/>
          <w:rFonts w:hint="eastAsia" w:ascii="宋体" w:hAnsi="宋体"/>
          <w:color w:val="auto"/>
          <w:spacing w:val="0"/>
          <w:sz w:val="24"/>
          <w:szCs w:val="24"/>
          <w:highlight w:val="none"/>
        </w:rPr>
      </w:pPr>
      <w:r>
        <w:rPr>
          <w:rStyle w:val="63"/>
          <w:rFonts w:ascii="宋体" w:hAnsi="宋体"/>
          <w:color w:val="auto"/>
          <w:spacing w:val="0"/>
          <w:sz w:val="24"/>
          <w:szCs w:val="24"/>
          <w:highlight w:val="none"/>
        </w:rPr>
        <w:t>法定代表人证明书及授权委托书；</w:t>
      </w:r>
    </w:p>
    <w:p>
      <w:pPr>
        <w:pStyle w:val="86"/>
        <w:keepNext w:val="0"/>
        <w:keepLines w:val="0"/>
        <w:pageBreakBefore w:val="0"/>
        <w:widowControl w:val="0"/>
        <w:numPr>
          <w:ilvl w:val="0"/>
          <w:numId w:val="1"/>
        </w:numPr>
        <w:kinsoku/>
        <w:overflowPunct/>
        <w:bidi w:val="0"/>
        <w:spacing w:line="360" w:lineRule="auto"/>
        <w:rPr>
          <w:rStyle w:val="63"/>
          <w:rFonts w:hint="eastAsia" w:ascii="宋体" w:hAnsi="宋体"/>
          <w:color w:val="auto"/>
          <w:spacing w:val="0"/>
          <w:sz w:val="24"/>
          <w:szCs w:val="24"/>
          <w:highlight w:val="none"/>
        </w:rPr>
      </w:pPr>
      <w:r>
        <w:rPr>
          <w:rStyle w:val="63"/>
          <w:rFonts w:hint="eastAsia" w:ascii="宋体" w:hAnsi="宋体"/>
          <w:color w:val="auto"/>
          <w:spacing w:val="0"/>
          <w:sz w:val="24"/>
          <w:szCs w:val="24"/>
          <w:highlight w:val="none"/>
        </w:rPr>
        <w:t>投标报价汇总表</w:t>
      </w:r>
      <w:r>
        <w:rPr>
          <w:rStyle w:val="63"/>
          <w:rFonts w:ascii="宋体" w:hAnsi="宋体"/>
          <w:color w:val="auto"/>
          <w:spacing w:val="0"/>
          <w:sz w:val="24"/>
          <w:szCs w:val="24"/>
          <w:highlight w:val="none"/>
        </w:rPr>
        <w:t>；</w:t>
      </w:r>
    </w:p>
    <w:p>
      <w:pPr>
        <w:pStyle w:val="86"/>
        <w:keepNext w:val="0"/>
        <w:keepLines w:val="0"/>
        <w:pageBreakBefore w:val="0"/>
        <w:widowControl w:val="0"/>
        <w:numPr>
          <w:ilvl w:val="0"/>
          <w:numId w:val="1"/>
        </w:numPr>
        <w:kinsoku/>
        <w:overflowPunct/>
        <w:bidi w:val="0"/>
        <w:spacing w:line="360" w:lineRule="auto"/>
        <w:rPr>
          <w:rStyle w:val="63"/>
          <w:rFonts w:hint="eastAsia" w:ascii="宋体" w:hAnsi="宋体"/>
          <w:color w:val="auto"/>
          <w:spacing w:val="0"/>
          <w:sz w:val="24"/>
          <w:szCs w:val="24"/>
          <w:highlight w:val="none"/>
        </w:rPr>
      </w:pPr>
      <w:r>
        <w:rPr>
          <w:rStyle w:val="63"/>
          <w:rFonts w:ascii="宋体" w:hAnsi="宋体"/>
          <w:color w:val="auto"/>
          <w:spacing w:val="0"/>
          <w:sz w:val="24"/>
          <w:szCs w:val="24"/>
          <w:highlight w:val="none"/>
        </w:rPr>
        <w:t>资格审查资料；</w:t>
      </w:r>
    </w:p>
    <w:p>
      <w:pPr>
        <w:pStyle w:val="86"/>
        <w:keepNext w:val="0"/>
        <w:keepLines w:val="0"/>
        <w:pageBreakBefore w:val="0"/>
        <w:widowControl w:val="0"/>
        <w:numPr>
          <w:ilvl w:val="0"/>
          <w:numId w:val="1"/>
        </w:numPr>
        <w:kinsoku/>
        <w:overflowPunct/>
        <w:bidi w:val="0"/>
        <w:spacing w:line="360" w:lineRule="auto"/>
        <w:rPr>
          <w:rStyle w:val="63"/>
          <w:rFonts w:hint="eastAsia" w:ascii="宋体" w:hAnsi="宋体"/>
          <w:color w:val="auto"/>
          <w:spacing w:val="0"/>
          <w:sz w:val="24"/>
          <w:szCs w:val="24"/>
          <w:highlight w:val="none"/>
        </w:rPr>
      </w:pPr>
      <w:r>
        <w:rPr>
          <w:rFonts w:hint="eastAsia" w:ascii="宋体" w:hAnsi="宋体"/>
          <w:color w:val="auto"/>
          <w:spacing w:val="0"/>
          <w:sz w:val="24"/>
          <w:szCs w:val="24"/>
          <w:highlight w:val="none"/>
          <w:lang w:eastAsia="zh-CN"/>
        </w:rPr>
        <w:t>施工图审查技术方案；</w:t>
      </w:r>
    </w:p>
    <w:p>
      <w:pPr>
        <w:pStyle w:val="86"/>
        <w:keepNext w:val="0"/>
        <w:keepLines w:val="0"/>
        <w:pageBreakBefore w:val="0"/>
        <w:widowControl w:val="0"/>
        <w:numPr>
          <w:ilvl w:val="0"/>
          <w:numId w:val="1"/>
        </w:numPr>
        <w:kinsoku/>
        <w:overflowPunct/>
        <w:bidi w:val="0"/>
        <w:spacing w:line="360" w:lineRule="auto"/>
        <w:rPr>
          <w:rStyle w:val="63"/>
          <w:rFonts w:hint="eastAsia" w:ascii="宋体" w:hAnsi="宋体"/>
          <w:color w:val="auto"/>
          <w:spacing w:val="0"/>
          <w:sz w:val="24"/>
          <w:szCs w:val="24"/>
          <w:highlight w:val="none"/>
        </w:rPr>
      </w:pPr>
      <w:r>
        <w:rPr>
          <w:rStyle w:val="63"/>
          <w:rFonts w:hint="eastAsia" w:ascii="宋体" w:hAnsi="宋体"/>
          <w:color w:val="auto"/>
          <w:spacing w:val="0"/>
          <w:sz w:val="24"/>
          <w:szCs w:val="24"/>
          <w:highlight w:val="none"/>
        </w:rPr>
        <w:t>公司简介；</w:t>
      </w:r>
    </w:p>
    <w:p>
      <w:pPr>
        <w:pStyle w:val="86"/>
        <w:keepNext w:val="0"/>
        <w:keepLines w:val="0"/>
        <w:pageBreakBefore w:val="0"/>
        <w:widowControl w:val="0"/>
        <w:numPr>
          <w:ilvl w:val="0"/>
          <w:numId w:val="1"/>
        </w:numPr>
        <w:kinsoku/>
        <w:overflowPunct/>
        <w:bidi w:val="0"/>
        <w:spacing w:line="360" w:lineRule="auto"/>
        <w:rPr>
          <w:rStyle w:val="63"/>
          <w:rFonts w:hint="eastAsia" w:ascii="宋体" w:hAnsi="宋体"/>
          <w:color w:val="auto"/>
          <w:spacing w:val="0"/>
          <w:sz w:val="24"/>
          <w:szCs w:val="24"/>
          <w:highlight w:val="none"/>
        </w:rPr>
      </w:pPr>
      <w:r>
        <w:rPr>
          <w:rStyle w:val="63"/>
          <w:rFonts w:hint="eastAsia" w:ascii="宋体" w:hAnsi="宋体"/>
          <w:color w:val="auto"/>
          <w:spacing w:val="0"/>
          <w:sz w:val="24"/>
          <w:szCs w:val="24"/>
          <w:highlight w:val="none"/>
        </w:rPr>
        <w:t>项目机构人员配备情况；</w:t>
      </w:r>
    </w:p>
    <w:p>
      <w:pPr>
        <w:pStyle w:val="86"/>
        <w:keepNext w:val="0"/>
        <w:keepLines w:val="0"/>
        <w:pageBreakBefore w:val="0"/>
        <w:widowControl w:val="0"/>
        <w:numPr>
          <w:ilvl w:val="0"/>
          <w:numId w:val="1"/>
        </w:numPr>
        <w:kinsoku/>
        <w:overflowPunct/>
        <w:bidi w:val="0"/>
        <w:spacing w:line="360" w:lineRule="auto"/>
        <w:rPr>
          <w:rStyle w:val="63"/>
          <w:rFonts w:hint="eastAsia" w:ascii="宋体" w:hAnsi="宋体"/>
          <w:color w:val="auto"/>
          <w:spacing w:val="0"/>
          <w:sz w:val="24"/>
          <w:szCs w:val="24"/>
          <w:highlight w:val="none"/>
        </w:rPr>
      </w:pPr>
      <w:r>
        <w:rPr>
          <w:rStyle w:val="63"/>
          <w:rFonts w:ascii="宋体" w:hAnsi="宋体"/>
          <w:color w:val="auto"/>
          <w:spacing w:val="0"/>
          <w:sz w:val="24"/>
          <w:szCs w:val="24"/>
          <w:highlight w:val="none"/>
        </w:rPr>
        <w:t>投标人须知前附表或评审项规定的其他资料。投标人在评标过程中作出的符合法律法规和招标文件规定的澄清确认，构成投标文件的组成部分。</w:t>
      </w:r>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position w:val="-1"/>
          <w:sz w:val="24"/>
          <w:szCs w:val="24"/>
          <w:highlight w:val="none"/>
        </w:rPr>
        <w:t>3.1.2投标人须知前附表规定不接受联合体投标的，或投标人没有组成联合体的，投标文件</w:t>
      </w:r>
      <w:r>
        <w:rPr>
          <w:rStyle w:val="63"/>
          <w:rFonts w:ascii="宋体" w:hAnsi="宋体"/>
          <w:strike/>
          <w:dstrike w:val="0"/>
          <w:color w:val="auto"/>
          <w:spacing w:val="0"/>
          <w:sz w:val="24"/>
          <w:szCs w:val="24"/>
          <w:highlight w:val="none"/>
        </w:rPr>
        <w:t>不包括本章所指的联合体协议书。</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3.1.3投标人须知前附表未要求提交投标保证金的，投标文件不包括本章所指的投标保证金。</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106" w:name="_Toc5094"/>
      <w:bookmarkStart w:id="107" w:name="_Toc9298"/>
      <w:bookmarkStart w:id="108" w:name="_Toc26286"/>
      <w:bookmarkStart w:id="109" w:name="_Toc18998"/>
      <w:r>
        <w:rPr>
          <w:rStyle w:val="63"/>
          <w:rFonts w:ascii="宋体" w:hAnsi="宋体"/>
          <w:b/>
          <w:bCs/>
          <w:color w:val="auto"/>
          <w:spacing w:val="0"/>
          <w:sz w:val="24"/>
          <w:szCs w:val="24"/>
          <w:highlight w:val="none"/>
        </w:rPr>
        <w:t>3.2投标报价</w:t>
      </w:r>
      <w:bookmarkEnd w:id="106"/>
      <w:bookmarkEnd w:id="107"/>
      <w:bookmarkEnd w:id="108"/>
      <w:bookmarkEnd w:id="109"/>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3.2.1投标报价应包括国家规定的增值税税金，除投标人须知前附表另有规定外，增值税税金按一般计税方法计算。投标人应按第六章“投标文件格式”的要求在</w:t>
      </w:r>
      <w:r>
        <w:rPr>
          <w:rStyle w:val="63"/>
          <w:rFonts w:ascii="宋体" w:hAnsi="宋体"/>
          <w:color w:val="auto"/>
          <w:spacing w:val="0"/>
          <w:sz w:val="24"/>
          <w:szCs w:val="24"/>
          <w:highlight w:val="none"/>
          <w:u w:val="single"/>
        </w:rPr>
        <w:t>进行报价</w:t>
      </w:r>
      <w:r>
        <w:rPr>
          <w:rStyle w:val="63"/>
          <w:rFonts w:ascii="宋体" w:hAnsi="宋体"/>
          <w:color w:val="auto"/>
          <w:spacing w:val="0"/>
          <w:sz w:val="24"/>
          <w:szCs w:val="24"/>
          <w:highlight w:val="none"/>
        </w:rPr>
        <w:t>。</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3.2.2 投标人应充分了解该项目的总体情况以及影响投标报价的其他要素。</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3.2.3 本项目的报价方式见投标人须知前附表。</w:t>
      </w:r>
      <w:r>
        <w:rPr>
          <w:rStyle w:val="63"/>
          <w:rFonts w:ascii="宋体" w:hAnsi="宋体"/>
          <w:strike/>
          <w:dstrike w:val="0"/>
          <w:color w:val="auto"/>
          <w:spacing w:val="0"/>
          <w:sz w:val="24"/>
          <w:szCs w:val="24"/>
          <w:highlight w:val="none"/>
        </w:rPr>
        <w:t>投标人在投标截止时间前修改投标函中的投标报价总额，应同时修改投标文件“投标报价表”中的相应报价。此修改须符合本章第4.3款的有关要求。</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3.2.4 招标人设有最高投标限价的，投标人的投标报价不得超过最高投标限价，最高投标限价在投标人须知前附表中载明。</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3.2.5 投标报价的其他要求见投标人须知前附表。</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110" w:name="_Toc19222"/>
      <w:bookmarkStart w:id="111" w:name="_Toc29215"/>
      <w:bookmarkStart w:id="112" w:name="_Toc26015"/>
      <w:bookmarkStart w:id="113" w:name="_Toc7773"/>
      <w:r>
        <w:rPr>
          <w:rStyle w:val="63"/>
          <w:rFonts w:ascii="宋体" w:hAnsi="宋体"/>
          <w:b/>
          <w:bCs/>
          <w:color w:val="auto"/>
          <w:spacing w:val="0"/>
          <w:sz w:val="24"/>
          <w:szCs w:val="24"/>
          <w:highlight w:val="none"/>
        </w:rPr>
        <w:t>3.3投标有效期</w:t>
      </w:r>
      <w:bookmarkEnd w:id="110"/>
      <w:bookmarkEnd w:id="111"/>
      <w:bookmarkEnd w:id="112"/>
      <w:bookmarkEnd w:id="113"/>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3.3.1见投标人须知前附表。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3.3.2在投标有效期内，投标人撤销投标文件的，应承担招标文件和法律规定的责任。</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strike/>
          <w:dstrike w:val="0"/>
          <w:color w:val="auto"/>
          <w:spacing w:val="0"/>
          <w:sz w:val="24"/>
          <w:szCs w:val="24"/>
          <w:highlight w:val="none"/>
        </w:rPr>
      </w:pPr>
      <w:bookmarkStart w:id="114" w:name="_Toc8869"/>
      <w:bookmarkStart w:id="115" w:name="_Toc26859"/>
      <w:bookmarkStart w:id="116" w:name="_Toc12670"/>
      <w:bookmarkStart w:id="117" w:name="_Toc7272"/>
      <w:r>
        <w:rPr>
          <w:rStyle w:val="63"/>
          <w:rFonts w:ascii="宋体" w:hAnsi="宋体"/>
          <w:b/>
          <w:bCs/>
          <w:strike/>
          <w:dstrike w:val="0"/>
          <w:color w:val="auto"/>
          <w:spacing w:val="0"/>
          <w:sz w:val="24"/>
          <w:szCs w:val="24"/>
          <w:highlight w:val="none"/>
        </w:rPr>
        <w:t>3.4投标保证金</w:t>
      </w:r>
      <w:bookmarkEnd w:id="114"/>
      <w:bookmarkEnd w:id="115"/>
      <w:bookmarkEnd w:id="116"/>
      <w:bookmarkEnd w:id="117"/>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sz w:val="24"/>
          <w:szCs w:val="24"/>
          <w:highlight w:val="none"/>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position w:val="-1"/>
          <w:sz w:val="24"/>
          <w:szCs w:val="24"/>
          <w:highlight w:val="none"/>
        </w:rPr>
        <w:t>3.4.2投标人不按本章第 3.4.1 项要求提交投标保证金的，评标委员会将否决其投标。</w:t>
      </w:r>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sz w:val="24"/>
          <w:szCs w:val="24"/>
          <w:highlight w:val="none"/>
        </w:rPr>
        <w:t>3.4.3招标人最迟将在与中标人签订合同后5日内，向未中标的投标人和中标人退还投标保证金。投标保证金以现金或者支票形式递交的，还应退还银行同期存款利息。</w:t>
      </w:r>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sz w:val="24"/>
          <w:szCs w:val="24"/>
          <w:highlight w:val="none"/>
        </w:rPr>
        <w:t>3.4.4有下列情形之一的，投标保证金将不予退还：</w:t>
      </w:r>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sz w:val="24"/>
          <w:szCs w:val="24"/>
          <w:highlight w:val="none"/>
        </w:rPr>
        <w:t>（1）投标人在投标有效期内撤销投标文件；</w:t>
      </w:r>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sz w:val="24"/>
          <w:szCs w:val="24"/>
          <w:highlight w:val="none"/>
        </w:rPr>
        <w:t>（2）中标人在收到中标通知书后，无正当理由不与招标人订立合同，在签订合同时向招标人提出附加条件，或者不按照招标文件要求提交履约保证金；</w:t>
      </w:r>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sz w:val="24"/>
          <w:szCs w:val="24"/>
          <w:highlight w:val="none"/>
        </w:rPr>
        <w:t>（3）发生投标人须知前附表规定的其他可以不予退还投标保证金的情形。</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118" w:name="_Toc23087"/>
      <w:bookmarkStart w:id="119" w:name="_Toc25675"/>
      <w:bookmarkStart w:id="120" w:name="_Toc26372"/>
      <w:bookmarkStart w:id="121" w:name="_Toc22621"/>
      <w:r>
        <w:rPr>
          <w:rStyle w:val="63"/>
          <w:rFonts w:ascii="宋体" w:hAnsi="宋体"/>
          <w:b/>
          <w:bCs/>
          <w:color w:val="auto"/>
          <w:spacing w:val="0"/>
          <w:sz w:val="24"/>
          <w:szCs w:val="24"/>
          <w:highlight w:val="none"/>
        </w:rPr>
        <w:t>3.5资格审查资料（适用于未进行资格预审的）</w:t>
      </w:r>
      <w:bookmarkEnd w:id="118"/>
      <w:bookmarkEnd w:id="119"/>
      <w:bookmarkEnd w:id="120"/>
      <w:bookmarkEnd w:id="121"/>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除投标人须知前附表另有规定外，投标人应按</w:t>
      </w:r>
      <w:r>
        <w:rPr>
          <w:rFonts w:hint="eastAsia"/>
          <w:color w:val="auto"/>
          <w:spacing w:val="0"/>
          <w:sz w:val="24"/>
          <w:szCs w:val="24"/>
          <w:highlight w:val="none"/>
          <w:u w:val="single"/>
          <w:lang w:eastAsia="zh-CN"/>
        </w:rPr>
        <w:t>招标公告的要求</w:t>
      </w:r>
      <w:r>
        <w:rPr>
          <w:rStyle w:val="63"/>
          <w:rFonts w:ascii="宋体" w:hAnsi="宋体"/>
          <w:color w:val="auto"/>
          <w:spacing w:val="0"/>
          <w:sz w:val="24"/>
          <w:szCs w:val="24"/>
          <w:highlight w:val="none"/>
        </w:rPr>
        <w:t>提供资格审查资料，以证明其满足本章第1.4款规定的资质等要求。</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122" w:name="_Toc17376"/>
      <w:bookmarkStart w:id="123" w:name="_Toc28917"/>
      <w:bookmarkStart w:id="124" w:name="_Toc27638"/>
      <w:bookmarkStart w:id="125" w:name="_Toc15371"/>
      <w:r>
        <w:rPr>
          <w:rStyle w:val="63"/>
          <w:rFonts w:ascii="宋体" w:hAnsi="宋体"/>
          <w:b/>
          <w:bCs/>
          <w:color w:val="auto"/>
          <w:spacing w:val="0"/>
          <w:sz w:val="24"/>
          <w:szCs w:val="24"/>
          <w:highlight w:val="none"/>
        </w:rPr>
        <w:t>3.6备选投标方案</w:t>
      </w:r>
      <w:bookmarkEnd w:id="122"/>
      <w:bookmarkEnd w:id="123"/>
      <w:bookmarkEnd w:id="124"/>
      <w:bookmarkEnd w:id="125"/>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3.6.1除投标人须知前附表规定允许外，投标人不得递交备选投标方案，否则其投标将被否决。</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3.6.3投标人提供两个或两个以上投标报价，或者在投标文件中提供一个报价，但同时提供两个或两个以上设计咨询服务方案的，视为提供备选方案。</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126" w:name="_Toc2834"/>
      <w:bookmarkStart w:id="127" w:name="_Toc15813"/>
      <w:bookmarkStart w:id="128" w:name="_Toc21986"/>
      <w:bookmarkStart w:id="129" w:name="_Toc366"/>
      <w:r>
        <w:rPr>
          <w:rStyle w:val="63"/>
          <w:rFonts w:ascii="宋体" w:hAnsi="宋体"/>
          <w:b/>
          <w:bCs/>
          <w:color w:val="auto"/>
          <w:spacing w:val="0"/>
          <w:sz w:val="24"/>
          <w:szCs w:val="24"/>
          <w:highlight w:val="none"/>
        </w:rPr>
        <w:t>3.7投标文件的编制</w:t>
      </w:r>
      <w:bookmarkEnd w:id="126"/>
      <w:bookmarkEnd w:id="127"/>
      <w:bookmarkEnd w:id="128"/>
      <w:bookmarkEnd w:id="129"/>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3.7.1投标文件应按第六章“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3.7.2投标文件应当对招标文件有关服务期限、投标有效期、委托人要求、招标范围等实质性内容作出响应。</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keepNext w:val="0"/>
        <w:keepLines w:val="0"/>
        <w:pageBreakBefore w:val="0"/>
        <w:widowControl w:val="0"/>
        <w:kinsoku/>
        <w:overflowPunct/>
        <w:bidi w:val="0"/>
        <w:spacing w:before="120" w:line="360" w:lineRule="auto"/>
        <w:outlineLvl w:val="1"/>
        <w:rPr>
          <w:rStyle w:val="63"/>
          <w:rFonts w:ascii="宋体" w:hAnsi="宋体" w:cs="宋体"/>
          <w:b/>
          <w:bCs/>
          <w:color w:val="auto"/>
          <w:spacing w:val="0"/>
          <w:sz w:val="24"/>
          <w:szCs w:val="24"/>
          <w:highlight w:val="none"/>
        </w:rPr>
      </w:pPr>
      <w:bookmarkStart w:id="130" w:name="_Toc20827"/>
      <w:bookmarkStart w:id="131" w:name="_Toc1788"/>
      <w:bookmarkStart w:id="132" w:name="_Toc8453"/>
      <w:bookmarkStart w:id="133" w:name="_Toc28115"/>
      <w:r>
        <w:rPr>
          <w:rStyle w:val="63"/>
          <w:rFonts w:ascii="宋体" w:hAnsi="宋体" w:cs="宋体"/>
          <w:b/>
          <w:bCs/>
          <w:color w:val="auto"/>
          <w:spacing w:val="0"/>
          <w:sz w:val="24"/>
          <w:szCs w:val="24"/>
          <w:highlight w:val="none"/>
        </w:rPr>
        <w:t>4.投标</w:t>
      </w:r>
      <w:bookmarkEnd w:id="130"/>
      <w:bookmarkEnd w:id="131"/>
      <w:bookmarkEnd w:id="132"/>
      <w:bookmarkEnd w:id="133"/>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134" w:name="_Toc15017"/>
      <w:bookmarkStart w:id="135" w:name="_Toc2903"/>
      <w:bookmarkStart w:id="136" w:name="_Toc4776"/>
      <w:bookmarkStart w:id="137" w:name="_Toc28987"/>
      <w:r>
        <w:rPr>
          <w:rStyle w:val="63"/>
          <w:rFonts w:ascii="宋体" w:hAnsi="宋体"/>
          <w:b/>
          <w:bCs/>
          <w:color w:val="auto"/>
          <w:spacing w:val="0"/>
          <w:sz w:val="24"/>
          <w:szCs w:val="24"/>
          <w:highlight w:val="none"/>
        </w:rPr>
        <w:t>4.1投标文件的密封和标记</w:t>
      </w:r>
      <w:bookmarkEnd w:id="134"/>
      <w:bookmarkEnd w:id="135"/>
      <w:bookmarkEnd w:id="136"/>
      <w:bookmarkEnd w:id="137"/>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4.1.1（B）投标人应当按照招标文件和电子招标投标交易平台的要求加密投标文件，具体要求见投标人须知前附表。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4.1.2投标文件</w:t>
      </w:r>
      <w:r>
        <w:rPr>
          <w:rStyle w:val="63"/>
          <w:rFonts w:hint="eastAsia" w:ascii="宋体" w:hAnsi="宋体"/>
          <w:color w:val="auto"/>
          <w:spacing w:val="0"/>
          <w:sz w:val="24"/>
          <w:szCs w:val="24"/>
          <w:highlight w:val="none"/>
          <w:u w:val="single"/>
        </w:rPr>
        <w:t>备用光盘或U盘</w:t>
      </w:r>
      <w:r>
        <w:rPr>
          <w:rStyle w:val="63"/>
          <w:rFonts w:ascii="宋体" w:hAnsi="宋体"/>
          <w:color w:val="auto"/>
          <w:spacing w:val="0"/>
          <w:sz w:val="24"/>
          <w:szCs w:val="24"/>
          <w:highlight w:val="none"/>
        </w:rPr>
        <w:t>封套上应写明的内容见投标人须知前附表。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4.1.3</w:t>
      </w:r>
      <w:r>
        <w:rPr>
          <w:rStyle w:val="63"/>
          <w:rFonts w:hint="eastAsia" w:ascii="宋体" w:hAnsi="宋体"/>
          <w:color w:val="auto"/>
          <w:spacing w:val="0"/>
          <w:sz w:val="24"/>
          <w:szCs w:val="24"/>
          <w:highlight w:val="none"/>
          <w:u w:val="single"/>
        </w:rPr>
        <w:t>投标人在投标截止期后逾期或未在指定地点递交备用投标文件备用光盘或U盘的，或投标人递交的备用投标文件备用光盘或U盘未按招标文件要求密封或未在密封处盖章或签字的，或投标人代表未凭法定代表人证明书原件、授权委托书原件（仅限于非法定代表人）、本人身份证原件、委托投标的还应提供授权委托人2025年4月在本公司缴纳社保的有效社保证按要求递交备用投标文件备用光盘或U盘的，招标人将予以拒收</w:t>
      </w:r>
      <w:r>
        <w:rPr>
          <w:rStyle w:val="63"/>
          <w:rFonts w:ascii="宋体" w:hAnsi="宋体"/>
          <w:color w:val="auto"/>
          <w:spacing w:val="0"/>
          <w:sz w:val="24"/>
          <w:szCs w:val="24"/>
          <w:highlight w:val="none"/>
          <w:u w:val="single"/>
        </w:rPr>
        <w:t>。</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138" w:name="_Toc23177"/>
      <w:bookmarkStart w:id="139" w:name="_Toc5845"/>
      <w:bookmarkStart w:id="140" w:name="_Toc21220"/>
      <w:bookmarkStart w:id="141" w:name="_Toc30174"/>
      <w:r>
        <w:rPr>
          <w:rStyle w:val="63"/>
          <w:rFonts w:ascii="宋体" w:hAnsi="宋体"/>
          <w:b/>
          <w:bCs/>
          <w:color w:val="auto"/>
          <w:spacing w:val="0"/>
          <w:sz w:val="24"/>
          <w:szCs w:val="24"/>
          <w:highlight w:val="none"/>
        </w:rPr>
        <w:t>4.2投标文件的递交</w:t>
      </w:r>
      <w:bookmarkEnd w:id="138"/>
      <w:bookmarkEnd w:id="139"/>
      <w:bookmarkEnd w:id="140"/>
      <w:bookmarkEnd w:id="141"/>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4.2.1投标人应在投标人须知前附表规定的投标截止时间前递交投标文件。</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4.2.2（B）投标人通过下载招标文件的电子招标投标交易平台递交电子投标文件。</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4.2.3除投标人须知前附表另有规定外，投标人所递交的投标文件不予退还。</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4.2.4（B）投标人完成电子投标文件上传后，电子招标投标交易平台即时向投标人发出递交回执通知。递交时间以递交回执通知载明的传输完成时间为准。</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4.2.5（B）逾期送达的投标文件，电子招标投标交易平台将予以拒收。</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142" w:name="_Toc13951"/>
      <w:bookmarkStart w:id="143" w:name="_Toc25710"/>
      <w:bookmarkStart w:id="144" w:name="_Toc21441"/>
      <w:bookmarkStart w:id="145" w:name="_Toc29298"/>
      <w:r>
        <w:rPr>
          <w:rStyle w:val="63"/>
          <w:rFonts w:ascii="宋体" w:hAnsi="宋体"/>
          <w:b/>
          <w:bCs/>
          <w:color w:val="auto"/>
          <w:spacing w:val="0"/>
          <w:position w:val="-1"/>
          <w:sz w:val="24"/>
          <w:szCs w:val="24"/>
          <w:highlight w:val="none"/>
        </w:rPr>
        <w:t>4.3投标文件的修改与撤回</w:t>
      </w:r>
      <w:bookmarkEnd w:id="142"/>
      <w:bookmarkEnd w:id="143"/>
      <w:bookmarkEnd w:id="144"/>
      <w:bookmarkEnd w:id="145"/>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4.3.1在本章第4.2.1项规定的投标截止时间前，投标人可以修改或撤回已递交的投标文件，</w:t>
      </w:r>
      <w:r>
        <w:rPr>
          <w:rStyle w:val="63"/>
          <w:rFonts w:hint="eastAsia" w:ascii="宋体" w:hAnsi="宋体"/>
          <w:color w:val="auto"/>
          <w:spacing w:val="0"/>
          <w:sz w:val="24"/>
          <w:szCs w:val="24"/>
          <w:highlight w:val="none"/>
          <w:u w:val="single"/>
        </w:rPr>
        <w:t>但需在广州交易集团有限公司（广州公共资源交易中心）交易平台发出撤回通知</w:t>
      </w:r>
      <w:r>
        <w:rPr>
          <w:rStyle w:val="63"/>
          <w:rFonts w:ascii="宋体" w:hAnsi="宋体"/>
          <w:color w:val="auto"/>
          <w:spacing w:val="0"/>
          <w:sz w:val="24"/>
          <w:szCs w:val="24"/>
          <w:highlight w:val="none"/>
        </w:rPr>
        <w:t>。</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4.3.2（B）投标人修改或撤回已递交投标文件的通知，应按照本章第3.7.3（B）项的要求加盖电子印章。电子招标投标交易平台收到通知后，即时向投标人发出确认回执通知。</w:t>
      </w:r>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sz w:val="24"/>
          <w:szCs w:val="24"/>
          <w:highlight w:val="none"/>
        </w:rPr>
        <w:t>4.3.3投标人撤回投标文件的，招标人自收到投标人书面撤回通知之日起 5 日内退还已收取的投标保证金。</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4.3.4修改的内容为投标文件的组成部分。修改的投标文件应按照本章第3条、第4条的规定进行</w:t>
      </w:r>
      <w:r>
        <w:rPr>
          <w:rStyle w:val="63"/>
          <w:rFonts w:ascii="宋体" w:hAnsi="宋体"/>
          <w:color w:val="auto"/>
          <w:spacing w:val="0"/>
          <w:sz w:val="24"/>
          <w:szCs w:val="24"/>
          <w:highlight w:val="none"/>
          <w:u w:val="single"/>
        </w:rPr>
        <w:t>编制和递交</w:t>
      </w:r>
      <w:r>
        <w:rPr>
          <w:rStyle w:val="63"/>
          <w:rFonts w:ascii="宋体" w:hAnsi="宋体"/>
          <w:color w:val="auto"/>
          <w:spacing w:val="0"/>
          <w:sz w:val="24"/>
          <w:szCs w:val="24"/>
          <w:highlight w:val="none"/>
        </w:rPr>
        <w:t>。</w:t>
      </w:r>
    </w:p>
    <w:p>
      <w:pPr>
        <w:keepNext w:val="0"/>
        <w:keepLines w:val="0"/>
        <w:pageBreakBefore w:val="0"/>
        <w:widowControl w:val="0"/>
        <w:kinsoku/>
        <w:overflowPunct/>
        <w:bidi w:val="0"/>
        <w:spacing w:before="120" w:line="360" w:lineRule="auto"/>
        <w:outlineLvl w:val="1"/>
        <w:rPr>
          <w:rStyle w:val="63"/>
          <w:rFonts w:ascii="宋体" w:hAnsi="宋体" w:cs="宋体"/>
          <w:b/>
          <w:bCs/>
          <w:color w:val="auto"/>
          <w:spacing w:val="0"/>
          <w:sz w:val="24"/>
          <w:szCs w:val="24"/>
          <w:highlight w:val="none"/>
        </w:rPr>
      </w:pPr>
      <w:bookmarkStart w:id="146" w:name="_Toc19611"/>
      <w:bookmarkStart w:id="147" w:name="_Toc21475"/>
      <w:bookmarkStart w:id="148" w:name="_Toc15924"/>
      <w:bookmarkStart w:id="149" w:name="_Toc17237"/>
      <w:r>
        <w:rPr>
          <w:rStyle w:val="63"/>
          <w:rFonts w:ascii="宋体" w:hAnsi="宋体" w:cs="宋体"/>
          <w:b/>
          <w:bCs/>
          <w:color w:val="auto"/>
          <w:spacing w:val="0"/>
          <w:sz w:val="24"/>
          <w:szCs w:val="24"/>
          <w:highlight w:val="none"/>
        </w:rPr>
        <w:t>5. 开标</w:t>
      </w:r>
      <w:bookmarkEnd w:id="146"/>
      <w:bookmarkEnd w:id="147"/>
      <w:bookmarkEnd w:id="148"/>
      <w:bookmarkEnd w:id="149"/>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150" w:name="_Toc10389"/>
      <w:bookmarkStart w:id="151" w:name="_Toc28556"/>
      <w:bookmarkStart w:id="152" w:name="_Toc30581"/>
      <w:bookmarkStart w:id="153" w:name="_Toc13920"/>
      <w:r>
        <w:rPr>
          <w:rStyle w:val="63"/>
          <w:rFonts w:ascii="宋体" w:hAnsi="宋体"/>
          <w:b/>
          <w:bCs/>
          <w:color w:val="auto"/>
          <w:spacing w:val="0"/>
          <w:sz w:val="24"/>
          <w:szCs w:val="24"/>
          <w:highlight w:val="none"/>
        </w:rPr>
        <w:t>5.1开标时间和地点（B）</w:t>
      </w:r>
      <w:bookmarkEnd w:id="150"/>
      <w:bookmarkEnd w:id="151"/>
      <w:bookmarkEnd w:id="152"/>
      <w:bookmarkEnd w:id="153"/>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招标人在本章第4.2.1项规定的投标截止时间（开标时间）,通过电子招标投标交易平台公开开标，</w:t>
      </w:r>
      <w:r>
        <w:rPr>
          <w:rStyle w:val="63"/>
          <w:rFonts w:hint="eastAsia" w:ascii="宋体" w:hAnsi="宋体"/>
          <w:color w:val="auto"/>
          <w:spacing w:val="0"/>
          <w:sz w:val="24"/>
          <w:szCs w:val="24"/>
          <w:highlight w:val="none"/>
        </w:rPr>
        <w:t>开标时，投标人代表有权出席开标会，也可以自主决定不参加开标会，若投标人代表对开标过程提出异议，该投标人代表须同时出示本人身份证原件</w:t>
      </w:r>
      <w:r>
        <w:rPr>
          <w:rStyle w:val="63"/>
          <w:rFonts w:ascii="宋体" w:hAnsi="宋体"/>
          <w:color w:val="auto"/>
          <w:spacing w:val="0"/>
          <w:sz w:val="24"/>
          <w:szCs w:val="24"/>
          <w:highlight w:val="none"/>
        </w:rPr>
        <w:t>。</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154" w:name="_Toc20830"/>
      <w:bookmarkStart w:id="155" w:name="_Toc5593"/>
      <w:bookmarkStart w:id="156" w:name="_Toc19481"/>
      <w:bookmarkStart w:id="157" w:name="_Toc24459"/>
      <w:r>
        <w:rPr>
          <w:rStyle w:val="63"/>
          <w:rFonts w:ascii="宋体" w:hAnsi="宋体"/>
          <w:b/>
          <w:bCs/>
          <w:color w:val="auto"/>
          <w:spacing w:val="0"/>
          <w:sz w:val="24"/>
          <w:szCs w:val="24"/>
          <w:highlight w:val="none"/>
        </w:rPr>
        <w:t>5.2开标程序</w:t>
      </w:r>
      <w:bookmarkEnd w:id="154"/>
      <w:bookmarkEnd w:id="155"/>
      <w:bookmarkEnd w:id="156"/>
      <w:bookmarkEnd w:id="157"/>
    </w:p>
    <w:p>
      <w:pPr>
        <w:keepNext w:val="0"/>
        <w:keepLines w:val="0"/>
        <w:pageBreakBefore w:val="0"/>
        <w:widowControl w:val="0"/>
        <w:kinsoku/>
        <w:overflowPunct/>
        <w:bidi w:val="0"/>
        <w:spacing w:line="360" w:lineRule="auto"/>
        <w:ind w:firstLine="480" w:firstLineChars="200"/>
        <w:rPr>
          <w:rStyle w:val="63"/>
          <w:rFonts w:hint="eastAsia" w:ascii="宋体" w:hAnsi="宋体"/>
          <w:color w:val="auto"/>
          <w:spacing w:val="0"/>
          <w:sz w:val="24"/>
          <w:szCs w:val="24"/>
          <w:highlight w:val="none"/>
          <w:u w:val="single"/>
        </w:rPr>
      </w:pPr>
      <w:r>
        <w:rPr>
          <w:rStyle w:val="63"/>
          <w:rFonts w:hint="eastAsia" w:ascii="宋体" w:hAnsi="宋体"/>
          <w:color w:val="auto"/>
          <w:spacing w:val="0"/>
          <w:sz w:val="24"/>
          <w:szCs w:val="24"/>
          <w:highlight w:val="none"/>
          <w:u w:val="single"/>
        </w:rPr>
        <w:t>5.2.1主持人按下列程序进行开标：</w:t>
      </w:r>
    </w:p>
    <w:p>
      <w:pPr>
        <w:keepNext w:val="0"/>
        <w:keepLines w:val="0"/>
        <w:pageBreakBefore w:val="0"/>
        <w:widowControl w:val="0"/>
        <w:kinsoku/>
        <w:overflowPunct/>
        <w:bidi w:val="0"/>
        <w:spacing w:line="360" w:lineRule="auto"/>
        <w:ind w:firstLine="480" w:firstLineChars="200"/>
        <w:rPr>
          <w:rStyle w:val="63"/>
          <w:rFonts w:hint="eastAsia" w:ascii="宋体" w:hAnsi="宋体"/>
          <w:color w:val="auto"/>
          <w:spacing w:val="0"/>
          <w:sz w:val="24"/>
          <w:szCs w:val="24"/>
          <w:highlight w:val="none"/>
          <w:u w:val="single"/>
        </w:rPr>
      </w:pPr>
      <w:r>
        <w:rPr>
          <w:rStyle w:val="63"/>
          <w:rFonts w:hint="eastAsia" w:ascii="宋体" w:hAnsi="宋体"/>
          <w:color w:val="auto"/>
          <w:spacing w:val="0"/>
          <w:sz w:val="24"/>
          <w:szCs w:val="24"/>
          <w:highlight w:val="none"/>
          <w:u w:val="single"/>
        </w:rPr>
        <w:t>（1）宣布开标纪律；</w:t>
      </w:r>
    </w:p>
    <w:p>
      <w:pPr>
        <w:keepNext w:val="0"/>
        <w:keepLines w:val="0"/>
        <w:pageBreakBefore w:val="0"/>
        <w:widowControl w:val="0"/>
        <w:kinsoku/>
        <w:overflowPunct/>
        <w:bidi w:val="0"/>
        <w:spacing w:line="360" w:lineRule="auto"/>
        <w:ind w:firstLine="480" w:firstLineChars="200"/>
        <w:rPr>
          <w:rStyle w:val="63"/>
          <w:rFonts w:hint="eastAsia" w:ascii="宋体" w:hAnsi="宋体"/>
          <w:color w:val="auto"/>
          <w:spacing w:val="0"/>
          <w:sz w:val="24"/>
          <w:szCs w:val="24"/>
          <w:highlight w:val="none"/>
          <w:u w:val="single"/>
        </w:rPr>
      </w:pPr>
      <w:r>
        <w:rPr>
          <w:rStyle w:val="63"/>
          <w:rFonts w:hint="eastAsia" w:ascii="宋体" w:hAnsi="宋体"/>
          <w:color w:val="auto"/>
          <w:spacing w:val="0"/>
          <w:sz w:val="24"/>
          <w:szCs w:val="24"/>
          <w:highlight w:val="none"/>
          <w:u w:val="single"/>
        </w:rPr>
        <w:t>（2）公布在投标截止时间前递交投标文件的投标人名称；</w:t>
      </w:r>
    </w:p>
    <w:p>
      <w:pPr>
        <w:keepNext w:val="0"/>
        <w:keepLines w:val="0"/>
        <w:pageBreakBefore w:val="0"/>
        <w:widowControl w:val="0"/>
        <w:kinsoku/>
        <w:overflowPunct/>
        <w:bidi w:val="0"/>
        <w:spacing w:line="360" w:lineRule="auto"/>
        <w:ind w:firstLine="480" w:firstLineChars="200"/>
        <w:rPr>
          <w:rStyle w:val="63"/>
          <w:rFonts w:hint="eastAsia" w:ascii="宋体" w:hAnsi="宋体"/>
          <w:color w:val="auto"/>
          <w:spacing w:val="0"/>
          <w:sz w:val="24"/>
          <w:szCs w:val="24"/>
          <w:highlight w:val="none"/>
          <w:u w:val="single"/>
        </w:rPr>
      </w:pPr>
      <w:r>
        <w:rPr>
          <w:rStyle w:val="63"/>
          <w:rFonts w:hint="eastAsia" w:ascii="宋体" w:hAnsi="宋体"/>
          <w:color w:val="auto"/>
          <w:spacing w:val="0"/>
          <w:sz w:val="24"/>
          <w:szCs w:val="24"/>
          <w:highlight w:val="none"/>
          <w:u w:val="single"/>
        </w:rPr>
        <w:t>（3）宣布开标人、唱标人、记录人、监标人等有关人员姓名；</w:t>
      </w:r>
    </w:p>
    <w:p>
      <w:pPr>
        <w:keepNext w:val="0"/>
        <w:keepLines w:val="0"/>
        <w:pageBreakBefore w:val="0"/>
        <w:widowControl w:val="0"/>
        <w:kinsoku/>
        <w:overflowPunct/>
        <w:bidi w:val="0"/>
        <w:spacing w:line="360" w:lineRule="auto"/>
        <w:ind w:firstLine="480" w:firstLineChars="200"/>
        <w:rPr>
          <w:rStyle w:val="63"/>
          <w:rFonts w:hint="eastAsia" w:ascii="宋体" w:hAnsi="宋体"/>
          <w:color w:val="auto"/>
          <w:spacing w:val="0"/>
          <w:sz w:val="24"/>
          <w:szCs w:val="24"/>
          <w:highlight w:val="none"/>
          <w:u w:val="single"/>
        </w:rPr>
      </w:pPr>
      <w:r>
        <w:rPr>
          <w:rStyle w:val="63"/>
          <w:rFonts w:hint="eastAsia" w:ascii="宋体" w:hAnsi="宋体"/>
          <w:color w:val="auto"/>
          <w:spacing w:val="0"/>
          <w:sz w:val="24"/>
          <w:szCs w:val="24"/>
          <w:highlight w:val="none"/>
          <w:u w:val="single"/>
        </w:rPr>
        <w:t>（4）投标人通过电子招标投标交易平台对已递交的电子投标文件进行解密，公布招标项目名称、投标人名称、投标报价、服务期限及其他内容，并记录在案；</w:t>
      </w:r>
    </w:p>
    <w:p>
      <w:pPr>
        <w:keepNext w:val="0"/>
        <w:keepLines w:val="0"/>
        <w:pageBreakBefore w:val="0"/>
        <w:widowControl w:val="0"/>
        <w:kinsoku/>
        <w:overflowPunct/>
        <w:bidi w:val="0"/>
        <w:spacing w:line="360" w:lineRule="auto"/>
        <w:ind w:firstLine="480" w:firstLineChars="200"/>
        <w:rPr>
          <w:rStyle w:val="63"/>
          <w:rFonts w:hint="eastAsia" w:ascii="宋体" w:hAnsi="宋体"/>
          <w:color w:val="auto"/>
          <w:spacing w:val="0"/>
          <w:sz w:val="24"/>
          <w:szCs w:val="24"/>
          <w:highlight w:val="none"/>
          <w:u w:val="single"/>
        </w:rPr>
      </w:pPr>
      <w:r>
        <w:rPr>
          <w:rStyle w:val="63"/>
          <w:rFonts w:hint="eastAsia" w:ascii="宋体" w:hAnsi="宋体"/>
          <w:color w:val="auto"/>
          <w:spacing w:val="0"/>
          <w:sz w:val="24"/>
          <w:szCs w:val="24"/>
          <w:highlight w:val="none"/>
          <w:u w:val="single"/>
        </w:rPr>
        <w:t>（5）投标人代表、招标人代表、监标人、记录人等有关人员在开标记录上签字确认；若有关人员不签字的，不影响开标程序；</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u w:val="single"/>
        </w:rPr>
      </w:pPr>
      <w:r>
        <w:rPr>
          <w:rStyle w:val="63"/>
          <w:rFonts w:hint="eastAsia" w:ascii="宋体" w:hAnsi="宋体"/>
          <w:color w:val="auto"/>
          <w:spacing w:val="0"/>
          <w:sz w:val="24"/>
          <w:szCs w:val="24"/>
          <w:highlight w:val="none"/>
          <w:u w:val="single"/>
        </w:rPr>
        <w:t>（6）开标结束。</w:t>
      </w:r>
    </w:p>
    <w:p>
      <w:pPr>
        <w:keepNext w:val="0"/>
        <w:keepLines w:val="0"/>
        <w:pageBreakBefore w:val="0"/>
        <w:widowControl w:val="0"/>
        <w:kinsoku/>
        <w:overflowPunct/>
        <w:bidi w:val="0"/>
        <w:spacing w:line="360" w:lineRule="auto"/>
        <w:ind w:firstLine="480" w:firstLineChars="200"/>
        <w:outlineLvl w:val="2"/>
        <w:rPr>
          <w:rStyle w:val="63"/>
          <w:rFonts w:hint="eastAsia" w:ascii="宋体" w:hAnsi="宋体"/>
          <w:color w:val="auto"/>
          <w:spacing w:val="0"/>
          <w:sz w:val="24"/>
          <w:szCs w:val="24"/>
          <w:highlight w:val="none"/>
        </w:rPr>
      </w:pPr>
      <w:bookmarkStart w:id="158" w:name="_Toc26709"/>
      <w:bookmarkStart w:id="159" w:name="_Toc7369"/>
      <w:bookmarkStart w:id="160" w:name="_Toc22051"/>
      <w:bookmarkStart w:id="161" w:name="_Toc23751"/>
      <w:r>
        <w:rPr>
          <w:rStyle w:val="63"/>
          <w:rFonts w:hint="eastAsia" w:ascii="宋体" w:hAnsi="宋体"/>
          <w:color w:val="auto"/>
          <w:spacing w:val="0"/>
          <w:sz w:val="24"/>
          <w:szCs w:val="24"/>
          <w:highlight w:val="none"/>
          <w:u w:val="single"/>
        </w:rPr>
        <w:t>5.2.2投标截止时间前未完成投标文件传输的或因投标人之外的原因造成投标文件未解密，视为投标人撤回其投标文件。因投标人原因造成投标文件未解密的，视为撤销其投标文件。</w:t>
      </w:r>
    </w:p>
    <w:p>
      <w:pPr>
        <w:keepNext w:val="0"/>
        <w:keepLines w:val="0"/>
        <w:pageBreakBefore w:val="0"/>
        <w:widowControl w:val="0"/>
        <w:kinsoku/>
        <w:overflowPunct/>
        <w:bidi w:val="0"/>
        <w:spacing w:line="360" w:lineRule="auto"/>
        <w:ind w:firstLine="480" w:firstLineChars="200"/>
        <w:outlineLvl w:val="2"/>
        <w:rPr>
          <w:rStyle w:val="63"/>
          <w:rFonts w:ascii="宋体" w:hAnsi="宋体"/>
          <w:color w:val="auto"/>
          <w:spacing w:val="0"/>
          <w:sz w:val="24"/>
          <w:szCs w:val="24"/>
          <w:highlight w:val="none"/>
        </w:rPr>
      </w:pPr>
      <w:r>
        <w:rPr>
          <w:rStyle w:val="63"/>
          <w:rFonts w:hint="eastAsia" w:ascii="宋体" w:hAnsi="宋体"/>
          <w:color w:val="auto"/>
          <w:spacing w:val="0"/>
          <w:sz w:val="24"/>
          <w:szCs w:val="24"/>
          <w:highlight w:val="none"/>
          <w:u w:val="single"/>
        </w:rPr>
        <w:t>5.2.3开标时，两个（含两个）以上的投标人加密打包投标文件电脑机器特征码一致的，不参与下一程序，并由评标委员会否决其投标。</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r>
        <w:rPr>
          <w:rStyle w:val="63"/>
          <w:rFonts w:ascii="宋体" w:hAnsi="宋体"/>
          <w:b/>
          <w:bCs/>
          <w:color w:val="auto"/>
          <w:spacing w:val="0"/>
          <w:sz w:val="24"/>
          <w:szCs w:val="24"/>
          <w:highlight w:val="none"/>
        </w:rPr>
        <w:t>5.3开标异议</w:t>
      </w:r>
      <w:bookmarkEnd w:id="158"/>
      <w:bookmarkEnd w:id="159"/>
      <w:bookmarkEnd w:id="160"/>
      <w:bookmarkEnd w:id="161"/>
    </w:p>
    <w:p>
      <w:pPr>
        <w:keepNext w:val="0"/>
        <w:keepLines w:val="0"/>
        <w:pageBreakBefore w:val="0"/>
        <w:widowControl w:val="0"/>
        <w:kinsoku/>
        <w:overflowPunct/>
        <w:bidi w:val="0"/>
        <w:spacing w:line="360" w:lineRule="auto"/>
        <w:ind w:right="-210" w:rightChars="-100" w:firstLine="480" w:firstLineChars="200"/>
        <w:rPr>
          <w:rStyle w:val="63"/>
          <w:rFonts w:hint="eastAsia" w:ascii="宋体" w:hAnsi="宋体"/>
          <w:color w:val="auto"/>
          <w:spacing w:val="0"/>
          <w:sz w:val="24"/>
          <w:szCs w:val="24"/>
          <w:highlight w:val="none"/>
          <w:u w:val="single"/>
        </w:rPr>
      </w:pPr>
      <w:r>
        <w:rPr>
          <w:rStyle w:val="63"/>
          <w:rFonts w:hint="eastAsia" w:ascii="宋体" w:hAnsi="宋体"/>
          <w:color w:val="auto"/>
          <w:spacing w:val="0"/>
          <w:sz w:val="24"/>
          <w:szCs w:val="24"/>
          <w:highlight w:val="none"/>
          <w:u w:val="single"/>
        </w:rPr>
        <w:t>5.3.1开标时，投标人代表有权出席开标会，也可以自主决定不参加开标会。</w:t>
      </w:r>
    </w:p>
    <w:p>
      <w:pPr>
        <w:keepNext w:val="0"/>
        <w:keepLines w:val="0"/>
        <w:pageBreakBefore w:val="0"/>
        <w:widowControl w:val="0"/>
        <w:kinsoku/>
        <w:overflowPunct/>
        <w:bidi w:val="0"/>
        <w:spacing w:line="360" w:lineRule="auto"/>
        <w:ind w:right="-210" w:rightChars="-100" w:firstLine="480" w:firstLineChars="200"/>
        <w:rPr>
          <w:rStyle w:val="63"/>
          <w:rFonts w:hint="eastAsia" w:ascii="宋体" w:hAnsi="宋体"/>
          <w:color w:val="auto"/>
          <w:spacing w:val="0"/>
          <w:sz w:val="24"/>
          <w:szCs w:val="24"/>
          <w:highlight w:val="none"/>
        </w:rPr>
      </w:pPr>
      <w:r>
        <w:rPr>
          <w:rStyle w:val="63"/>
          <w:rFonts w:hint="eastAsia" w:ascii="宋体" w:hAnsi="宋体"/>
          <w:color w:val="auto"/>
          <w:spacing w:val="0"/>
          <w:sz w:val="24"/>
          <w:szCs w:val="24"/>
          <w:highlight w:val="none"/>
          <w:u w:val="single"/>
        </w:rPr>
        <w:t>5.3.2</w:t>
      </w:r>
      <w:r>
        <w:rPr>
          <w:rStyle w:val="63"/>
          <w:rFonts w:hint="eastAsia" w:ascii="宋体" w:hAnsi="宋体"/>
          <w:color w:val="auto"/>
          <w:spacing w:val="0"/>
          <w:sz w:val="24"/>
          <w:szCs w:val="24"/>
          <w:highlight w:val="none"/>
        </w:rPr>
        <w:t>参加在线开标的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未答复的，开标程序不得结束。</w:t>
      </w:r>
    </w:p>
    <w:p>
      <w:pPr>
        <w:keepNext w:val="0"/>
        <w:keepLines w:val="0"/>
        <w:pageBreakBefore w:val="0"/>
        <w:widowControl w:val="0"/>
        <w:kinsoku/>
        <w:overflowPunct/>
        <w:bidi w:val="0"/>
        <w:spacing w:line="360" w:lineRule="auto"/>
        <w:ind w:right="-210" w:rightChars="-100" w:firstLine="480" w:firstLineChars="200"/>
        <w:rPr>
          <w:rStyle w:val="63"/>
          <w:rFonts w:ascii="宋体" w:hAnsi="宋体"/>
          <w:color w:val="auto"/>
          <w:spacing w:val="0"/>
          <w:sz w:val="24"/>
          <w:szCs w:val="24"/>
          <w:highlight w:val="none"/>
        </w:rPr>
      </w:pPr>
      <w:r>
        <w:rPr>
          <w:rStyle w:val="63"/>
          <w:rFonts w:hint="eastAsia" w:ascii="宋体" w:hAnsi="宋体"/>
          <w:color w:val="auto"/>
          <w:spacing w:val="0"/>
          <w:sz w:val="24"/>
          <w:szCs w:val="24"/>
          <w:highlight w:val="none"/>
          <w:u w:val="single"/>
        </w:rPr>
        <w:t>5.3.3投标人未参加开标或在规定的时间内未提出异议的，视为对开标无异议。</w:t>
      </w:r>
    </w:p>
    <w:p>
      <w:pPr>
        <w:keepNext w:val="0"/>
        <w:keepLines w:val="0"/>
        <w:pageBreakBefore w:val="0"/>
        <w:widowControl w:val="0"/>
        <w:kinsoku/>
        <w:overflowPunct/>
        <w:bidi w:val="0"/>
        <w:spacing w:before="120" w:line="360" w:lineRule="auto"/>
        <w:outlineLvl w:val="1"/>
        <w:rPr>
          <w:rStyle w:val="63"/>
          <w:rFonts w:ascii="宋体" w:hAnsi="宋体" w:cs="宋体"/>
          <w:b/>
          <w:bCs/>
          <w:color w:val="auto"/>
          <w:spacing w:val="0"/>
          <w:sz w:val="24"/>
          <w:szCs w:val="24"/>
          <w:highlight w:val="none"/>
        </w:rPr>
      </w:pPr>
      <w:bookmarkStart w:id="162" w:name="_Toc5394"/>
      <w:bookmarkStart w:id="163" w:name="_Toc22763"/>
      <w:bookmarkStart w:id="164" w:name="_Toc24235"/>
      <w:bookmarkStart w:id="165" w:name="_Toc13885"/>
      <w:r>
        <w:rPr>
          <w:rStyle w:val="63"/>
          <w:rFonts w:ascii="宋体" w:hAnsi="宋体" w:cs="宋体"/>
          <w:b/>
          <w:bCs/>
          <w:color w:val="auto"/>
          <w:spacing w:val="0"/>
          <w:sz w:val="24"/>
          <w:szCs w:val="24"/>
          <w:highlight w:val="none"/>
        </w:rPr>
        <w:t>6.评标</w:t>
      </w:r>
      <w:bookmarkEnd w:id="162"/>
      <w:bookmarkEnd w:id="163"/>
      <w:bookmarkEnd w:id="164"/>
      <w:bookmarkEnd w:id="165"/>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166" w:name="_Toc8520"/>
      <w:bookmarkStart w:id="167" w:name="_Toc15466"/>
      <w:bookmarkStart w:id="168" w:name="_Toc17677"/>
      <w:bookmarkStart w:id="169" w:name="_Toc13930"/>
      <w:r>
        <w:rPr>
          <w:rStyle w:val="63"/>
          <w:rFonts w:ascii="宋体" w:hAnsi="宋体"/>
          <w:b/>
          <w:bCs/>
          <w:color w:val="auto"/>
          <w:spacing w:val="0"/>
          <w:sz w:val="24"/>
          <w:szCs w:val="24"/>
          <w:highlight w:val="none"/>
        </w:rPr>
        <w:t>6.1评标委员会</w:t>
      </w:r>
      <w:bookmarkEnd w:id="166"/>
      <w:bookmarkEnd w:id="167"/>
      <w:bookmarkEnd w:id="168"/>
      <w:bookmarkEnd w:id="169"/>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6.1.1</w:t>
      </w:r>
      <w:r>
        <w:rPr>
          <w:rStyle w:val="63"/>
          <w:rFonts w:hint="eastAsia" w:ascii="宋体" w:hAnsi="宋体"/>
          <w:color w:val="auto"/>
          <w:spacing w:val="0"/>
          <w:sz w:val="24"/>
          <w:szCs w:val="24"/>
          <w:highlight w:val="none"/>
          <w:u w:val="single"/>
        </w:rPr>
        <w:t>评标委员会由招标人依法组建</w:t>
      </w:r>
      <w:r>
        <w:rPr>
          <w:rStyle w:val="63"/>
          <w:rFonts w:ascii="宋体" w:hAnsi="宋体"/>
          <w:color w:val="auto"/>
          <w:spacing w:val="0"/>
          <w:sz w:val="24"/>
          <w:szCs w:val="24"/>
          <w:highlight w:val="none"/>
          <w:u w:val="single"/>
        </w:rPr>
        <w:t>。</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6.1.2评标委员会成员有下列情形之一的，应当回避：</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（1）投标人或投标人主要负责人的近亲属；</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（2）项目主管部门或者行政监督部门的人员；</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（3）与投标人有经济利益关系，可能影响对投标公正评审的；</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（4）曾因在招标、评标以及其他与招标投标有关活动中从事违法行为而受过行政处罚或刑事处罚的；</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（5）与投标人有其他利害关系。</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6.1.3评标过程中，评标委员会成员有回避事由、擅离职守或者因健康等原因不能继续评标 的，招标人有权更换。被更换的评标委员会成员作出的评审结论无效，由更换后的评标委员会成员重新进行评审。</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170" w:name="_Toc18839"/>
      <w:bookmarkStart w:id="171" w:name="_Toc21211"/>
      <w:bookmarkStart w:id="172" w:name="_Toc27188"/>
      <w:bookmarkStart w:id="173" w:name="_Toc31013"/>
      <w:r>
        <w:rPr>
          <w:rStyle w:val="63"/>
          <w:rFonts w:ascii="宋体" w:hAnsi="宋体"/>
          <w:b/>
          <w:bCs/>
          <w:color w:val="auto"/>
          <w:spacing w:val="0"/>
          <w:sz w:val="24"/>
          <w:szCs w:val="24"/>
          <w:highlight w:val="none"/>
        </w:rPr>
        <w:t>6.2评标原则</w:t>
      </w:r>
      <w:bookmarkEnd w:id="170"/>
      <w:bookmarkEnd w:id="171"/>
      <w:bookmarkEnd w:id="172"/>
      <w:bookmarkEnd w:id="173"/>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评标活动遵循公平、公正、科学和择优的原则。</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174" w:name="_Toc10538"/>
      <w:bookmarkStart w:id="175" w:name="_Toc7852"/>
      <w:bookmarkStart w:id="176" w:name="_Toc13510"/>
      <w:bookmarkStart w:id="177" w:name="_Toc10501"/>
      <w:r>
        <w:rPr>
          <w:rStyle w:val="63"/>
          <w:rFonts w:ascii="宋体" w:hAnsi="宋体"/>
          <w:b/>
          <w:bCs/>
          <w:color w:val="auto"/>
          <w:spacing w:val="0"/>
          <w:position w:val="-1"/>
          <w:sz w:val="24"/>
          <w:szCs w:val="24"/>
          <w:highlight w:val="none"/>
        </w:rPr>
        <w:t>6.3评标</w:t>
      </w:r>
      <w:bookmarkEnd w:id="174"/>
      <w:bookmarkEnd w:id="175"/>
      <w:bookmarkEnd w:id="176"/>
      <w:bookmarkEnd w:id="177"/>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6.3.1评标委员会按照第三章“评标办法”规定的方法、评审因素、标准和程序对投标文件进行评审。第三章“评标办法”没有规定的方法、评审因素和标准，不作为评标依据。</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6.3.2评标完成后，评标委员会应当向招标人提交书面评标报告和中标候选人名单。评标委员会推荐中标候选人的人数见投标人须知前附表。</w:t>
      </w:r>
    </w:p>
    <w:p>
      <w:pPr>
        <w:keepNext w:val="0"/>
        <w:keepLines w:val="0"/>
        <w:pageBreakBefore w:val="0"/>
        <w:widowControl w:val="0"/>
        <w:kinsoku/>
        <w:overflowPunct/>
        <w:bidi w:val="0"/>
        <w:spacing w:before="120" w:line="360" w:lineRule="auto"/>
        <w:outlineLvl w:val="1"/>
        <w:rPr>
          <w:rStyle w:val="63"/>
          <w:rFonts w:ascii="宋体" w:hAnsi="宋体" w:cs="宋体"/>
          <w:b/>
          <w:bCs/>
          <w:color w:val="auto"/>
          <w:spacing w:val="0"/>
          <w:sz w:val="24"/>
          <w:szCs w:val="24"/>
          <w:highlight w:val="none"/>
        </w:rPr>
      </w:pPr>
      <w:bookmarkStart w:id="178" w:name="_Toc26950"/>
      <w:bookmarkStart w:id="179" w:name="_Toc14332"/>
      <w:bookmarkStart w:id="180" w:name="_Toc11185"/>
      <w:bookmarkStart w:id="181" w:name="_Toc22530"/>
      <w:r>
        <w:rPr>
          <w:rStyle w:val="63"/>
          <w:rFonts w:ascii="宋体" w:hAnsi="宋体" w:cs="宋体"/>
          <w:b/>
          <w:bCs/>
          <w:color w:val="auto"/>
          <w:spacing w:val="0"/>
          <w:sz w:val="24"/>
          <w:szCs w:val="24"/>
          <w:highlight w:val="none"/>
        </w:rPr>
        <w:t>7.合同授予</w:t>
      </w:r>
      <w:bookmarkEnd w:id="178"/>
      <w:bookmarkEnd w:id="179"/>
      <w:bookmarkEnd w:id="180"/>
      <w:bookmarkEnd w:id="181"/>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182" w:name="_Toc25495"/>
      <w:bookmarkStart w:id="183" w:name="_Toc5396"/>
      <w:bookmarkStart w:id="184" w:name="_Toc7947"/>
      <w:bookmarkStart w:id="185" w:name="_Toc695"/>
      <w:r>
        <w:rPr>
          <w:rStyle w:val="63"/>
          <w:rFonts w:ascii="宋体" w:hAnsi="宋体"/>
          <w:b/>
          <w:bCs/>
          <w:color w:val="auto"/>
          <w:spacing w:val="0"/>
          <w:sz w:val="24"/>
          <w:szCs w:val="24"/>
          <w:highlight w:val="none"/>
        </w:rPr>
        <w:t>7.1中标候选人公示</w:t>
      </w:r>
      <w:bookmarkEnd w:id="182"/>
      <w:bookmarkEnd w:id="183"/>
      <w:bookmarkEnd w:id="184"/>
      <w:bookmarkEnd w:id="185"/>
    </w:p>
    <w:p>
      <w:pPr>
        <w:pStyle w:val="12"/>
        <w:keepNext w:val="0"/>
        <w:keepLines w:val="0"/>
        <w:pageBreakBefore w:val="0"/>
        <w:widowControl w:val="0"/>
        <w:kinsoku/>
        <w:overflowPunct/>
        <w:bidi w:val="0"/>
        <w:spacing w:line="360" w:lineRule="auto"/>
        <w:ind w:left="0" w:firstLine="480" w:firstLineChars="200"/>
        <w:rPr>
          <w:color w:val="auto"/>
          <w:spacing w:val="0"/>
          <w:sz w:val="24"/>
          <w:szCs w:val="24"/>
          <w:highlight w:val="none"/>
          <w:lang w:eastAsia="zh-CN"/>
        </w:rPr>
      </w:pPr>
      <w:r>
        <w:rPr>
          <w:color w:val="auto"/>
          <w:spacing w:val="0"/>
          <w:sz w:val="24"/>
          <w:szCs w:val="24"/>
          <w:highlight w:val="none"/>
          <w:lang w:eastAsia="zh-CN"/>
        </w:rPr>
        <w:t>招标人</w:t>
      </w:r>
      <w:r>
        <w:rPr>
          <w:rFonts w:hint="eastAsia"/>
          <w:color w:val="auto"/>
          <w:spacing w:val="0"/>
          <w:sz w:val="24"/>
          <w:szCs w:val="24"/>
          <w:highlight w:val="none"/>
          <w:lang w:eastAsia="zh-CN"/>
        </w:rPr>
        <w:t>在收到评标报告之日起3日内，</w:t>
      </w:r>
      <w:r>
        <w:rPr>
          <w:color w:val="auto"/>
          <w:spacing w:val="0"/>
          <w:sz w:val="24"/>
          <w:szCs w:val="24"/>
          <w:highlight w:val="none"/>
          <w:lang w:eastAsia="zh-CN"/>
        </w:rPr>
        <w:t>按照投标人须知前附表规定的公示媒介和期限公示中标候选人，公示期不得少于3天。</w:t>
      </w:r>
      <w:r>
        <w:rPr>
          <w:rFonts w:hint="eastAsia" w:ascii="宋体" w:hAnsi="宋体"/>
          <w:color w:val="auto"/>
          <w:spacing w:val="0"/>
          <w:sz w:val="24"/>
          <w:szCs w:val="24"/>
          <w:highlight w:val="none"/>
          <w:u w:val="single"/>
        </w:rPr>
        <w:t>公示最后一天为工作日。</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Fonts w:hint="eastAsia"/>
          <w:color w:val="auto"/>
          <w:spacing w:val="0"/>
          <w:sz w:val="24"/>
          <w:szCs w:val="24"/>
          <w:highlight w:val="none"/>
          <w:u w:val="single"/>
          <w:lang w:eastAsia="zh-CN"/>
        </w:rPr>
        <w:t>在产生中标候选人后，招标人将中标候选人的投标文件商务</w:t>
      </w:r>
      <w:r>
        <w:rPr>
          <w:rFonts w:hint="eastAsia"/>
          <w:color w:val="auto"/>
          <w:spacing w:val="0"/>
          <w:sz w:val="24"/>
          <w:szCs w:val="24"/>
          <w:highlight w:val="none"/>
          <w:u w:val="single"/>
          <w:lang w:val="en-US" w:eastAsia="zh-CN"/>
        </w:rPr>
        <w:t>文件</w:t>
      </w:r>
      <w:r>
        <w:rPr>
          <w:rFonts w:hint="eastAsia"/>
          <w:color w:val="auto"/>
          <w:spacing w:val="0"/>
          <w:sz w:val="24"/>
          <w:szCs w:val="24"/>
          <w:highlight w:val="none"/>
          <w:u w:val="single"/>
          <w:lang w:eastAsia="zh-CN"/>
        </w:rPr>
        <w:t>电子版（报价清单、方案等涉及商业秘密的内容除外）在广东省招标投标监管网、广州交易集团有限公司（广州公共资源交易中心）网公开。</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186" w:name="_Toc24246"/>
      <w:bookmarkStart w:id="187" w:name="_Toc9120"/>
      <w:bookmarkStart w:id="188" w:name="_Toc26370"/>
      <w:bookmarkStart w:id="189" w:name="_Toc9294"/>
      <w:r>
        <w:rPr>
          <w:rStyle w:val="63"/>
          <w:rFonts w:ascii="宋体" w:hAnsi="宋体"/>
          <w:b/>
          <w:bCs/>
          <w:color w:val="auto"/>
          <w:spacing w:val="0"/>
          <w:sz w:val="24"/>
          <w:szCs w:val="24"/>
          <w:highlight w:val="none"/>
        </w:rPr>
        <w:t>7.2评标结果异议</w:t>
      </w:r>
      <w:bookmarkEnd w:id="186"/>
      <w:bookmarkEnd w:id="187"/>
      <w:bookmarkEnd w:id="188"/>
      <w:bookmarkEnd w:id="189"/>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Fonts w:hint="eastAsia" w:ascii="宋体" w:hAnsi="宋体" w:eastAsia="宋体" w:cs="宋体"/>
          <w:b w:val="0"/>
          <w:bCs w:val="0"/>
          <w:color w:val="auto"/>
          <w:spacing w:val="0"/>
          <w:kern w:val="2"/>
          <w:sz w:val="24"/>
          <w:szCs w:val="24"/>
          <w:highlight w:val="none"/>
          <w:lang w:val="en-US" w:eastAsia="zh-CN" w:bidi="ar-SA"/>
        </w:rPr>
        <w:t>投标人或其他利害关系人对评标结果有异议的，应当在中标候选人公示期间提出，招标人将在收到异议之日起3日内作出答复；投标人或其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190" w:name="_Toc24122"/>
      <w:bookmarkStart w:id="191" w:name="_Toc27889"/>
      <w:bookmarkStart w:id="192" w:name="_Toc1318"/>
      <w:bookmarkStart w:id="193" w:name="_Toc24251"/>
      <w:r>
        <w:rPr>
          <w:rStyle w:val="63"/>
          <w:rFonts w:ascii="宋体" w:hAnsi="宋体"/>
          <w:b/>
          <w:bCs/>
          <w:color w:val="auto"/>
          <w:spacing w:val="0"/>
          <w:sz w:val="24"/>
          <w:szCs w:val="24"/>
          <w:highlight w:val="none"/>
        </w:rPr>
        <w:t>7.3中标候选人履约能力审查</w:t>
      </w:r>
      <w:bookmarkEnd w:id="190"/>
      <w:bookmarkEnd w:id="191"/>
      <w:bookmarkEnd w:id="192"/>
      <w:bookmarkEnd w:id="193"/>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194" w:name="_Toc19271"/>
      <w:bookmarkStart w:id="195" w:name="_Toc12275"/>
      <w:bookmarkStart w:id="196" w:name="_Toc2265"/>
      <w:bookmarkStart w:id="197" w:name="_Toc29593"/>
      <w:r>
        <w:rPr>
          <w:rStyle w:val="63"/>
          <w:rFonts w:ascii="宋体" w:hAnsi="宋体"/>
          <w:b/>
          <w:bCs/>
          <w:color w:val="auto"/>
          <w:spacing w:val="0"/>
          <w:sz w:val="24"/>
          <w:szCs w:val="24"/>
          <w:highlight w:val="none"/>
        </w:rPr>
        <w:t>7.4定标</w:t>
      </w:r>
      <w:bookmarkEnd w:id="194"/>
      <w:bookmarkEnd w:id="195"/>
      <w:bookmarkEnd w:id="196"/>
      <w:bookmarkEnd w:id="197"/>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按照投标人须知前附表的规定，招标人或招标人授权的评标委员会依法确定中标人。</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198" w:name="_Toc4678"/>
      <w:bookmarkStart w:id="199" w:name="_Toc31508"/>
      <w:bookmarkStart w:id="200" w:name="_Toc10719"/>
      <w:bookmarkStart w:id="201" w:name="_Toc1568"/>
      <w:r>
        <w:rPr>
          <w:rStyle w:val="63"/>
          <w:rFonts w:ascii="宋体" w:hAnsi="宋体"/>
          <w:b/>
          <w:bCs/>
          <w:color w:val="auto"/>
          <w:spacing w:val="0"/>
          <w:sz w:val="24"/>
          <w:szCs w:val="24"/>
          <w:highlight w:val="none"/>
        </w:rPr>
        <w:t>7.5中标通知</w:t>
      </w:r>
      <w:bookmarkEnd w:id="198"/>
      <w:bookmarkEnd w:id="199"/>
      <w:bookmarkEnd w:id="200"/>
      <w:bookmarkEnd w:id="201"/>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Fonts w:hint="eastAsia" w:ascii="宋体" w:hAnsi="宋体" w:eastAsia="宋体" w:cs="宋体"/>
          <w:b w:val="0"/>
          <w:bCs w:val="0"/>
          <w:color w:val="auto"/>
          <w:spacing w:val="0"/>
          <w:kern w:val="2"/>
          <w:sz w:val="24"/>
          <w:szCs w:val="24"/>
          <w:highlight w:val="none"/>
          <w:lang w:val="en-US" w:eastAsia="zh-CN" w:bidi="ar-SA"/>
        </w:rPr>
        <w:t>中标人自行于广州交易集团有限公司（广州公共资源交易中心）交易平台下载中标通知书，同时招标人将中标结果通过广州交易集团有限公司（广州公共资源交易中心）交易平台公开发布。中标人须对其投标文件真实性负责，并准备投标文件涉及的所有原件待查，如存在弄虚作假情况或原件不齐或与原件不符的，招标人有权取消其中标人资格。</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202" w:name="_Toc16698"/>
      <w:bookmarkStart w:id="203" w:name="_Toc21461"/>
      <w:bookmarkStart w:id="204" w:name="_Toc9168"/>
      <w:bookmarkStart w:id="205" w:name="_Toc25296"/>
      <w:r>
        <w:rPr>
          <w:rStyle w:val="63"/>
          <w:rFonts w:ascii="宋体" w:hAnsi="宋体"/>
          <w:b/>
          <w:bCs/>
          <w:color w:val="auto"/>
          <w:spacing w:val="0"/>
          <w:sz w:val="24"/>
          <w:szCs w:val="24"/>
          <w:highlight w:val="none"/>
        </w:rPr>
        <w:t>7.6履约保证金</w:t>
      </w:r>
      <w:bookmarkEnd w:id="202"/>
      <w:bookmarkEnd w:id="203"/>
      <w:bookmarkEnd w:id="204"/>
      <w:bookmarkEnd w:id="205"/>
    </w:p>
    <w:p>
      <w:pPr>
        <w:keepNext w:val="0"/>
        <w:keepLines w:val="0"/>
        <w:pageBreakBefore w:val="0"/>
        <w:widowControl w:val="0"/>
        <w:kinsoku/>
        <w:overflowPunct/>
        <w:bidi w:val="0"/>
        <w:spacing w:line="360" w:lineRule="auto"/>
        <w:ind w:firstLine="480" w:firstLineChars="200"/>
        <w:rPr>
          <w:rStyle w:val="63"/>
          <w:rFonts w:hint="default" w:ascii="宋体" w:hAnsi="宋体"/>
          <w:color w:val="auto"/>
          <w:spacing w:val="0"/>
          <w:sz w:val="24"/>
          <w:szCs w:val="24"/>
          <w:highlight w:val="none"/>
          <w:lang w:val="en-US"/>
        </w:rPr>
      </w:pPr>
      <w:r>
        <w:rPr>
          <w:rStyle w:val="63"/>
          <w:rFonts w:ascii="宋体" w:hAnsi="宋体"/>
          <w:color w:val="auto"/>
          <w:spacing w:val="0"/>
          <w:sz w:val="24"/>
          <w:szCs w:val="24"/>
          <w:highlight w:val="none"/>
        </w:rPr>
        <w:t>7.6.1</w:t>
      </w:r>
      <w:r>
        <w:rPr>
          <w:rStyle w:val="63"/>
          <w:rFonts w:hint="eastAsia" w:ascii="宋体" w:hAnsi="宋体"/>
          <w:color w:val="auto"/>
          <w:spacing w:val="0"/>
          <w:sz w:val="24"/>
          <w:szCs w:val="24"/>
          <w:highlight w:val="none"/>
          <w:lang w:val="en-US"/>
        </w:rPr>
        <w:t>本项目不要求履约保证金。</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206" w:name="_Toc30655"/>
      <w:bookmarkStart w:id="207" w:name="_Toc20657"/>
      <w:bookmarkStart w:id="208" w:name="_Toc17778"/>
      <w:bookmarkStart w:id="209" w:name="_Toc15026"/>
      <w:r>
        <w:rPr>
          <w:rStyle w:val="63"/>
          <w:rFonts w:ascii="宋体" w:hAnsi="宋体"/>
          <w:b/>
          <w:bCs/>
          <w:color w:val="auto"/>
          <w:spacing w:val="0"/>
          <w:sz w:val="24"/>
          <w:szCs w:val="24"/>
          <w:highlight w:val="none"/>
        </w:rPr>
        <w:t>7.7签订合同</w:t>
      </w:r>
      <w:bookmarkEnd w:id="206"/>
      <w:bookmarkEnd w:id="207"/>
      <w:bookmarkEnd w:id="208"/>
      <w:bookmarkEnd w:id="209"/>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7.7.1</w:t>
      </w:r>
      <w:r>
        <w:rPr>
          <w:rFonts w:hint="eastAsia" w:ascii="宋体" w:hAnsi="宋体" w:cs="宋体"/>
          <w:color w:val="auto"/>
          <w:spacing w:val="0"/>
          <w:sz w:val="24"/>
          <w:szCs w:val="24"/>
          <w:highlight w:val="none"/>
        </w:rPr>
        <w:t>招标人和中标人应当在中标通知书发出之日起 30 日内，根据招标文件和中标人的投标文件订立书面合同。中标人无正当理由拒签合同，在签订合同时向招标人提出附加条件，</w:t>
      </w:r>
      <w:r>
        <w:rPr>
          <w:rFonts w:hint="eastAsia" w:ascii="宋体" w:hAnsi="宋体" w:cs="宋体"/>
          <w:strike/>
          <w:dstrike w:val="0"/>
          <w:color w:val="auto"/>
          <w:spacing w:val="0"/>
          <w:sz w:val="24"/>
          <w:szCs w:val="24"/>
          <w:highlight w:val="none"/>
        </w:rPr>
        <w:t>或者不按照招标文件要求提交履约保证金的，</w:t>
      </w:r>
      <w:r>
        <w:rPr>
          <w:rFonts w:hint="eastAsia" w:ascii="宋体" w:hAnsi="宋体" w:cs="宋体"/>
          <w:color w:val="auto"/>
          <w:spacing w:val="0"/>
          <w:sz w:val="24"/>
          <w:szCs w:val="24"/>
          <w:highlight w:val="none"/>
        </w:rPr>
        <w:t>招标人有权取消其中标资格，给招标人造成损失的，中标人应当予以赔偿。</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7.7.2</w:t>
      </w:r>
      <w:r>
        <w:rPr>
          <w:rFonts w:hint="eastAsia" w:ascii="宋体" w:hAnsi="宋体" w:cs="宋体"/>
          <w:color w:val="auto"/>
          <w:spacing w:val="0"/>
          <w:sz w:val="24"/>
          <w:szCs w:val="24"/>
          <w:highlight w:val="none"/>
        </w:rPr>
        <w:t>发出中标通知书后，招标人无正当理由拒签合同，或者在签订合同时向中标人提出附加条件的，给中标人造成损失的，还应当赔偿损失。</w:t>
      </w:r>
    </w:p>
    <w:p>
      <w:pPr>
        <w:keepNext w:val="0"/>
        <w:keepLines w:val="0"/>
        <w:pageBreakBefore w:val="0"/>
        <w:widowControl w:val="0"/>
        <w:kinsoku/>
        <w:overflowPunct/>
        <w:bidi w:val="0"/>
        <w:spacing w:line="360" w:lineRule="auto"/>
        <w:ind w:firstLine="480" w:firstLineChars="200"/>
        <w:rPr>
          <w:rStyle w:val="63"/>
          <w:rFonts w:ascii="宋体" w:hAnsi="宋体"/>
          <w:strike/>
          <w:dstrike w:val="0"/>
          <w:color w:val="auto"/>
          <w:spacing w:val="0"/>
          <w:sz w:val="24"/>
          <w:szCs w:val="24"/>
          <w:highlight w:val="none"/>
        </w:rPr>
      </w:pPr>
      <w:r>
        <w:rPr>
          <w:rStyle w:val="63"/>
          <w:rFonts w:ascii="宋体" w:hAnsi="宋体"/>
          <w:strike/>
          <w:dstrike w:val="0"/>
          <w:color w:val="auto"/>
          <w:spacing w:val="0"/>
          <w:sz w:val="24"/>
          <w:szCs w:val="24"/>
          <w:highlight w:val="none"/>
        </w:rPr>
        <w:t>7.7.3联合体中标的，联合体各方应当共同与招标人签订合同，就中标项目向招标人承担连带责任。</w:t>
      </w:r>
    </w:p>
    <w:p>
      <w:pPr>
        <w:keepNext w:val="0"/>
        <w:keepLines w:val="0"/>
        <w:pageBreakBefore w:val="0"/>
        <w:widowControl w:val="0"/>
        <w:kinsoku/>
        <w:overflowPunct/>
        <w:bidi w:val="0"/>
        <w:spacing w:before="120" w:line="360" w:lineRule="auto"/>
        <w:outlineLvl w:val="1"/>
        <w:rPr>
          <w:rStyle w:val="63"/>
          <w:rFonts w:ascii="宋体" w:hAnsi="宋体" w:cs="宋体"/>
          <w:b/>
          <w:bCs/>
          <w:color w:val="auto"/>
          <w:spacing w:val="0"/>
          <w:sz w:val="24"/>
          <w:szCs w:val="24"/>
          <w:highlight w:val="none"/>
        </w:rPr>
      </w:pPr>
      <w:bookmarkStart w:id="210" w:name="_Toc11899"/>
      <w:bookmarkStart w:id="211" w:name="_Toc28392"/>
      <w:bookmarkStart w:id="212" w:name="_Toc14018"/>
      <w:bookmarkStart w:id="213" w:name="_Toc5128"/>
      <w:r>
        <w:rPr>
          <w:rStyle w:val="63"/>
          <w:rFonts w:ascii="宋体" w:hAnsi="宋体" w:cs="宋体"/>
          <w:b/>
          <w:bCs/>
          <w:color w:val="auto"/>
          <w:spacing w:val="0"/>
          <w:sz w:val="24"/>
          <w:szCs w:val="24"/>
          <w:highlight w:val="none"/>
        </w:rPr>
        <w:t>8.纪律和监督</w:t>
      </w:r>
      <w:bookmarkEnd w:id="210"/>
      <w:bookmarkEnd w:id="211"/>
      <w:bookmarkEnd w:id="212"/>
      <w:bookmarkEnd w:id="213"/>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214" w:name="_Toc27060"/>
      <w:bookmarkStart w:id="215" w:name="_Toc3099"/>
      <w:bookmarkStart w:id="216" w:name="_Toc23519"/>
      <w:bookmarkStart w:id="217" w:name="_Toc19164"/>
      <w:r>
        <w:rPr>
          <w:rStyle w:val="63"/>
          <w:rFonts w:ascii="宋体" w:hAnsi="宋体"/>
          <w:b/>
          <w:bCs/>
          <w:color w:val="auto"/>
          <w:spacing w:val="0"/>
          <w:sz w:val="24"/>
          <w:szCs w:val="24"/>
          <w:highlight w:val="none"/>
        </w:rPr>
        <w:t>8.1对招标人的纪律要求</w:t>
      </w:r>
      <w:bookmarkEnd w:id="214"/>
      <w:bookmarkEnd w:id="215"/>
      <w:bookmarkEnd w:id="216"/>
      <w:bookmarkEnd w:id="217"/>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招标人不得泄露招标投标活动中应当保密的情况和资料，不得与投标人串通损害国家利益、社会公共利益或者他人合法权益。</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218" w:name="_Toc29681"/>
      <w:bookmarkStart w:id="219" w:name="_Toc24925"/>
      <w:bookmarkStart w:id="220" w:name="_Toc25439"/>
      <w:bookmarkStart w:id="221" w:name="_Toc31579"/>
      <w:r>
        <w:rPr>
          <w:rStyle w:val="63"/>
          <w:rFonts w:ascii="宋体" w:hAnsi="宋体"/>
          <w:b/>
          <w:bCs/>
          <w:color w:val="auto"/>
          <w:spacing w:val="0"/>
          <w:sz w:val="24"/>
          <w:szCs w:val="24"/>
          <w:highlight w:val="none"/>
        </w:rPr>
        <w:t>8.2对投标人的纪律要求</w:t>
      </w:r>
      <w:bookmarkEnd w:id="218"/>
      <w:bookmarkEnd w:id="219"/>
      <w:bookmarkEnd w:id="220"/>
      <w:bookmarkEnd w:id="221"/>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222" w:name="_Toc30538"/>
      <w:bookmarkStart w:id="223" w:name="_Toc20616"/>
      <w:bookmarkStart w:id="224" w:name="_Toc9323"/>
      <w:bookmarkStart w:id="225" w:name="_Toc6544"/>
      <w:r>
        <w:rPr>
          <w:rStyle w:val="63"/>
          <w:rFonts w:ascii="宋体" w:hAnsi="宋体"/>
          <w:b/>
          <w:bCs/>
          <w:color w:val="auto"/>
          <w:spacing w:val="0"/>
          <w:sz w:val="24"/>
          <w:szCs w:val="24"/>
          <w:highlight w:val="none"/>
        </w:rPr>
        <w:t>8.3对评标委员会成员的纪律要求</w:t>
      </w:r>
      <w:bookmarkEnd w:id="222"/>
      <w:bookmarkEnd w:id="223"/>
      <w:bookmarkEnd w:id="224"/>
      <w:bookmarkEnd w:id="225"/>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r>
        <w:rPr>
          <w:rStyle w:val="63"/>
          <w:rFonts w:ascii="宋体" w:hAnsi="宋体"/>
          <w:color w:val="auto"/>
          <w:spacing w:val="0"/>
          <w:position w:val="-1"/>
          <w:sz w:val="24"/>
          <w:szCs w:val="24"/>
          <w:highlight w:val="none"/>
        </w:rPr>
        <w:t>三章“评标办法”没有规定的评审因素和标准进行评标。</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226" w:name="_Toc9729"/>
      <w:bookmarkStart w:id="227" w:name="_Toc18935"/>
      <w:bookmarkStart w:id="228" w:name="_Toc14019"/>
      <w:bookmarkStart w:id="229" w:name="_Toc32516"/>
      <w:r>
        <w:rPr>
          <w:rStyle w:val="63"/>
          <w:rFonts w:ascii="宋体" w:hAnsi="宋体"/>
          <w:b/>
          <w:bCs/>
          <w:color w:val="auto"/>
          <w:spacing w:val="0"/>
          <w:sz w:val="24"/>
          <w:szCs w:val="24"/>
          <w:highlight w:val="none"/>
        </w:rPr>
        <w:t>8.4对与评标活动有关的工作人员的纪律要求</w:t>
      </w:r>
      <w:bookmarkEnd w:id="226"/>
      <w:bookmarkEnd w:id="227"/>
      <w:bookmarkEnd w:id="228"/>
      <w:bookmarkEnd w:id="229"/>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overflowPunct/>
        <w:bidi w:val="0"/>
        <w:spacing w:line="360" w:lineRule="auto"/>
        <w:ind w:firstLine="482" w:firstLineChars="200"/>
        <w:outlineLvl w:val="2"/>
        <w:rPr>
          <w:rStyle w:val="63"/>
          <w:rFonts w:ascii="宋体" w:hAnsi="宋体"/>
          <w:b/>
          <w:bCs/>
          <w:color w:val="auto"/>
          <w:spacing w:val="0"/>
          <w:sz w:val="24"/>
          <w:szCs w:val="24"/>
          <w:highlight w:val="none"/>
        </w:rPr>
      </w:pPr>
      <w:bookmarkStart w:id="230" w:name="_Toc24468"/>
      <w:bookmarkStart w:id="231" w:name="_Toc13059"/>
      <w:bookmarkStart w:id="232" w:name="_Toc5866"/>
      <w:bookmarkStart w:id="233" w:name="_Toc17061"/>
      <w:r>
        <w:rPr>
          <w:rStyle w:val="63"/>
          <w:rFonts w:ascii="宋体" w:hAnsi="宋体"/>
          <w:b/>
          <w:bCs/>
          <w:color w:val="auto"/>
          <w:spacing w:val="0"/>
          <w:sz w:val="24"/>
          <w:szCs w:val="24"/>
          <w:highlight w:val="none"/>
        </w:rPr>
        <w:t>8.5投诉</w:t>
      </w:r>
      <w:bookmarkEnd w:id="230"/>
      <w:bookmarkEnd w:id="231"/>
      <w:bookmarkEnd w:id="232"/>
      <w:bookmarkEnd w:id="233"/>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8.5.1投标人或者其他利害关系人认为招标投标活动不符合法律、行政法规规定的，可以自知道或者应当知道之日起10日内向有关行政监督部门投诉。投诉应当有明确的请求和必要的证明材料。</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8.5.2投标人或者其他利害关系人对招标文件、开标和评标结果提出投诉的，应当按照投标人须知第2.4款、第 5.3 款和第 7.2 款的规定先向招标人提出异议。异议答复期间不计算在第 8.5.1项规定的期限内。</w:t>
      </w:r>
    </w:p>
    <w:p>
      <w:pPr>
        <w:keepNext w:val="0"/>
        <w:keepLines w:val="0"/>
        <w:pageBreakBefore w:val="0"/>
        <w:widowControl w:val="0"/>
        <w:kinsoku/>
        <w:overflowPunct/>
        <w:bidi w:val="0"/>
        <w:spacing w:before="120" w:line="360" w:lineRule="auto"/>
        <w:outlineLvl w:val="1"/>
        <w:rPr>
          <w:rStyle w:val="63"/>
          <w:rFonts w:ascii="宋体" w:hAnsi="宋体" w:cs="宋体"/>
          <w:b/>
          <w:bCs/>
          <w:color w:val="auto"/>
          <w:spacing w:val="0"/>
          <w:sz w:val="24"/>
          <w:szCs w:val="24"/>
          <w:highlight w:val="none"/>
        </w:rPr>
      </w:pPr>
      <w:bookmarkStart w:id="234" w:name="_Toc14682"/>
      <w:bookmarkStart w:id="235" w:name="_Toc30458"/>
      <w:bookmarkStart w:id="236" w:name="_Toc27716"/>
      <w:bookmarkStart w:id="237" w:name="_Toc22437"/>
      <w:r>
        <w:rPr>
          <w:rStyle w:val="63"/>
          <w:rFonts w:ascii="宋体" w:hAnsi="宋体" w:cs="宋体"/>
          <w:b/>
          <w:bCs/>
          <w:color w:val="auto"/>
          <w:spacing w:val="0"/>
          <w:sz w:val="24"/>
          <w:szCs w:val="24"/>
          <w:highlight w:val="none"/>
        </w:rPr>
        <w:t>9. 是否采用电子招标投标</w:t>
      </w:r>
      <w:bookmarkEnd w:id="234"/>
      <w:bookmarkEnd w:id="235"/>
      <w:bookmarkEnd w:id="236"/>
      <w:bookmarkEnd w:id="237"/>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本招标项目是否采用电子招标投标方式，见投标人须知前附表。</w:t>
      </w:r>
    </w:p>
    <w:p>
      <w:pPr>
        <w:keepNext w:val="0"/>
        <w:keepLines w:val="0"/>
        <w:pageBreakBefore w:val="0"/>
        <w:widowControl w:val="0"/>
        <w:kinsoku/>
        <w:overflowPunct/>
        <w:bidi w:val="0"/>
        <w:spacing w:before="120" w:line="360" w:lineRule="auto"/>
        <w:outlineLvl w:val="1"/>
        <w:rPr>
          <w:rStyle w:val="63"/>
          <w:rFonts w:ascii="宋体" w:hAnsi="宋体" w:cs="宋体"/>
          <w:b/>
          <w:bCs/>
          <w:color w:val="auto"/>
          <w:spacing w:val="0"/>
          <w:sz w:val="24"/>
          <w:szCs w:val="24"/>
          <w:highlight w:val="none"/>
        </w:rPr>
      </w:pPr>
      <w:bookmarkStart w:id="238" w:name="_Toc29650"/>
      <w:bookmarkStart w:id="239" w:name="_Toc31932"/>
      <w:bookmarkStart w:id="240" w:name="_Toc2753"/>
      <w:bookmarkStart w:id="241" w:name="_Toc25792"/>
      <w:r>
        <w:rPr>
          <w:rStyle w:val="63"/>
          <w:rFonts w:ascii="宋体" w:hAnsi="宋体" w:cs="宋体"/>
          <w:b/>
          <w:bCs/>
          <w:color w:val="auto"/>
          <w:spacing w:val="0"/>
          <w:sz w:val="24"/>
          <w:szCs w:val="24"/>
          <w:highlight w:val="none"/>
        </w:rPr>
        <w:t>10. 需要补充的其他内容</w:t>
      </w:r>
      <w:bookmarkEnd w:id="238"/>
      <w:bookmarkEnd w:id="239"/>
      <w:bookmarkEnd w:id="240"/>
      <w:bookmarkEnd w:id="241"/>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需要补充的其他内容：见投标人须知前附表。</w:t>
      </w:r>
    </w:p>
    <w:p>
      <w:pPr>
        <w:pStyle w:val="2"/>
        <w:ind w:left="0" w:leftChars="0" w:firstLine="0" w:firstLineChars="0"/>
        <w:rPr>
          <w:rStyle w:val="63"/>
          <w:rFonts w:ascii="宋体" w:hAnsi="宋体"/>
          <w:color w:val="auto"/>
          <w:spacing w:val="0"/>
          <w:sz w:val="24"/>
          <w:szCs w:val="24"/>
          <w:highlight w:val="none"/>
        </w:rPr>
      </w:pPr>
    </w:p>
    <w:p>
      <w:pPr>
        <w:pStyle w:val="2"/>
        <w:rPr>
          <w:rStyle w:val="63"/>
          <w:rFonts w:ascii="宋体" w:hAnsi="宋体"/>
          <w:color w:val="auto"/>
          <w:spacing w:val="0"/>
          <w:sz w:val="24"/>
          <w:szCs w:val="24"/>
          <w:highlight w:val="none"/>
        </w:rPr>
        <w:sectPr>
          <w:pgSz w:w="11907" w:h="16839"/>
          <w:pgMar w:top="1361" w:right="1587" w:bottom="1361" w:left="1587" w:header="720" w:footer="890" w:gutter="0"/>
          <w:pgBorders>
            <w:top w:val="none" w:sz="0" w:space="0"/>
            <w:left w:val="none" w:sz="0" w:space="0"/>
            <w:bottom w:val="none" w:sz="0" w:space="0"/>
            <w:right w:val="none" w:sz="0" w:space="0"/>
          </w:pgBorders>
          <w:cols w:space="720" w:num="1"/>
          <w:rtlGutter w:val="0"/>
          <w:docGrid w:linePitch="286" w:charSpace="0"/>
        </w:sectPr>
      </w:pPr>
    </w:p>
    <w:p>
      <w:pPr>
        <w:pStyle w:val="2"/>
        <w:ind w:left="0" w:leftChars="0" w:firstLine="0" w:firstLineChars="0"/>
        <w:rPr>
          <w:rStyle w:val="63"/>
          <w:rFonts w:ascii="宋体" w:hAnsi="宋体"/>
          <w:color w:val="auto"/>
          <w:spacing w:val="0"/>
          <w:sz w:val="24"/>
          <w:szCs w:val="24"/>
          <w:highlight w:val="none"/>
        </w:rPr>
      </w:pPr>
    </w:p>
    <w:p>
      <w:pPr>
        <w:pStyle w:val="93"/>
        <w:keepNext w:val="0"/>
        <w:keepLines w:val="0"/>
        <w:pageBreakBefore w:val="0"/>
        <w:widowControl w:val="0"/>
        <w:kinsoku/>
        <w:overflowPunct/>
        <w:bidi w:val="0"/>
        <w:spacing w:before="120" w:after="120" w:line="360" w:lineRule="auto"/>
        <w:ind w:firstLineChars="0"/>
        <w:outlineLvl w:val="1"/>
        <w:rPr>
          <w:rStyle w:val="63"/>
          <w:rFonts w:ascii="宋体" w:hAnsi="宋体" w:eastAsia="宋体" w:cs="Times New Roman"/>
          <w:color w:val="auto"/>
          <w:spacing w:val="0"/>
          <w:sz w:val="28"/>
          <w:szCs w:val="20"/>
          <w:highlight w:val="none"/>
        </w:rPr>
      </w:pPr>
      <w:bookmarkStart w:id="242" w:name="_Toc29131"/>
      <w:bookmarkStart w:id="243" w:name="_Toc29307"/>
      <w:bookmarkStart w:id="244" w:name="_Toc26146"/>
      <w:bookmarkStart w:id="245" w:name="_Toc1001"/>
      <w:r>
        <w:rPr>
          <w:rStyle w:val="63"/>
          <w:rFonts w:ascii="宋体" w:hAnsi="宋体" w:eastAsia="宋体" w:cs="Times New Roman"/>
          <w:color w:val="auto"/>
          <w:spacing w:val="0"/>
          <w:sz w:val="28"/>
          <w:szCs w:val="20"/>
          <w:highlight w:val="none"/>
        </w:rPr>
        <w:t>附件一：开标记录表</w:t>
      </w:r>
      <w:bookmarkEnd w:id="242"/>
      <w:bookmarkEnd w:id="243"/>
      <w:bookmarkEnd w:id="244"/>
      <w:bookmarkEnd w:id="245"/>
    </w:p>
    <w:p>
      <w:pPr>
        <w:keepNext w:val="0"/>
        <w:keepLines w:val="0"/>
        <w:pageBreakBefore w:val="0"/>
        <w:widowControl w:val="0"/>
        <w:kinsoku/>
        <w:overflowPunct/>
        <w:bidi w:val="0"/>
        <w:spacing w:line="440" w:lineRule="exact"/>
        <w:jc w:val="center"/>
        <w:outlineLvl w:val="2"/>
        <w:rPr>
          <w:rStyle w:val="63"/>
          <w:rFonts w:ascii="宋体" w:hAnsi="宋体"/>
          <w:color w:val="auto"/>
          <w:spacing w:val="0"/>
          <w:sz w:val="32"/>
          <w:szCs w:val="32"/>
          <w:highlight w:val="none"/>
        </w:rPr>
      </w:pPr>
      <w:bookmarkStart w:id="246" w:name="_Toc28692"/>
      <w:bookmarkStart w:id="247" w:name="_Toc30590"/>
      <w:bookmarkStart w:id="248" w:name="_Toc341"/>
      <w:bookmarkStart w:id="249" w:name="_Toc19317"/>
      <w:r>
        <w:rPr>
          <w:rStyle w:val="63"/>
          <w:rFonts w:ascii="宋体" w:hAnsi="宋体"/>
          <w:color w:val="auto"/>
          <w:spacing w:val="0"/>
          <w:sz w:val="32"/>
          <w:szCs w:val="32"/>
          <w:highlight w:val="none"/>
        </w:rPr>
        <w:t>开标记录表</w:t>
      </w:r>
      <w:bookmarkEnd w:id="246"/>
      <w:bookmarkEnd w:id="247"/>
      <w:bookmarkEnd w:id="248"/>
      <w:bookmarkEnd w:id="249"/>
    </w:p>
    <w:p>
      <w:pPr>
        <w:keepNext w:val="0"/>
        <w:keepLines w:val="0"/>
        <w:pageBreakBefore w:val="0"/>
        <w:widowControl w:val="0"/>
        <w:kinsoku/>
        <w:overflowPunct/>
        <w:bidi w:val="0"/>
        <w:spacing w:before="120" w:after="120" w:line="400" w:lineRule="exact"/>
        <w:ind w:right="420"/>
        <w:jc w:val="left"/>
        <w:rPr>
          <w:rStyle w:val="63"/>
          <w:rFonts w:ascii="宋体" w:hAnsi="宋体"/>
          <w:color w:val="auto"/>
          <w:spacing w:val="0"/>
          <w:highlight w:val="none"/>
        </w:rPr>
      </w:pPr>
      <w:r>
        <w:rPr>
          <w:rStyle w:val="63"/>
          <w:rFonts w:ascii="宋体" w:hAnsi="宋体"/>
          <w:color w:val="auto"/>
          <w:spacing w:val="0"/>
          <w:highlight w:val="none"/>
        </w:rPr>
        <w:t>开标时间：</w:t>
      </w:r>
      <w:r>
        <w:rPr>
          <w:rStyle w:val="63"/>
          <w:rFonts w:ascii="宋体" w:hAnsi="宋体"/>
          <w:color w:val="auto"/>
          <w:spacing w:val="0"/>
          <w:highlight w:val="none"/>
          <w:u w:val="single"/>
        </w:rPr>
        <w:t xml:space="preserve">         </w:t>
      </w:r>
      <w:r>
        <w:rPr>
          <w:rStyle w:val="63"/>
          <w:rFonts w:ascii="宋体" w:hAnsi="宋体"/>
          <w:color w:val="auto"/>
          <w:spacing w:val="0"/>
          <w:highlight w:val="none"/>
        </w:rPr>
        <w:t>年</w:t>
      </w:r>
      <w:r>
        <w:rPr>
          <w:rStyle w:val="63"/>
          <w:rFonts w:ascii="宋体" w:hAnsi="宋体"/>
          <w:color w:val="auto"/>
          <w:spacing w:val="0"/>
          <w:highlight w:val="none"/>
          <w:u w:val="single"/>
        </w:rPr>
        <w:t xml:space="preserve">         </w:t>
      </w:r>
      <w:r>
        <w:rPr>
          <w:rStyle w:val="63"/>
          <w:rFonts w:ascii="宋体" w:hAnsi="宋体"/>
          <w:color w:val="auto"/>
          <w:spacing w:val="0"/>
          <w:highlight w:val="none"/>
        </w:rPr>
        <w:t>月</w:t>
      </w:r>
      <w:r>
        <w:rPr>
          <w:rStyle w:val="63"/>
          <w:rFonts w:ascii="宋体" w:hAnsi="宋体"/>
          <w:color w:val="auto"/>
          <w:spacing w:val="0"/>
          <w:highlight w:val="none"/>
          <w:u w:val="single"/>
        </w:rPr>
        <w:t xml:space="preserve">         </w:t>
      </w:r>
      <w:r>
        <w:rPr>
          <w:rStyle w:val="63"/>
          <w:rFonts w:ascii="宋体" w:hAnsi="宋体"/>
          <w:color w:val="auto"/>
          <w:spacing w:val="0"/>
          <w:highlight w:val="none"/>
        </w:rPr>
        <w:t>日</w:t>
      </w:r>
      <w:r>
        <w:rPr>
          <w:rStyle w:val="63"/>
          <w:rFonts w:ascii="宋体" w:hAnsi="宋体"/>
          <w:color w:val="auto"/>
          <w:spacing w:val="0"/>
          <w:highlight w:val="none"/>
          <w:u w:val="single"/>
        </w:rPr>
        <w:t xml:space="preserve">         </w:t>
      </w:r>
      <w:r>
        <w:rPr>
          <w:rStyle w:val="63"/>
          <w:rFonts w:ascii="宋体" w:hAnsi="宋体"/>
          <w:color w:val="auto"/>
          <w:spacing w:val="0"/>
          <w:highlight w:val="none"/>
        </w:rPr>
        <w:t>时</w:t>
      </w:r>
      <w:r>
        <w:rPr>
          <w:rStyle w:val="63"/>
          <w:rFonts w:ascii="宋体" w:hAnsi="宋体"/>
          <w:color w:val="auto"/>
          <w:spacing w:val="0"/>
          <w:highlight w:val="none"/>
          <w:u w:val="single"/>
        </w:rPr>
        <w:t xml:space="preserve">         </w:t>
      </w:r>
      <w:r>
        <w:rPr>
          <w:rStyle w:val="63"/>
          <w:rFonts w:ascii="宋体" w:hAnsi="宋体"/>
          <w:color w:val="auto"/>
          <w:spacing w:val="0"/>
          <w:highlight w:val="none"/>
        </w:rPr>
        <w:t>分</w:t>
      </w:r>
    </w:p>
    <w:tbl>
      <w:tblPr>
        <w:tblStyle w:val="36"/>
        <w:tblW w:w="0" w:type="auto"/>
        <w:jc w:val="center"/>
        <w:tblLayout w:type="fixed"/>
        <w:tblCellMar>
          <w:top w:w="0" w:type="dxa"/>
          <w:left w:w="0" w:type="dxa"/>
          <w:bottom w:w="0" w:type="dxa"/>
          <w:right w:w="0" w:type="dxa"/>
        </w:tblCellMar>
      </w:tblPr>
      <w:tblGrid>
        <w:gridCol w:w="793"/>
        <w:gridCol w:w="1588"/>
        <w:gridCol w:w="1255"/>
        <w:gridCol w:w="1061"/>
        <w:gridCol w:w="1005"/>
        <w:gridCol w:w="870"/>
        <w:gridCol w:w="962"/>
        <w:gridCol w:w="600"/>
        <w:gridCol w:w="600"/>
        <w:gridCol w:w="696"/>
      </w:tblGrid>
      <w:tr>
        <w:tblPrEx>
          <w:tblCellMar>
            <w:top w:w="0" w:type="dxa"/>
            <w:left w:w="0" w:type="dxa"/>
            <w:bottom w:w="0" w:type="dxa"/>
            <w:right w:w="0" w:type="dxa"/>
          </w:tblCellMar>
        </w:tblPrEx>
        <w:trPr>
          <w:trHeight w:val="1010" w:hRule="exac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68"/>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宋体"/>
                <w:color w:val="auto"/>
                <w:spacing w:val="0"/>
                <w:sz w:val="21"/>
                <w:szCs w:val="21"/>
                <w:highlight w:val="none"/>
              </w:rPr>
            </w:pPr>
            <w:r>
              <w:rPr>
                <w:rFonts w:hint="default" w:ascii="宋体" w:hAnsi="宋体" w:eastAsia="宋体" w:cs="宋体"/>
                <w:color w:val="auto"/>
                <w:spacing w:val="0"/>
                <w:sz w:val="21"/>
                <w:szCs w:val="21"/>
                <w:highlight w:val="none"/>
              </w:rPr>
              <w:t>序号</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pStyle w:val="68"/>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投标单位名称</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pStyle w:val="68"/>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投标文件递交情况</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pStyle w:val="68"/>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投标文件解密情况</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pStyle w:val="68"/>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宋体"/>
                <w:color w:val="auto"/>
                <w:spacing w:val="0"/>
                <w:sz w:val="21"/>
                <w:szCs w:val="21"/>
                <w:highlight w:val="none"/>
              </w:rPr>
            </w:pPr>
            <w:r>
              <w:rPr>
                <w:rFonts w:hint="default" w:ascii="宋体" w:hAnsi="宋体" w:eastAsia="宋体" w:cs="宋体"/>
                <w:color w:val="auto"/>
                <w:spacing w:val="0"/>
                <w:sz w:val="21"/>
                <w:szCs w:val="21"/>
                <w:highlight w:val="none"/>
              </w:rPr>
              <w:t>投标报价（元）</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68"/>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宋体"/>
                <w:color w:val="auto"/>
                <w:spacing w:val="0"/>
                <w:sz w:val="21"/>
                <w:szCs w:val="21"/>
                <w:highlight w:val="none"/>
              </w:rPr>
            </w:pPr>
            <w:r>
              <w:rPr>
                <w:rFonts w:hint="default" w:ascii="宋体" w:hAnsi="宋体" w:eastAsia="宋体" w:cs="宋体"/>
                <w:color w:val="auto"/>
                <w:spacing w:val="0"/>
                <w:sz w:val="21"/>
                <w:szCs w:val="21"/>
                <w:highlight w:val="none"/>
              </w:rPr>
              <w:t>项目负</w:t>
            </w:r>
          </w:p>
          <w:p>
            <w:pPr>
              <w:pStyle w:val="68"/>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宋体"/>
                <w:color w:val="auto"/>
                <w:spacing w:val="0"/>
                <w:sz w:val="21"/>
                <w:szCs w:val="21"/>
                <w:highlight w:val="none"/>
              </w:rPr>
            </w:pPr>
            <w:r>
              <w:rPr>
                <w:rFonts w:hint="default" w:ascii="宋体" w:hAnsi="宋体" w:eastAsia="宋体" w:cs="宋体"/>
                <w:color w:val="auto"/>
                <w:spacing w:val="0"/>
                <w:sz w:val="21"/>
                <w:szCs w:val="21"/>
                <w:highlight w:val="none"/>
              </w:rPr>
              <w:t>责人</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68"/>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服务期限</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68"/>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质量标准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68"/>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宋体"/>
                <w:color w:val="auto"/>
                <w:spacing w:val="0"/>
                <w:sz w:val="21"/>
                <w:szCs w:val="21"/>
                <w:highlight w:val="none"/>
                <w:lang w:val="en-US" w:eastAsia="en-US"/>
              </w:rPr>
            </w:pPr>
            <w:r>
              <w:rPr>
                <w:rFonts w:hint="default" w:ascii="宋体" w:hAnsi="宋体" w:eastAsia="宋体" w:cs="宋体"/>
                <w:color w:val="auto"/>
                <w:spacing w:val="0"/>
                <w:sz w:val="21"/>
                <w:szCs w:val="21"/>
                <w:highlight w:val="none"/>
              </w:rPr>
              <w:t>备注</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pStyle w:val="68"/>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宋体"/>
                <w:color w:val="auto"/>
                <w:spacing w:val="0"/>
                <w:sz w:val="21"/>
                <w:szCs w:val="21"/>
                <w:highlight w:val="none"/>
                <w:lang w:val="en-US" w:eastAsia="en-US"/>
              </w:rPr>
            </w:pPr>
            <w:r>
              <w:rPr>
                <w:rFonts w:hint="default" w:ascii="宋体" w:hAnsi="宋体" w:eastAsia="宋体" w:cs="宋体"/>
                <w:color w:val="auto"/>
                <w:spacing w:val="0"/>
                <w:sz w:val="21"/>
                <w:szCs w:val="21"/>
                <w:highlight w:val="none"/>
              </w:rPr>
              <w:t>投标人代表签名</w:t>
            </w:r>
          </w:p>
        </w:tc>
      </w:tr>
      <w:tr>
        <w:tblPrEx>
          <w:tblCellMar>
            <w:top w:w="0" w:type="dxa"/>
            <w:left w:w="0" w:type="dxa"/>
            <w:bottom w:w="0" w:type="dxa"/>
            <w:right w:w="0" w:type="dxa"/>
          </w:tblCellMar>
        </w:tblPrEx>
        <w:trPr>
          <w:trHeight w:val="509" w:hRule="exac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r>
      <w:tr>
        <w:tblPrEx>
          <w:tblCellMar>
            <w:top w:w="0" w:type="dxa"/>
            <w:left w:w="0" w:type="dxa"/>
            <w:bottom w:w="0" w:type="dxa"/>
            <w:right w:w="0" w:type="dxa"/>
          </w:tblCellMar>
        </w:tblPrEx>
        <w:trPr>
          <w:trHeight w:val="511" w:hRule="exac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r>
      <w:tr>
        <w:tblPrEx>
          <w:tblCellMar>
            <w:top w:w="0" w:type="dxa"/>
            <w:left w:w="0" w:type="dxa"/>
            <w:bottom w:w="0" w:type="dxa"/>
            <w:right w:w="0" w:type="dxa"/>
          </w:tblCellMar>
        </w:tblPrEx>
        <w:trPr>
          <w:trHeight w:val="509" w:hRule="exac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r>
      <w:tr>
        <w:tblPrEx>
          <w:tblCellMar>
            <w:top w:w="0" w:type="dxa"/>
            <w:left w:w="0" w:type="dxa"/>
            <w:bottom w:w="0" w:type="dxa"/>
            <w:right w:w="0" w:type="dxa"/>
          </w:tblCellMar>
        </w:tblPrEx>
        <w:trPr>
          <w:trHeight w:val="511" w:hRule="exac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r>
      <w:tr>
        <w:tblPrEx>
          <w:tblCellMar>
            <w:top w:w="0" w:type="dxa"/>
            <w:left w:w="0" w:type="dxa"/>
            <w:bottom w:w="0" w:type="dxa"/>
            <w:right w:w="0" w:type="dxa"/>
          </w:tblCellMar>
        </w:tblPrEx>
        <w:trPr>
          <w:trHeight w:val="509" w:hRule="exac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r>
      <w:tr>
        <w:tblPrEx>
          <w:tblCellMar>
            <w:top w:w="0" w:type="dxa"/>
            <w:left w:w="0" w:type="dxa"/>
            <w:bottom w:w="0" w:type="dxa"/>
            <w:right w:w="0" w:type="dxa"/>
          </w:tblCellMar>
        </w:tblPrEx>
        <w:trPr>
          <w:trHeight w:val="511" w:hRule="exac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r>
      <w:tr>
        <w:tblPrEx>
          <w:tblCellMar>
            <w:top w:w="0" w:type="dxa"/>
            <w:left w:w="0" w:type="dxa"/>
            <w:bottom w:w="0" w:type="dxa"/>
            <w:right w:w="0" w:type="dxa"/>
          </w:tblCellMar>
        </w:tblPrEx>
        <w:trPr>
          <w:trHeight w:val="509" w:hRule="exac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r>
      <w:tr>
        <w:tblPrEx>
          <w:tblCellMar>
            <w:top w:w="0" w:type="dxa"/>
            <w:left w:w="0" w:type="dxa"/>
            <w:bottom w:w="0" w:type="dxa"/>
            <w:right w:w="0" w:type="dxa"/>
          </w:tblCellMar>
        </w:tblPrEx>
        <w:trPr>
          <w:trHeight w:val="511" w:hRule="exac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r>
      <w:tr>
        <w:tblPrEx>
          <w:tblCellMar>
            <w:top w:w="0" w:type="dxa"/>
            <w:left w:w="0" w:type="dxa"/>
            <w:bottom w:w="0" w:type="dxa"/>
            <w:right w:w="0" w:type="dxa"/>
          </w:tblCellMar>
        </w:tblPrEx>
        <w:trPr>
          <w:trHeight w:val="511" w:hRule="exac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r>
      <w:tr>
        <w:tblPrEx>
          <w:tblCellMar>
            <w:top w:w="0" w:type="dxa"/>
            <w:left w:w="0" w:type="dxa"/>
            <w:bottom w:w="0" w:type="dxa"/>
            <w:right w:w="0" w:type="dxa"/>
          </w:tblCellMar>
        </w:tblPrEx>
        <w:trPr>
          <w:trHeight w:val="511" w:hRule="exac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r>
      <w:tr>
        <w:tblPrEx>
          <w:tblCellMar>
            <w:top w:w="0" w:type="dxa"/>
            <w:left w:w="0" w:type="dxa"/>
            <w:bottom w:w="0" w:type="dxa"/>
            <w:right w:w="0" w:type="dxa"/>
          </w:tblCellMar>
        </w:tblPrEx>
        <w:trPr>
          <w:trHeight w:val="509" w:hRule="exac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r>
      <w:tr>
        <w:tblPrEx>
          <w:tblCellMar>
            <w:top w:w="0" w:type="dxa"/>
            <w:left w:w="0" w:type="dxa"/>
            <w:bottom w:w="0" w:type="dxa"/>
            <w:right w:w="0" w:type="dxa"/>
          </w:tblCellMar>
        </w:tblPrEx>
        <w:trPr>
          <w:trHeight w:val="509" w:hRule="exact"/>
          <w:jc w:val="center"/>
        </w:trPr>
        <w:tc>
          <w:tcPr>
            <w:tcW w:w="469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r>
              <w:rPr>
                <w:rFonts w:hint="default" w:ascii="宋体" w:hAnsi="宋体" w:eastAsia="宋体" w:cs="宋体"/>
                <w:color w:val="auto"/>
                <w:spacing w:val="0"/>
                <w:sz w:val="21"/>
                <w:szCs w:val="21"/>
                <w:highlight w:val="none"/>
              </w:rPr>
              <w:t>最高投标限价：</w:t>
            </w:r>
          </w:p>
        </w:tc>
        <w:tc>
          <w:tcPr>
            <w:tcW w:w="473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default" w:ascii="宋体" w:hAnsi="宋体" w:eastAsia="宋体" w:cs="Times New Roman"/>
                <w:color w:val="auto"/>
                <w:spacing w:val="0"/>
                <w:sz w:val="21"/>
                <w:szCs w:val="21"/>
                <w:highlight w:val="none"/>
              </w:rPr>
            </w:pPr>
          </w:p>
        </w:tc>
      </w:tr>
    </w:tbl>
    <w:p>
      <w:pPr>
        <w:keepNext w:val="0"/>
        <w:keepLines w:val="0"/>
        <w:pageBreakBefore w:val="0"/>
        <w:widowControl w:val="0"/>
        <w:kinsoku/>
        <w:overflowPunct/>
        <w:bidi w:val="0"/>
        <w:spacing w:line="440" w:lineRule="exact"/>
        <w:rPr>
          <w:rStyle w:val="63"/>
          <w:rFonts w:ascii="宋体" w:hAnsi="宋体"/>
          <w:color w:val="auto"/>
          <w:spacing w:val="0"/>
          <w:highlight w:val="none"/>
        </w:rPr>
      </w:pPr>
    </w:p>
    <w:p>
      <w:pPr>
        <w:keepNext w:val="0"/>
        <w:keepLines w:val="0"/>
        <w:pageBreakBefore w:val="0"/>
        <w:widowControl w:val="0"/>
        <w:kinsoku/>
        <w:overflowPunct/>
        <w:bidi w:val="0"/>
        <w:spacing w:line="620" w:lineRule="exact"/>
        <w:rPr>
          <w:rStyle w:val="63"/>
          <w:rFonts w:ascii="宋体" w:hAnsi="宋体"/>
          <w:color w:val="auto"/>
          <w:spacing w:val="0"/>
          <w:highlight w:val="none"/>
        </w:rPr>
      </w:pPr>
      <w:r>
        <w:rPr>
          <w:rStyle w:val="63"/>
          <w:rFonts w:ascii="宋体" w:hAnsi="宋体"/>
          <w:color w:val="auto"/>
          <w:spacing w:val="0"/>
          <w:highlight w:val="none"/>
        </w:rPr>
        <w:t>招标人代表：</w:t>
      </w:r>
      <w:r>
        <w:rPr>
          <w:rStyle w:val="63"/>
          <w:rFonts w:ascii="宋体" w:hAnsi="宋体"/>
          <w:color w:val="auto"/>
          <w:spacing w:val="0"/>
          <w:highlight w:val="none"/>
          <w:u w:val="single"/>
        </w:rPr>
        <w:t xml:space="preserve">       </w:t>
      </w:r>
      <w:r>
        <w:rPr>
          <w:rStyle w:val="63"/>
          <w:rFonts w:ascii="宋体" w:hAnsi="宋体"/>
          <w:color w:val="auto"/>
          <w:spacing w:val="0"/>
          <w:highlight w:val="none"/>
        </w:rPr>
        <w:t xml:space="preserve">        记录人：</w:t>
      </w:r>
      <w:r>
        <w:rPr>
          <w:rStyle w:val="63"/>
          <w:rFonts w:ascii="宋体" w:hAnsi="宋体"/>
          <w:color w:val="auto"/>
          <w:spacing w:val="0"/>
          <w:highlight w:val="none"/>
          <w:u w:val="single"/>
        </w:rPr>
        <w:t xml:space="preserve">       </w:t>
      </w:r>
      <w:r>
        <w:rPr>
          <w:rStyle w:val="63"/>
          <w:rFonts w:ascii="宋体" w:hAnsi="宋体"/>
          <w:color w:val="auto"/>
          <w:spacing w:val="0"/>
          <w:highlight w:val="none"/>
        </w:rPr>
        <w:t xml:space="preserve">       监标人：</w:t>
      </w:r>
      <w:r>
        <w:rPr>
          <w:rStyle w:val="63"/>
          <w:rFonts w:ascii="宋体" w:hAnsi="宋体"/>
          <w:color w:val="auto"/>
          <w:spacing w:val="0"/>
          <w:highlight w:val="none"/>
          <w:u w:val="single"/>
        </w:rPr>
        <w:t xml:space="preserve">       </w:t>
      </w:r>
    </w:p>
    <w:p>
      <w:pPr>
        <w:keepNext w:val="0"/>
        <w:keepLines w:val="0"/>
        <w:pageBreakBefore w:val="0"/>
        <w:widowControl w:val="0"/>
        <w:kinsoku/>
        <w:overflowPunct/>
        <w:bidi w:val="0"/>
        <w:spacing w:line="620" w:lineRule="exact"/>
        <w:jc w:val="right"/>
        <w:rPr>
          <w:rStyle w:val="63"/>
          <w:rFonts w:ascii="宋体" w:hAnsi="宋体"/>
          <w:color w:val="auto"/>
          <w:spacing w:val="0"/>
          <w:sz w:val="20"/>
          <w:highlight w:val="none"/>
        </w:rPr>
      </w:pPr>
      <w:r>
        <w:rPr>
          <w:rStyle w:val="63"/>
          <w:rFonts w:ascii="宋体" w:hAnsi="宋体"/>
          <w:color w:val="auto"/>
          <w:spacing w:val="0"/>
          <w:highlight w:val="none"/>
          <w:u w:val="single"/>
        </w:rPr>
        <w:t xml:space="preserve">       </w:t>
      </w:r>
      <w:r>
        <w:rPr>
          <w:rStyle w:val="63"/>
          <w:rFonts w:ascii="宋体" w:hAnsi="宋体"/>
          <w:color w:val="auto"/>
          <w:spacing w:val="0"/>
          <w:highlight w:val="none"/>
        </w:rPr>
        <w:t>年</w:t>
      </w:r>
      <w:r>
        <w:rPr>
          <w:rStyle w:val="63"/>
          <w:rFonts w:ascii="宋体" w:hAnsi="宋体"/>
          <w:color w:val="auto"/>
          <w:spacing w:val="0"/>
          <w:highlight w:val="none"/>
          <w:u w:val="single"/>
        </w:rPr>
        <w:t xml:space="preserve">       </w:t>
      </w:r>
      <w:r>
        <w:rPr>
          <w:rStyle w:val="63"/>
          <w:rFonts w:ascii="宋体" w:hAnsi="宋体"/>
          <w:color w:val="auto"/>
          <w:spacing w:val="0"/>
          <w:highlight w:val="none"/>
        </w:rPr>
        <w:t>月</w:t>
      </w:r>
      <w:r>
        <w:rPr>
          <w:rStyle w:val="63"/>
          <w:rFonts w:ascii="宋体" w:hAnsi="宋体"/>
          <w:color w:val="auto"/>
          <w:spacing w:val="0"/>
          <w:highlight w:val="none"/>
          <w:u w:val="single"/>
        </w:rPr>
        <w:t xml:space="preserve">       </w:t>
      </w:r>
      <w:r>
        <w:rPr>
          <w:rStyle w:val="63"/>
          <w:rFonts w:ascii="宋体" w:hAnsi="宋体"/>
          <w:color w:val="auto"/>
          <w:spacing w:val="0"/>
          <w:highlight w:val="none"/>
        </w:rPr>
        <w:t>日</w:t>
      </w:r>
    </w:p>
    <w:p>
      <w:pPr>
        <w:keepNext w:val="0"/>
        <w:keepLines w:val="0"/>
        <w:pageBreakBefore w:val="0"/>
        <w:widowControl w:val="0"/>
        <w:kinsoku/>
        <w:overflowPunct/>
        <w:bidi w:val="0"/>
        <w:spacing w:line="440" w:lineRule="exact"/>
        <w:rPr>
          <w:rStyle w:val="63"/>
          <w:rFonts w:ascii="宋体" w:hAnsi="宋体"/>
          <w:color w:val="auto"/>
          <w:spacing w:val="0"/>
          <w:highlight w:val="none"/>
        </w:rPr>
      </w:pPr>
    </w:p>
    <w:p>
      <w:pPr>
        <w:pStyle w:val="2"/>
        <w:ind w:left="0" w:leftChars="0" w:firstLine="0" w:firstLineChars="0"/>
        <w:rPr>
          <w:rFonts w:hint="eastAsia" w:hAnsi="宋体"/>
          <w:color w:val="auto"/>
          <w:sz w:val="21"/>
          <w:szCs w:val="21"/>
        </w:rPr>
      </w:pPr>
      <w:r>
        <w:rPr>
          <w:rFonts w:hint="eastAsia" w:hAnsi="宋体"/>
          <w:color w:val="auto"/>
          <w:sz w:val="21"/>
          <w:szCs w:val="21"/>
        </w:rPr>
        <w:t>（注：</w:t>
      </w:r>
      <w:r>
        <w:rPr>
          <w:rFonts w:hint="eastAsia" w:hAnsi="宋体"/>
          <w:color w:val="auto"/>
          <w:sz w:val="21"/>
          <w:szCs w:val="21"/>
          <w:lang w:eastAsia="zh-CN"/>
        </w:rPr>
        <w:t>具体以</w:t>
      </w:r>
      <w:r>
        <w:rPr>
          <w:rFonts w:hint="eastAsia" w:hAnsi="宋体"/>
          <w:color w:val="auto"/>
          <w:sz w:val="21"/>
          <w:szCs w:val="21"/>
        </w:rPr>
        <w:t>广州交易集团有限公司（广州公共资源交易中心）</w:t>
      </w:r>
      <w:r>
        <w:rPr>
          <w:rFonts w:hint="eastAsia" w:hAnsi="宋体"/>
          <w:color w:val="auto"/>
          <w:sz w:val="21"/>
          <w:szCs w:val="21"/>
          <w:lang w:eastAsia="zh-CN"/>
        </w:rPr>
        <w:t>交易平台</w:t>
      </w:r>
      <w:r>
        <w:rPr>
          <w:rFonts w:hint="eastAsia" w:hAnsi="宋体"/>
          <w:color w:val="auto"/>
          <w:sz w:val="21"/>
          <w:szCs w:val="21"/>
        </w:rPr>
        <w:t>格式</w:t>
      </w:r>
      <w:r>
        <w:rPr>
          <w:rFonts w:hint="eastAsia" w:hAnsi="宋体"/>
          <w:color w:val="auto"/>
          <w:sz w:val="21"/>
          <w:szCs w:val="21"/>
          <w:lang w:eastAsia="zh-CN"/>
        </w:rPr>
        <w:t>为准</w:t>
      </w:r>
      <w:r>
        <w:rPr>
          <w:rFonts w:hint="eastAsia" w:hAnsi="宋体"/>
          <w:color w:val="auto"/>
          <w:sz w:val="21"/>
          <w:szCs w:val="21"/>
        </w:rPr>
        <w:t>）</w:t>
      </w:r>
    </w:p>
    <w:p>
      <w:pPr>
        <w:pStyle w:val="2"/>
        <w:ind w:left="0" w:leftChars="0" w:firstLine="0" w:firstLineChars="0"/>
        <w:rPr>
          <w:rFonts w:hint="eastAsia" w:hAnsi="宋体"/>
          <w:color w:val="auto"/>
          <w:sz w:val="21"/>
          <w:szCs w:val="21"/>
        </w:rPr>
      </w:pPr>
    </w:p>
    <w:p>
      <w:pPr>
        <w:pStyle w:val="2"/>
        <w:ind w:left="0" w:leftChars="0" w:firstLine="0" w:firstLineChars="0"/>
        <w:rPr>
          <w:rStyle w:val="63"/>
          <w:rFonts w:ascii="宋体" w:hAnsi="宋体"/>
          <w:color w:val="auto"/>
          <w:spacing w:val="0"/>
          <w:highlight w:val="none"/>
        </w:rPr>
      </w:pPr>
      <w:r>
        <w:rPr>
          <w:rStyle w:val="63"/>
          <w:rFonts w:ascii="宋体" w:hAnsi="宋体"/>
          <w:color w:val="auto"/>
          <w:spacing w:val="0"/>
          <w:highlight w:val="none"/>
        </w:rPr>
        <w:br w:type="page"/>
      </w:r>
    </w:p>
    <w:p>
      <w:pPr>
        <w:pStyle w:val="93"/>
        <w:keepNext w:val="0"/>
        <w:keepLines w:val="0"/>
        <w:pageBreakBefore w:val="0"/>
        <w:widowControl w:val="0"/>
        <w:kinsoku/>
        <w:overflowPunct/>
        <w:bidi w:val="0"/>
        <w:spacing w:before="120" w:after="120" w:line="360" w:lineRule="auto"/>
        <w:ind w:firstLineChars="0"/>
        <w:outlineLvl w:val="1"/>
        <w:rPr>
          <w:rStyle w:val="63"/>
          <w:rFonts w:ascii="宋体" w:hAnsi="宋体"/>
          <w:color w:val="auto"/>
          <w:spacing w:val="0"/>
          <w:sz w:val="28"/>
          <w:szCs w:val="20"/>
          <w:highlight w:val="none"/>
        </w:rPr>
      </w:pPr>
      <w:bookmarkStart w:id="250" w:name="_Toc16994"/>
      <w:bookmarkStart w:id="251" w:name="_Toc4131"/>
      <w:bookmarkStart w:id="252" w:name="_Toc26389"/>
      <w:bookmarkStart w:id="253" w:name="_Toc25641"/>
      <w:r>
        <w:rPr>
          <w:rStyle w:val="63"/>
          <w:rFonts w:ascii="宋体" w:hAnsi="宋体"/>
          <w:color w:val="auto"/>
          <w:spacing w:val="0"/>
          <w:sz w:val="28"/>
          <w:szCs w:val="20"/>
          <w:highlight w:val="none"/>
        </w:rPr>
        <w:t>附件二：问题澄清通知</w:t>
      </w:r>
      <w:bookmarkEnd w:id="250"/>
      <w:bookmarkEnd w:id="251"/>
      <w:bookmarkEnd w:id="252"/>
      <w:bookmarkEnd w:id="253"/>
    </w:p>
    <w:p>
      <w:pPr>
        <w:keepNext w:val="0"/>
        <w:keepLines w:val="0"/>
        <w:pageBreakBefore w:val="0"/>
        <w:widowControl w:val="0"/>
        <w:kinsoku/>
        <w:overflowPunct/>
        <w:bidi w:val="0"/>
        <w:spacing w:line="440" w:lineRule="exact"/>
        <w:jc w:val="center"/>
        <w:outlineLvl w:val="2"/>
        <w:rPr>
          <w:rStyle w:val="63"/>
          <w:rFonts w:ascii="宋体" w:hAnsi="宋体"/>
          <w:color w:val="auto"/>
          <w:spacing w:val="0"/>
          <w:sz w:val="32"/>
          <w:szCs w:val="32"/>
          <w:highlight w:val="none"/>
        </w:rPr>
      </w:pPr>
      <w:bookmarkStart w:id="254" w:name="_Toc31338"/>
      <w:bookmarkStart w:id="255" w:name="_Toc25884"/>
      <w:bookmarkStart w:id="256" w:name="_Toc5592"/>
      <w:bookmarkStart w:id="257" w:name="_Toc3999"/>
      <w:r>
        <w:rPr>
          <w:rStyle w:val="63"/>
          <w:rFonts w:ascii="宋体" w:hAnsi="宋体"/>
          <w:color w:val="auto"/>
          <w:spacing w:val="0"/>
          <w:sz w:val="32"/>
          <w:szCs w:val="32"/>
          <w:highlight w:val="none"/>
        </w:rPr>
        <w:t>问题澄清通知</w:t>
      </w:r>
      <w:bookmarkEnd w:id="254"/>
      <w:bookmarkEnd w:id="255"/>
      <w:bookmarkEnd w:id="256"/>
      <w:bookmarkEnd w:id="257"/>
    </w:p>
    <w:p>
      <w:pPr>
        <w:keepNext w:val="0"/>
        <w:keepLines w:val="0"/>
        <w:pageBreakBefore w:val="0"/>
        <w:widowControl w:val="0"/>
        <w:kinsoku/>
        <w:overflowPunct/>
        <w:bidi w:val="0"/>
        <w:spacing w:line="440" w:lineRule="exact"/>
        <w:jc w:val="center"/>
        <w:rPr>
          <w:rStyle w:val="63"/>
          <w:rFonts w:ascii="宋体" w:hAnsi="宋体"/>
          <w:color w:val="auto"/>
          <w:spacing w:val="0"/>
          <w:sz w:val="24"/>
          <w:szCs w:val="24"/>
          <w:highlight w:val="none"/>
        </w:rPr>
      </w:pPr>
      <w:r>
        <w:rPr>
          <w:rStyle w:val="63"/>
          <w:rFonts w:ascii="宋体" w:hAnsi="宋体"/>
          <w:color w:val="auto"/>
          <w:spacing w:val="0"/>
          <w:sz w:val="24"/>
          <w:szCs w:val="24"/>
          <w:highlight w:val="none"/>
        </w:rPr>
        <w:t>（编号：</w:t>
      </w:r>
      <w:r>
        <w:rPr>
          <w:rStyle w:val="63"/>
          <w:rFonts w:ascii="宋体" w:hAnsi="宋体"/>
          <w:color w:val="auto"/>
          <w:spacing w:val="0"/>
          <w:sz w:val="24"/>
          <w:szCs w:val="24"/>
          <w:highlight w:val="none"/>
          <w:u w:val="single"/>
        </w:rPr>
        <w:t xml:space="preserve">               </w:t>
      </w:r>
      <w:r>
        <w:rPr>
          <w:rStyle w:val="63"/>
          <w:rFonts w:ascii="宋体" w:hAnsi="宋体"/>
          <w:color w:val="auto"/>
          <w:spacing w:val="0"/>
          <w:sz w:val="24"/>
          <w:szCs w:val="24"/>
          <w:highlight w:val="none"/>
        </w:rPr>
        <w:t>）</w:t>
      </w:r>
    </w:p>
    <w:p>
      <w:pPr>
        <w:keepNext w:val="0"/>
        <w:keepLines w:val="0"/>
        <w:pageBreakBefore w:val="0"/>
        <w:widowControl w:val="0"/>
        <w:kinsoku/>
        <w:overflowPunct/>
        <w:bidi w:val="0"/>
        <w:spacing w:line="440" w:lineRule="exact"/>
        <w:rPr>
          <w:rStyle w:val="63"/>
          <w:rFonts w:ascii="宋体" w:hAnsi="宋体"/>
          <w:color w:val="auto"/>
          <w:spacing w:val="0"/>
          <w:sz w:val="24"/>
          <w:szCs w:val="24"/>
          <w:highlight w:val="none"/>
        </w:rPr>
      </w:pPr>
    </w:p>
    <w:p>
      <w:pPr>
        <w:keepNext w:val="0"/>
        <w:keepLines w:val="0"/>
        <w:pageBreakBefore w:val="0"/>
        <w:widowControl w:val="0"/>
        <w:kinsoku/>
        <w:overflowPunct/>
        <w:bidi w:val="0"/>
        <w:spacing w:line="400" w:lineRule="exact"/>
        <w:rPr>
          <w:rStyle w:val="63"/>
          <w:rFonts w:ascii="宋体" w:hAnsi="宋体"/>
          <w:color w:val="auto"/>
          <w:spacing w:val="0"/>
          <w:sz w:val="24"/>
          <w:szCs w:val="24"/>
          <w:highlight w:val="none"/>
        </w:rPr>
      </w:pPr>
      <w:r>
        <w:rPr>
          <w:rStyle w:val="63"/>
          <w:rFonts w:ascii="宋体" w:hAnsi="宋体"/>
          <w:color w:val="auto"/>
          <w:spacing w:val="0"/>
          <w:sz w:val="24"/>
          <w:szCs w:val="24"/>
          <w:highlight w:val="none"/>
          <w:u w:val="single"/>
        </w:rPr>
        <w:t xml:space="preserve"> </w:t>
      </w:r>
      <w:r>
        <w:rPr>
          <w:rStyle w:val="63"/>
          <w:rFonts w:ascii="宋体" w:hAnsi="宋体"/>
          <w:color w:val="auto"/>
          <w:spacing w:val="0"/>
          <w:sz w:val="24"/>
          <w:szCs w:val="24"/>
          <w:highlight w:val="none"/>
          <w:u w:val="single"/>
        </w:rPr>
        <w:tab/>
      </w:r>
      <w:r>
        <w:rPr>
          <w:rStyle w:val="63"/>
          <w:rFonts w:ascii="宋体" w:hAnsi="宋体"/>
          <w:color w:val="auto"/>
          <w:spacing w:val="0"/>
          <w:sz w:val="24"/>
          <w:szCs w:val="24"/>
          <w:highlight w:val="none"/>
          <w:u w:val="single"/>
        </w:rPr>
        <w:t xml:space="preserve">                 </w:t>
      </w:r>
      <w:r>
        <w:rPr>
          <w:rStyle w:val="63"/>
          <w:rFonts w:ascii="宋体" w:hAnsi="宋体"/>
          <w:color w:val="auto"/>
          <w:spacing w:val="0"/>
          <w:sz w:val="24"/>
          <w:szCs w:val="24"/>
          <w:highlight w:val="none"/>
        </w:rPr>
        <w:t>（投标人名称）：</w:t>
      </w:r>
    </w:p>
    <w:p>
      <w:pPr>
        <w:keepNext w:val="0"/>
        <w:keepLines w:val="0"/>
        <w:pageBreakBefore w:val="0"/>
        <w:widowControl w:val="0"/>
        <w:kinsoku/>
        <w:overflowPunct/>
        <w:bidi w:val="0"/>
        <w:spacing w:line="400" w:lineRule="exact"/>
        <w:rPr>
          <w:rStyle w:val="63"/>
          <w:rFonts w:ascii="宋体" w:hAnsi="宋体"/>
          <w:color w:val="auto"/>
          <w:spacing w:val="0"/>
          <w:sz w:val="24"/>
          <w:szCs w:val="24"/>
          <w:highlight w:val="none"/>
        </w:rPr>
      </w:pP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评标委员会对你方的投标文件进行了仔细的审查，现需你方对下列问题以书面形式予以澄清、说明或补正：</w:t>
      </w:r>
    </w:p>
    <w:p>
      <w:pPr>
        <w:keepNext w:val="0"/>
        <w:keepLines w:val="0"/>
        <w:pageBreakBefore w:val="0"/>
        <w:widowControl w:val="0"/>
        <w:kinsoku/>
        <w:overflowPunct/>
        <w:bidi w:val="0"/>
        <w:spacing w:line="360" w:lineRule="auto"/>
        <w:ind w:firstLine="480" w:firstLineChars="200"/>
        <w:jc w:val="left"/>
        <w:outlineLvl w:val="1"/>
        <w:rPr>
          <w:rStyle w:val="63"/>
          <w:rFonts w:ascii="宋体" w:hAnsi="宋体"/>
          <w:color w:val="auto"/>
          <w:spacing w:val="0"/>
          <w:sz w:val="24"/>
          <w:szCs w:val="24"/>
          <w:highlight w:val="none"/>
        </w:rPr>
      </w:pPr>
      <w:bookmarkStart w:id="258" w:name="_Toc11249"/>
      <w:bookmarkStart w:id="259" w:name="_Toc30175"/>
      <w:bookmarkStart w:id="260" w:name="_Toc19104"/>
      <w:bookmarkStart w:id="261" w:name="_Toc5776"/>
      <w:r>
        <w:rPr>
          <w:rStyle w:val="63"/>
          <w:rFonts w:ascii="宋体" w:hAnsi="宋体"/>
          <w:color w:val="auto"/>
          <w:spacing w:val="0"/>
          <w:sz w:val="24"/>
          <w:szCs w:val="24"/>
          <w:highlight w:val="none"/>
        </w:rPr>
        <w:t>1.</w:t>
      </w:r>
      <w:bookmarkEnd w:id="258"/>
      <w:bookmarkEnd w:id="259"/>
      <w:bookmarkEnd w:id="260"/>
      <w:bookmarkEnd w:id="261"/>
    </w:p>
    <w:p>
      <w:pPr>
        <w:keepNext w:val="0"/>
        <w:keepLines w:val="0"/>
        <w:pageBreakBefore w:val="0"/>
        <w:widowControl w:val="0"/>
        <w:kinsoku/>
        <w:overflowPunct/>
        <w:bidi w:val="0"/>
        <w:spacing w:line="360" w:lineRule="auto"/>
        <w:ind w:firstLine="480" w:firstLineChars="200"/>
        <w:jc w:val="left"/>
        <w:rPr>
          <w:rStyle w:val="63"/>
          <w:rFonts w:ascii="宋体" w:hAnsi="宋体"/>
          <w:color w:val="auto"/>
          <w:spacing w:val="0"/>
          <w:sz w:val="24"/>
          <w:szCs w:val="24"/>
          <w:highlight w:val="none"/>
        </w:rPr>
      </w:pPr>
    </w:p>
    <w:p>
      <w:pPr>
        <w:keepNext w:val="0"/>
        <w:keepLines w:val="0"/>
        <w:pageBreakBefore w:val="0"/>
        <w:widowControl w:val="0"/>
        <w:kinsoku/>
        <w:overflowPunct/>
        <w:bidi w:val="0"/>
        <w:spacing w:line="360" w:lineRule="auto"/>
        <w:ind w:firstLine="480" w:firstLineChars="200"/>
        <w:jc w:val="left"/>
        <w:outlineLvl w:val="1"/>
        <w:rPr>
          <w:rStyle w:val="63"/>
          <w:rFonts w:ascii="宋体" w:hAnsi="宋体"/>
          <w:color w:val="auto"/>
          <w:spacing w:val="0"/>
          <w:sz w:val="24"/>
          <w:szCs w:val="24"/>
          <w:highlight w:val="none"/>
        </w:rPr>
      </w:pPr>
      <w:bookmarkStart w:id="262" w:name="_Toc19623"/>
      <w:bookmarkStart w:id="263" w:name="_Toc18223"/>
      <w:bookmarkStart w:id="264" w:name="_Toc27087"/>
      <w:bookmarkStart w:id="265" w:name="_Toc5695"/>
      <w:r>
        <w:rPr>
          <w:rStyle w:val="63"/>
          <w:rFonts w:ascii="宋体" w:hAnsi="宋体"/>
          <w:color w:val="auto"/>
          <w:spacing w:val="0"/>
          <w:sz w:val="24"/>
          <w:szCs w:val="24"/>
          <w:highlight w:val="none"/>
        </w:rPr>
        <w:t>2.</w:t>
      </w:r>
      <w:bookmarkEnd w:id="262"/>
      <w:bookmarkEnd w:id="263"/>
      <w:bookmarkEnd w:id="264"/>
      <w:bookmarkEnd w:id="265"/>
    </w:p>
    <w:p>
      <w:pPr>
        <w:keepNext w:val="0"/>
        <w:keepLines w:val="0"/>
        <w:pageBreakBefore w:val="0"/>
        <w:widowControl w:val="0"/>
        <w:kinsoku/>
        <w:overflowPunct/>
        <w:bidi w:val="0"/>
        <w:spacing w:line="360" w:lineRule="auto"/>
        <w:ind w:firstLine="480" w:firstLineChars="200"/>
        <w:jc w:val="left"/>
        <w:rPr>
          <w:rStyle w:val="63"/>
          <w:rFonts w:ascii="宋体" w:hAnsi="宋体"/>
          <w:color w:val="auto"/>
          <w:spacing w:val="0"/>
          <w:sz w:val="24"/>
          <w:szCs w:val="24"/>
          <w:highlight w:val="none"/>
        </w:rPr>
      </w:pPr>
    </w:p>
    <w:p>
      <w:pPr>
        <w:keepNext w:val="0"/>
        <w:keepLines w:val="0"/>
        <w:pageBreakBefore w:val="0"/>
        <w:widowControl w:val="0"/>
        <w:kinsoku/>
        <w:overflowPunct/>
        <w:bidi w:val="0"/>
        <w:spacing w:line="360" w:lineRule="auto"/>
        <w:ind w:firstLine="480" w:firstLineChars="200"/>
        <w:jc w:val="left"/>
        <w:rPr>
          <w:rStyle w:val="63"/>
          <w:rFonts w:ascii="宋体" w:hAnsi="宋体"/>
          <w:color w:val="auto"/>
          <w:spacing w:val="0"/>
          <w:sz w:val="24"/>
          <w:szCs w:val="24"/>
          <w:highlight w:val="none"/>
        </w:rPr>
      </w:pPr>
      <w:r>
        <w:rPr>
          <w:rStyle w:val="63"/>
          <w:rFonts w:ascii="宋体" w:hAnsi="宋体"/>
          <w:color w:val="auto"/>
          <w:spacing w:val="0"/>
          <w:sz w:val="24"/>
          <w:szCs w:val="24"/>
          <w:highlight w:val="none"/>
        </w:rPr>
        <w:t>......</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Fonts w:ascii="宋体" w:hAnsi="宋体"/>
          <w:color w:val="auto"/>
          <w:spacing w:val="0"/>
          <w:sz w:val="24"/>
          <w:szCs w:val="24"/>
          <w:highlight w:val="none"/>
        </w:rPr>
        <w:t>请将上述问题的澄清、说明或补正于</w:t>
      </w:r>
      <w:r>
        <w:rPr>
          <w:rFonts w:ascii="宋体" w:hAnsi="宋体"/>
          <w:color w:val="auto"/>
          <w:spacing w:val="0"/>
          <w:sz w:val="24"/>
          <w:szCs w:val="24"/>
          <w:highlight w:val="none"/>
          <w:u w:val="single"/>
        </w:rPr>
        <w:t xml:space="preserve"> </w:t>
      </w:r>
      <w:r>
        <w:rPr>
          <w:rFonts w:hint="eastAsia" w:ascii="宋体" w:hAnsi="宋体"/>
          <w:color w:val="auto"/>
          <w:spacing w:val="0"/>
          <w:sz w:val="24"/>
          <w:szCs w:val="24"/>
          <w:highlight w:val="none"/>
          <w:u w:val="single"/>
        </w:rPr>
        <w:t xml:space="preserve">  </w:t>
      </w:r>
      <w:r>
        <w:rPr>
          <w:rFonts w:ascii="宋体" w:hAnsi="宋体"/>
          <w:color w:val="auto"/>
          <w:spacing w:val="0"/>
          <w:sz w:val="24"/>
          <w:szCs w:val="24"/>
          <w:highlight w:val="none"/>
          <w:u w:val="single"/>
        </w:rPr>
        <w:t xml:space="preserve"> </w:t>
      </w:r>
      <w:r>
        <w:rPr>
          <w:rFonts w:ascii="宋体" w:hAnsi="宋体"/>
          <w:color w:val="auto"/>
          <w:spacing w:val="0"/>
          <w:sz w:val="24"/>
          <w:szCs w:val="24"/>
          <w:highlight w:val="none"/>
          <w:u w:val="single"/>
        </w:rPr>
        <w:tab/>
      </w:r>
      <w:r>
        <w:rPr>
          <w:rFonts w:ascii="宋体" w:hAnsi="宋体"/>
          <w:color w:val="auto"/>
          <w:spacing w:val="0"/>
          <w:sz w:val="24"/>
          <w:szCs w:val="24"/>
          <w:highlight w:val="none"/>
        </w:rPr>
        <w:t>年</w:t>
      </w:r>
      <w:r>
        <w:rPr>
          <w:rFonts w:ascii="宋体" w:hAnsi="宋体"/>
          <w:color w:val="auto"/>
          <w:spacing w:val="0"/>
          <w:sz w:val="24"/>
          <w:szCs w:val="24"/>
          <w:highlight w:val="none"/>
          <w:u w:val="single"/>
        </w:rPr>
        <w:t xml:space="preserve">  </w:t>
      </w:r>
      <w:r>
        <w:rPr>
          <w:rFonts w:ascii="宋体" w:hAnsi="宋体"/>
          <w:color w:val="auto"/>
          <w:spacing w:val="0"/>
          <w:sz w:val="24"/>
          <w:szCs w:val="24"/>
          <w:highlight w:val="none"/>
          <w:u w:val="single"/>
        </w:rPr>
        <w:tab/>
      </w:r>
      <w:r>
        <w:rPr>
          <w:rFonts w:ascii="宋体" w:hAnsi="宋体"/>
          <w:color w:val="auto"/>
          <w:spacing w:val="0"/>
          <w:sz w:val="24"/>
          <w:szCs w:val="24"/>
          <w:highlight w:val="none"/>
        </w:rPr>
        <w:t>月</w:t>
      </w:r>
      <w:r>
        <w:rPr>
          <w:rFonts w:ascii="宋体" w:hAnsi="宋体"/>
          <w:color w:val="auto"/>
          <w:spacing w:val="0"/>
          <w:sz w:val="24"/>
          <w:szCs w:val="24"/>
          <w:highlight w:val="none"/>
          <w:u w:val="single"/>
        </w:rPr>
        <w:t xml:space="preserve">  </w:t>
      </w:r>
      <w:r>
        <w:rPr>
          <w:rFonts w:ascii="宋体" w:hAnsi="宋体"/>
          <w:color w:val="auto"/>
          <w:spacing w:val="0"/>
          <w:sz w:val="24"/>
          <w:szCs w:val="24"/>
          <w:highlight w:val="none"/>
          <w:u w:val="single"/>
        </w:rPr>
        <w:tab/>
      </w:r>
      <w:r>
        <w:rPr>
          <w:rFonts w:ascii="宋体" w:hAnsi="宋体"/>
          <w:color w:val="auto"/>
          <w:spacing w:val="0"/>
          <w:sz w:val="24"/>
          <w:szCs w:val="24"/>
          <w:highlight w:val="none"/>
        </w:rPr>
        <w:t>日</w:t>
      </w:r>
      <w:r>
        <w:rPr>
          <w:rFonts w:ascii="宋体" w:hAnsi="宋体"/>
          <w:color w:val="auto"/>
          <w:spacing w:val="0"/>
          <w:sz w:val="24"/>
          <w:szCs w:val="24"/>
          <w:highlight w:val="none"/>
          <w:u w:val="single"/>
        </w:rPr>
        <w:t xml:space="preserve">  </w:t>
      </w:r>
      <w:r>
        <w:rPr>
          <w:rFonts w:ascii="宋体" w:hAnsi="宋体"/>
          <w:color w:val="auto"/>
          <w:spacing w:val="0"/>
          <w:sz w:val="24"/>
          <w:szCs w:val="24"/>
          <w:highlight w:val="none"/>
          <w:u w:val="single"/>
        </w:rPr>
        <w:tab/>
      </w:r>
      <w:r>
        <w:rPr>
          <w:rFonts w:ascii="宋体" w:hAnsi="宋体"/>
          <w:color w:val="auto"/>
          <w:spacing w:val="0"/>
          <w:sz w:val="24"/>
          <w:szCs w:val="24"/>
          <w:highlight w:val="none"/>
        </w:rPr>
        <w:t>时前递交至</w:t>
      </w:r>
      <w:r>
        <w:rPr>
          <w:rFonts w:ascii="宋体" w:hAnsi="宋体"/>
          <w:color w:val="auto"/>
          <w:spacing w:val="0"/>
          <w:sz w:val="24"/>
          <w:szCs w:val="24"/>
          <w:highlight w:val="none"/>
          <w:u w:val="single"/>
        </w:rPr>
        <w:t xml:space="preserve"> </w:t>
      </w:r>
      <w:r>
        <w:rPr>
          <w:rFonts w:ascii="宋体" w:hAnsi="宋体"/>
          <w:color w:val="auto"/>
          <w:spacing w:val="0"/>
          <w:sz w:val="24"/>
          <w:szCs w:val="24"/>
          <w:highlight w:val="none"/>
          <w:u w:val="single"/>
        </w:rPr>
        <w:tab/>
      </w:r>
      <w:r>
        <w:rPr>
          <w:rFonts w:hint="eastAsia" w:ascii="宋体" w:hAnsi="宋体"/>
          <w:color w:val="auto"/>
          <w:spacing w:val="0"/>
          <w:sz w:val="24"/>
          <w:szCs w:val="24"/>
          <w:highlight w:val="none"/>
          <w:u w:val="single"/>
        </w:rPr>
        <w:t xml:space="preserve">        </w:t>
      </w:r>
      <w:r>
        <w:rPr>
          <w:rFonts w:ascii="宋体" w:hAnsi="宋体"/>
          <w:color w:val="auto"/>
          <w:spacing w:val="0"/>
          <w:sz w:val="24"/>
          <w:szCs w:val="24"/>
          <w:highlight w:val="none"/>
        </w:rPr>
        <w:t>（详细地址）或传真至</w:t>
      </w:r>
      <w:r>
        <w:rPr>
          <w:rFonts w:ascii="宋体" w:hAnsi="宋体"/>
          <w:color w:val="auto"/>
          <w:spacing w:val="0"/>
          <w:sz w:val="24"/>
          <w:szCs w:val="24"/>
          <w:highlight w:val="none"/>
          <w:u w:val="single"/>
        </w:rPr>
        <w:t xml:space="preserve"> </w:t>
      </w:r>
      <w:r>
        <w:rPr>
          <w:rFonts w:hint="eastAsia" w:ascii="宋体" w:hAnsi="宋体"/>
          <w:color w:val="auto"/>
          <w:spacing w:val="0"/>
          <w:sz w:val="24"/>
          <w:szCs w:val="24"/>
          <w:highlight w:val="none"/>
          <w:u w:val="single"/>
        </w:rPr>
        <w:t xml:space="preserve">     </w:t>
      </w:r>
      <w:r>
        <w:rPr>
          <w:rFonts w:ascii="宋体" w:hAnsi="宋体"/>
          <w:color w:val="auto"/>
          <w:spacing w:val="0"/>
          <w:sz w:val="24"/>
          <w:szCs w:val="24"/>
          <w:highlight w:val="none"/>
          <w:u w:val="single"/>
        </w:rPr>
        <w:t xml:space="preserve"> </w:t>
      </w:r>
      <w:r>
        <w:rPr>
          <w:rFonts w:hint="eastAsia" w:ascii="宋体" w:hAnsi="宋体"/>
          <w:color w:val="auto"/>
          <w:spacing w:val="0"/>
          <w:sz w:val="24"/>
          <w:szCs w:val="24"/>
          <w:highlight w:val="none"/>
          <w:u w:val="single"/>
        </w:rPr>
        <w:t xml:space="preserve"> </w:t>
      </w:r>
      <w:r>
        <w:rPr>
          <w:rFonts w:ascii="宋体" w:hAnsi="宋体"/>
          <w:color w:val="auto"/>
          <w:spacing w:val="0"/>
          <w:sz w:val="24"/>
          <w:szCs w:val="24"/>
          <w:highlight w:val="none"/>
          <w:u w:val="single"/>
        </w:rPr>
        <w:tab/>
      </w:r>
      <w:r>
        <w:rPr>
          <w:rFonts w:ascii="宋体" w:hAnsi="宋体"/>
          <w:color w:val="auto"/>
          <w:spacing w:val="0"/>
          <w:sz w:val="24"/>
          <w:szCs w:val="24"/>
          <w:highlight w:val="none"/>
        </w:rPr>
        <w:t>（传真号码）或通过下载招标文件的电子招标交易平台上传。采用传真方式的，应在</w:t>
      </w:r>
      <w:r>
        <w:rPr>
          <w:rFonts w:ascii="宋体" w:hAnsi="宋体"/>
          <w:color w:val="auto"/>
          <w:spacing w:val="0"/>
          <w:sz w:val="24"/>
          <w:szCs w:val="24"/>
          <w:highlight w:val="none"/>
          <w:u w:val="single"/>
        </w:rPr>
        <w:t xml:space="preserve">  </w:t>
      </w:r>
      <w:r>
        <w:rPr>
          <w:rFonts w:ascii="宋体" w:hAnsi="宋体"/>
          <w:color w:val="auto"/>
          <w:spacing w:val="0"/>
          <w:sz w:val="24"/>
          <w:szCs w:val="24"/>
          <w:highlight w:val="none"/>
          <w:u w:val="single"/>
        </w:rPr>
        <w:tab/>
      </w:r>
      <w:r>
        <w:rPr>
          <w:rFonts w:ascii="宋体" w:hAnsi="宋体"/>
          <w:color w:val="auto"/>
          <w:spacing w:val="0"/>
          <w:sz w:val="24"/>
          <w:szCs w:val="24"/>
          <w:highlight w:val="none"/>
        </w:rPr>
        <w:t>年</w:t>
      </w:r>
      <w:r>
        <w:rPr>
          <w:rFonts w:ascii="宋体" w:hAnsi="宋体"/>
          <w:color w:val="auto"/>
          <w:spacing w:val="0"/>
          <w:sz w:val="24"/>
          <w:szCs w:val="24"/>
          <w:highlight w:val="none"/>
          <w:u w:val="single"/>
        </w:rPr>
        <w:t xml:space="preserve">  </w:t>
      </w:r>
      <w:r>
        <w:rPr>
          <w:rFonts w:ascii="宋体" w:hAnsi="宋体"/>
          <w:color w:val="auto"/>
          <w:spacing w:val="0"/>
          <w:sz w:val="24"/>
          <w:szCs w:val="24"/>
          <w:highlight w:val="none"/>
          <w:u w:val="single"/>
        </w:rPr>
        <w:tab/>
      </w:r>
      <w:r>
        <w:rPr>
          <w:rFonts w:ascii="宋体" w:hAnsi="宋体"/>
          <w:color w:val="auto"/>
          <w:spacing w:val="0"/>
          <w:sz w:val="24"/>
          <w:szCs w:val="24"/>
          <w:highlight w:val="none"/>
        </w:rPr>
        <w:t>月</w:t>
      </w:r>
      <w:r>
        <w:rPr>
          <w:rFonts w:ascii="宋体" w:hAnsi="宋体"/>
          <w:color w:val="auto"/>
          <w:spacing w:val="0"/>
          <w:sz w:val="24"/>
          <w:szCs w:val="24"/>
          <w:highlight w:val="none"/>
          <w:u w:val="single"/>
        </w:rPr>
        <w:t xml:space="preserve"> </w:t>
      </w:r>
      <w:r>
        <w:rPr>
          <w:rFonts w:ascii="宋体" w:hAnsi="宋体"/>
          <w:color w:val="auto"/>
          <w:spacing w:val="0"/>
          <w:sz w:val="24"/>
          <w:szCs w:val="24"/>
          <w:highlight w:val="none"/>
          <w:u w:val="single"/>
        </w:rPr>
        <w:tab/>
      </w:r>
      <w:r>
        <w:rPr>
          <w:rFonts w:ascii="宋体" w:hAnsi="宋体"/>
          <w:color w:val="auto"/>
          <w:spacing w:val="0"/>
          <w:sz w:val="24"/>
          <w:szCs w:val="24"/>
          <w:highlight w:val="none"/>
        </w:rPr>
        <w:t>日</w:t>
      </w:r>
      <w:r>
        <w:rPr>
          <w:rFonts w:ascii="宋体" w:hAnsi="宋体"/>
          <w:color w:val="auto"/>
          <w:spacing w:val="0"/>
          <w:sz w:val="24"/>
          <w:szCs w:val="24"/>
          <w:highlight w:val="none"/>
          <w:u w:val="single"/>
        </w:rPr>
        <w:t xml:space="preserve">  </w:t>
      </w:r>
      <w:r>
        <w:rPr>
          <w:rFonts w:ascii="宋体" w:hAnsi="宋体"/>
          <w:color w:val="auto"/>
          <w:spacing w:val="0"/>
          <w:sz w:val="24"/>
          <w:szCs w:val="24"/>
          <w:highlight w:val="none"/>
          <w:u w:val="single"/>
        </w:rPr>
        <w:tab/>
      </w:r>
      <w:r>
        <w:rPr>
          <w:rFonts w:ascii="宋体" w:hAnsi="宋体"/>
          <w:color w:val="auto"/>
          <w:spacing w:val="0"/>
          <w:sz w:val="24"/>
          <w:szCs w:val="24"/>
          <w:highlight w:val="none"/>
        </w:rPr>
        <w:t>时前将原件递交至</w:t>
      </w:r>
      <w:r>
        <w:rPr>
          <w:rFonts w:ascii="宋体" w:hAnsi="宋体"/>
          <w:color w:val="auto"/>
          <w:spacing w:val="0"/>
          <w:sz w:val="24"/>
          <w:szCs w:val="24"/>
          <w:highlight w:val="none"/>
          <w:u w:val="single"/>
        </w:rPr>
        <w:t xml:space="preserve"> </w:t>
      </w:r>
      <w:r>
        <w:rPr>
          <w:rFonts w:hint="eastAsia" w:ascii="宋体" w:hAnsi="宋体"/>
          <w:color w:val="auto"/>
          <w:spacing w:val="0"/>
          <w:sz w:val="24"/>
          <w:szCs w:val="24"/>
          <w:highlight w:val="none"/>
          <w:u w:val="single"/>
        </w:rPr>
        <w:t xml:space="preserve">     </w:t>
      </w:r>
      <w:r>
        <w:rPr>
          <w:rFonts w:ascii="宋体" w:hAnsi="宋体"/>
          <w:color w:val="auto"/>
          <w:spacing w:val="0"/>
          <w:sz w:val="24"/>
          <w:szCs w:val="24"/>
          <w:highlight w:val="none"/>
          <w:u w:val="single"/>
        </w:rPr>
        <w:t xml:space="preserve"> </w:t>
      </w:r>
      <w:r>
        <w:rPr>
          <w:rFonts w:ascii="宋体" w:hAnsi="宋体"/>
          <w:color w:val="auto"/>
          <w:spacing w:val="0"/>
          <w:sz w:val="24"/>
          <w:szCs w:val="24"/>
          <w:highlight w:val="none"/>
          <w:u w:val="single"/>
        </w:rPr>
        <w:tab/>
      </w:r>
      <w:r>
        <w:rPr>
          <w:rFonts w:ascii="宋体" w:hAnsi="宋体"/>
          <w:color w:val="auto"/>
          <w:spacing w:val="0"/>
          <w:sz w:val="24"/>
          <w:szCs w:val="24"/>
          <w:highlight w:val="none"/>
        </w:rPr>
        <w:t>（详细地址）。</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p>
    <w:p>
      <w:pPr>
        <w:keepNext w:val="0"/>
        <w:keepLines w:val="0"/>
        <w:pageBreakBefore w:val="0"/>
        <w:widowControl w:val="0"/>
        <w:kinsoku/>
        <w:overflowPunct/>
        <w:bidi w:val="0"/>
        <w:spacing w:line="400" w:lineRule="exact"/>
        <w:rPr>
          <w:rStyle w:val="63"/>
          <w:rFonts w:ascii="宋体" w:hAnsi="宋体"/>
          <w:color w:val="auto"/>
          <w:spacing w:val="0"/>
          <w:sz w:val="24"/>
          <w:szCs w:val="24"/>
          <w:highlight w:val="none"/>
        </w:rPr>
      </w:pPr>
    </w:p>
    <w:p>
      <w:pPr>
        <w:keepNext w:val="0"/>
        <w:keepLines w:val="0"/>
        <w:pageBreakBefore w:val="0"/>
        <w:widowControl w:val="0"/>
        <w:kinsoku/>
        <w:overflowPunct/>
        <w:bidi w:val="0"/>
        <w:spacing w:line="400" w:lineRule="exact"/>
        <w:rPr>
          <w:rStyle w:val="63"/>
          <w:rFonts w:ascii="宋体" w:hAnsi="宋体"/>
          <w:color w:val="auto"/>
          <w:spacing w:val="0"/>
          <w:sz w:val="24"/>
          <w:szCs w:val="24"/>
          <w:highlight w:val="none"/>
        </w:rPr>
      </w:pPr>
    </w:p>
    <w:p>
      <w:pPr>
        <w:keepNext w:val="0"/>
        <w:keepLines w:val="0"/>
        <w:pageBreakBefore w:val="0"/>
        <w:widowControl w:val="0"/>
        <w:kinsoku/>
        <w:overflowPunct/>
        <w:bidi w:val="0"/>
        <w:spacing w:line="400" w:lineRule="exact"/>
        <w:jc w:val="right"/>
        <w:rPr>
          <w:rStyle w:val="63"/>
          <w:rFonts w:ascii="宋体" w:hAnsi="宋体"/>
          <w:color w:val="auto"/>
          <w:spacing w:val="0"/>
          <w:sz w:val="24"/>
          <w:szCs w:val="24"/>
          <w:highlight w:val="none"/>
        </w:rPr>
      </w:pPr>
      <w:r>
        <w:rPr>
          <w:rStyle w:val="63"/>
          <w:rFonts w:ascii="宋体" w:hAnsi="宋体"/>
          <w:color w:val="auto"/>
          <w:spacing w:val="0"/>
          <w:sz w:val="24"/>
          <w:szCs w:val="24"/>
          <w:highlight w:val="none"/>
        </w:rPr>
        <w:t xml:space="preserve">评标委员会授权的招标人或招标代理机构：  </w:t>
      </w:r>
      <w:r>
        <w:rPr>
          <w:rStyle w:val="63"/>
          <w:rFonts w:ascii="宋体" w:hAnsi="宋体"/>
          <w:color w:val="auto"/>
          <w:spacing w:val="0"/>
          <w:sz w:val="24"/>
          <w:szCs w:val="24"/>
          <w:highlight w:val="none"/>
        </w:rPr>
        <w:tab/>
      </w:r>
      <w:r>
        <w:rPr>
          <w:rStyle w:val="63"/>
          <w:rFonts w:ascii="宋体" w:hAnsi="宋体"/>
          <w:color w:val="auto"/>
          <w:spacing w:val="0"/>
          <w:sz w:val="24"/>
          <w:szCs w:val="24"/>
          <w:highlight w:val="none"/>
        </w:rPr>
        <w:t>（签字或盖章）</w:t>
      </w:r>
    </w:p>
    <w:p>
      <w:pPr>
        <w:keepNext w:val="0"/>
        <w:keepLines w:val="0"/>
        <w:pageBreakBefore w:val="0"/>
        <w:widowControl w:val="0"/>
        <w:kinsoku/>
        <w:overflowPunct/>
        <w:bidi w:val="0"/>
        <w:spacing w:line="400" w:lineRule="exact"/>
        <w:jc w:val="right"/>
        <w:rPr>
          <w:rStyle w:val="63"/>
          <w:rFonts w:ascii="宋体" w:hAnsi="宋体"/>
          <w:color w:val="auto"/>
          <w:spacing w:val="0"/>
          <w:sz w:val="24"/>
          <w:szCs w:val="24"/>
          <w:highlight w:val="none"/>
        </w:rPr>
      </w:pPr>
    </w:p>
    <w:p>
      <w:pPr>
        <w:keepNext w:val="0"/>
        <w:keepLines w:val="0"/>
        <w:pageBreakBefore w:val="0"/>
        <w:widowControl w:val="0"/>
        <w:kinsoku/>
        <w:overflowPunct/>
        <w:bidi w:val="0"/>
        <w:spacing w:line="400" w:lineRule="exact"/>
        <w:jc w:val="right"/>
        <w:rPr>
          <w:rStyle w:val="63"/>
          <w:rFonts w:ascii="宋体" w:hAnsi="宋体"/>
          <w:color w:val="auto"/>
          <w:spacing w:val="0"/>
          <w:sz w:val="24"/>
          <w:szCs w:val="24"/>
          <w:highlight w:val="none"/>
        </w:rPr>
      </w:pPr>
    </w:p>
    <w:p>
      <w:pPr>
        <w:keepNext w:val="0"/>
        <w:keepLines w:val="0"/>
        <w:pageBreakBefore w:val="0"/>
        <w:widowControl w:val="0"/>
        <w:kinsoku/>
        <w:overflowPunct/>
        <w:bidi w:val="0"/>
        <w:spacing w:line="400" w:lineRule="exact"/>
        <w:jc w:val="center"/>
        <w:outlineLvl w:val="1"/>
        <w:rPr>
          <w:rStyle w:val="63"/>
          <w:rFonts w:ascii="宋体" w:hAnsi="宋体"/>
          <w:color w:val="auto"/>
          <w:spacing w:val="0"/>
          <w:sz w:val="24"/>
          <w:szCs w:val="24"/>
          <w:highlight w:val="none"/>
        </w:rPr>
      </w:pPr>
      <w:r>
        <w:rPr>
          <w:rStyle w:val="63"/>
          <w:rFonts w:ascii="宋体" w:hAnsi="宋体"/>
          <w:color w:val="auto"/>
          <w:spacing w:val="0"/>
          <w:sz w:val="24"/>
          <w:szCs w:val="24"/>
          <w:highlight w:val="none"/>
        </w:rPr>
        <w:t xml:space="preserve">                                             </w:t>
      </w:r>
      <w:r>
        <w:rPr>
          <w:rStyle w:val="63"/>
          <w:rFonts w:ascii="宋体" w:hAnsi="宋体"/>
          <w:color w:val="auto"/>
          <w:spacing w:val="0"/>
          <w:sz w:val="24"/>
          <w:szCs w:val="24"/>
          <w:highlight w:val="none"/>
        </w:rPr>
        <w:tab/>
      </w:r>
      <w:bookmarkStart w:id="266" w:name="_Toc19749"/>
      <w:bookmarkStart w:id="267" w:name="_Toc26112"/>
      <w:bookmarkStart w:id="268" w:name="_Toc17459"/>
      <w:bookmarkStart w:id="269" w:name="_Toc22304"/>
      <w:r>
        <w:rPr>
          <w:rStyle w:val="63"/>
          <w:rFonts w:ascii="宋体" w:hAnsi="宋体"/>
          <w:color w:val="auto"/>
          <w:spacing w:val="0"/>
          <w:sz w:val="24"/>
          <w:szCs w:val="24"/>
          <w:highlight w:val="none"/>
        </w:rPr>
        <w:t xml:space="preserve">年  </w:t>
      </w:r>
      <w:r>
        <w:rPr>
          <w:rStyle w:val="63"/>
          <w:rFonts w:ascii="宋体" w:hAnsi="宋体"/>
          <w:color w:val="auto"/>
          <w:spacing w:val="0"/>
          <w:sz w:val="24"/>
          <w:szCs w:val="24"/>
          <w:highlight w:val="none"/>
        </w:rPr>
        <w:tab/>
      </w:r>
      <w:r>
        <w:rPr>
          <w:rStyle w:val="63"/>
          <w:rFonts w:ascii="宋体" w:hAnsi="宋体"/>
          <w:color w:val="auto"/>
          <w:spacing w:val="0"/>
          <w:sz w:val="24"/>
          <w:szCs w:val="24"/>
          <w:highlight w:val="none"/>
        </w:rPr>
        <w:t>月     日</w:t>
      </w:r>
      <w:bookmarkEnd w:id="266"/>
      <w:bookmarkEnd w:id="267"/>
      <w:bookmarkEnd w:id="268"/>
      <w:bookmarkEnd w:id="269"/>
    </w:p>
    <w:p>
      <w:pPr>
        <w:pStyle w:val="4"/>
        <w:keepNext w:val="0"/>
        <w:keepLines w:val="0"/>
        <w:pageBreakBefore w:val="0"/>
        <w:widowControl w:val="0"/>
        <w:kinsoku/>
        <w:overflowPunct/>
        <w:bidi w:val="0"/>
        <w:outlineLvl w:val="9"/>
        <w:rPr>
          <w:color w:val="auto"/>
          <w:spacing w:val="0"/>
        </w:rPr>
      </w:pPr>
    </w:p>
    <w:p>
      <w:pPr>
        <w:pStyle w:val="2"/>
        <w:ind w:left="0" w:leftChars="0" w:firstLine="0" w:firstLineChars="0"/>
        <w:rPr>
          <w:color w:val="auto"/>
        </w:rPr>
      </w:pPr>
      <w:r>
        <w:rPr>
          <w:rFonts w:hint="eastAsia" w:hAnsi="宋体"/>
          <w:color w:val="auto"/>
          <w:sz w:val="21"/>
          <w:szCs w:val="21"/>
        </w:rPr>
        <w:t>（注：或按广州交易集团有限公司（广州公共资源交易中心）</w:t>
      </w:r>
      <w:r>
        <w:rPr>
          <w:rFonts w:hint="eastAsia" w:hAnsi="宋体"/>
          <w:color w:val="auto"/>
          <w:sz w:val="21"/>
          <w:szCs w:val="21"/>
          <w:lang w:eastAsia="zh-CN"/>
        </w:rPr>
        <w:t>交易平台</w:t>
      </w:r>
      <w:r>
        <w:rPr>
          <w:rFonts w:hint="eastAsia" w:hAnsi="宋体"/>
          <w:color w:val="auto"/>
          <w:sz w:val="21"/>
          <w:szCs w:val="21"/>
        </w:rPr>
        <w:t>格式）</w:t>
      </w:r>
    </w:p>
    <w:p>
      <w:pPr>
        <w:pStyle w:val="4"/>
        <w:keepNext w:val="0"/>
        <w:keepLines w:val="0"/>
        <w:pageBreakBefore w:val="0"/>
        <w:widowControl w:val="0"/>
        <w:kinsoku/>
        <w:overflowPunct/>
        <w:bidi w:val="0"/>
        <w:outlineLvl w:val="9"/>
        <w:rPr>
          <w:color w:val="auto"/>
          <w:spacing w:val="0"/>
        </w:rPr>
      </w:pPr>
      <w:r>
        <w:rPr>
          <w:color w:val="auto"/>
          <w:spacing w:val="0"/>
        </w:rPr>
        <w:br w:type="page"/>
      </w:r>
    </w:p>
    <w:p>
      <w:pPr>
        <w:pStyle w:val="93"/>
        <w:keepNext w:val="0"/>
        <w:keepLines w:val="0"/>
        <w:pageBreakBefore w:val="0"/>
        <w:widowControl w:val="0"/>
        <w:kinsoku/>
        <w:overflowPunct/>
        <w:bidi w:val="0"/>
        <w:spacing w:before="120" w:after="120" w:line="360" w:lineRule="auto"/>
        <w:ind w:firstLineChars="0"/>
        <w:outlineLvl w:val="1"/>
        <w:rPr>
          <w:rStyle w:val="63"/>
          <w:rFonts w:ascii="宋体" w:hAnsi="宋体" w:eastAsia="宋体" w:cs="Times New Roman"/>
          <w:color w:val="auto"/>
          <w:spacing w:val="0"/>
          <w:sz w:val="28"/>
          <w:szCs w:val="20"/>
          <w:highlight w:val="none"/>
        </w:rPr>
      </w:pPr>
      <w:bookmarkStart w:id="270" w:name="_Toc7265"/>
      <w:bookmarkStart w:id="271" w:name="_Toc32648"/>
      <w:bookmarkStart w:id="272" w:name="_Toc2211"/>
      <w:bookmarkStart w:id="273" w:name="_Toc2167"/>
      <w:r>
        <w:rPr>
          <w:rStyle w:val="63"/>
          <w:rFonts w:ascii="宋体" w:hAnsi="宋体" w:eastAsia="宋体" w:cs="Times New Roman"/>
          <w:color w:val="auto"/>
          <w:spacing w:val="0"/>
          <w:sz w:val="28"/>
          <w:szCs w:val="20"/>
          <w:highlight w:val="none"/>
        </w:rPr>
        <w:t>附件三：</w:t>
      </w:r>
      <w:r>
        <w:rPr>
          <w:rStyle w:val="63"/>
          <w:rFonts w:hint="eastAsia" w:ascii="宋体" w:hAnsi="宋体" w:eastAsia="宋体" w:cs="Times New Roman"/>
          <w:color w:val="auto"/>
          <w:spacing w:val="0"/>
          <w:sz w:val="28"/>
          <w:szCs w:val="20"/>
          <w:highlight w:val="none"/>
        </w:rPr>
        <w:t>问题的澄清</w:t>
      </w:r>
      <w:bookmarkEnd w:id="270"/>
      <w:bookmarkEnd w:id="271"/>
      <w:bookmarkEnd w:id="272"/>
      <w:bookmarkEnd w:id="273"/>
    </w:p>
    <w:p>
      <w:pPr>
        <w:keepNext w:val="0"/>
        <w:keepLines w:val="0"/>
        <w:pageBreakBefore w:val="0"/>
        <w:widowControl w:val="0"/>
        <w:kinsoku/>
        <w:overflowPunct/>
        <w:bidi w:val="0"/>
        <w:spacing w:line="440" w:lineRule="exact"/>
        <w:jc w:val="center"/>
        <w:rPr>
          <w:rFonts w:ascii="宋体" w:hAnsi="宋体"/>
          <w:color w:val="auto"/>
          <w:spacing w:val="0"/>
          <w:sz w:val="32"/>
          <w:szCs w:val="32"/>
          <w:highlight w:val="none"/>
        </w:rPr>
      </w:pPr>
      <w:r>
        <w:rPr>
          <w:rFonts w:ascii="宋体" w:hAnsi="宋体"/>
          <w:color w:val="auto"/>
          <w:spacing w:val="0"/>
          <w:sz w:val="32"/>
          <w:szCs w:val="32"/>
          <w:highlight w:val="none"/>
        </w:rPr>
        <w:t>问题的澄清</w:t>
      </w:r>
    </w:p>
    <w:p>
      <w:pPr>
        <w:keepNext w:val="0"/>
        <w:keepLines w:val="0"/>
        <w:pageBreakBefore w:val="0"/>
        <w:widowControl w:val="0"/>
        <w:kinsoku/>
        <w:overflowPunct/>
        <w:bidi w:val="0"/>
        <w:spacing w:line="440" w:lineRule="exact"/>
        <w:jc w:val="center"/>
        <w:rPr>
          <w:rStyle w:val="63"/>
          <w:rFonts w:ascii="宋体" w:hAnsi="宋体"/>
          <w:color w:val="auto"/>
          <w:spacing w:val="0"/>
          <w:sz w:val="24"/>
          <w:szCs w:val="24"/>
          <w:highlight w:val="none"/>
        </w:rPr>
      </w:pPr>
      <w:r>
        <w:rPr>
          <w:rFonts w:ascii="宋体" w:hAnsi="宋体"/>
          <w:color w:val="auto"/>
          <w:spacing w:val="0"/>
          <w:sz w:val="32"/>
          <w:szCs w:val="32"/>
          <w:highlight w:val="none"/>
        </w:rPr>
        <w:t>（编号：</w:t>
      </w:r>
      <w:r>
        <w:rPr>
          <w:rFonts w:ascii="宋体" w:hAnsi="宋体"/>
          <w:color w:val="auto"/>
          <w:spacing w:val="0"/>
          <w:sz w:val="32"/>
          <w:szCs w:val="32"/>
          <w:highlight w:val="none"/>
          <w:u w:val="single"/>
        </w:rPr>
        <w:t xml:space="preserve"> </w:t>
      </w:r>
      <w:r>
        <w:rPr>
          <w:rFonts w:hint="eastAsia" w:ascii="宋体" w:hAnsi="宋体"/>
          <w:color w:val="auto"/>
          <w:spacing w:val="0"/>
          <w:sz w:val="32"/>
          <w:szCs w:val="32"/>
          <w:highlight w:val="none"/>
          <w:u w:val="single"/>
        </w:rPr>
        <w:t xml:space="preserve">    </w:t>
      </w:r>
      <w:r>
        <w:rPr>
          <w:rFonts w:ascii="宋体" w:hAnsi="宋体"/>
          <w:color w:val="auto"/>
          <w:spacing w:val="0"/>
          <w:sz w:val="32"/>
          <w:szCs w:val="32"/>
          <w:highlight w:val="none"/>
          <w:u w:val="single"/>
        </w:rPr>
        <w:t xml:space="preserve"> </w:t>
      </w:r>
      <w:r>
        <w:rPr>
          <w:rFonts w:ascii="宋体" w:hAnsi="宋体"/>
          <w:color w:val="auto"/>
          <w:spacing w:val="0"/>
          <w:sz w:val="32"/>
          <w:szCs w:val="32"/>
          <w:highlight w:val="none"/>
          <w:u w:val="single"/>
        </w:rPr>
        <w:tab/>
      </w:r>
      <w:r>
        <w:rPr>
          <w:rFonts w:ascii="宋体" w:hAnsi="宋体"/>
          <w:color w:val="auto"/>
          <w:spacing w:val="0"/>
          <w:sz w:val="32"/>
          <w:szCs w:val="32"/>
          <w:highlight w:val="none"/>
        </w:rPr>
        <w:t>）</w:t>
      </w:r>
    </w:p>
    <w:p>
      <w:pPr>
        <w:keepNext w:val="0"/>
        <w:keepLines w:val="0"/>
        <w:pageBreakBefore w:val="0"/>
        <w:widowControl w:val="0"/>
        <w:kinsoku/>
        <w:overflowPunct/>
        <w:bidi w:val="0"/>
        <w:spacing w:line="440" w:lineRule="exact"/>
        <w:rPr>
          <w:rStyle w:val="63"/>
          <w:rFonts w:ascii="宋体" w:hAnsi="宋体"/>
          <w:color w:val="auto"/>
          <w:spacing w:val="0"/>
          <w:sz w:val="24"/>
          <w:szCs w:val="24"/>
          <w:highlight w:val="none"/>
        </w:rPr>
      </w:pPr>
    </w:p>
    <w:p>
      <w:pPr>
        <w:keepNext w:val="0"/>
        <w:keepLines w:val="0"/>
        <w:pageBreakBefore w:val="0"/>
        <w:widowControl w:val="0"/>
        <w:kinsoku/>
        <w:overflowPunct/>
        <w:bidi w:val="0"/>
        <w:spacing w:line="440" w:lineRule="exact"/>
        <w:rPr>
          <w:rStyle w:val="63"/>
          <w:rFonts w:ascii="宋体" w:hAnsi="宋体"/>
          <w:color w:val="auto"/>
          <w:spacing w:val="0"/>
          <w:sz w:val="24"/>
          <w:szCs w:val="24"/>
          <w:highlight w:val="none"/>
        </w:rPr>
      </w:pPr>
      <w:r>
        <w:rPr>
          <w:rStyle w:val="63"/>
          <w:rFonts w:hint="eastAsia" w:ascii="宋体" w:hAnsi="宋体"/>
          <w:color w:val="auto"/>
          <w:spacing w:val="0"/>
          <w:sz w:val="24"/>
          <w:szCs w:val="24"/>
          <w:highlight w:val="none"/>
          <w:u w:val="single"/>
        </w:rPr>
        <w:t>评标委员会：</w:t>
      </w:r>
    </w:p>
    <w:p>
      <w:pPr>
        <w:keepNext w:val="0"/>
        <w:keepLines w:val="0"/>
        <w:pageBreakBefore w:val="0"/>
        <w:widowControl w:val="0"/>
        <w:kinsoku/>
        <w:overflowPunct/>
        <w:bidi w:val="0"/>
        <w:spacing w:line="440" w:lineRule="exact"/>
        <w:rPr>
          <w:rStyle w:val="63"/>
          <w:rFonts w:ascii="宋体" w:hAnsi="宋体"/>
          <w:color w:val="auto"/>
          <w:spacing w:val="0"/>
          <w:sz w:val="24"/>
          <w:szCs w:val="24"/>
          <w:highlight w:val="none"/>
        </w:rPr>
      </w:pPr>
      <w:r>
        <w:rPr>
          <w:rStyle w:val="63"/>
          <w:rFonts w:ascii="宋体" w:hAnsi="宋体"/>
          <w:color w:val="auto"/>
          <w:spacing w:val="0"/>
          <w:sz w:val="24"/>
          <w:szCs w:val="24"/>
          <w:highlight w:val="none"/>
        </w:rPr>
        <w:t>　　</w:t>
      </w:r>
      <w:r>
        <w:rPr>
          <w:rFonts w:ascii="宋体" w:hAnsi="宋体"/>
          <w:color w:val="auto"/>
          <w:spacing w:val="0"/>
          <w:sz w:val="24"/>
          <w:szCs w:val="24"/>
          <w:highlight w:val="none"/>
        </w:rPr>
        <w:t>问题澄清通知（编号：</w:t>
      </w:r>
      <w:r>
        <w:rPr>
          <w:rFonts w:ascii="宋体" w:hAnsi="宋体"/>
          <w:color w:val="auto"/>
          <w:spacing w:val="0"/>
          <w:sz w:val="24"/>
          <w:szCs w:val="24"/>
          <w:highlight w:val="none"/>
          <w:u w:val="single"/>
        </w:rPr>
        <w:t xml:space="preserve"> </w:t>
      </w:r>
      <w:r>
        <w:rPr>
          <w:rFonts w:hint="eastAsia" w:ascii="宋体" w:hAnsi="宋体"/>
          <w:color w:val="auto"/>
          <w:spacing w:val="0"/>
          <w:sz w:val="24"/>
          <w:szCs w:val="24"/>
          <w:highlight w:val="none"/>
          <w:u w:val="single"/>
        </w:rPr>
        <w:t xml:space="preserve">  </w:t>
      </w:r>
      <w:r>
        <w:rPr>
          <w:rFonts w:ascii="宋体" w:hAnsi="宋体"/>
          <w:color w:val="auto"/>
          <w:spacing w:val="0"/>
          <w:sz w:val="24"/>
          <w:szCs w:val="24"/>
          <w:highlight w:val="none"/>
          <w:u w:val="single"/>
        </w:rPr>
        <w:t xml:space="preserve"> </w:t>
      </w:r>
      <w:r>
        <w:rPr>
          <w:rFonts w:ascii="宋体" w:hAnsi="宋体"/>
          <w:color w:val="auto"/>
          <w:spacing w:val="0"/>
          <w:sz w:val="24"/>
          <w:szCs w:val="24"/>
          <w:highlight w:val="none"/>
          <w:u w:val="single"/>
        </w:rPr>
        <w:tab/>
      </w:r>
      <w:r>
        <w:rPr>
          <w:rFonts w:ascii="宋体" w:hAnsi="宋体"/>
          <w:color w:val="auto"/>
          <w:spacing w:val="0"/>
          <w:sz w:val="24"/>
          <w:szCs w:val="24"/>
          <w:highlight w:val="none"/>
        </w:rPr>
        <w:t>）已收悉，现澄清、说明或补正如下：</w:t>
      </w:r>
    </w:p>
    <w:p>
      <w:pPr>
        <w:keepNext w:val="0"/>
        <w:keepLines w:val="0"/>
        <w:pageBreakBefore w:val="0"/>
        <w:widowControl w:val="0"/>
        <w:kinsoku/>
        <w:overflowPunct/>
        <w:bidi w:val="0"/>
        <w:spacing w:line="440" w:lineRule="exact"/>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w:t>
      </w:r>
    </w:p>
    <w:p>
      <w:pPr>
        <w:keepNext w:val="0"/>
        <w:keepLines w:val="0"/>
        <w:pageBreakBefore w:val="0"/>
        <w:widowControl w:val="0"/>
        <w:kinsoku/>
        <w:overflowPunct/>
        <w:bidi w:val="0"/>
        <w:spacing w:line="440" w:lineRule="exact"/>
        <w:rPr>
          <w:rStyle w:val="63"/>
          <w:rFonts w:hint="eastAsia" w:ascii="宋体" w:hAnsi="宋体"/>
          <w:color w:val="auto"/>
          <w:spacing w:val="0"/>
          <w:sz w:val="24"/>
          <w:szCs w:val="24"/>
          <w:highlight w:val="none"/>
        </w:rPr>
      </w:pPr>
      <w:r>
        <w:rPr>
          <w:rStyle w:val="63"/>
          <w:rFonts w:ascii="宋体" w:hAnsi="宋体"/>
          <w:color w:val="auto"/>
          <w:spacing w:val="0"/>
          <w:sz w:val="24"/>
          <w:szCs w:val="24"/>
          <w:highlight w:val="none"/>
        </w:rPr>
        <w:t>2.</w:t>
      </w:r>
    </w:p>
    <w:p>
      <w:pPr>
        <w:pStyle w:val="17"/>
        <w:keepNext w:val="0"/>
        <w:keepLines w:val="0"/>
        <w:pageBreakBefore w:val="0"/>
        <w:widowControl w:val="0"/>
        <w:kinsoku/>
        <w:overflowPunct/>
        <w:bidi w:val="0"/>
        <w:rPr>
          <w:rFonts w:hint="eastAsia" w:hAnsi="宋体"/>
          <w:color w:val="auto"/>
          <w:spacing w:val="0"/>
          <w:highlight w:val="none"/>
        </w:rPr>
      </w:pPr>
      <w:r>
        <w:rPr>
          <w:rFonts w:hAnsi="宋体"/>
          <w:color w:val="auto"/>
          <w:spacing w:val="0"/>
          <w:highlight w:val="none"/>
        </w:rPr>
        <w:t>……</w:t>
      </w:r>
    </w:p>
    <w:p>
      <w:pPr>
        <w:pStyle w:val="17"/>
        <w:keepNext w:val="0"/>
        <w:keepLines w:val="0"/>
        <w:pageBreakBefore w:val="0"/>
        <w:widowControl w:val="0"/>
        <w:kinsoku/>
        <w:overflowPunct/>
        <w:bidi w:val="0"/>
        <w:rPr>
          <w:rFonts w:hint="eastAsia" w:hAnsi="宋体"/>
          <w:color w:val="auto"/>
          <w:spacing w:val="0"/>
          <w:highlight w:val="none"/>
        </w:rPr>
      </w:pPr>
    </w:p>
    <w:p>
      <w:pPr>
        <w:pStyle w:val="17"/>
        <w:keepNext w:val="0"/>
        <w:keepLines w:val="0"/>
        <w:pageBreakBefore w:val="0"/>
        <w:widowControl w:val="0"/>
        <w:kinsoku/>
        <w:overflowPunct/>
        <w:bidi w:val="0"/>
        <w:rPr>
          <w:rFonts w:hint="eastAsia" w:hAnsi="宋体"/>
          <w:color w:val="auto"/>
          <w:spacing w:val="0"/>
          <w:highlight w:val="none"/>
        </w:rPr>
      </w:pPr>
    </w:p>
    <w:p>
      <w:pPr>
        <w:pStyle w:val="17"/>
        <w:keepNext w:val="0"/>
        <w:keepLines w:val="0"/>
        <w:pageBreakBefore w:val="0"/>
        <w:widowControl w:val="0"/>
        <w:kinsoku/>
        <w:overflowPunct/>
        <w:bidi w:val="0"/>
        <w:rPr>
          <w:rFonts w:hint="eastAsia" w:hAnsi="宋体"/>
          <w:color w:val="auto"/>
          <w:spacing w:val="0"/>
          <w:highlight w:val="none"/>
        </w:rPr>
      </w:pPr>
    </w:p>
    <w:p>
      <w:pPr>
        <w:pStyle w:val="17"/>
        <w:keepNext w:val="0"/>
        <w:keepLines w:val="0"/>
        <w:pageBreakBefore w:val="0"/>
        <w:widowControl w:val="0"/>
        <w:kinsoku/>
        <w:overflowPunct/>
        <w:bidi w:val="0"/>
        <w:rPr>
          <w:rFonts w:hint="eastAsia" w:hAnsi="宋体"/>
          <w:color w:val="auto"/>
          <w:spacing w:val="0"/>
          <w:highlight w:val="none"/>
        </w:rPr>
      </w:pPr>
    </w:p>
    <w:p>
      <w:pPr>
        <w:pStyle w:val="17"/>
        <w:keepNext w:val="0"/>
        <w:keepLines w:val="0"/>
        <w:pageBreakBefore w:val="0"/>
        <w:widowControl w:val="0"/>
        <w:kinsoku/>
        <w:overflowPunct/>
        <w:bidi w:val="0"/>
        <w:rPr>
          <w:rFonts w:hint="eastAsia" w:hAnsi="宋体"/>
          <w:color w:val="auto"/>
          <w:spacing w:val="0"/>
          <w:highlight w:val="none"/>
        </w:rPr>
      </w:pPr>
      <w:r>
        <w:rPr>
          <w:rFonts w:hint="eastAsia" w:hAnsi="宋体"/>
          <w:color w:val="auto"/>
          <w:spacing w:val="0"/>
          <w:highlight w:val="none"/>
        </w:rPr>
        <w:t>上述问题澄清、说明或补正，不改变我方投标文件的实质性内容，构成我方投标文件的组成部分。</w:t>
      </w:r>
    </w:p>
    <w:p>
      <w:pPr>
        <w:pStyle w:val="17"/>
        <w:keepNext w:val="0"/>
        <w:keepLines w:val="0"/>
        <w:pageBreakBefore w:val="0"/>
        <w:widowControl w:val="0"/>
        <w:kinsoku/>
        <w:overflowPunct/>
        <w:bidi w:val="0"/>
        <w:rPr>
          <w:rFonts w:hint="eastAsia" w:hAnsi="宋体"/>
          <w:color w:val="auto"/>
          <w:spacing w:val="0"/>
          <w:highlight w:val="none"/>
        </w:rPr>
      </w:pPr>
    </w:p>
    <w:p>
      <w:pPr>
        <w:pStyle w:val="17"/>
        <w:keepNext w:val="0"/>
        <w:keepLines w:val="0"/>
        <w:pageBreakBefore w:val="0"/>
        <w:widowControl w:val="0"/>
        <w:kinsoku/>
        <w:overflowPunct/>
        <w:bidi w:val="0"/>
        <w:rPr>
          <w:rFonts w:hint="eastAsia" w:hAnsi="宋体"/>
          <w:color w:val="auto"/>
          <w:spacing w:val="0"/>
          <w:highlight w:val="none"/>
        </w:rPr>
      </w:pPr>
    </w:p>
    <w:p>
      <w:pPr>
        <w:pStyle w:val="17"/>
        <w:keepNext w:val="0"/>
        <w:keepLines w:val="0"/>
        <w:pageBreakBefore w:val="0"/>
        <w:widowControl w:val="0"/>
        <w:kinsoku/>
        <w:overflowPunct/>
        <w:bidi w:val="0"/>
        <w:rPr>
          <w:rFonts w:hint="eastAsia" w:hAnsi="宋体"/>
          <w:color w:val="auto"/>
          <w:spacing w:val="0"/>
          <w:highlight w:val="none"/>
        </w:rPr>
      </w:pPr>
    </w:p>
    <w:p>
      <w:pPr>
        <w:pStyle w:val="17"/>
        <w:keepNext w:val="0"/>
        <w:keepLines w:val="0"/>
        <w:pageBreakBefore w:val="0"/>
        <w:widowControl w:val="0"/>
        <w:kinsoku/>
        <w:overflowPunct/>
        <w:bidi w:val="0"/>
        <w:rPr>
          <w:rFonts w:hint="eastAsia" w:hAnsi="宋体"/>
          <w:color w:val="auto"/>
          <w:spacing w:val="0"/>
          <w:highlight w:val="none"/>
        </w:rPr>
      </w:pPr>
    </w:p>
    <w:p>
      <w:pPr>
        <w:pStyle w:val="17"/>
        <w:keepNext w:val="0"/>
        <w:keepLines w:val="0"/>
        <w:pageBreakBefore w:val="0"/>
        <w:widowControl w:val="0"/>
        <w:kinsoku/>
        <w:overflowPunct/>
        <w:bidi w:val="0"/>
        <w:rPr>
          <w:rFonts w:hint="eastAsia" w:hAnsi="宋体"/>
          <w:color w:val="auto"/>
          <w:spacing w:val="0"/>
          <w:highlight w:val="none"/>
        </w:rPr>
      </w:pPr>
    </w:p>
    <w:p>
      <w:pPr>
        <w:pStyle w:val="17"/>
        <w:keepNext w:val="0"/>
        <w:keepLines w:val="0"/>
        <w:pageBreakBefore w:val="0"/>
        <w:widowControl w:val="0"/>
        <w:kinsoku/>
        <w:overflowPunct/>
        <w:bidi w:val="0"/>
        <w:rPr>
          <w:rFonts w:hint="eastAsia" w:hAnsi="宋体"/>
          <w:color w:val="auto"/>
          <w:spacing w:val="0"/>
          <w:highlight w:val="none"/>
        </w:rPr>
      </w:pPr>
    </w:p>
    <w:p>
      <w:pPr>
        <w:pStyle w:val="17"/>
        <w:keepNext w:val="0"/>
        <w:keepLines w:val="0"/>
        <w:pageBreakBefore w:val="0"/>
        <w:widowControl w:val="0"/>
        <w:kinsoku/>
        <w:overflowPunct/>
        <w:bidi w:val="0"/>
        <w:rPr>
          <w:rFonts w:hint="eastAsia" w:hAnsi="宋体"/>
          <w:color w:val="auto"/>
          <w:spacing w:val="0"/>
          <w:highlight w:val="none"/>
        </w:rPr>
      </w:pPr>
    </w:p>
    <w:p>
      <w:pPr>
        <w:pStyle w:val="17"/>
        <w:keepNext w:val="0"/>
        <w:keepLines w:val="0"/>
        <w:pageBreakBefore w:val="0"/>
        <w:widowControl w:val="0"/>
        <w:kinsoku/>
        <w:overflowPunct/>
        <w:bidi w:val="0"/>
        <w:rPr>
          <w:rFonts w:hAnsi="宋体"/>
          <w:color w:val="auto"/>
          <w:spacing w:val="0"/>
          <w:highlight w:val="none"/>
        </w:rPr>
      </w:pPr>
    </w:p>
    <w:p>
      <w:pPr>
        <w:keepNext w:val="0"/>
        <w:keepLines w:val="0"/>
        <w:pageBreakBefore w:val="0"/>
        <w:widowControl w:val="0"/>
        <w:kinsoku/>
        <w:overflowPunct/>
        <w:bidi w:val="0"/>
        <w:spacing w:line="480" w:lineRule="auto"/>
        <w:ind w:firstLine="2760" w:firstLineChars="1150"/>
        <w:jc w:val="left"/>
        <w:rPr>
          <w:rStyle w:val="63"/>
          <w:rFonts w:ascii="宋体" w:hAnsi="宋体"/>
          <w:color w:val="auto"/>
          <w:spacing w:val="0"/>
          <w:sz w:val="24"/>
          <w:szCs w:val="24"/>
          <w:highlight w:val="none"/>
        </w:rPr>
      </w:pPr>
      <w:r>
        <w:rPr>
          <w:rStyle w:val="63"/>
          <w:rFonts w:ascii="宋体" w:hAnsi="宋体"/>
          <w:color w:val="auto"/>
          <w:spacing w:val="0"/>
          <w:sz w:val="24"/>
          <w:szCs w:val="24"/>
          <w:highlight w:val="none"/>
        </w:rPr>
        <w:t>投标人：</w:t>
      </w:r>
      <w:r>
        <w:rPr>
          <w:rStyle w:val="63"/>
          <w:rFonts w:ascii="宋体" w:hAnsi="宋体"/>
          <w:color w:val="auto"/>
          <w:spacing w:val="0"/>
          <w:sz w:val="24"/>
          <w:szCs w:val="24"/>
          <w:highlight w:val="none"/>
          <w:u w:val="single"/>
        </w:rPr>
        <w:t xml:space="preserve">                           </w:t>
      </w:r>
      <w:r>
        <w:rPr>
          <w:rStyle w:val="63"/>
          <w:rFonts w:ascii="宋体" w:hAnsi="宋体"/>
          <w:color w:val="auto"/>
          <w:spacing w:val="0"/>
          <w:sz w:val="24"/>
          <w:szCs w:val="24"/>
          <w:highlight w:val="none"/>
        </w:rPr>
        <w:t>（盖单位章）</w:t>
      </w:r>
    </w:p>
    <w:p>
      <w:pPr>
        <w:keepNext w:val="0"/>
        <w:keepLines w:val="0"/>
        <w:pageBreakBefore w:val="0"/>
        <w:widowControl w:val="0"/>
        <w:kinsoku/>
        <w:overflowPunct/>
        <w:bidi w:val="0"/>
        <w:spacing w:line="480" w:lineRule="auto"/>
        <w:ind w:firstLine="2760" w:firstLineChars="1150"/>
        <w:jc w:val="left"/>
        <w:rPr>
          <w:rStyle w:val="63"/>
          <w:rFonts w:ascii="宋体" w:hAnsi="宋体"/>
          <w:color w:val="auto"/>
          <w:spacing w:val="0"/>
          <w:sz w:val="24"/>
          <w:szCs w:val="24"/>
          <w:highlight w:val="none"/>
        </w:rPr>
      </w:pPr>
      <w:r>
        <w:rPr>
          <w:rStyle w:val="63"/>
          <w:rFonts w:ascii="宋体" w:hAnsi="宋体"/>
          <w:color w:val="auto"/>
          <w:spacing w:val="0"/>
          <w:sz w:val="24"/>
          <w:szCs w:val="24"/>
          <w:highlight w:val="none"/>
        </w:rPr>
        <w:t>法定代表人或委托代理人：</w:t>
      </w:r>
      <w:r>
        <w:rPr>
          <w:rStyle w:val="63"/>
          <w:rFonts w:ascii="宋体" w:hAnsi="宋体"/>
          <w:color w:val="auto"/>
          <w:spacing w:val="0"/>
          <w:sz w:val="24"/>
          <w:szCs w:val="24"/>
          <w:highlight w:val="none"/>
          <w:u w:val="single"/>
        </w:rPr>
        <w:t xml:space="preserve">      </w:t>
      </w:r>
      <w:r>
        <w:rPr>
          <w:rStyle w:val="63"/>
          <w:rFonts w:ascii="宋体" w:hAnsi="宋体"/>
          <w:color w:val="auto"/>
          <w:spacing w:val="0"/>
          <w:sz w:val="24"/>
          <w:szCs w:val="24"/>
          <w:highlight w:val="none"/>
        </w:rPr>
        <w:t>（签字）</w:t>
      </w:r>
    </w:p>
    <w:p>
      <w:pPr>
        <w:keepNext w:val="0"/>
        <w:keepLines w:val="0"/>
        <w:pageBreakBefore w:val="0"/>
        <w:widowControl w:val="0"/>
        <w:kinsoku/>
        <w:overflowPunct/>
        <w:bidi w:val="0"/>
        <w:spacing w:line="440" w:lineRule="exact"/>
        <w:rPr>
          <w:rStyle w:val="63"/>
          <w:rFonts w:ascii="宋体" w:hAnsi="宋体"/>
          <w:color w:val="auto"/>
          <w:spacing w:val="0"/>
          <w:sz w:val="24"/>
          <w:szCs w:val="24"/>
          <w:highlight w:val="none"/>
        </w:rPr>
      </w:pPr>
    </w:p>
    <w:p>
      <w:pPr>
        <w:keepNext w:val="0"/>
        <w:keepLines w:val="0"/>
        <w:pageBreakBefore w:val="0"/>
        <w:widowControl w:val="0"/>
        <w:kinsoku/>
        <w:overflowPunct/>
        <w:bidi w:val="0"/>
        <w:jc w:val="center"/>
        <w:rPr>
          <w:rStyle w:val="63"/>
          <w:rFonts w:ascii="宋体" w:hAnsi="宋体"/>
          <w:color w:val="auto"/>
          <w:spacing w:val="0"/>
          <w:sz w:val="24"/>
          <w:szCs w:val="24"/>
          <w:highlight w:val="none"/>
        </w:rPr>
      </w:pPr>
      <w:r>
        <w:rPr>
          <w:rStyle w:val="63"/>
          <w:rFonts w:ascii="宋体" w:hAnsi="宋体"/>
          <w:color w:val="auto"/>
          <w:spacing w:val="0"/>
          <w:sz w:val="24"/>
          <w:szCs w:val="24"/>
          <w:highlight w:val="none"/>
          <w:u w:val="single"/>
        </w:rPr>
        <w:t xml:space="preserve">       </w:t>
      </w:r>
      <w:r>
        <w:rPr>
          <w:rStyle w:val="63"/>
          <w:rFonts w:ascii="宋体" w:hAnsi="宋体"/>
          <w:color w:val="auto"/>
          <w:spacing w:val="0"/>
          <w:sz w:val="24"/>
          <w:szCs w:val="24"/>
          <w:highlight w:val="none"/>
        </w:rPr>
        <w:t>年</w:t>
      </w:r>
      <w:r>
        <w:rPr>
          <w:rStyle w:val="63"/>
          <w:rFonts w:ascii="宋体" w:hAnsi="宋体"/>
          <w:color w:val="auto"/>
          <w:spacing w:val="0"/>
          <w:sz w:val="24"/>
          <w:szCs w:val="24"/>
          <w:highlight w:val="none"/>
          <w:u w:val="single"/>
        </w:rPr>
        <w:t xml:space="preserve">       </w:t>
      </w:r>
      <w:r>
        <w:rPr>
          <w:rStyle w:val="63"/>
          <w:rFonts w:ascii="宋体" w:hAnsi="宋体"/>
          <w:color w:val="auto"/>
          <w:spacing w:val="0"/>
          <w:sz w:val="24"/>
          <w:szCs w:val="24"/>
          <w:highlight w:val="none"/>
        </w:rPr>
        <w:t>月</w:t>
      </w:r>
      <w:r>
        <w:rPr>
          <w:rStyle w:val="63"/>
          <w:rFonts w:ascii="宋体" w:hAnsi="宋体"/>
          <w:color w:val="auto"/>
          <w:spacing w:val="0"/>
          <w:sz w:val="24"/>
          <w:szCs w:val="24"/>
          <w:highlight w:val="none"/>
          <w:u w:val="single"/>
        </w:rPr>
        <w:t xml:space="preserve">       </w:t>
      </w:r>
      <w:r>
        <w:rPr>
          <w:rStyle w:val="63"/>
          <w:rFonts w:ascii="宋体" w:hAnsi="宋体"/>
          <w:color w:val="auto"/>
          <w:spacing w:val="0"/>
          <w:sz w:val="24"/>
          <w:szCs w:val="24"/>
          <w:highlight w:val="none"/>
        </w:rPr>
        <w:t>日</w:t>
      </w:r>
    </w:p>
    <w:p>
      <w:pPr>
        <w:pStyle w:val="17"/>
        <w:keepNext w:val="0"/>
        <w:keepLines w:val="0"/>
        <w:pageBreakBefore w:val="0"/>
        <w:widowControl w:val="0"/>
        <w:kinsoku/>
        <w:overflowPunct/>
        <w:bidi w:val="0"/>
        <w:rPr>
          <w:rFonts w:hint="eastAsia" w:ascii="宋体" w:hAnsi="宋体" w:eastAsia="宋体" w:cs="Times New Roman"/>
          <w:color w:val="auto"/>
          <w:spacing w:val="0"/>
          <w:highlight w:val="none"/>
        </w:rPr>
      </w:pPr>
    </w:p>
    <w:p>
      <w:pPr>
        <w:pStyle w:val="17"/>
        <w:keepNext w:val="0"/>
        <w:keepLines w:val="0"/>
        <w:pageBreakBefore w:val="0"/>
        <w:widowControl w:val="0"/>
        <w:kinsoku/>
        <w:overflowPunct/>
        <w:bidi w:val="0"/>
        <w:rPr>
          <w:rFonts w:hint="eastAsia" w:ascii="宋体" w:hAnsi="宋体" w:eastAsia="宋体" w:cs="Times New Roman"/>
          <w:color w:val="auto"/>
          <w:spacing w:val="0"/>
          <w:highlight w:val="none"/>
        </w:rPr>
      </w:pPr>
    </w:p>
    <w:p>
      <w:pPr>
        <w:pStyle w:val="17"/>
        <w:keepNext w:val="0"/>
        <w:keepLines w:val="0"/>
        <w:pageBreakBefore w:val="0"/>
        <w:widowControl w:val="0"/>
        <w:kinsoku/>
        <w:overflowPunct/>
        <w:bidi w:val="0"/>
        <w:rPr>
          <w:rFonts w:hint="eastAsia" w:ascii="宋体" w:hAnsi="宋体" w:eastAsia="宋体" w:cs="Times New Roman"/>
          <w:color w:val="auto"/>
          <w:spacing w:val="0"/>
          <w:highlight w:val="none"/>
        </w:rPr>
      </w:pPr>
      <w:r>
        <w:rPr>
          <w:rFonts w:hint="eastAsia" w:hAnsi="宋体"/>
          <w:color w:val="auto"/>
          <w:sz w:val="21"/>
          <w:szCs w:val="21"/>
        </w:rPr>
        <w:t>（注：或按广州交易集团有限公司（广州公共资源交易中心）</w:t>
      </w:r>
      <w:r>
        <w:rPr>
          <w:rFonts w:hint="eastAsia" w:hAnsi="宋体"/>
          <w:color w:val="auto"/>
          <w:sz w:val="21"/>
          <w:szCs w:val="21"/>
          <w:lang w:eastAsia="zh-CN"/>
        </w:rPr>
        <w:t>交易平台</w:t>
      </w:r>
      <w:r>
        <w:rPr>
          <w:rFonts w:hint="eastAsia" w:hAnsi="宋体"/>
          <w:color w:val="auto"/>
          <w:sz w:val="21"/>
          <w:szCs w:val="21"/>
        </w:rPr>
        <w:t>格式）</w:t>
      </w:r>
    </w:p>
    <w:p>
      <w:pPr>
        <w:pStyle w:val="17"/>
        <w:keepNext w:val="0"/>
        <w:keepLines w:val="0"/>
        <w:pageBreakBefore w:val="0"/>
        <w:widowControl w:val="0"/>
        <w:kinsoku/>
        <w:overflowPunct/>
        <w:bidi w:val="0"/>
        <w:rPr>
          <w:rFonts w:hint="eastAsia" w:ascii="宋体" w:hAnsi="宋体" w:eastAsia="宋体" w:cs="Times New Roman"/>
          <w:color w:val="auto"/>
          <w:spacing w:val="0"/>
          <w:highlight w:val="none"/>
        </w:rPr>
      </w:pPr>
    </w:p>
    <w:p>
      <w:pPr>
        <w:pStyle w:val="17"/>
        <w:keepNext w:val="0"/>
        <w:keepLines w:val="0"/>
        <w:pageBreakBefore w:val="0"/>
        <w:widowControl w:val="0"/>
        <w:kinsoku/>
        <w:overflowPunct/>
        <w:bidi w:val="0"/>
        <w:rPr>
          <w:rFonts w:hint="eastAsia" w:ascii="宋体" w:hAnsi="宋体" w:eastAsia="宋体" w:cs="Times New Roman"/>
          <w:color w:val="auto"/>
          <w:spacing w:val="0"/>
          <w:highlight w:val="none"/>
        </w:rPr>
      </w:pPr>
    </w:p>
    <w:p>
      <w:pPr>
        <w:pStyle w:val="17"/>
        <w:keepNext w:val="0"/>
        <w:keepLines w:val="0"/>
        <w:pageBreakBefore w:val="0"/>
        <w:widowControl w:val="0"/>
        <w:kinsoku/>
        <w:overflowPunct/>
        <w:bidi w:val="0"/>
        <w:rPr>
          <w:rFonts w:hint="eastAsia" w:ascii="宋体" w:hAnsi="宋体" w:eastAsia="宋体" w:cs="Times New Roman"/>
          <w:color w:val="auto"/>
          <w:spacing w:val="0"/>
          <w:highlight w:val="none"/>
        </w:rPr>
        <w:sectPr>
          <w:pgSz w:w="11907" w:h="16839"/>
          <w:pgMar w:top="1361" w:right="1587" w:bottom="1361" w:left="1587" w:header="720" w:footer="890" w:gutter="0"/>
          <w:pgBorders>
            <w:top w:val="none" w:sz="0" w:space="0"/>
            <w:left w:val="none" w:sz="0" w:space="0"/>
            <w:bottom w:val="none" w:sz="0" w:space="0"/>
            <w:right w:val="none" w:sz="0" w:space="0"/>
          </w:pgBorders>
          <w:cols w:space="720" w:num="1"/>
          <w:rtlGutter w:val="0"/>
          <w:docGrid w:linePitch="286" w:charSpace="0"/>
        </w:sectPr>
      </w:pPr>
    </w:p>
    <w:p>
      <w:pPr>
        <w:pStyle w:val="17"/>
        <w:keepNext w:val="0"/>
        <w:keepLines w:val="0"/>
        <w:pageBreakBefore w:val="0"/>
        <w:widowControl w:val="0"/>
        <w:kinsoku/>
        <w:overflowPunct/>
        <w:bidi w:val="0"/>
        <w:rPr>
          <w:rFonts w:hint="eastAsia" w:ascii="宋体" w:hAnsi="宋体" w:eastAsia="宋体" w:cs="Times New Roman"/>
          <w:color w:val="auto"/>
          <w:spacing w:val="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63"/>
          <w:rFonts w:hint="eastAsia" w:ascii="宋体" w:hAnsi="宋体" w:eastAsia="宋体" w:cs="Times New Roman"/>
          <w:b/>
          <w:color w:val="auto"/>
          <w:spacing w:val="0"/>
          <w:kern w:val="44"/>
          <w:sz w:val="36"/>
          <w:szCs w:val="36"/>
          <w:highlight w:val="none"/>
        </w:rPr>
      </w:pPr>
      <w:bookmarkStart w:id="525" w:name="_GoBack"/>
      <w:bookmarkEnd w:id="525"/>
      <w:bookmarkStart w:id="274" w:name="_Toc17855"/>
      <w:bookmarkStart w:id="275" w:name="_Toc11722"/>
      <w:bookmarkStart w:id="276" w:name="_Toc21282"/>
      <w:bookmarkStart w:id="277" w:name="_Toc7645"/>
      <w:r>
        <w:rPr>
          <w:rStyle w:val="63"/>
          <w:rFonts w:hint="eastAsia" w:ascii="宋体" w:hAnsi="宋体" w:eastAsia="宋体" w:cs="Times New Roman"/>
          <w:b/>
          <w:color w:val="auto"/>
          <w:spacing w:val="0"/>
          <w:kern w:val="44"/>
          <w:sz w:val="36"/>
          <w:szCs w:val="36"/>
          <w:highlight w:val="none"/>
        </w:rPr>
        <w:t xml:space="preserve">第三章 </w:t>
      </w:r>
      <w:r>
        <w:rPr>
          <w:rStyle w:val="63"/>
          <w:rFonts w:hint="eastAsia" w:ascii="宋体" w:hAnsi="宋体" w:eastAsia="宋体" w:cs="Times New Roman"/>
          <w:b/>
          <w:color w:val="auto"/>
          <w:spacing w:val="0"/>
          <w:kern w:val="44"/>
          <w:sz w:val="36"/>
          <w:szCs w:val="36"/>
          <w:highlight w:val="none"/>
          <w:lang w:val="en-US"/>
        </w:rPr>
        <w:t xml:space="preserve"> </w:t>
      </w:r>
      <w:r>
        <w:rPr>
          <w:rStyle w:val="63"/>
          <w:rFonts w:hint="eastAsia" w:ascii="宋体" w:hAnsi="宋体" w:eastAsia="宋体" w:cs="Times New Roman"/>
          <w:b/>
          <w:color w:val="auto"/>
          <w:spacing w:val="0"/>
          <w:kern w:val="44"/>
          <w:sz w:val="36"/>
          <w:szCs w:val="36"/>
          <w:highlight w:val="none"/>
        </w:rPr>
        <w:t>评标办法（综合评估法）</w:t>
      </w:r>
      <w:bookmarkEnd w:id="274"/>
      <w:bookmarkEnd w:id="275"/>
      <w:bookmarkEnd w:id="276"/>
      <w:bookmarkEnd w:id="277"/>
    </w:p>
    <w:p>
      <w:pPr>
        <w:pStyle w:val="100"/>
        <w:keepNext w:val="0"/>
        <w:keepLines w:val="0"/>
        <w:pageBreakBefore w:val="0"/>
        <w:widowControl w:val="0"/>
        <w:kinsoku/>
        <w:wordWrap/>
        <w:overflowPunct/>
        <w:topLinePunct w:val="0"/>
        <w:autoSpaceDE/>
        <w:autoSpaceDN/>
        <w:bidi w:val="0"/>
        <w:adjustRightInd/>
        <w:snapToGrid/>
        <w:spacing w:before="120" w:after="120" w:line="240" w:lineRule="auto"/>
        <w:jc w:val="center"/>
        <w:textAlignment w:val="baseline"/>
        <w:outlineLvl w:val="1"/>
        <w:rPr>
          <w:rStyle w:val="63"/>
          <w:rFonts w:ascii="宋体" w:hAnsi="宋体" w:eastAsia="宋体" w:cs="Times New Roman"/>
          <w:color w:val="auto"/>
          <w:spacing w:val="0"/>
          <w:sz w:val="32"/>
          <w:szCs w:val="20"/>
          <w:highlight w:val="none"/>
        </w:rPr>
      </w:pPr>
      <w:bookmarkStart w:id="278" w:name="_Toc7268"/>
      <w:bookmarkStart w:id="279" w:name="_Toc9258"/>
      <w:bookmarkStart w:id="280" w:name="_Toc24336"/>
      <w:bookmarkStart w:id="281" w:name="_Toc10972"/>
      <w:r>
        <w:rPr>
          <w:rStyle w:val="63"/>
          <w:rFonts w:ascii="宋体" w:hAnsi="宋体" w:eastAsia="宋体" w:cs="Times New Roman"/>
          <w:color w:val="auto"/>
          <w:spacing w:val="0"/>
          <w:sz w:val="32"/>
          <w:szCs w:val="20"/>
          <w:highlight w:val="none"/>
        </w:rPr>
        <w:t>评标办法前附表</w:t>
      </w:r>
      <w:bookmarkEnd w:id="278"/>
      <w:bookmarkEnd w:id="279"/>
      <w:bookmarkEnd w:id="280"/>
      <w:bookmarkEnd w:id="281"/>
    </w:p>
    <w:tbl>
      <w:tblPr>
        <w:tblStyle w:val="36"/>
        <w:tblW w:w="916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79"/>
        <w:gridCol w:w="827"/>
        <w:gridCol w:w="1952"/>
        <w:gridCol w:w="570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5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b/>
                <w:color w:val="auto"/>
                <w:spacing w:val="0"/>
                <w:sz w:val="21"/>
                <w:szCs w:val="21"/>
                <w:highlight w:val="none"/>
              </w:rPr>
            </w:pPr>
            <w:r>
              <w:rPr>
                <w:rStyle w:val="66"/>
                <w:rFonts w:hint="eastAsia" w:ascii="宋体" w:hAnsi="宋体" w:eastAsia="宋体" w:cs="宋体"/>
                <w:b/>
                <w:color w:val="auto"/>
                <w:spacing w:val="0"/>
                <w:sz w:val="21"/>
                <w:szCs w:val="21"/>
                <w:highlight w:val="none"/>
              </w:rPr>
              <w:t>条款号</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b/>
                <w:color w:val="auto"/>
                <w:spacing w:val="0"/>
                <w:sz w:val="21"/>
                <w:szCs w:val="21"/>
                <w:highlight w:val="none"/>
              </w:rPr>
            </w:pPr>
            <w:r>
              <w:rPr>
                <w:rStyle w:val="66"/>
                <w:rFonts w:hint="eastAsia" w:ascii="宋体" w:hAnsi="宋体" w:eastAsia="宋体" w:cs="宋体"/>
                <w:b/>
                <w:color w:val="auto"/>
                <w:spacing w:val="0"/>
                <w:sz w:val="21"/>
                <w:szCs w:val="21"/>
                <w:highlight w:val="none"/>
              </w:rPr>
              <w:t>评审因素</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b/>
                <w:color w:val="auto"/>
                <w:spacing w:val="0"/>
                <w:sz w:val="21"/>
                <w:szCs w:val="21"/>
                <w:highlight w:val="none"/>
              </w:rPr>
            </w:pPr>
            <w:r>
              <w:rPr>
                <w:rStyle w:val="66"/>
                <w:rFonts w:hint="eastAsia" w:ascii="宋体" w:hAnsi="宋体" w:eastAsia="宋体" w:cs="宋体"/>
                <w:b/>
                <w:color w:val="auto"/>
                <w:spacing w:val="0"/>
                <w:sz w:val="21"/>
                <w:szCs w:val="21"/>
                <w:highlight w:val="none"/>
              </w:rPr>
              <w:t>评审标准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1</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评标方法</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中标候选人排序方法</w:t>
            </w:r>
          </w:p>
        </w:tc>
        <w:tc>
          <w:tcPr>
            <w:tcW w:w="57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1.本次评标采用综合评估法。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2.评标委员会对满足招标文件实质性要求的投标文件，按照招标文件规定的评分标准进行打分，并按照各投标人总得分从高到低排列先后次序，推荐得分最高的第一名投标人为第一中标候选人，推荐得分第二名的投标人为第二中标候选人，如此类推，推荐三名中标候选人，并编写评审报告。若两家或以上的投标人总得分相同时，则投标报价低的排前；若投标报价相同，则</w:t>
            </w:r>
            <w:r>
              <w:rPr>
                <w:rStyle w:val="63"/>
                <w:rFonts w:hint="eastAsia" w:ascii="宋体" w:hAnsi="宋体" w:eastAsia="宋体" w:cs="宋体"/>
                <w:color w:val="auto"/>
                <w:spacing w:val="0"/>
                <w:sz w:val="21"/>
                <w:szCs w:val="21"/>
                <w:highlight w:val="none"/>
                <w:lang w:val="en-US"/>
              </w:rPr>
              <w:t>施工图审查服务方案</w:t>
            </w:r>
            <w:r>
              <w:rPr>
                <w:rStyle w:val="66"/>
                <w:rFonts w:hint="eastAsia" w:ascii="宋体" w:hAnsi="宋体" w:eastAsia="宋体" w:cs="宋体"/>
                <w:color w:val="auto"/>
                <w:spacing w:val="0"/>
                <w:sz w:val="21"/>
                <w:szCs w:val="21"/>
                <w:highlight w:val="none"/>
              </w:rPr>
              <w:t>得分高的排前；若投标报价得分和</w:t>
            </w:r>
            <w:r>
              <w:rPr>
                <w:rStyle w:val="63"/>
                <w:rFonts w:hint="eastAsia" w:ascii="宋体" w:hAnsi="宋体" w:eastAsia="宋体" w:cs="宋体"/>
                <w:color w:val="auto"/>
                <w:spacing w:val="0"/>
                <w:sz w:val="21"/>
                <w:szCs w:val="21"/>
                <w:highlight w:val="none"/>
                <w:lang w:val="en-US"/>
              </w:rPr>
              <w:t>服务</w:t>
            </w:r>
            <w:r>
              <w:rPr>
                <w:rStyle w:val="66"/>
                <w:rFonts w:hint="eastAsia" w:ascii="宋体" w:hAnsi="宋体" w:eastAsia="宋体" w:cs="宋体"/>
                <w:color w:val="auto"/>
                <w:spacing w:val="0"/>
                <w:sz w:val="21"/>
                <w:szCs w:val="21"/>
                <w:highlight w:val="none"/>
              </w:rPr>
              <w:t>方案得分均相同，则由评标委员会采用记名投票方式，以得票多的优先，确定中标候选人的排序。</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3.若本项目满足资格审查合格条件的投标人不足3家或经评审有效的投标人不足3家，则本次招标失败，招标人将视情况重新组织招标。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679"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2.1.1</w:t>
            </w:r>
          </w:p>
        </w:tc>
        <w:tc>
          <w:tcPr>
            <w:tcW w:w="827" w:type="dxa"/>
            <w:vMerge w:val="restart"/>
            <w:tcBorders>
              <w:top w:val="single" w:color="000000" w:sz="4" w:space="0"/>
              <w:left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形式评审标准</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投标人名称</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lang w:eastAsia="zh-CN"/>
              </w:rPr>
            </w:pPr>
            <w:r>
              <w:rPr>
                <w:rStyle w:val="66"/>
                <w:rFonts w:hint="eastAsia" w:ascii="宋体" w:hAnsi="宋体" w:eastAsia="宋体" w:cs="宋体"/>
                <w:color w:val="auto"/>
                <w:spacing w:val="0"/>
                <w:sz w:val="21"/>
                <w:szCs w:val="21"/>
                <w:highlight w:val="none"/>
              </w:rPr>
              <w:t>与营业执照、资质证书一致</w:t>
            </w:r>
            <w:r>
              <w:rPr>
                <w:rStyle w:val="66"/>
                <w:rFonts w:hint="eastAsia" w:ascii="宋体" w:hAnsi="宋体" w:eastAsia="宋体" w:cs="宋体"/>
                <w:color w:val="auto"/>
                <w:spacing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679"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827" w:type="dxa"/>
            <w:vMerge w:val="continue"/>
            <w:tcBorders>
              <w:left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投标函及投标函附录签字盖章</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lang w:eastAsia="zh-CN"/>
              </w:rPr>
            </w:pPr>
            <w:r>
              <w:rPr>
                <w:rStyle w:val="66"/>
                <w:rFonts w:hint="eastAsia" w:ascii="宋体" w:hAnsi="宋体" w:eastAsia="宋体" w:cs="宋体"/>
                <w:color w:val="auto"/>
                <w:spacing w:val="0"/>
                <w:sz w:val="21"/>
                <w:szCs w:val="21"/>
                <w:highlight w:val="none"/>
              </w:rPr>
              <w:t>有法定代表人或其委托代理人签字或盖章，及加盖单位章。由法定代表人签字的，应附法定代表人身份证明，由代理人签字的，应附授权委托书，身份证明或授权委托书应符合第六章“投标文件格式”的规定</w:t>
            </w:r>
            <w:r>
              <w:rPr>
                <w:rStyle w:val="66"/>
                <w:rFonts w:hint="eastAsia" w:ascii="宋体" w:hAnsi="宋体" w:eastAsia="宋体" w:cs="宋体"/>
                <w:color w:val="auto"/>
                <w:spacing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679"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827" w:type="dxa"/>
            <w:vMerge w:val="continue"/>
            <w:tcBorders>
              <w:left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投标文件格式</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lang w:eastAsia="zh-CN"/>
              </w:rPr>
            </w:pPr>
            <w:r>
              <w:rPr>
                <w:rStyle w:val="66"/>
                <w:rFonts w:hint="eastAsia" w:ascii="宋体" w:hAnsi="宋体" w:eastAsia="宋体" w:cs="宋体"/>
                <w:color w:val="auto"/>
                <w:spacing w:val="0"/>
                <w:sz w:val="21"/>
                <w:szCs w:val="21"/>
                <w:highlight w:val="none"/>
              </w:rPr>
              <w:t>符合第六章“投标文件格式”的规定</w:t>
            </w:r>
            <w:r>
              <w:rPr>
                <w:rStyle w:val="66"/>
                <w:rFonts w:hint="eastAsia" w:ascii="宋体" w:hAnsi="宋体" w:eastAsia="宋体" w:cs="宋体"/>
                <w:color w:val="auto"/>
                <w:spacing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679"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827" w:type="dxa"/>
            <w:vMerge w:val="continue"/>
            <w:tcBorders>
              <w:left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exact"/>
              <w:ind w:left="42" w:leftChars="20" w:right="42" w:rightChars="2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联合体投标人</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exact"/>
              <w:ind w:left="42" w:leftChars="20" w:right="42" w:rightChars="2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本次招标不接受联合体投标</w:t>
            </w:r>
            <w:r>
              <w:rPr>
                <w:rFonts w:hint="eastAsia" w:ascii="宋体" w:hAnsi="宋体" w:eastAsia="宋体" w:cs="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679"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827" w:type="dxa"/>
            <w:vMerge w:val="continue"/>
            <w:tcBorders>
              <w:left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备选投标方案</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lang w:eastAsia="zh-CN"/>
              </w:rPr>
            </w:pPr>
            <w:r>
              <w:rPr>
                <w:rStyle w:val="66"/>
                <w:rFonts w:hint="eastAsia" w:ascii="宋体" w:hAnsi="宋体" w:eastAsia="宋体" w:cs="宋体"/>
                <w:color w:val="auto"/>
                <w:spacing w:val="0"/>
                <w:sz w:val="21"/>
                <w:szCs w:val="21"/>
                <w:highlight w:val="none"/>
              </w:rPr>
              <w:t>不允许</w:t>
            </w:r>
            <w:r>
              <w:rPr>
                <w:rStyle w:val="66"/>
                <w:rFonts w:hint="eastAsia" w:ascii="宋体" w:hAnsi="宋体" w:eastAsia="宋体" w:cs="宋体"/>
                <w:color w:val="auto"/>
                <w:spacing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679"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827" w:type="dxa"/>
            <w:vMerge w:val="continue"/>
            <w:tcBorders>
              <w:left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投标人机器码</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lang w:eastAsia="zh-CN"/>
              </w:rPr>
            </w:pPr>
            <w:r>
              <w:rPr>
                <w:rStyle w:val="66"/>
                <w:rFonts w:hint="eastAsia" w:ascii="宋体" w:hAnsi="宋体" w:eastAsia="宋体" w:cs="宋体"/>
                <w:color w:val="auto"/>
                <w:spacing w:val="0"/>
                <w:sz w:val="21"/>
                <w:szCs w:val="21"/>
                <w:highlight w:val="none"/>
              </w:rPr>
              <w:t>投标人与本项目其他投标人加密打包投标文件电脑特征码一致的（以广州交易集团有限公司（广州公共资源交易中心）系统的检索信息为准），其投标将被否决</w:t>
            </w:r>
            <w:r>
              <w:rPr>
                <w:rStyle w:val="66"/>
                <w:rFonts w:hint="eastAsia" w:ascii="宋体" w:hAnsi="宋体" w:eastAsia="宋体" w:cs="宋体"/>
                <w:color w:val="auto"/>
                <w:spacing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67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2.1.2</w:t>
            </w:r>
          </w:p>
        </w:tc>
        <w:tc>
          <w:tcPr>
            <w:tcW w:w="82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资格评审标准</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营业执照</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z w:val="21"/>
                <w:szCs w:val="21"/>
              </w:rPr>
              <w:t>符合第二章“投标人须知”第3.5.1项规定</w:t>
            </w:r>
            <w:r>
              <w:rPr>
                <w:rFonts w:hint="eastAsia" w:ascii="宋体" w:hAnsi="宋体" w:eastAsia="宋体" w:cs="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679"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827"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资质要求</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符合第二章“投标人须知”第1.4.1项规定</w:t>
            </w:r>
            <w:r>
              <w:rPr>
                <w:rFonts w:hint="eastAsia" w:ascii="宋体" w:hAnsi="宋体" w:eastAsia="宋体" w:cs="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679"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827"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项目负责人</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符合第二章“投标人须知”第1.4.1项规定</w:t>
            </w:r>
            <w:r>
              <w:rPr>
                <w:rFonts w:hint="eastAsia" w:ascii="宋体" w:hAnsi="宋体" w:eastAsia="宋体" w:cs="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679"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827"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其他要求</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符合第二章“投标人须知”第 1.4.1 项规定</w:t>
            </w:r>
            <w:r>
              <w:rPr>
                <w:rFonts w:hint="eastAsia" w:ascii="宋体" w:hAnsi="宋体" w:eastAsia="宋体" w:cs="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679"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827"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联合体投标人</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r>
              <w:rPr>
                <w:rFonts w:hint="eastAsia" w:ascii="宋体" w:hAnsi="宋体" w:eastAsia="宋体" w:cs="宋体"/>
                <w:color w:val="auto"/>
                <w:sz w:val="21"/>
                <w:szCs w:val="21"/>
              </w:rPr>
              <w:t>本次招标不接受联合体投标</w:t>
            </w:r>
            <w:r>
              <w:rPr>
                <w:rFonts w:hint="eastAsia" w:ascii="宋体" w:hAnsi="宋体" w:eastAsia="宋体" w:cs="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679"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827"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不存在禁止投标的情形</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不存在第二章“投标人须知”第 1.4.3 项规定的任何一种情形</w:t>
            </w:r>
            <w:r>
              <w:rPr>
                <w:rFonts w:hint="eastAsia" w:ascii="宋体" w:hAnsi="宋体" w:eastAsia="宋体" w:cs="宋体"/>
                <w:color w:val="auto"/>
                <w:sz w:val="21"/>
                <w:szCs w:val="21"/>
                <w:lang w:eastAsia="zh-CN"/>
              </w:rPr>
              <w:t>；</w:t>
            </w:r>
            <w:r>
              <w:rPr>
                <w:rStyle w:val="66"/>
                <w:rFonts w:hint="eastAsia" w:ascii="宋体" w:hAnsi="宋体" w:eastAsia="宋体" w:cs="宋体"/>
                <w:color w:val="auto"/>
                <w:spacing w:val="0"/>
                <w:sz w:val="21"/>
                <w:szCs w:val="21"/>
                <w:highlight w:val="none"/>
              </w:rPr>
              <w:t>（以投标人声明为评审依据）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67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82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exact"/>
              <w:ind w:left="42" w:leftChars="20" w:right="42" w:rightChars="2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失信联合惩戒</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wordWrap w:val="0"/>
              <w:adjustRightInd w:val="0"/>
              <w:snapToGrid w:val="0"/>
              <w:spacing w:before="0" w:beforeAutospacing="0" w:after="0" w:afterAutospacing="0" w:line="360" w:lineRule="exact"/>
              <w:ind w:left="42" w:leftChars="20" w:right="42" w:rightChars="2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投标人未被列入拖欠农民工工资失信联合惩戒对象名单（投标人无需提供资料，按投标截止时间广州交易集团有限公司（广州公共资源交易中心)交易系统比对的结果进行评审）。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679"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2.1.3</w:t>
            </w:r>
          </w:p>
        </w:tc>
        <w:tc>
          <w:tcPr>
            <w:tcW w:w="827"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响应性评审标准</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投标报价</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符合第二章“投标人须知”第3.2款规定</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对同一招标项目没有出现两个或以上的投标报价，且修正无依据。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p>
        </w:tc>
        <w:tc>
          <w:tcPr>
            <w:tcW w:w="827"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投标内容</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679"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p>
        </w:tc>
        <w:tc>
          <w:tcPr>
            <w:tcW w:w="827"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服务期限</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679"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p>
        </w:tc>
        <w:tc>
          <w:tcPr>
            <w:tcW w:w="827"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质量标准</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679"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p>
        </w:tc>
        <w:tc>
          <w:tcPr>
            <w:tcW w:w="827"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投标有效期</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679"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p>
        </w:tc>
        <w:tc>
          <w:tcPr>
            <w:tcW w:w="827"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串通投标情形</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投标人之间存在《广东省实施&lt;中华人民共和国招标投标法&gt;办法》第十六条所禁止的情形的</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5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b/>
                <w:color w:val="auto"/>
                <w:spacing w:val="0"/>
                <w:sz w:val="21"/>
                <w:szCs w:val="21"/>
                <w:highlight w:val="none"/>
              </w:rPr>
            </w:pPr>
            <w:r>
              <w:rPr>
                <w:rStyle w:val="66"/>
                <w:rFonts w:hint="eastAsia" w:ascii="宋体" w:hAnsi="宋体" w:eastAsia="宋体" w:cs="宋体"/>
                <w:b/>
                <w:color w:val="auto"/>
                <w:spacing w:val="0"/>
                <w:sz w:val="21"/>
                <w:szCs w:val="21"/>
                <w:highlight w:val="none"/>
              </w:rPr>
              <w:t>条款号</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b/>
                <w:color w:val="auto"/>
                <w:spacing w:val="0"/>
                <w:sz w:val="21"/>
                <w:szCs w:val="21"/>
                <w:highlight w:val="none"/>
              </w:rPr>
            </w:pPr>
            <w:r>
              <w:rPr>
                <w:rStyle w:val="66"/>
                <w:rFonts w:hint="eastAsia" w:ascii="宋体" w:hAnsi="宋体" w:eastAsia="宋体" w:cs="宋体"/>
                <w:b/>
                <w:color w:val="auto"/>
                <w:spacing w:val="0"/>
                <w:sz w:val="21"/>
                <w:szCs w:val="21"/>
                <w:highlight w:val="none"/>
              </w:rPr>
              <w:t>条款内容</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b/>
                <w:color w:val="auto"/>
                <w:spacing w:val="0"/>
                <w:sz w:val="21"/>
                <w:szCs w:val="21"/>
                <w:highlight w:val="none"/>
              </w:rPr>
            </w:pPr>
            <w:r>
              <w:rPr>
                <w:rStyle w:val="66"/>
                <w:rFonts w:hint="eastAsia" w:ascii="宋体" w:hAnsi="宋体" w:eastAsia="宋体" w:cs="宋体"/>
                <w:b/>
                <w:color w:val="auto"/>
                <w:spacing w:val="0"/>
                <w:sz w:val="21"/>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5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2.2.1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分值构成</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(总分100分)</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63" w:leftChars="30" w:right="63" w:rightChars="30"/>
              <w:jc w:val="both"/>
              <w:outlineLvl w:val="9"/>
              <w:rPr>
                <w:rFonts w:hint="eastAsia" w:ascii="宋体" w:hAnsi="宋体" w:eastAsia="宋体" w:cs="宋体"/>
                <w:b/>
                <w:color w:val="auto"/>
                <w:spacing w:val="0"/>
                <w:sz w:val="21"/>
                <w:szCs w:val="21"/>
                <w:highlight w:val="none"/>
              </w:rPr>
            </w:pPr>
            <w:r>
              <w:rPr>
                <w:rFonts w:hint="eastAsia" w:ascii="宋体" w:hAnsi="宋体" w:eastAsia="宋体" w:cs="宋体"/>
                <w:color w:val="auto"/>
                <w:spacing w:val="0"/>
                <w:sz w:val="21"/>
                <w:szCs w:val="21"/>
                <w:highlight w:val="none"/>
              </w:rPr>
              <w:t>A.</w:t>
            </w:r>
            <w:r>
              <w:rPr>
                <w:rFonts w:hint="eastAsia" w:ascii="宋体" w:hAnsi="宋体" w:eastAsia="宋体" w:cs="宋体"/>
                <w:b/>
                <w:color w:val="auto"/>
                <w:spacing w:val="0"/>
                <w:sz w:val="21"/>
                <w:szCs w:val="21"/>
                <w:highlight w:val="none"/>
              </w:rPr>
              <w:t>商务部分：</w:t>
            </w:r>
            <w:r>
              <w:rPr>
                <w:rFonts w:hint="eastAsia" w:ascii="宋体" w:hAnsi="宋体" w:eastAsia="宋体" w:cs="宋体"/>
                <w:b/>
                <w:color w:val="auto"/>
                <w:spacing w:val="0"/>
                <w:sz w:val="21"/>
                <w:szCs w:val="21"/>
                <w:highlight w:val="none"/>
                <w:u w:val="single"/>
                <w:lang w:val="en-US" w:eastAsia="zh-CN"/>
              </w:rPr>
              <w:t>45</w:t>
            </w:r>
            <w:r>
              <w:rPr>
                <w:rFonts w:hint="eastAsia" w:ascii="宋体" w:hAnsi="宋体" w:eastAsia="宋体" w:cs="宋体"/>
                <w:b/>
                <w:color w:val="auto"/>
                <w:spacing w:val="0"/>
                <w:sz w:val="21"/>
                <w:szCs w:val="21"/>
                <w:highlight w:val="none"/>
                <w:u w:val="single"/>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63" w:leftChars="30" w:right="63" w:rightChars="30"/>
              <w:jc w:val="both"/>
              <w:outlineLvl w:val="9"/>
              <w:rPr>
                <w:rFonts w:hint="eastAsia" w:ascii="宋体" w:hAnsi="宋体" w:eastAsia="宋体" w:cs="宋体"/>
                <w:b/>
                <w:color w:val="auto"/>
                <w:spacing w:val="0"/>
                <w:sz w:val="21"/>
                <w:szCs w:val="21"/>
                <w:highlight w:val="none"/>
              </w:rPr>
            </w:pPr>
            <w:r>
              <w:rPr>
                <w:rFonts w:hint="eastAsia" w:ascii="宋体" w:hAnsi="宋体" w:eastAsia="宋体" w:cs="宋体"/>
                <w:color w:val="auto"/>
                <w:spacing w:val="0"/>
                <w:sz w:val="21"/>
                <w:szCs w:val="21"/>
                <w:highlight w:val="none"/>
              </w:rPr>
              <w:t>B.</w:t>
            </w:r>
            <w:r>
              <w:rPr>
                <w:rFonts w:hint="eastAsia" w:ascii="宋体" w:hAnsi="宋体" w:eastAsia="宋体" w:cs="宋体"/>
                <w:b/>
                <w:color w:val="auto"/>
                <w:spacing w:val="0"/>
                <w:sz w:val="21"/>
                <w:szCs w:val="21"/>
                <w:highlight w:val="none"/>
              </w:rPr>
              <w:t>技术部分：</w:t>
            </w:r>
            <w:r>
              <w:rPr>
                <w:rFonts w:hint="eastAsia" w:ascii="宋体" w:hAnsi="宋体" w:eastAsia="宋体" w:cs="宋体"/>
                <w:b/>
                <w:color w:val="auto"/>
                <w:spacing w:val="0"/>
                <w:sz w:val="21"/>
                <w:szCs w:val="21"/>
                <w:highlight w:val="none"/>
                <w:u w:val="single"/>
                <w:lang w:val="en-US" w:eastAsia="zh-CN"/>
              </w:rPr>
              <w:t>45</w:t>
            </w:r>
            <w:r>
              <w:rPr>
                <w:rFonts w:hint="eastAsia" w:ascii="宋体" w:hAnsi="宋体" w:eastAsia="宋体" w:cs="宋体"/>
                <w:b/>
                <w:color w:val="auto"/>
                <w:spacing w:val="0"/>
                <w:sz w:val="21"/>
                <w:szCs w:val="21"/>
                <w:highlight w:val="none"/>
                <w:u w:val="single"/>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63" w:leftChars="30" w:right="63" w:rightChars="30"/>
              <w:jc w:val="both"/>
              <w:outlineLvl w:val="9"/>
              <w:rPr>
                <w:rFonts w:hint="eastAsia" w:ascii="宋体" w:hAnsi="宋体" w:eastAsia="宋体" w:cs="宋体"/>
                <w:b/>
                <w:color w:val="auto"/>
                <w:spacing w:val="0"/>
                <w:sz w:val="21"/>
                <w:szCs w:val="21"/>
                <w:highlight w:val="none"/>
              </w:rPr>
            </w:pPr>
            <w:r>
              <w:rPr>
                <w:rFonts w:hint="eastAsia" w:ascii="宋体" w:hAnsi="宋体" w:eastAsia="宋体" w:cs="宋体"/>
                <w:color w:val="auto"/>
                <w:spacing w:val="0"/>
                <w:sz w:val="21"/>
                <w:szCs w:val="21"/>
                <w:highlight w:val="none"/>
              </w:rPr>
              <w:t>C.</w:t>
            </w:r>
            <w:r>
              <w:rPr>
                <w:rFonts w:hint="eastAsia" w:ascii="宋体" w:hAnsi="宋体" w:eastAsia="宋体" w:cs="宋体"/>
                <w:b/>
                <w:color w:val="auto"/>
                <w:spacing w:val="0"/>
                <w:sz w:val="21"/>
                <w:szCs w:val="21"/>
                <w:highlight w:val="none"/>
              </w:rPr>
              <w:t>投标报价：</w:t>
            </w:r>
            <w:r>
              <w:rPr>
                <w:rFonts w:hint="eastAsia" w:ascii="宋体" w:hAnsi="宋体" w:eastAsia="宋体" w:cs="宋体"/>
                <w:b/>
                <w:color w:val="auto"/>
                <w:spacing w:val="0"/>
                <w:sz w:val="21"/>
                <w:szCs w:val="21"/>
                <w:highlight w:val="none"/>
                <w:u w:val="single"/>
              </w:rPr>
              <w:t>10分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u w:val="single"/>
              </w:rPr>
              <w:t>注：1）投标人综合得分为各评委A+B+C的总分去掉一个最高分和一个最低分后计取的算术平均分（分数出现小数点时，保留小数点后二位，第三位小数四舍五入）；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   </w:t>
            </w:r>
            <w:bookmarkStart w:id="282" w:name="_Toc6213"/>
            <w:bookmarkStart w:id="283" w:name="_Toc30626"/>
            <w:bookmarkStart w:id="284" w:name="_Toc20794"/>
            <w:bookmarkStart w:id="285" w:name="_Toc32764"/>
            <w:r>
              <w:rPr>
                <w:rFonts w:hint="eastAsia" w:ascii="宋体" w:hAnsi="宋体" w:eastAsia="宋体" w:cs="宋体"/>
                <w:color w:val="auto"/>
                <w:spacing w:val="0"/>
                <w:sz w:val="21"/>
                <w:szCs w:val="21"/>
                <w:highlight w:val="none"/>
                <w:u w:val="single"/>
              </w:rPr>
              <w:t>2）投标人总得分=A+B+C。</w:t>
            </w:r>
            <w:bookmarkEnd w:id="282"/>
            <w:bookmarkEnd w:id="283"/>
            <w:bookmarkEnd w:id="284"/>
            <w:bookmarkEnd w:id="285"/>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b/>
                <w:color w:val="auto"/>
                <w:spacing w:val="0"/>
                <w:sz w:val="21"/>
                <w:szCs w:val="21"/>
                <w:highlight w:val="none"/>
              </w:rPr>
            </w:pPr>
            <w:r>
              <w:rPr>
                <w:rStyle w:val="66"/>
                <w:rFonts w:hint="eastAsia" w:ascii="宋体" w:hAnsi="宋体" w:eastAsia="宋体" w:cs="宋体"/>
                <w:color w:val="auto"/>
                <w:spacing w:val="0"/>
                <w:sz w:val="21"/>
                <w:szCs w:val="21"/>
                <w:highlight w:val="none"/>
              </w:rPr>
              <w:t>具体详见本章附表：《综合评分表》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5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2.2.2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评标基准价计算方法</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当通过初步评审在位于[最高投标限价×90%，最高投标限价]区间的投标价中的有效投标人大于5名时，所有入围的有效投标价中去掉一个最高价和一个最低价，取余下有效投标价的算术平均值的作为评标基准价；当通过初步评审在位于[最高投标限价×90%，最高投标限价]区间的投标价中的有效投标人小于或等于5名时，取所有入围的有效投标价的算术平均值的作为评标基准价（小数点后保留2位小数，第3位小数四舍五入）。若通过初步评审没有投标价位于[最高投标限价×90%，最高投标限价]区间的有效投标人，所有投标人的报价得分为0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5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2.2.3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投标报价的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center"/>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偏差率计算公式</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偏差率</w:t>
            </w:r>
            <w:r>
              <w:rPr>
                <w:rFonts w:hint="eastAsia" w:ascii="宋体" w:hAnsi="宋体" w:eastAsia="宋体" w:cs="宋体"/>
                <w:color w:val="auto"/>
                <w:sz w:val="21"/>
                <w:szCs w:val="21"/>
              </w:rPr>
              <w:t>=</w:t>
            </w:r>
            <w:r>
              <w:rPr>
                <w:rStyle w:val="66"/>
                <w:rFonts w:hint="eastAsia" w:ascii="宋体" w:hAnsi="宋体" w:eastAsia="宋体" w:cs="宋体"/>
                <w:color w:val="auto"/>
                <w:spacing w:val="0"/>
                <w:sz w:val="21"/>
                <w:szCs w:val="21"/>
                <w:highlight w:val="none"/>
              </w:rPr>
              <w:t>∣有效投标报价—评标基准价∣/评标基准价</w:t>
            </w:r>
            <w:r>
              <w:rPr>
                <w:rFonts w:hint="eastAsia" w:ascii="宋体" w:hAnsi="宋体" w:eastAsia="宋体" w:cs="宋体"/>
                <w:color w:val="auto"/>
                <w:sz w:val="21"/>
                <w:szCs w:val="21"/>
              </w:rPr>
              <w:t>×</w:t>
            </w:r>
            <w:r>
              <w:rPr>
                <w:rStyle w:val="66"/>
                <w:rFonts w:hint="eastAsia" w:ascii="宋体" w:hAnsi="宋体" w:eastAsia="宋体" w:cs="宋体"/>
                <w:color w:val="auto"/>
                <w:spacing w:val="0"/>
                <w:sz w:val="21"/>
                <w:szCs w:val="21"/>
                <w:highlight w:val="none"/>
              </w:rPr>
              <w:t>100%</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（偏差率四舍五入保留2位小数，报价偏差率不足1%的，按直线内插法计算投标报价得分）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63" w:leftChars="30" w:right="63" w:rightChars="30"/>
              <w:jc w:val="both"/>
              <w:outlineLvl w:val="9"/>
              <w:rPr>
                <w:rStyle w:val="66"/>
                <w:rFonts w:hint="eastAsia" w:ascii="宋体" w:hAnsi="宋体" w:eastAsia="宋体" w:cs="宋体"/>
                <w:color w:val="auto"/>
                <w:spacing w:val="0"/>
                <w:sz w:val="21"/>
                <w:szCs w:val="21"/>
                <w:highlight w:val="none"/>
              </w:rPr>
            </w:pPr>
            <w:r>
              <w:rPr>
                <w:rStyle w:val="66"/>
                <w:rFonts w:hint="eastAsia" w:ascii="宋体" w:hAnsi="宋体" w:eastAsia="宋体" w:cs="宋体"/>
                <w:color w:val="auto"/>
                <w:spacing w:val="0"/>
                <w:sz w:val="21"/>
                <w:szCs w:val="21"/>
                <w:highlight w:val="none"/>
              </w:rPr>
              <w:t>注：有效投标报价为通过初步评审经算术错误修正后的核准报价（投标总报价）。</w:t>
            </w:r>
          </w:p>
        </w:tc>
      </w:tr>
    </w:tbl>
    <w:p>
      <w:pPr>
        <w:pStyle w:val="84"/>
        <w:keepNext w:val="0"/>
        <w:keepLines w:val="0"/>
        <w:pageBreakBefore w:val="0"/>
        <w:widowControl w:val="0"/>
        <w:kinsoku/>
        <w:overflowPunct/>
        <w:bidi w:val="0"/>
        <w:ind w:left="0" w:leftChars="0" w:firstLine="0" w:firstLineChars="0"/>
        <w:jc w:val="both"/>
        <w:outlineLvl w:val="9"/>
        <w:rPr>
          <w:rStyle w:val="66"/>
          <w:rFonts w:ascii="宋体" w:hAnsi="宋体"/>
          <w:color w:val="auto"/>
          <w:spacing w:val="0"/>
          <w:highlight w:val="none"/>
        </w:rPr>
      </w:pPr>
    </w:p>
    <w:p>
      <w:pPr>
        <w:pStyle w:val="84"/>
        <w:keepNext w:val="0"/>
        <w:keepLines w:val="0"/>
        <w:pageBreakBefore w:val="0"/>
        <w:widowControl w:val="0"/>
        <w:kinsoku/>
        <w:overflowPunct/>
        <w:bidi w:val="0"/>
        <w:ind w:left="0" w:leftChars="0" w:firstLine="0" w:firstLineChars="0"/>
        <w:jc w:val="both"/>
        <w:outlineLvl w:val="9"/>
        <w:rPr>
          <w:rStyle w:val="66"/>
          <w:rFonts w:ascii="宋体" w:hAnsi="宋体"/>
          <w:color w:val="auto"/>
          <w:spacing w:val="0"/>
          <w:highlight w:val="none"/>
        </w:rPr>
      </w:pPr>
    </w:p>
    <w:p>
      <w:pPr>
        <w:pStyle w:val="84"/>
        <w:keepNext w:val="0"/>
        <w:keepLines w:val="0"/>
        <w:pageBreakBefore w:val="0"/>
        <w:widowControl w:val="0"/>
        <w:kinsoku/>
        <w:overflowPunct/>
        <w:bidi w:val="0"/>
        <w:ind w:left="0" w:leftChars="0" w:firstLine="0" w:firstLineChars="0"/>
        <w:jc w:val="both"/>
        <w:outlineLvl w:val="9"/>
        <w:rPr>
          <w:rStyle w:val="66"/>
          <w:rFonts w:ascii="宋体" w:hAnsi="宋体"/>
          <w:color w:val="auto"/>
          <w:spacing w:val="0"/>
          <w:highlight w:val="none"/>
        </w:rPr>
        <w:sectPr>
          <w:pgSz w:w="11907" w:h="16839"/>
          <w:pgMar w:top="1361" w:right="1587" w:bottom="1361" w:left="1587" w:header="720" w:footer="890" w:gutter="0"/>
          <w:pgBorders>
            <w:top w:val="none" w:sz="0" w:space="0"/>
            <w:left w:val="none" w:sz="0" w:space="0"/>
            <w:bottom w:val="none" w:sz="0" w:space="0"/>
            <w:right w:val="none" w:sz="0" w:space="0"/>
          </w:pgBorders>
          <w:cols w:space="720" w:num="1"/>
          <w:rtlGutter w:val="0"/>
          <w:docGrid w:linePitch="286" w:charSpace="0"/>
        </w:sectPr>
      </w:pPr>
    </w:p>
    <w:p>
      <w:pPr>
        <w:pStyle w:val="84"/>
        <w:keepNext w:val="0"/>
        <w:keepLines w:val="0"/>
        <w:pageBreakBefore w:val="0"/>
        <w:widowControl w:val="0"/>
        <w:kinsoku/>
        <w:overflowPunct/>
        <w:bidi w:val="0"/>
        <w:ind w:left="0" w:leftChars="0" w:firstLine="0" w:firstLineChars="0"/>
        <w:jc w:val="both"/>
        <w:outlineLvl w:val="9"/>
        <w:rPr>
          <w:rStyle w:val="66"/>
          <w:rFonts w:ascii="宋体" w:hAnsi="宋体"/>
          <w:color w:val="auto"/>
          <w:spacing w:val="0"/>
          <w:highlight w:val="none"/>
        </w:rPr>
      </w:pPr>
    </w:p>
    <w:p>
      <w:pPr>
        <w:pStyle w:val="100"/>
        <w:keepNext w:val="0"/>
        <w:keepLines w:val="0"/>
        <w:pageBreakBefore w:val="0"/>
        <w:widowControl w:val="0"/>
        <w:kinsoku/>
        <w:overflowPunct/>
        <w:bidi w:val="0"/>
        <w:spacing w:before="120" w:after="0" w:line="360" w:lineRule="auto"/>
        <w:outlineLvl w:val="1"/>
        <w:rPr>
          <w:rStyle w:val="63"/>
          <w:rFonts w:ascii="宋体" w:hAnsi="宋体"/>
          <w:color w:val="auto"/>
          <w:spacing w:val="0"/>
          <w:sz w:val="24"/>
          <w:szCs w:val="24"/>
          <w:highlight w:val="none"/>
        </w:rPr>
      </w:pPr>
      <w:bookmarkStart w:id="286" w:name="_Toc28731"/>
      <w:bookmarkStart w:id="287" w:name="_Toc23675"/>
      <w:bookmarkStart w:id="288" w:name="_Toc29221"/>
      <w:bookmarkStart w:id="289" w:name="_Toc15096"/>
      <w:r>
        <w:rPr>
          <w:rStyle w:val="63"/>
          <w:rFonts w:ascii="宋体" w:hAnsi="宋体"/>
          <w:color w:val="auto"/>
          <w:spacing w:val="0"/>
          <w:sz w:val="24"/>
          <w:szCs w:val="24"/>
          <w:highlight w:val="none"/>
        </w:rPr>
        <w:t>1. 评标方法</w:t>
      </w:r>
      <w:bookmarkEnd w:id="286"/>
      <w:bookmarkEnd w:id="287"/>
      <w:bookmarkEnd w:id="288"/>
      <w:bookmarkEnd w:id="28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Style w:val="63"/>
          <w:rFonts w:ascii="宋体" w:hAnsi="宋体"/>
          <w:color w:val="auto"/>
          <w:spacing w:val="0"/>
          <w:sz w:val="24"/>
          <w:szCs w:val="24"/>
          <w:highlight w:val="none"/>
        </w:rPr>
      </w:pPr>
      <w:r>
        <w:rPr>
          <w:rStyle w:val="63"/>
          <w:rFonts w:ascii="宋体" w:hAnsi="宋体"/>
          <w:color w:val="auto"/>
          <w:spacing w:val="0"/>
          <w:sz w:val="24"/>
          <w:szCs w:val="24"/>
          <w:highlight w:val="none"/>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款规定的评分标准进行打分，并按得分由高到低顺序推荐中标候选人，或根据招标人授权直接确定中标人，但投标报价低于其成本的除外。综合评分相等时，按照评标办法前附表的规定确定中标候选人顺序。</w:t>
      </w:r>
    </w:p>
    <w:p>
      <w:pPr>
        <w:pStyle w:val="100"/>
        <w:keepNext w:val="0"/>
        <w:keepLines w:val="0"/>
        <w:pageBreakBefore w:val="0"/>
        <w:widowControl w:val="0"/>
        <w:kinsoku/>
        <w:overflowPunct/>
        <w:bidi w:val="0"/>
        <w:spacing w:before="120" w:after="0" w:line="360" w:lineRule="auto"/>
        <w:outlineLvl w:val="1"/>
        <w:rPr>
          <w:rStyle w:val="63"/>
          <w:rFonts w:ascii="宋体" w:hAnsi="宋体"/>
          <w:color w:val="auto"/>
          <w:spacing w:val="0"/>
          <w:sz w:val="24"/>
          <w:szCs w:val="24"/>
          <w:highlight w:val="none"/>
        </w:rPr>
      </w:pPr>
      <w:bookmarkStart w:id="290" w:name="_Toc21800"/>
      <w:bookmarkStart w:id="291" w:name="_Toc14177"/>
      <w:bookmarkStart w:id="292" w:name="_Toc3807"/>
      <w:bookmarkStart w:id="293" w:name="_Toc23661"/>
      <w:r>
        <w:rPr>
          <w:rStyle w:val="63"/>
          <w:rFonts w:ascii="宋体" w:hAnsi="宋体"/>
          <w:color w:val="auto"/>
          <w:spacing w:val="0"/>
          <w:sz w:val="24"/>
          <w:szCs w:val="24"/>
          <w:highlight w:val="none"/>
        </w:rPr>
        <w:t>2. 评审标准</w:t>
      </w:r>
      <w:bookmarkEnd w:id="290"/>
      <w:bookmarkEnd w:id="291"/>
      <w:bookmarkEnd w:id="292"/>
      <w:bookmarkEnd w:id="293"/>
    </w:p>
    <w:p>
      <w:pPr>
        <w:pStyle w:val="93"/>
        <w:keepNext w:val="0"/>
        <w:keepLines w:val="0"/>
        <w:pageBreakBefore w:val="0"/>
        <w:widowControl w:val="0"/>
        <w:kinsoku/>
        <w:overflowPunct/>
        <w:bidi w:val="0"/>
        <w:spacing w:before="0" w:after="0" w:line="360" w:lineRule="auto"/>
        <w:ind w:firstLine="482" w:firstLineChars="200"/>
        <w:outlineLvl w:val="2"/>
        <w:rPr>
          <w:rStyle w:val="63"/>
          <w:rFonts w:ascii="宋体" w:hAnsi="宋体"/>
          <w:b/>
          <w:bCs/>
          <w:color w:val="auto"/>
          <w:spacing w:val="0"/>
          <w:sz w:val="24"/>
          <w:szCs w:val="24"/>
          <w:highlight w:val="none"/>
        </w:rPr>
      </w:pPr>
      <w:bookmarkStart w:id="294" w:name="_Toc21711"/>
      <w:bookmarkStart w:id="295" w:name="_Toc10439"/>
      <w:bookmarkStart w:id="296" w:name="_Toc3751"/>
      <w:bookmarkStart w:id="297" w:name="_Toc32553"/>
      <w:r>
        <w:rPr>
          <w:rStyle w:val="63"/>
          <w:rFonts w:ascii="宋体" w:hAnsi="宋体"/>
          <w:b/>
          <w:bCs/>
          <w:color w:val="auto"/>
          <w:spacing w:val="0"/>
          <w:sz w:val="24"/>
          <w:szCs w:val="24"/>
          <w:highlight w:val="none"/>
        </w:rPr>
        <w:t>2.1 初步评审标准</w:t>
      </w:r>
      <w:bookmarkEnd w:id="294"/>
      <w:bookmarkEnd w:id="295"/>
      <w:bookmarkEnd w:id="296"/>
      <w:bookmarkEnd w:id="297"/>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2.1.1 形式评审标准：见评标办法前附表。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2.1.2 资格评审标准：见评标办法前附表。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2.1.3 响应性评审标准：见评标办法前附表。</w:t>
      </w:r>
    </w:p>
    <w:p>
      <w:pPr>
        <w:pStyle w:val="93"/>
        <w:keepNext w:val="0"/>
        <w:keepLines w:val="0"/>
        <w:pageBreakBefore w:val="0"/>
        <w:widowControl w:val="0"/>
        <w:kinsoku/>
        <w:overflowPunct/>
        <w:bidi w:val="0"/>
        <w:spacing w:before="0" w:after="0" w:line="360" w:lineRule="auto"/>
        <w:ind w:firstLine="482" w:firstLineChars="200"/>
        <w:outlineLvl w:val="2"/>
        <w:rPr>
          <w:rStyle w:val="63"/>
          <w:rFonts w:ascii="宋体" w:hAnsi="宋体"/>
          <w:b/>
          <w:bCs/>
          <w:color w:val="auto"/>
          <w:spacing w:val="0"/>
          <w:sz w:val="24"/>
          <w:szCs w:val="24"/>
          <w:highlight w:val="none"/>
        </w:rPr>
      </w:pPr>
      <w:bookmarkStart w:id="298" w:name="_Toc23872"/>
      <w:bookmarkStart w:id="299" w:name="_Toc28068"/>
      <w:bookmarkStart w:id="300" w:name="_Toc22570"/>
      <w:bookmarkStart w:id="301" w:name="_Toc21205"/>
      <w:r>
        <w:rPr>
          <w:rStyle w:val="63"/>
          <w:rFonts w:ascii="宋体" w:hAnsi="宋体"/>
          <w:b/>
          <w:bCs/>
          <w:color w:val="auto"/>
          <w:spacing w:val="0"/>
          <w:sz w:val="24"/>
          <w:szCs w:val="24"/>
          <w:highlight w:val="none"/>
        </w:rPr>
        <w:t>2.2 分值构成与评分标准</w:t>
      </w:r>
      <w:bookmarkEnd w:id="298"/>
      <w:bookmarkEnd w:id="299"/>
      <w:bookmarkEnd w:id="300"/>
      <w:bookmarkEnd w:id="301"/>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2.2.1 分值构成</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w:t>
      </w:r>
      <w:r>
        <w:rPr>
          <w:rFonts w:hint="eastAsia" w:ascii="宋体" w:hAnsi="宋体" w:cs="宋体"/>
          <w:color w:val="auto"/>
          <w:spacing w:val="0"/>
          <w:sz w:val="24"/>
          <w:szCs w:val="24"/>
          <w:highlight w:val="none"/>
        </w:rPr>
        <w:t>项目业绩</w:t>
      </w:r>
      <w:r>
        <w:rPr>
          <w:rStyle w:val="63"/>
          <w:rFonts w:ascii="宋体" w:hAnsi="宋体"/>
          <w:color w:val="auto"/>
          <w:spacing w:val="0"/>
          <w:sz w:val="24"/>
          <w:szCs w:val="24"/>
          <w:highlight w:val="none"/>
        </w:rPr>
        <w:t>：见评标办法前附表；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（2）</w:t>
      </w:r>
      <w:r>
        <w:rPr>
          <w:rFonts w:hint="eastAsia" w:ascii="宋体" w:hAnsi="宋体" w:eastAsia="宋体" w:cs="宋体"/>
          <w:color w:val="auto"/>
          <w:spacing w:val="0"/>
          <w:sz w:val="24"/>
          <w:szCs w:val="24"/>
          <w:highlight w:val="none"/>
          <w:lang w:val="en-US" w:eastAsia="zh-CN"/>
        </w:rPr>
        <w:t>投入人员资历</w:t>
      </w:r>
      <w:r>
        <w:rPr>
          <w:rStyle w:val="63"/>
          <w:rFonts w:ascii="宋体" w:hAnsi="宋体"/>
          <w:color w:val="auto"/>
          <w:spacing w:val="0"/>
          <w:sz w:val="24"/>
          <w:szCs w:val="24"/>
          <w:highlight w:val="none"/>
        </w:rPr>
        <w:t>：见评标办法前附表；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w:t>
      </w:r>
      <w:r>
        <w:rPr>
          <w:rFonts w:hint="eastAsia" w:ascii="宋体" w:hAnsi="宋体" w:cs="宋体"/>
          <w:color w:val="auto"/>
          <w:spacing w:val="0"/>
          <w:sz w:val="24"/>
          <w:szCs w:val="24"/>
          <w:highlight w:val="none"/>
        </w:rPr>
        <w:t>企业获奖</w:t>
      </w:r>
      <w:r>
        <w:rPr>
          <w:rStyle w:val="63"/>
          <w:rFonts w:ascii="宋体" w:hAnsi="宋体"/>
          <w:color w:val="auto"/>
          <w:spacing w:val="0"/>
          <w:sz w:val="24"/>
          <w:szCs w:val="24"/>
          <w:highlight w:val="none"/>
        </w:rPr>
        <w:t>：见评标办法前附表；</w:t>
      </w:r>
    </w:p>
    <w:p>
      <w:pPr>
        <w:pStyle w:val="34"/>
        <w:keepNext w:val="0"/>
        <w:keepLines w:val="0"/>
        <w:pageBreakBefore w:val="0"/>
        <w:widowControl w:val="0"/>
        <w:kinsoku/>
        <w:overflowPunct/>
        <w:bidi w:val="0"/>
        <w:ind w:firstLine="480"/>
        <w:rPr>
          <w:color w:val="auto"/>
          <w:spacing w:val="0"/>
          <w:highlight w:val="none"/>
        </w:rPr>
      </w:pPr>
      <w:r>
        <w:rPr>
          <w:rStyle w:val="63"/>
          <w:rFonts w:hint="eastAsia" w:ascii="宋体" w:hAnsi="宋体"/>
          <w:color w:val="auto"/>
          <w:spacing w:val="0"/>
          <w:sz w:val="24"/>
          <w:szCs w:val="24"/>
          <w:highlight w:val="none"/>
        </w:rPr>
        <w:t>（</w:t>
      </w:r>
      <w:r>
        <w:rPr>
          <w:rStyle w:val="63"/>
          <w:rFonts w:hint="eastAsia" w:ascii="宋体" w:hAnsi="宋体"/>
          <w:color w:val="auto"/>
          <w:spacing w:val="0"/>
          <w:sz w:val="24"/>
          <w:szCs w:val="24"/>
          <w:highlight w:val="none"/>
          <w:lang w:val="en-US"/>
        </w:rPr>
        <w:t>4</w:t>
      </w:r>
      <w:r>
        <w:rPr>
          <w:rStyle w:val="63"/>
          <w:rFonts w:hint="eastAsia" w:ascii="宋体" w:hAnsi="宋体"/>
          <w:color w:val="auto"/>
          <w:spacing w:val="0"/>
          <w:sz w:val="24"/>
          <w:szCs w:val="24"/>
          <w:highlight w:val="none"/>
        </w:rPr>
        <w:t>）</w:t>
      </w:r>
      <w:r>
        <w:rPr>
          <w:rFonts w:hint="eastAsia" w:ascii="宋体" w:hAnsi="宋体" w:cs="宋体"/>
          <w:color w:val="auto"/>
          <w:spacing w:val="0"/>
          <w:sz w:val="24"/>
          <w:szCs w:val="24"/>
          <w:highlight w:val="none"/>
        </w:rPr>
        <w:t>企业综合能力</w:t>
      </w:r>
      <w:r>
        <w:rPr>
          <w:rStyle w:val="63"/>
          <w:rFonts w:ascii="宋体" w:hAnsi="宋体"/>
          <w:color w:val="auto"/>
          <w:spacing w:val="0"/>
          <w:sz w:val="24"/>
          <w:szCs w:val="24"/>
          <w:highlight w:val="none"/>
        </w:rPr>
        <w:t>：见评标办法前附表；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w:t>
      </w:r>
      <w:r>
        <w:rPr>
          <w:rStyle w:val="63"/>
          <w:rFonts w:hint="eastAsia" w:ascii="宋体" w:hAnsi="宋体"/>
          <w:color w:val="auto"/>
          <w:spacing w:val="0"/>
          <w:sz w:val="24"/>
          <w:szCs w:val="24"/>
          <w:highlight w:val="none"/>
          <w:lang w:val="en-US"/>
        </w:rPr>
        <w:t>5</w:t>
      </w:r>
      <w:r>
        <w:rPr>
          <w:rStyle w:val="63"/>
          <w:rFonts w:ascii="宋体" w:hAnsi="宋体"/>
          <w:color w:val="auto"/>
          <w:spacing w:val="0"/>
          <w:sz w:val="24"/>
          <w:szCs w:val="24"/>
          <w:highlight w:val="none"/>
        </w:rPr>
        <w:t>）</w:t>
      </w:r>
      <w:r>
        <w:rPr>
          <w:rStyle w:val="63"/>
          <w:rFonts w:hint="eastAsia" w:ascii="宋体" w:hAnsi="宋体"/>
          <w:color w:val="auto"/>
          <w:spacing w:val="0"/>
          <w:sz w:val="24"/>
          <w:szCs w:val="24"/>
          <w:highlight w:val="none"/>
          <w:lang w:val="en-US"/>
        </w:rPr>
        <w:t>施工图审查服务方案</w:t>
      </w:r>
      <w:r>
        <w:rPr>
          <w:rStyle w:val="63"/>
          <w:rFonts w:ascii="宋体" w:hAnsi="宋体"/>
          <w:color w:val="auto"/>
          <w:spacing w:val="0"/>
          <w:sz w:val="24"/>
          <w:szCs w:val="24"/>
          <w:highlight w:val="none"/>
        </w:rPr>
        <w:t>：见评标办法前附表。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w:t>
      </w:r>
      <w:r>
        <w:rPr>
          <w:rStyle w:val="63"/>
          <w:rFonts w:hint="eastAsia" w:ascii="宋体" w:hAnsi="宋体"/>
          <w:color w:val="auto"/>
          <w:spacing w:val="0"/>
          <w:sz w:val="24"/>
          <w:szCs w:val="24"/>
          <w:highlight w:val="none"/>
          <w:lang w:val="en-US"/>
        </w:rPr>
        <w:t>6</w:t>
      </w:r>
      <w:r>
        <w:rPr>
          <w:rStyle w:val="63"/>
          <w:rFonts w:ascii="宋体" w:hAnsi="宋体"/>
          <w:color w:val="auto"/>
          <w:spacing w:val="0"/>
          <w:sz w:val="24"/>
          <w:szCs w:val="24"/>
          <w:highlight w:val="none"/>
        </w:rPr>
        <w:t>）</w:t>
      </w:r>
      <w:r>
        <w:rPr>
          <w:rStyle w:val="63"/>
          <w:rFonts w:hint="eastAsia" w:ascii="宋体" w:hAnsi="宋体"/>
          <w:color w:val="auto"/>
          <w:spacing w:val="0"/>
          <w:sz w:val="24"/>
          <w:szCs w:val="24"/>
          <w:highlight w:val="none"/>
          <w:lang w:val="en-US"/>
        </w:rPr>
        <w:t>投标报价</w:t>
      </w:r>
      <w:r>
        <w:rPr>
          <w:rStyle w:val="63"/>
          <w:rFonts w:ascii="宋体" w:hAnsi="宋体"/>
          <w:color w:val="auto"/>
          <w:spacing w:val="0"/>
          <w:sz w:val="24"/>
          <w:szCs w:val="24"/>
          <w:highlight w:val="none"/>
        </w:rPr>
        <w:t>：见评标办法前附表。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2.2.2 评标基准价计算</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评标基准价计算方法：见评标办法前附表。</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2.2.3 投标报价的偏差率计算</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投标报价的偏差率计算公式：见评标办法前附表。</w:t>
      </w:r>
    </w:p>
    <w:p>
      <w:pPr>
        <w:keepNext w:val="0"/>
        <w:keepLines w:val="0"/>
        <w:pageBreakBefore w:val="0"/>
        <w:widowControl w:val="0"/>
        <w:kinsoku/>
        <w:overflowPunct/>
        <w:bidi w:val="0"/>
        <w:spacing w:line="360" w:lineRule="auto"/>
        <w:ind w:firstLine="480" w:firstLineChars="200"/>
        <w:rPr>
          <w:rStyle w:val="63"/>
          <w:rFonts w:hint="default" w:ascii="宋体" w:hAnsi="宋体"/>
          <w:color w:val="auto"/>
          <w:spacing w:val="0"/>
          <w:sz w:val="24"/>
          <w:szCs w:val="24"/>
          <w:highlight w:val="none"/>
          <w:lang w:val="en-US"/>
        </w:rPr>
      </w:pPr>
      <w:r>
        <w:rPr>
          <w:rStyle w:val="63"/>
          <w:rFonts w:ascii="宋体" w:hAnsi="宋体"/>
          <w:color w:val="auto"/>
          <w:spacing w:val="0"/>
          <w:sz w:val="24"/>
          <w:szCs w:val="24"/>
          <w:highlight w:val="none"/>
        </w:rPr>
        <w:t xml:space="preserve">2.2.4 </w:t>
      </w:r>
      <w:r>
        <w:rPr>
          <w:rStyle w:val="63"/>
          <w:rFonts w:hint="eastAsia" w:ascii="宋体" w:hAnsi="宋体"/>
          <w:color w:val="auto"/>
          <w:spacing w:val="0"/>
          <w:sz w:val="24"/>
          <w:szCs w:val="24"/>
          <w:highlight w:val="none"/>
          <w:lang w:val="en-US"/>
        </w:rPr>
        <w:t>投标报价得分</w:t>
      </w:r>
    </w:p>
    <w:p>
      <w:pPr>
        <w:pStyle w:val="84"/>
        <w:keepNext w:val="0"/>
        <w:keepLines w:val="0"/>
        <w:pageBreakBefore w:val="0"/>
        <w:widowControl w:val="0"/>
        <w:kinsoku/>
        <w:overflowPunct/>
        <w:bidi w:val="0"/>
        <w:rPr>
          <w:rStyle w:val="63"/>
          <w:rFonts w:hint="default" w:ascii="宋体" w:hAnsi="宋体"/>
          <w:color w:val="auto"/>
          <w:spacing w:val="0"/>
          <w:sz w:val="24"/>
          <w:szCs w:val="24"/>
          <w:highlight w:val="none"/>
          <w:lang w:val="en-US"/>
        </w:rPr>
      </w:pPr>
      <w:r>
        <w:rPr>
          <w:rStyle w:val="63"/>
          <w:rFonts w:hint="eastAsia" w:ascii="宋体" w:hAnsi="宋体"/>
          <w:color w:val="auto"/>
          <w:spacing w:val="0"/>
          <w:sz w:val="24"/>
          <w:szCs w:val="24"/>
          <w:highlight w:val="none"/>
          <w:lang w:val="en-US"/>
        </w:rPr>
        <w:t>价格部分评分标准</w:t>
      </w:r>
      <w:r>
        <w:rPr>
          <w:rStyle w:val="63"/>
          <w:rFonts w:ascii="宋体" w:hAnsi="宋体"/>
          <w:color w:val="auto"/>
          <w:spacing w:val="0"/>
          <w:sz w:val="24"/>
          <w:szCs w:val="24"/>
          <w:highlight w:val="none"/>
        </w:rPr>
        <w:t>：见评标办法前附表；</w:t>
      </w:r>
    </w:p>
    <w:p>
      <w:pPr>
        <w:pStyle w:val="100"/>
        <w:keepNext w:val="0"/>
        <w:keepLines w:val="0"/>
        <w:pageBreakBefore w:val="0"/>
        <w:widowControl w:val="0"/>
        <w:kinsoku/>
        <w:overflowPunct/>
        <w:bidi w:val="0"/>
        <w:spacing w:before="120" w:after="0" w:line="360" w:lineRule="auto"/>
        <w:outlineLvl w:val="1"/>
        <w:rPr>
          <w:rStyle w:val="63"/>
          <w:rFonts w:ascii="宋体" w:hAnsi="宋体"/>
          <w:color w:val="auto"/>
          <w:spacing w:val="0"/>
          <w:sz w:val="24"/>
          <w:szCs w:val="24"/>
          <w:highlight w:val="none"/>
        </w:rPr>
      </w:pPr>
      <w:bookmarkStart w:id="302" w:name="_Toc22567"/>
      <w:bookmarkStart w:id="303" w:name="_Toc11518"/>
      <w:bookmarkStart w:id="304" w:name="_Toc29637"/>
      <w:bookmarkStart w:id="305" w:name="_Toc25595"/>
      <w:r>
        <w:rPr>
          <w:rStyle w:val="63"/>
          <w:rFonts w:ascii="宋体" w:hAnsi="宋体"/>
          <w:color w:val="auto"/>
          <w:spacing w:val="0"/>
          <w:sz w:val="24"/>
          <w:szCs w:val="24"/>
          <w:highlight w:val="none"/>
        </w:rPr>
        <w:t>3. 评标程序</w:t>
      </w:r>
      <w:bookmarkEnd w:id="302"/>
      <w:bookmarkEnd w:id="303"/>
      <w:bookmarkEnd w:id="304"/>
      <w:bookmarkEnd w:id="305"/>
    </w:p>
    <w:p>
      <w:pPr>
        <w:pStyle w:val="93"/>
        <w:keepNext w:val="0"/>
        <w:keepLines w:val="0"/>
        <w:pageBreakBefore w:val="0"/>
        <w:widowControl w:val="0"/>
        <w:kinsoku/>
        <w:overflowPunct/>
        <w:bidi w:val="0"/>
        <w:spacing w:before="0" w:after="0" w:line="360" w:lineRule="auto"/>
        <w:ind w:firstLine="482" w:firstLineChars="200"/>
        <w:outlineLvl w:val="2"/>
        <w:rPr>
          <w:rStyle w:val="63"/>
          <w:rFonts w:ascii="宋体" w:hAnsi="宋体"/>
          <w:b/>
          <w:bCs/>
          <w:color w:val="auto"/>
          <w:spacing w:val="0"/>
          <w:sz w:val="24"/>
          <w:szCs w:val="24"/>
          <w:highlight w:val="none"/>
        </w:rPr>
      </w:pPr>
      <w:bookmarkStart w:id="306" w:name="_Toc27537"/>
      <w:bookmarkStart w:id="307" w:name="_Toc13331"/>
      <w:bookmarkStart w:id="308" w:name="_Toc9753"/>
      <w:bookmarkStart w:id="309" w:name="_Toc11449"/>
      <w:r>
        <w:rPr>
          <w:rStyle w:val="63"/>
          <w:rFonts w:ascii="宋体" w:hAnsi="宋体"/>
          <w:b/>
          <w:bCs/>
          <w:color w:val="auto"/>
          <w:spacing w:val="0"/>
          <w:sz w:val="24"/>
          <w:szCs w:val="24"/>
          <w:highlight w:val="none"/>
        </w:rPr>
        <w:t>3.1 初步评审</w:t>
      </w:r>
      <w:bookmarkEnd w:id="306"/>
      <w:bookmarkEnd w:id="307"/>
      <w:bookmarkEnd w:id="308"/>
      <w:bookmarkEnd w:id="309"/>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3.1.2 投标人有以下情形之一的，评标委员会应当否决其投标：</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（1）投标文件没有对招标文件的实质性要求和条件作出响应，或者对招标文件的偏差超出招标文件规定的偏差范围或最高项数；</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（2）有串通投标、弄虚作假、行贿等违法行为。</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（1）投标文件中的大写金额与小写金额不一致的，以大写金额为准；</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（2）总价金额与单价金额不一致的，以单价金额为准，但单价金额小数点有明显错误的除外。</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3.1.4 只有通过初步评审的投标人才能进入下一阶段详细评审。当通过初步评审的有效投标人不足三名时，招标人应当依法重新组织招标。</w:t>
      </w:r>
      <w:r>
        <w:rPr>
          <w:rStyle w:val="63"/>
          <w:rFonts w:hint="eastAsia" w:ascii="宋体" w:hAnsi="宋体"/>
          <w:color w:val="auto"/>
          <w:spacing w:val="0"/>
          <w:sz w:val="24"/>
          <w:szCs w:val="24"/>
          <w:highlight w:val="none"/>
        </w:rPr>
        <w:t>在进行形式评审、资格评审、响应性评审过程中，若评委意见不一致时，则按少数服从多数的原则，决定该投标人是否通过相应阶段的评审，进入下一阶段评审。</w:t>
      </w:r>
    </w:p>
    <w:p>
      <w:pPr>
        <w:pStyle w:val="93"/>
        <w:keepNext w:val="0"/>
        <w:keepLines w:val="0"/>
        <w:pageBreakBefore w:val="0"/>
        <w:widowControl w:val="0"/>
        <w:kinsoku/>
        <w:overflowPunct/>
        <w:bidi w:val="0"/>
        <w:spacing w:before="0" w:after="0" w:line="360" w:lineRule="auto"/>
        <w:ind w:firstLine="482" w:firstLineChars="200"/>
        <w:outlineLvl w:val="2"/>
        <w:rPr>
          <w:rStyle w:val="63"/>
          <w:rFonts w:ascii="宋体" w:hAnsi="宋体"/>
          <w:b/>
          <w:bCs/>
          <w:color w:val="auto"/>
          <w:spacing w:val="0"/>
          <w:sz w:val="24"/>
          <w:szCs w:val="24"/>
          <w:highlight w:val="none"/>
        </w:rPr>
      </w:pPr>
      <w:bookmarkStart w:id="310" w:name="_Toc15319"/>
      <w:bookmarkStart w:id="311" w:name="_Toc23841"/>
      <w:bookmarkStart w:id="312" w:name="_Toc17050"/>
      <w:bookmarkStart w:id="313" w:name="_Toc15461"/>
      <w:r>
        <w:rPr>
          <w:rStyle w:val="63"/>
          <w:rFonts w:ascii="宋体" w:hAnsi="宋体"/>
          <w:b/>
          <w:bCs/>
          <w:color w:val="auto"/>
          <w:spacing w:val="0"/>
          <w:sz w:val="24"/>
          <w:szCs w:val="24"/>
          <w:highlight w:val="none"/>
        </w:rPr>
        <w:t>3.2 详细评审</w:t>
      </w:r>
      <w:bookmarkEnd w:id="310"/>
      <w:bookmarkEnd w:id="311"/>
      <w:bookmarkEnd w:id="312"/>
      <w:bookmarkEnd w:id="313"/>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3.2.1 评标委员会按本章第2.2款规定的量化因素和分值进行打分，并计算出综合评估得分</w:t>
      </w:r>
      <w:r>
        <w:rPr>
          <w:rStyle w:val="63"/>
          <w:rFonts w:hint="eastAsia" w:ascii="宋体" w:hAnsi="宋体"/>
          <w:color w:val="auto"/>
          <w:spacing w:val="0"/>
          <w:sz w:val="24"/>
          <w:szCs w:val="24"/>
          <w:highlight w:val="none"/>
        </w:rPr>
        <w:t>，</w:t>
      </w:r>
      <w:r>
        <w:rPr>
          <w:rStyle w:val="63"/>
          <w:rFonts w:hint="eastAsia" w:ascii="宋体" w:hAnsi="宋体"/>
          <w:color w:val="auto"/>
          <w:spacing w:val="0"/>
          <w:sz w:val="24"/>
          <w:szCs w:val="24"/>
          <w:highlight w:val="none"/>
          <w:lang w:val="en-US"/>
        </w:rPr>
        <w:t>详见本章附表四：《综合评分表》</w:t>
      </w:r>
      <w:r>
        <w:rPr>
          <w:rStyle w:val="63"/>
          <w:rFonts w:ascii="宋体" w:hAnsi="宋体"/>
          <w:color w:val="auto"/>
          <w:spacing w:val="0"/>
          <w:sz w:val="24"/>
          <w:szCs w:val="24"/>
          <w:highlight w:val="none"/>
        </w:rPr>
        <w:t>。</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3.2.2 评分分值计算保留小数点后两位，小数点后第三位“四舍五入”。投标人得分为</w:t>
      </w:r>
      <w:r>
        <w:rPr>
          <w:rStyle w:val="63"/>
          <w:rFonts w:hint="eastAsia" w:ascii="宋体" w:hAnsi="宋体"/>
          <w:color w:val="auto"/>
          <w:spacing w:val="0"/>
          <w:sz w:val="24"/>
          <w:szCs w:val="24"/>
          <w:highlight w:val="none"/>
        </w:rPr>
        <w:t>各评委的总分去掉一个最高分和一个最低分后计取的算术平均分</w:t>
      </w:r>
      <w:r>
        <w:rPr>
          <w:rStyle w:val="63"/>
          <w:rFonts w:ascii="宋体" w:hAnsi="宋体"/>
          <w:color w:val="auto"/>
          <w:spacing w:val="0"/>
          <w:sz w:val="24"/>
          <w:szCs w:val="24"/>
          <w:highlight w:val="none"/>
        </w:rPr>
        <w:t>。</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 xml:space="preserve">3.2.3 </w:t>
      </w:r>
      <w:r>
        <w:rPr>
          <w:rStyle w:val="63"/>
          <w:rFonts w:hint="eastAsia" w:ascii="宋体" w:hAnsi="宋体"/>
          <w:color w:val="auto"/>
          <w:spacing w:val="0"/>
          <w:sz w:val="24"/>
          <w:szCs w:val="24"/>
          <w:highlight w:val="none"/>
        </w:rPr>
        <w:t>投标人总得分=A+B+C。</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93"/>
        <w:keepNext w:val="0"/>
        <w:keepLines w:val="0"/>
        <w:pageBreakBefore w:val="0"/>
        <w:widowControl w:val="0"/>
        <w:kinsoku/>
        <w:overflowPunct/>
        <w:bidi w:val="0"/>
        <w:spacing w:before="0" w:after="0" w:line="360" w:lineRule="auto"/>
        <w:ind w:firstLine="482" w:firstLineChars="200"/>
        <w:outlineLvl w:val="2"/>
        <w:rPr>
          <w:rStyle w:val="63"/>
          <w:rFonts w:ascii="宋体" w:hAnsi="宋体"/>
          <w:b/>
          <w:bCs/>
          <w:color w:val="auto"/>
          <w:spacing w:val="0"/>
          <w:sz w:val="24"/>
          <w:szCs w:val="24"/>
          <w:highlight w:val="none"/>
        </w:rPr>
      </w:pPr>
      <w:bookmarkStart w:id="314" w:name="_Toc2214"/>
      <w:bookmarkStart w:id="315" w:name="_Toc26034"/>
      <w:bookmarkStart w:id="316" w:name="_Toc8802"/>
      <w:bookmarkStart w:id="317" w:name="_Toc4640"/>
      <w:r>
        <w:rPr>
          <w:rStyle w:val="63"/>
          <w:rFonts w:ascii="宋体" w:hAnsi="宋体"/>
          <w:b/>
          <w:bCs/>
          <w:color w:val="auto"/>
          <w:spacing w:val="0"/>
          <w:sz w:val="24"/>
          <w:szCs w:val="24"/>
          <w:highlight w:val="none"/>
        </w:rPr>
        <w:t>3.3 投标文件的澄清</w:t>
      </w:r>
      <w:bookmarkEnd w:id="314"/>
      <w:bookmarkEnd w:id="315"/>
      <w:bookmarkEnd w:id="316"/>
      <w:bookmarkEnd w:id="317"/>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3.3.2 澄清、说明或补正不得超出投标文件的范围且不得改变投标文件的实质性内容，并构成投标文件的组成部分。</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3.3.3 评标委员会对投标人提交的澄清、说明或补正有疑问的，可以要求投标人进一步澄清、说明或补正，直至满足评标委员会的要求。</w:t>
      </w:r>
    </w:p>
    <w:p>
      <w:pPr>
        <w:pStyle w:val="93"/>
        <w:keepNext w:val="0"/>
        <w:keepLines w:val="0"/>
        <w:pageBreakBefore w:val="0"/>
        <w:widowControl w:val="0"/>
        <w:kinsoku/>
        <w:overflowPunct/>
        <w:bidi w:val="0"/>
        <w:spacing w:before="0" w:after="0" w:line="360" w:lineRule="auto"/>
        <w:ind w:firstLine="482" w:firstLineChars="200"/>
        <w:outlineLvl w:val="2"/>
        <w:rPr>
          <w:rStyle w:val="63"/>
          <w:rFonts w:ascii="宋体" w:hAnsi="宋体"/>
          <w:b/>
          <w:bCs/>
          <w:color w:val="auto"/>
          <w:spacing w:val="0"/>
          <w:sz w:val="24"/>
          <w:szCs w:val="24"/>
          <w:highlight w:val="none"/>
        </w:rPr>
      </w:pPr>
      <w:bookmarkStart w:id="318" w:name="_Toc14833"/>
      <w:bookmarkStart w:id="319" w:name="_Toc15346"/>
      <w:bookmarkStart w:id="320" w:name="_Toc20783"/>
      <w:bookmarkStart w:id="321" w:name="_Toc16109"/>
      <w:r>
        <w:rPr>
          <w:rStyle w:val="63"/>
          <w:rFonts w:ascii="宋体" w:hAnsi="宋体"/>
          <w:b/>
          <w:bCs/>
          <w:color w:val="auto"/>
          <w:spacing w:val="0"/>
          <w:sz w:val="24"/>
          <w:szCs w:val="24"/>
          <w:highlight w:val="none"/>
        </w:rPr>
        <w:t>3.4 评标结果</w:t>
      </w:r>
      <w:bookmarkEnd w:id="318"/>
      <w:bookmarkEnd w:id="319"/>
      <w:bookmarkEnd w:id="320"/>
      <w:bookmarkEnd w:id="321"/>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3.4.1 除第二章“投标人须知”前附表授权直接确定中标人外，评标委员会按照得分由高到低的顺序推荐中标候选人，并标明排序。</w:t>
      </w:r>
    </w:p>
    <w:p>
      <w:pPr>
        <w:keepNext w:val="0"/>
        <w:keepLines w:val="0"/>
        <w:pageBreakBefore w:val="0"/>
        <w:widowControl w:val="0"/>
        <w:kinsoku/>
        <w:overflowPunct/>
        <w:bidi w:val="0"/>
        <w:spacing w:line="360" w:lineRule="auto"/>
        <w:ind w:firstLine="480" w:firstLineChars="200"/>
        <w:rPr>
          <w:rStyle w:val="63"/>
          <w:rFonts w:ascii="宋体" w:hAnsi="宋体"/>
          <w:color w:val="auto"/>
          <w:spacing w:val="0"/>
          <w:sz w:val="24"/>
          <w:szCs w:val="24"/>
          <w:highlight w:val="none"/>
        </w:rPr>
      </w:pPr>
      <w:r>
        <w:rPr>
          <w:rStyle w:val="63"/>
          <w:rFonts w:ascii="宋体" w:hAnsi="宋体"/>
          <w:color w:val="auto"/>
          <w:spacing w:val="0"/>
          <w:sz w:val="24"/>
          <w:szCs w:val="24"/>
          <w:highlight w:val="none"/>
        </w:rPr>
        <w:t>3.4.2 评标委员会完成评标后，应当向招标人提交书面评标报告和中标候选人名单。</w:t>
      </w:r>
    </w:p>
    <w:p>
      <w:pPr>
        <w:pStyle w:val="2"/>
        <w:ind w:left="0" w:leftChars="0" w:firstLine="0" w:firstLineChars="0"/>
        <w:rPr>
          <w:rFonts w:hint="eastAsia"/>
          <w:color w:val="auto"/>
        </w:rPr>
      </w:pPr>
    </w:p>
    <w:p>
      <w:pPr>
        <w:pStyle w:val="2"/>
        <w:ind w:left="0" w:leftChars="0" w:firstLine="0" w:firstLineChars="0"/>
        <w:rPr>
          <w:rFonts w:hint="eastAsia" w:ascii="Times New Roman" w:hAnsi="Times New Roman" w:eastAsia="宋体" w:cs="Times New Roman"/>
          <w:color w:val="auto"/>
        </w:rPr>
      </w:pPr>
      <w:bookmarkStart w:id="322" w:name="_Toc91"/>
      <w:bookmarkStart w:id="323" w:name="_Toc24029"/>
      <w:bookmarkStart w:id="324" w:name="_Toc16009"/>
      <w:bookmarkStart w:id="325" w:name="_Toc21090"/>
      <w:r>
        <w:rPr>
          <w:rFonts w:hint="eastAsia" w:ascii="Times New Roman" w:hAnsi="Times New Roman" w:eastAsia="宋体" w:cs="Times New Roman"/>
          <w:color w:val="auto"/>
        </w:rPr>
        <w:br w:type="page"/>
      </w:r>
    </w:p>
    <w:p>
      <w:pPr>
        <w:pStyle w:val="4"/>
        <w:keepNext w:val="0"/>
        <w:keepLines w:val="0"/>
        <w:pageBreakBefore w:val="0"/>
        <w:widowControl w:val="0"/>
        <w:kinsoku/>
        <w:wordWrap/>
        <w:overflowPunct/>
        <w:topLinePunct w:val="0"/>
        <w:autoSpaceDE/>
        <w:autoSpaceDN/>
        <w:bidi w:val="0"/>
        <w:adjustRightInd/>
        <w:snapToGrid/>
        <w:textAlignment w:val="baseline"/>
        <w:rPr>
          <w:rFonts w:hint="eastAsia"/>
          <w:b/>
          <w:bCs/>
          <w:color w:val="auto"/>
          <w:spacing w:val="0"/>
          <w:highlight w:val="none"/>
        </w:rPr>
      </w:pPr>
      <w:r>
        <w:rPr>
          <w:rFonts w:hint="eastAsia"/>
          <w:b/>
          <w:bCs/>
          <w:color w:val="auto"/>
          <w:spacing w:val="0"/>
          <w:highlight w:val="none"/>
        </w:rPr>
        <w:t>附表一：形式评审表</w:t>
      </w:r>
      <w:bookmarkEnd w:id="322"/>
      <w:bookmarkEnd w:id="323"/>
      <w:bookmarkEnd w:id="324"/>
      <w:bookmarkEnd w:id="325"/>
    </w:p>
    <w:p>
      <w:pPr>
        <w:keepNext w:val="0"/>
        <w:keepLines w:val="0"/>
        <w:pageBreakBefore w:val="0"/>
        <w:widowControl w:val="0"/>
        <w:kinsoku/>
        <w:overflowPunct/>
        <w:bidi w:val="0"/>
        <w:spacing w:line="360" w:lineRule="auto"/>
        <w:ind w:firstLine="560" w:firstLineChars="200"/>
        <w:jc w:val="center"/>
        <w:rPr>
          <w:rFonts w:hint="eastAsia" w:ascii="宋体" w:hAnsi="宋体" w:cs="宋体"/>
          <w:color w:val="auto"/>
          <w:spacing w:val="0"/>
          <w:sz w:val="28"/>
          <w:szCs w:val="28"/>
          <w:highlight w:val="none"/>
        </w:rPr>
      </w:pPr>
      <w:r>
        <w:rPr>
          <w:rFonts w:hint="eastAsia" w:ascii="宋体" w:hAnsi="宋体" w:cs="宋体"/>
          <w:color w:val="auto"/>
          <w:spacing w:val="0"/>
          <w:sz w:val="28"/>
          <w:szCs w:val="28"/>
          <w:highlight w:val="none"/>
        </w:rPr>
        <w:t>形式评审表</w:t>
      </w:r>
    </w:p>
    <w:tbl>
      <w:tblPr>
        <w:tblStyle w:val="36"/>
        <w:tblpPr w:leftFromText="180" w:rightFromText="180" w:vertAnchor="text" w:horzAnchor="page" w:tblpX="1688" w:tblpY="835"/>
        <w:tblOverlap w:val="never"/>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4487"/>
        <w:gridCol w:w="761"/>
        <w:gridCol w:w="762"/>
        <w:gridCol w:w="762"/>
        <w:gridCol w:w="76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0"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编号</w:t>
            </w:r>
          </w:p>
        </w:tc>
        <w:tc>
          <w:tcPr>
            <w:tcW w:w="4487" w:type="dxa"/>
            <w:tcBorders>
              <w:tl2br w:val="single" w:color="auto" w:sz="4" w:space="0"/>
            </w:tcBorders>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firstLine="2730" w:firstLineChars="13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投标人名称</w:t>
            </w:r>
          </w:p>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评审项目</w:t>
            </w:r>
          </w:p>
        </w:tc>
        <w:tc>
          <w:tcPr>
            <w:tcW w:w="761"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0"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w:t>
            </w:r>
          </w:p>
        </w:tc>
        <w:tc>
          <w:tcPr>
            <w:tcW w:w="4487"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投标人名称：</w:t>
            </w:r>
          </w:p>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投标人名称与营业执照、资质证书一致；</w:t>
            </w:r>
          </w:p>
        </w:tc>
        <w:tc>
          <w:tcPr>
            <w:tcW w:w="761"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0"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w:t>
            </w:r>
          </w:p>
        </w:tc>
        <w:tc>
          <w:tcPr>
            <w:tcW w:w="4487"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投标函及投标函附录签字盖章</w:t>
            </w:r>
            <w:r>
              <w:rPr>
                <w:rFonts w:hint="eastAsia" w:ascii="宋体" w:hAnsi="宋体" w:eastAsia="宋体" w:cs="宋体"/>
                <w:color w:val="auto"/>
                <w:spacing w:val="0"/>
                <w:sz w:val="21"/>
                <w:szCs w:val="21"/>
                <w:highlight w:val="none"/>
                <w:lang w:eastAsia="zh-CN"/>
              </w:rPr>
              <w:t>：</w:t>
            </w:r>
          </w:p>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有法定代表人或其委托代理人签字或盖章，及加盖单位章。由法定代表人签字的，应附法定代表人身份证明，由代理人签字的，应附授权委托书，身份证明或授权委托书应符合第六章“投标文件格式”的规定；</w:t>
            </w:r>
          </w:p>
        </w:tc>
        <w:tc>
          <w:tcPr>
            <w:tcW w:w="761"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0"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w:t>
            </w:r>
          </w:p>
        </w:tc>
        <w:tc>
          <w:tcPr>
            <w:tcW w:w="4487"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投标文件格式：</w:t>
            </w:r>
          </w:p>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符合第六章“投标文件格式”的规定；</w:t>
            </w:r>
          </w:p>
        </w:tc>
        <w:tc>
          <w:tcPr>
            <w:tcW w:w="761"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0"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w:t>
            </w:r>
          </w:p>
        </w:tc>
        <w:tc>
          <w:tcPr>
            <w:tcW w:w="4487"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联合体投标人：</w:t>
            </w:r>
          </w:p>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本次招标不接受联合体投标</w:t>
            </w:r>
            <w:r>
              <w:rPr>
                <w:rFonts w:hint="eastAsia" w:ascii="宋体" w:hAnsi="宋体" w:eastAsia="宋体" w:cs="宋体"/>
                <w:color w:val="auto"/>
                <w:spacing w:val="0"/>
                <w:sz w:val="21"/>
                <w:szCs w:val="21"/>
                <w:highlight w:val="none"/>
                <w:lang w:eastAsia="zh-CN"/>
              </w:rPr>
              <w:t>；</w:t>
            </w:r>
          </w:p>
        </w:tc>
        <w:tc>
          <w:tcPr>
            <w:tcW w:w="761"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0"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w:t>
            </w:r>
          </w:p>
        </w:tc>
        <w:tc>
          <w:tcPr>
            <w:tcW w:w="4487"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备选投标方案</w:t>
            </w:r>
            <w:r>
              <w:rPr>
                <w:rFonts w:hint="eastAsia" w:ascii="宋体" w:hAnsi="宋体" w:eastAsia="宋体" w:cs="宋体"/>
                <w:color w:val="auto"/>
                <w:spacing w:val="0"/>
                <w:sz w:val="21"/>
                <w:szCs w:val="21"/>
                <w:highlight w:val="none"/>
                <w:lang w:eastAsia="zh-CN"/>
              </w:rPr>
              <w:t>：</w:t>
            </w:r>
          </w:p>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kern w:val="2"/>
                <w:sz w:val="21"/>
                <w:szCs w:val="21"/>
              </w:rPr>
              <w:t>不允许</w:t>
            </w:r>
            <w:r>
              <w:rPr>
                <w:rFonts w:hint="eastAsia" w:ascii="宋体" w:hAnsi="宋体" w:eastAsia="宋体" w:cs="宋体"/>
                <w:color w:val="auto"/>
                <w:spacing w:val="0"/>
                <w:sz w:val="21"/>
                <w:szCs w:val="21"/>
                <w:highlight w:val="none"/>
              </w:rPr>
              <w:t>；</w:t>
            </w:r>
          </w:p>
        </w:tc>
        <w:tc>
          <w:tcPr>
            <w:tcW w:w="761"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0"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6</w:t>
            </w:r>
          </w:p>
        </w:tc>
        <w:tc>
          <w:tcPr>
            <w:tcW w:w="4487"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投标人机器码</w:t>
            </w:r>
            <w:r>
              <w:rPr>
                <w:rFonts w:hint="eastAsia" w:ascii="宋体" w:hAnsi="宋体" w:eastAsia="宋体" w:cs="宋体"/>
                <w:color w:val="auto"/>
                <w:spacing w:val="0"/>
                <w:sz w:val="21"/>
                <w:szCs w:val="21"/>
                <w:highlight w:val="none"/>
                <w:lang w:eastAsia="zh-CN"/>
              </w:rPr>
              <w:t>：</w:t>
            </w:r>
          </w:p>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投标人与本项目其他投标人加密打包投标文件电脑特征码一致的（以广州交易集团有限公司（广州公共资源交易中心）系统的检索信息为准），其投标将被否决。</w:t>
            </w:r>
          </w:p>
        </w:tc>
        <w:tc>
          <w:tcPr>
            <w:tcW w:w="761"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0"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结论</w:t>
            </w:r>
          </w:p>
        </w:tc>
        <w:tc>
          <w:tcPr>
            <w:tcW w:w="4487"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是否通过并进入下一阶段评审</w:t>
            </w:r>
          </w:p>
        </w:tc>
        <w:tc>
          <w:tcPr>
            <w:tcW w:w="761"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762" w:type="dxa"/>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r>
    </w:tbl>
    <w:p>
      <w:pPr>
        <w:keepNext w:val="0"/>
        <w:keepLines w:val="0"/>
        <w:pageBreakBefore w:val="0"/>
        <w:widowControl w:val="0"/>
        <w:kinsoku/>
        <w:overflowPunct/>
        <w:bidi w:val="0"/>
        <w:spacing w:line="360" w:lineRule="auto"/>
        <w:rPr>
          <w:rFonts w:hint="eastAsia" w:ascii="宋体" w:hAnsi="宋体"/>
          <w:color w:val="auto"/>
          <w:spacing w:val="0"/>
          <w:sz w:val="21"/>
          <w:szCs w:val="21"/>
          <w:highlight w:val="none"/>
        </w:rPr>
      </w:pPr>
    </w:p>
    <w:p>
      <w:pPr>
        <w:keepNext w:val="0"/>
        <w:keepLines w:val="0"/>
        <w:pageBreakBefore w:val="0"/>
        <w:widowControl w:val="0"/>
        <w:tabs>
          <w:tab w:val="left" w:pos="720"/>
        </w:tabs>
        <w:kinsoku/>
        <w:overflowPunct/>
        <w:bidi w:val="0"/>
        <w:snapToGrid w:val="0"/>
        <w:rPr>
          <w:rFonts w:hint="eastAsia" w:ascii="宋体" w:hAnsi="宋体"/>
          <w:color w:val="auto"/>
          <w:spacing w:val="0"/>
          <w:sz w:val="21"/>
          <w:szCs w:val="21"/>
          <w:highlight w:val="none"/>
        </w:rPr>
      </w:pPr>
      <w:r>
        <w:rPr>
          <w:rFonts w:hint="eastAsia" w:ascii="宋体" w:hAnsi="宋体" w:cs="宋体"/>
          <w:color w:val="auto"/>
          <w:spacing w:val="0"/>
          <w:sz w:val="21"/>
          <w:szCs w:val="21"/>
          <w:highlight w:val="none"/>
        </w:rPr>
        <w:t>项目名称：</w:t>
      </w:r>
    </w:p>
    <w:p>
      <w:pPr>
        <w:keepNext w:val="0"/>
        <w:keepLines w:val="0"/>
        <w:pageBreakBefore w:val="0"/>
        <w:widowControl w:val="0"/>
        <w:tabs>
          <w:tab w:val="left" w:pos="720"/>
        </w:tabs>
        <w:kinsoku/>
        <w:overflowPunct/>
        <w:bidi w:val="0"/>
        <w:snapToGrid w:val="0"/>
        <w:rPr>
          <w:rFonts w:hint="eastAsia" w:ascii="宋体" w:hAnsi="宋体"/>
          <w:color w:val="auto"/>
          <w:spacing w:val="0"/>
          <w:sz w:val="21"/>
          <w:szCs w:val="21"/>
          <w:highlight w:val="none"/>
        </w:rPr>
      </w:pPr>
    </w:p>
    <w:p>
      <w:pPr>
        <w:keepNext w:val="0"/>
        <w:keepLines w:val="0"/>
        <w:pageBreakBefore w:val="0"/>
        <w:widowControl w:val="0"/>
        <w:tabs>
          <w:tab w:val="left" w:pos="720"/>
        </w:tabs>
        <w:kinsoku/>
        <w:wordWrap/>
        <w:overflowPunct/>
        <w:topLinePunct w:val="0"/>
        <w:autoSpaceDE/>
        <w:autoSpaceDN/>
        <w:bidi w:val="0"/>
        <w:adjustRightInd/>
        <w:snapToGrid w:val="0"/>
        <w:spacing w:line="320" w:lineRule="exact"/>
        <w:ind w:firstLine="420" w:firstLineChars="200"/>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备注：1、“是否通过并进入下一阶段评审”一栏应写“通过”“不通过”。</w:t>
      </w:r>
    </w:p>
    <w:p>
      <w:pPr>
        <w:keepNext w:val="0"/>
        <w:keepLines w:val="0"/>
        <w:pageBreakBefore w:val="0"/>
        <w:widowControl w:val="0"/>
        <w:tabs>
          <w:tab w:val="left" w:pos="720"/>
        </w:tabs>
        <w:kinsoku/>
        <w:wordWrap/>
        <w:overflowPunct/>
        <w:topLinePunct w:val="0"/>
        <w:autoSpaceDE/>
        <w:autoSpaceDN/>
        <w:bidi w:val="0"/>
        <w:adjustRightInd/>
        <w:snapToGrid w:val="0"/>
        <w:spacing w:line="320" w:lineRule="exact"/>
        <w:ind w:firstLine="630" w:firstLineChars="300"/>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w:t>
      </w:r>
      <w:r>
        <w:rPr>
          <w:rFonts w:hint="eastAsia" w:ascii="宋体" w:hAnsi="宋体" w:eastAsia="宋体" w:cs="宋体"/>
          <w:b/>
          <w:color w:val="auto"/>
          <w:spacing w:val="0"/>
          <w:sz w:val="21"/>
          <w:szCs w:val="21"/>
          <w:highlight w:val="none"/>
        </w:rPr>
        <w:t>符合要求的打“○”，不符合的打“×”。</w:t>
      </w:r>
    </w:p>
    <w:p>
      <w:pPr>
        <w:keepNext w:val="0"/>
        <w:keepLines w:val="0"/>
        <w:pageBreakBefore w:val="0"/>
        <w:widowControl w:val="0"/>
        <w:tabs>
          <w:tab w:val="left" w:pos="720"/>
        </w:tabs>
        <w:kinsoku/>
        <w:wordWrap/>
        <w:overflowPunct/>
        <w:topLinePunct w:val="0"/>
        <w:autoSpaceDE/>
        <w:autoSpaceDN/>
        <w:bidi w:val="0"/>
        <w:adjustRightInd/>
        <w:snapToGrid w:val="0"/>
        <w:spacing w:line="320" w:lineRule="exact"/>
        <w:ind w:firstLine="630" w:firstLineChars="300"/>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3、经评标委员会审核后，出现一个“×”的结论为“不通过”，即按废标处理。</w:t>
      </w:r>
    </w:p>
    <w:p>
      <w:pPr>
        <w:keepNext w:val="0"/>
        <w:keepLines w:val="0"/>
        <w:pageBreakBefore w:val="0"/>
        <w:widowControl w:val="0"/>
        <w:tabs>
          <w:tab w:val="left" w:pos="720"/>
        </w:tabs>
        <w:kinsoku/>
        <w:wordWrap/>
        <w:overflowPunct/>
        <w:topLinePunct w:val="0"/>
        <w:autoSpaceDE/>
        <w:autoSpaceDN/>
        <w:bidi w:val="0"/>
        <w:adjustRightInd/>
        <w:snapToGrid w:val="0"/>
        <w:spacing w:line="320" w:lineRule="exact"/>
        <w:ind w:firstLine="630" w:firstLineChars="300"/>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4、表中全部条件满足为“通过”，同意进入下一阶段评审。</w:t>
      </w:r>
    </w:p>
    <w:p>
      <w:pPr>
        <w:keepNext w:val="0"/>
        <w:keepLines w:val="0"/>
        <w:pageBreakBefore w:val="0"/>
        <w:widowControl w:val="0"/>
        <w:tabs>
          <w:tab w:val="left" w:pos="720"/>
        </w:tabs>
        <w:kinsoku/>
        <w:wordWrap/>
        <w:overflowPunct/>
        <w:topLinePunct w:val="0"/>
        <w:autoSpaceDE/>
        <w:autoSpaceDN/>
        <w:bidi w:val="0"/>
        <w:adjustRightInd/>
        <w:snapToGrid w:val="0"/>
        <w:spacing w:line="320" w:lineRule="exact"/>
        <w:ind w:firstLine="630" w:firstLineChars="300"/>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5、若评委意见不一致时，则按少数服从多数的原则，决定该投标人是否通过符合性审查，进入下一阶段评审。</w:t>
      </w:r>
    </w:p>
    <w:p>
      <w:pPr>
        <w:pStyle w:val="2"/>
        <w:keepNext w:val="0"/>
        <w:keepLines w:val="0"/>
        <w:pageBreakBefore w:val="0"/>
        <w:kinsoku/>
        <w:wordWrap/>
        <w:overflowPunct/>
        <w:topLinePunct w:val="0"/>
        <w:autoSpaceDE/>
        <w:autoSpaceDN/>
        <w:bidi w:val="0"/>
        <w:adjustRightInd/>
        <w:spacing w:line="320" w:lineRule="exact"/>
        <w:textAlignment w:val="baseline"/>
        <w:rPr>
          <w:rFonts w:hint="eastAsia" w:ascii="宋体" w:hAnsi="宋体" w:eastAsia="宋体" w:cs="宋体"/>
          <w:color w:val="auto"/>
        </w:rPr>
      </w:pPr>
    </w:p>
    <w:p>
      <w:pPr>
        <w:keepNext w:val="0"/>
        <w:keepLines w:val="0"/>
        <w:pageBreakBefore w:val="0"/>
        <w:widowControl w:val="0"/>
        <w:tabs>
          <w:tab w:val="left" w:pos="720"/>
        </w:tabs>
        <w:kinsoku/>
        <w:overflowPunct/>
        <w:bidi w:val="0"/>
        <w:snapToGrid w:val="0"/>
        <w:ind w:firstLine="3780" w:firstLineChars="1800"/>
        <w:rPr>
          <w:rFonts w:hint="eastAsia" w:ascii="宋体" w:hAnsi="宋体"/>
          <w:color w:val="auto"/>
          <w:spacing w:val="0"/>
          <w:sz w:val="21"/>
          <w:szCs w:val="21"/>
          <w:highlight w:val="none"/>
        </w:rPr>
      </w:pPr>
    </w:p>
    <w:p>
      <w:pPr>
        <w:keepNext w:val="0"/>
        <w:keepLines w:val="0"/>
        <w:pageBreakBefore w:val="0"/>
        <w:widowControl w:val="0"/>
        <w:tabs>
          <w:tab w:val="left" w:pos="720"/>
        </w:tabs>
        <w:kinsoku/>
        <w:overflowPunct/>
        <w:bidi w:val="0"/>
        <w:snapToGrid w:val="0"/>
        <w:ind w:firstLine="3780" w:firstLineChars="1800"/>
        <w:rPr>
          <w:rFonts w:hint="eastAsia" w:ascii="宋体" w:hAnsi="宋体"/>
          <w:color w:val="auto"/>
          <w:spacing w:val="0"/>
          <w:sz w:val="21"/>
          <w:szCs w:val="21"/>
          <w:highlight w:val="none"/>
        </w:rPr>
      </w:pPr>
      <w:r>
        <w:rPr>
          <w:rFonts w:hint="eastAsia" w:ascii="宋体" w:hAnsi="宋体"/>
          <w:color w:val="auto"/>
          <w:spacing w:val="0"/>
          <w:sz w:val="21"/>
          <w:szCs w:val="21"/>
          <w:highlight w:val="none"/>
        </w:rPr>
        <w:t>评委签名：                     日期：</w:t>
      </w:r>
    </w:p>
    <w:p>
      <w:pPr>
        <w:pStyle w:val="2"/>
        <w:ind w:left="0" w:leftChars="0" w:firstLine="0" w:firstLineChars="0"/>
        <w:rPr>
          <w:rFonts w:hint="eastAsia"/>
          <w:color w:val="auto"/>
        </w:rPr>
      </w:pPr>
    </w:p>
    <w:p>
      <w:pPr>
        <w:pStyle w:val="2"/>
        <w:ind w:left="0" w:leftChars="0" w:firstLine="0" w:firstLineChars="0"/>
        <w:rPr>
          <w:rFonts w:hint="eastAsia" w:ascii="Times New Roman" w:hAnsi="Times New Roman" w:eastAsia="宋体" w:cs="Times New Roman"/>
          <w:color w:val="auto"/>
        </w:rPr>
      </w:pPr>
      <w:bookmarkStart w:id="326" w:name="_Toc26418"/>
      <w:bookmarkStart w:id="327" w:name="_Toc18258"/>
      <w:bookmarkStart w:id="328" w:name="_Toc22205"/>
      <w:bookmarkStart w:id="329" w:name="_Toc7362"/>
      <w:r>
        <w:rPr>
          <w:rFonts w:hint="eastAsia" w:ascii="Times New Roman" w:hAnsi="Times New Roman" w:eastAsia="宋体" w:cs="Times New Roman"/>
          <w:color w:val="auto"/>
        </w:rPr>
        <w:br w:type="page"/>
      </w:r>
    </w:p>
    <w:p>
      <w:pPr>
        <w:pStyle w:val="4"/>
        <w:keepNext w:val="0"/>
        <w:keepLines w:val="0"/>
        <w:pageBreakBefore w:val="0"/>
        <w:widowControl w:val="0"/>
        <w:kinsoku/>
        <w:wordWrap/>
        <w:overflowPunct/>
        <w:topLinePunct w:val="0"/>
        <w:autoSpaceDE/>
        <w:autoSpaceDN/>
        <w:bidi w:val="0"/>
        <w:adjustRightInd/>
        <w:snapToGrid/>
        <w:textAlignment w:val="baseline"/>
        <w:rPr>
          <w:rFonts w:hint="eastAsia"/>
          <w:b/>
          <w:bCs/>
          <w:color w:val="auto"/>
          <w:spacing w:val="0"/>
          <w:highlight w:val="none"/>
        </w:rPr>
      </w:pPr>
      <w:r>
        <w:rPr>
          <w:rFonts w:hint="eastAsia"/>
          <w:b/>
          <w:bCs/>
          <w:color w:val="auto"/>
          <w:spacing w:val="0"/>
          <w:highlight w:val="none"/>
        </w:rPr>
        <w:t>附表二：资格评审表</w:t>
      </w:r>
      <w:bookmarkEnd w:id="326"/>
      <w:bookmarkEnd w:id="327"/>
      <w:bookmarkEnd w:id="328"/>
      <w:bookmarkEnd w:id="329"/>
    </w:p>
    <w:p>
      <w:pPr>
        <w:keepNext w:val="0"/>
        <w:keepLines w:val="0"/>
        <w:pageBreakBefore w:val="0"/>
        <w:widowControl w:val="0"/>
        <w:tabs>
          <w:tab w:val="left" w:pos="720"/>
        </w:tabs>
        <w:kinsoku/>
        <w:overflowPunct/>
        <w:bidi w:val="0"/>
        <w:snapToGrid w:val="0"/>
        <w:spacing w:line="460" w:lineRule="exact"/>
        <w:jc w:val="center"/>
        <w:rPr>
          <w:rFonts w:hint="eastAsia" w:ascii="宋体" w:hAnsi="宋体"/>
          <w:b/>
          <w:color w:val="auto"/>
          <w:spacing w:val="0"/>
          <w:sz w:val="28"/>
          <w:szCs w:val="28"/>
          <w:highlight w:val="none"/>
        </w:rPr>
      </w:pPr>
      <w:r>
        <w:rPr>
          <w:rFonts w:hint="eastAsia" w:ascii="宋体" w:hAnsi="宋体"/>
          <w:b/>
          <w:color w:val="auto"/>
          <w:spacing w:val="0"/>
          <w:sz w:val="28"/>
          <w:szCs w:val="28"/>
          <w:highlight w:val="none"/>
        </w:rPr>
        <w:t>资格评审表</w:t>
      </w:r>
    </w:p>
    <w:tbl>
      <w:tblPr>
        <w:tblStyle w:val="36"/>
        <w:tblpPr w:leftFromText="180" w:rightFromText="180" w:vertAnchor="text" w:horzAnchor="margin" w:tblpXSpec="center" w:tblpY="634"/>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883"/>
        <w:gridCol w:w="323"/>
        <w:gridCol w:w="328"/>
        <w:gridCol w:w="328"/>
        <w:gridCol w:w="328"/>
        <w:gridCol w:w="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编号</w:t>
            </w:r>
          </w:p>
        </w:tc>
        <w:tc>
          <w:tcPr>
            <w:tcW w:w="3846" w:type="pct"/>
            <w:tcBorders>
              <w:tl2br w:val="single" w:color="auto" w:sz="4" w:space="0"/>
            </w:tcBorders>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firstLine="4935" w:firstLineChars="235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投标人名称</w:t>
            </w:r>
          </w:p>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审查项目</w:t>
            </w:r>
          </w:p>
        </w:tc>
        <w:tc>
          <w:tcPr>
            <w:tcW w:w="181"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w:t>
            </w:r>
          </w:p>
        </w:tc>
        <w:tc>
          <w:tcPr>
            <w:tcW w:w="3846"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z w:val="21"/>
                <w:szCs w:val="21"/>
                <w:highlight w:val="none"/>
                <w:u w:val="none"/>
              </w:rPr>
              <w:t>投标人具有独立法人资格，持有市场监管部门（工商行政管理部门）或行政审批局核发的有效法人营业执照或各级政府事业单位登记管理机关颁发的事业单位法人证书，按国家法律经营</w:t>
            </w:r>
            <w:r>
              <w:rPr>
                <w:rFonts w:hint="eastAsia" w:ascii="宋体" w:hAnsi="宋体" w:eastAsia="宋体" w:cs="宋体"/>
                <w:color w:val="auto"/>
                <w:spacing w:val="0"/>
                <w:sz w:val="21"/>
                <w:szCs w:val="21"/>
                <w:highlight w:val="none"/>
              </w:rPr>
              <w:t>。</w:t>
            </w:r>
          </w:p>
        </w:tc>
        <w:tc>
          <w:tcPr>
            <w:tcW w:w="181"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w:t>
            </w:r>
          </w:p>
        </w:tc>
        <w:tc>
          <w:tcPr>
            <w:tcW w:w="3846"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投标人须具备建设行政主管部门颁发的施工图设计文件审查机构一类资质证书（业务范围包括房屋建筑工程）</w:t>
            </w:r>
            <w:r>
              <w:rPr>
                <w:rFonts w:hint="eastAsia" w:ascii="宋体" w:hAnsi="宋体" w:eastAsia="宋体" w:cs="宋体"/>
                <w:color w:val="auto"/>
                <w:spacing w:val="0"/>
                <w:sz w:val="21"/>
                <w:szCs w:val="21"/>
                <w:highlight w:val="none"/>
                <w:lang w:eastAsia="zh-CN"/>
              </w:rPr>
              <w:t>。</w:t>
            </w:r>
          </w:p>
        </w:tc>
        <w:tc>
          <w:tcPr>
            <w:tcW w:w="181"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w:t>
            </w:r>
          </w:p>
        </w:tc>
        <w:tc>
          <w:tcPr>
            <w:tcW w:w="3846"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拟派项目负责人满足本工程要求（详见本项目招标公告）。</w:t>
            </w:r>
          </w:p>
        </w:tc>
        <w:tc>
          <w:tcPr>
            <w:tcW w:w="181"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w:t>
            </w:r>
          </w:p>
        </w:tc>
        <w:tc>
          <w:tcPr>
            <w:tcW w:w="3846"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rPr>
              <w:t>关于联合体投标：本次招标不接受联合体投标</w:t>
            </w:r>
            <w:r>
              <w:rPr>
                <w:rFonts w:hint="eastAsia" w:ascii="宋体" w:hAnsi="宋体" w:eastAsia="宋体" w:cs="宋体"/>
                <w:color w:val="auto"/>
                <w:spacing w:val="0"/>
                <w:sz w:val="21"/>
                <w:szCs w:val="21"/>
                <w:highlight w:val="none"/>
                <w:lang w:eastAsia="zh-CN"/>
              </w:rPr>
              <w:t>。</w:t>
            </w:r>
          </w:p>
        </w:tc>
        <w:tc>
          <w:tcPr>
            <w:tcW w:w="181"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w:t>
            </w:r>
          </w:p>
        </w:tc>
        <w:tc>
          <w:tcPr>
            <w:tcW w:w="3846"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投标人已按规定格式签名盖章《投标人声明》（格式见招标公告附件一）</w:t>
            </w:r>
          </w:p>
        </w:tc>
        <w:tc>
          <w:tcPr>
            <w:tcW w:w="181"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w:t>
            </w:r>
          </w:p>
        </w:tc>
        <w:tc>
          <w:tcPr>
            <w:tcW w:w="3846"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资格审查前，投标人在广州市住房和城乡建设局建立企业信用档案，</w:t>
            </w:r>
            <w:r>
              <w:rPr>
                <w:rFonts w:hint="eastAsia" w:ascii="宋体" w:hAnsi="宋体" w:eastAsia="宋体" w:cs="宋体"/>
                <w:color w:val="auto"/>
                <w:sz w:val="21"/>
                <w:szCs w:val="21"/>
                <w:highlight w:val="none"/>
                <w:u w:val="none"/>
              </w:rPr>
              <w:t>且本企业信用档案应在有效期内。项目负责人须是本企业信用档案中的在册人员</w:t>
            </w:r>
            <w:r>
              <w:rPr>
                <w:rFonts w:hint="eastAsia" w:ascii="宋体" w:hAnsi="宋体" w:eastAsia="宋体" w:cs="宋体"/>
                <w:color w:val="auto"/>
                <w:spacing w:val="0"/>
                <w:sz w:val="21"/>
                <w:szCs w:val="21"/>
                <w:highlight w:val="none"/>
              </w:rPr>
              <w:t>。</w:t>
            </w:r>
          </w:p>
        </w:tc>
        <w:tc>
          <w:tcPr>
            <w:tcW w:w="181"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val="en-US" w:eastAsia="zh-CN"/>
              </w:rPr>
              <w:t>7</w:t>
            </w:r>
          </w:p>
        </w:tc>
        <w:tc>
          <w:tcPr>
            <w:tcW w:w="3846"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不存在第二章“投标人须知”第1.4.3项规定的任何一种情形。（以投标人声明为评审依据）</w:t>
            </w:r>
          </w:p>
        </w:tc>
        <w:tc>
          <w:tcPr>
            <w:tcW w:w="181"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8</w:t>
            </w:r>
          </w:p>
        </w:tc>
        <w:tc>
          <w:tcPr>
            <w:tcW w:w="3846"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投标人未出现以下情形：与本项目其它投标人的单位负责人为同一人或者存在控股、管理关系的（按投标人提供的《投标人声明》</w:t>
            </w:r>
            <w:r>
              <w:rPr>
                <w:rFonts w:hint="eastAsia" w:ascii="宋体" w:hAnsi="宋体" w:eastAsia="宋体" w:cs="宋体"/>
                <w:color w:val="auto"/>
                <w:spacing w:val="0"/>
                <w:sz w:val="21"/>
                <w:szCs w:val="21"/>
                <w:highlight w:val="none"/>
                <w:lang w:eastAsia="zh-CN"/>
              </w:rPr>
              <w:t>第八条</w:t>
            </w:r>
            <w:r>
              <w:rPr>
                <w:rFonts w:hint="eastAsia" w:ascii="宋体" w:hAnsi="宋体" w:eastAsia="宋体" w:cs="宋体"/>
                <w:color w:val="auto"/>
                <w:spacing w:val="0"/>
                <w:sz w:val="21"/>
                <w:szCs w:val="21"/>
                <w:highlight w:val="none"/>
              </w:rPr>
              <w:t>内容进行评审）。如不同投标申请人出现单位负责人为同一人或者存在控股、管理关系的情形，则相关投标均无效</w:t>
            </w:r>
            <w:r>
              <w:rPr>
                <w:rFonts w:hint="eastAsia" w:ascii="宋体" w:hAnsi="宋体" w:eastAsia="宋体" w:cs="宋体"/>
                <w:color w:val="auto"/>
                <w:spacing w:val="0"/>
                <w:sz w:val="21"/>
                <w:szCs w:val="21"/>
                <w:highlight w:val="none"/>
                <w:lang w:eastAsia="zh-CN"/>
              </w:rPr>
              <w:t>。</w:t>
            </w:r>
          </w:p>
        </w:tc>
        <w:tc>
          <w:tcPr>
            <w:tcW w:w="181"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val="en-US" w:eastAsia="zh-CN"/>
              </w:rPr>
              <w:t>9</w:t>
            </w:r>
          </w:p>
        </w:tc>
        <w:tc>
          <w:tcPr>
            <w:tcW w:w="3846"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香港企业及香港专业人士参与投标的，已在广东省住房和城乡建设主管部门备案，并按招标文件要求提供满足评审的证明文件。</w:t>
            </w:r>
          </w:p>
        </w:tc>
        <w:tc>
          <w:tcPr>
            <w:tcW w:w="181"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10</w:t>
            </w:r>
          </w:p>
        </w:tc>
        <w:tc>
          <w:tcPr>
            <w:tcW w:w="3846"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投标人未被列入拖欠农民工工资失信联合惩戒对象名单（投标人无需提供资料，按投标截止时间广州交易集团有限公司（广州公共资源交易中心)交易系统比对的结果进行评审）</w:t>
            </w:r>
            <w:r>
              <w:rPr>
                <w:rFonts w:hint="eastAsia" w:ascii="宋体" w:hAnsi="宋体" w:eastAsia="宋体" w:cs="宋体"/>
                <w:color w:val="auto"/>
                <w:spacing w:val="0"/>
                <w:sz w:val="21"/>
                <w:szCs w:val="21"/>
                <w:highlight w:val="none"/>
                <w:lang w:eastAsia="zh-CN"/>
              </w:rPr>
              <w:t>。</w:t>
            </w:r>
          </w:p>
        </w:tc>
        <w:tc>
          <w:tcPr>
            <w:tcW w:w="181"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结论</w:t>
            </w:r>
          </w:p>
        </w:tc>
        <w:tc>
          <w:tcPr>
            <w:tcW w:w="3846"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是否通过并进入下一阶段评审</w:t>
            </w:r>
          </w:p>
        </w:tc>
        <w:tc>
          <w:tcPr>
            <w:tcW w:w="181"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c>
          <w:tcPr>
            <w:tcW w:w="183" w:type="pct"/>
            <w:noWrap w:val="0"/>
            <w:vAlign w:val="center"/>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jc w:val="center"/>
              <w:rPr>
                <w:rFonts w:hint="eastAsia" w:ascii="宋体" w:hAnsi="宋体" w:eastAsia="宋体" w:cs="宋体"/>
                <w:color w:val="auto"/>
                <w:spacing w:val="0"/>
                <w:sz w:val="21"/>
                <w:szCs w:val="21"/>
                <w:highlight w:val="none"/>
              </w:rPr>
            </w:pPr>
          </w:p>
        </w:tc>
      </w:tr>
    </w:tbl>
    <w:p>
      <w:pPr>
        <w:keepNext w:val="0"/>
        <w:keepLines w:val="0"/>
        <w:pageBreakBefore w:val="0"/>
        <w:widowControl w:val="0"/>
        <w:tabs>
          <w:tab w:val="left" w:pos="720"/>
        </w:tabs>
        <w:kinsoku/>
        <w:overflowPunct/>
        <w:bidi w:val="0"/>
        <w:snapToGrid w:val="0"/>
        <w:spacing w:before="60" w:beforeLines="25" w:after="60" w:afterLines="25" w:line="460" w:lineRule="exact"/>
        <w:rPr>
          <w:rFonts w:hint="eastAsia" w:ascii="宋体" w:hAnsi="宋体"/>
          <w:color w:val="auto"/>
          <w:spacing w:val="0"/>
          <w:sz w:val="21"/>
          <w:szCs w:val="21"/>
          <w:highlight w:val="none"/>
        </w:rPr>
      </w:pPr>
      <w:r>
        <w:rPr>
          <w:rFonts w:hint="eastAsia" w:ascii="宋体" w:hAnsi="宋体"/>
          <w:color w:val="auto"/>
          <w:spacing w:val="0"/>
          <w:sz w:val="21"/>
          <w:szCs w:val="21"/>
          <w:highlight w:val="none"/>
        </w:rPr>
        <w:t>项目名称：</w:t>
      </w:r>
    </w:p>
    <w:p>
      <w:pPr>
        <w:keepNext w:val="0"/>
        <w:keepLines w:val="0"/>
        <w:pageBreakBefore w:val="0"/>
        <w:widowControl w:val="0"/>
        <w:tabs>
          <w:tab w:val="left" w:pos="720"/>
        </w:tabs>
        <w:kinsoku/>
        <w:overflowPunct/>
        <w:bidi w:val="0"/>
        <w:snapToGrid w:val="0"/>
        <w:spacing w:line="360" w:lineRule="auto"/>
        <w:rPr>
          <w:rFonts w:hint="eastAsia" w:ascii="宋体" w:hAnsi="宋体"/>
          <w:color w:val="auto"/>
          <w:spacing w:val="0"/>
          <w:sz w:val="21"/>
          <w:szCs w:val="21"/>
          <w:highlight w:val="none"/>
        </w:rPr>
      </w:pPr>
      <w:r>
        <w:rPr>
          <w:rFonts w:hint="eastAsia" w:ascii="宋体" w:hAnsi="宋体"/>
          <w:color w:val="auto"/>
          <w:spacing w:val="0"/>
          <w:sz w:val="21"/>
          <w:szCs w:val="21"/>
          <w:highlight w:val="none"/>
        </w:rPr>
        <w:t>备注：1、“是否通过并进入下一阶段评审”一栏应写“通过”“不通过”。</w:t>
      </w:r>
    </w:p>
    <w:p>
      <w:pPr>
        <w:keepNext w:val="0"/>
        <w:keepLines w:val="0"/>
        <w:pageBreakBefore w:val="0"/>
        <w:widowControl w:val="0"/>
        <w:tabs>
          <w:tab w:val="left" w:pos="720"/>
        </w:tabs>
        <w:kinsoku/>
        <w:overflowPunct/>
        <w:bidi w:val="0"/>
        <w:snapToGrid w:val="0"/>
        <w:spacing w:line="360" w:lineRule="auto"/>
        <w:ind w:firstLine="632" w:firstLineChars="300"/>
        <w:rPr>
          <w:rFonts w:hint="eastAsia" w:ascii="宋体" w:hAnsi="宋体"/>
          <w:b/>
          <w:color w:val="auto"/>
          <w:spacing w:val="0"/>
          <w:sz w:val="21"/>
          <w:szCs w:val="21"/>
          <w:highlight w:val="none"/>
        </w:rPr>
      </w:pPr>
      <w:r>
        <w:rPr>
          <w:rFonts w:hint="eastAsia" w:ascii="宋体" w:hAnsi="宋体"/>
          <w:b/>
          <w:color w:val="auto"/>
          <w:spacing w:val="0"/>
          <w:sz w:val="21"/>
          <w:szCs w:val="21"/>
          <w:highlight w:val="none"/>
        </w:rPr>
        <w:t>2、符合要求的打“○”，不符合的打“×”。</w:t>
      </w:r>
    </w:p>
    <w:p>
      <w:pPr>
        <w:keepNext w:val="0"/>
        <w:keepLines w:val="0"/>
        <w:pageBreakBefore w:val="0"/>
        <w:widowControl w:val="0"/>
        <w:tabs>
          <w:tab w:val="left" w:pos="720"/>
        </w:tabs>
        <w:kinsoku/>
        <w:overflowPunct/>
        <w:bidi w:val="0"/>
        <w:snapToGrid w:val="0"/>
        <w:spacing w:line="360" w:lineRule="auto"/>
        <w:ind w:firstLine="630" w:firstLineChars="300"/>
        <w:rPr>
          <w:rFonts w:hint="eastAsia" w:ascii="宋体" w:hAnsi="宋体"/>
          <w:color w:val="auto"/>
          <w:spacing w:val="0"/>
          <w:sz w:val="21"/>
          <w:szCs w:val="21"/>
          <w:highlight w:val="none"/>
        </w:rPr>
      </w:pPr>
      <w:r>
        <w:rPr>
          <w:rFonts w:hint="eastAsia" w:ascii="宋体" w:hAnsi="宋体"/>
          <w:color w:val="auto"/>
          <w:spacing w:val="0"/>
          <w:sz w:val="21"/>
          <w:szCs w:val="21"/>
          <w:highlight w:val="none"/>
        </w:rPr>
        <w:t>3、经评标委员会审核后，出现一个“×”的结论为“不通过”，即按废标处理。</w:t>
      </w:r>
    </w:p>
    <w:p>
      <w:pPr>
        <w:keepNext w:val="0"/>
        <w:keepLines w:val="0"/>
        <w:pageBreakBefore w:val="0"/>
        <w:widowControl w:val="0"/>
        <w:tabs>
          <w:tab w:val="left" w:pos="720"/>
        </w:tabs>
        <w:kinsoku/>
        <w:overflowPunct/>
        <w:bidi w:val="0"/>
        <w:snapToGrid w:val="0"/>
        <w:spacing w:line="360" w:lineRule="auto"/>
        <w:ind w:firstLine="630" w:firstLineChars="300"/>
        <w:rPr>
          <w:rFonts w:hint="eastAsia" w:ascii="宋体" w:hAnsi="宋体"/>
          <w:color w:val="auto"/>
          <w:spacing w:val="0"/>
          <w:sz w:val="21"/>
          <w:szCs w:val="21"/>
          <w:highlight w:val="none"/>
        </w:rPr>
      </w:pPr>
      <w:r>
        <w:rPr>
          <w:rFonts w:hint="eastAsia" w:ascii="宋体" w:hAnsi="宋体"/>
          <w:color w:val="auto"/>
          <w:spacing w:val="0"/>
          <w:sz w:val="21"/>
          <w:szCs w:val="21"/>
          <w:highlight w:val="none"/>
        </w:rPr>
        <w:t>4、表中全部条件满足为“通过”，同意进入下一阶段评审。</w:t>
      </w:r>
    </w:p>
    <w:p>
      <w:pPr>
        <w:keepNext w:val="0"/>
        <w:keepLines w:val="0"/>
        <w:pageBreakBefore w:val="0"/>
        <w:widowControl w:val="0"/>
        <w:tabs>
          <w:tab w:val="left" w:pos="720"/>
        </w:tabs>
        <w:kinsoku/>
        <w:overflowPunct/>
        <w:bidi w:val="0"/>
        <w:snapToGrid w:val="0"/>
        <w:spacing w:line="360" w:lineRule="auto"/>
        <w:ind w:firstLine="630" w:firstLineChars="300"/>
        <w:rPr>
          <w:rFonts w:hint="eastAsia" w:ascii="宋体" w:hAnsi="宋体"/>
          <w:color w:val="auto"/>
          <w:spacing w:val="0"/>
          <w:sz w:val="21"/>
          <w:szCs w:val="21"/>
          <w:highlight w:val="none"/>
        </w:rPr>
      </w:pPr>
      <w:r>
        <w:rPr>
          <w:rFonts w:hint="eastAsia" w:ascii="宋体" w:hAnsi="宋体"/>
          <w:color w:val="auto"/>
          <w:spacing w:val="0"/>
          <w:sz w:val="21"/>
          <w:szCs w:val="21"/>
          <w:highlight w:val="none"/>
        </w:rPr>
        <w:t>5、若评委意见不一致时，则按少数服从多数的原则，决定该投标人是否通过符合性审查，进入下一阶段评审。</w:t>
      </w:r>
    </w:p>
    <w:p>
      <w:pPr>
        <w:keepNext w:val="0"/>
        <w:keepLines w:val="0"/>
        <w:pageBreakBefore w:val="0"/>
        <w:widowControl w:val="0"/>
        <w:tabs>
          <w:tab w:val="left" w:pos="720"/>
        </w:tabs>
        <w:kinsoku/>
        <w:overflowPunct/>
        <w:bidi w:val="0"/>
        <w:snapToGrid w:val="0"/>
        <w:ind w:right="420" w:firstLine="3780" w:firstLineChars="1800"/>
        <w:jc w:val="right"/>
        <w:rPr>
          <w:rFonts w:hint="eastAsia"/>
          <w:color w:val="auto"/>
          <w:spacing w:val="0"/>
          <w:highlight w:val="none"/>
        </w:rPr>
      </w:pPr>
      <w:r>
        <w:rPr>
          <w:rFonts w:hint="eastAsia" w:ascii="宋体" w:hAnsi="宋体"/>
          <w:color w:val="auto"/>
          <w:spacing w:val="0"/>
          <w:szCs w:val="21"/>
          <w:highlight w:val="none"/>
        </w:rPr>
        <w:t>评委签名：                     日期：</w:t>
      </w:r>
    </w:p>
    <w:p>
      <w:pPr>
        <w:pStyle w:val="2"/>
        <w:ind w:left="0" w:leftChars="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br w:type="page"/>
      </w:r>
    </w:p>
    <w:p>
      <w:pPr>
        <w:pStyle w:val="4"/>
        <w:keepNext w:val="0"/>
        <w:keepLines w:val="0"/>
        <w:pageBreakBefore w:val="0"/>
        <w:widowControl w:val="0"/>
        <w:kinsoku/>
        <w:wordWrap/>
        <w:overflowPunct/>
        <w:topLinePunct w:val="0"/>
        <w:autoSpaceDE/>
        <w:autoSpaceDN/>
        <w:bidi w:val="0"/>
        <w:adjustRightInd/>
        <w:snapToGrid/>
        <w:textAlignment w:val="baseline"/>
        <w:rPr>
          <w:rFonts w:hint="eastAsia" w:ascii="Arial" w:hAnsi="Arial" w:eastAsia="宋体" w:cs="Times New Roman"/>
          <w:b/>
          <w:bCs/>
          <w:color w:val="auto"/>
          <w:spacing w:val="0"/>
          <w:highlight w:val="none"/>
          <w:lang w:val="en-US" w:eastAsia="zh-CN"/>
        </w:rPr>
      </w:pPr>
      <w:r>
        <w:rPr>
          <w:rFonts w:hint="eastAsia" w:ascii="Arial" w:hAnsi="Arial" w:eastAsia="宋体" w:cs="Times New Roman"/>
          <w:b/>
          <w:bCs/>
          <w:color w:val="auto"/>
          <w:spacing w:val="0"/>
          <w:highlight w:val="none"/>
          <w:lang w:val="en-US" w:eastAsia="zh-CN"/>
        </w:rPr>
        <w:t>附表三：响应性评审表</w:t>
      </w:r>
    </w:p>
    <w:p>
      <w:pPr>
        <w:keepNext w:val="0"/>
        <w:keepLines w:val="0"/>
        <w:pageBreakBefore w:val="0"/>
        <w:widowControl w:val="0"/>
        <w:kinsoku/>
        <w:overflowPunct/>
        <w:bidi w:val="0"/>
        <w:spacing w:line="360" w:lineRule="auto"/>
        <w:ind w:firstLine="560" w:firstLineChars="200"/>
        <w:jc w:val="center"/>
        <w:rPr>
          <w:rFonts w:hint="eastAsia" w:ascii="宋体" w:hAnsi="宋体" w:cs="宋体"/>
          <w:color w:val="auto"/>
          <w:spacing w:val="0"/>
          <w:sz w:val="28"/>
          <w:szCs w:val="28"/>
          <w:highlight w:val="none"/>
        </w:rPr>
      </w:pPr>
      <w:r>
        <w:rPr>
          <w:rFonts w:hint="eastAsia" w:ascii="宋体" w:hAnsi="宋体" w:cs="宋体"/>
          <w:color w:val="auto"/>
          <w:spacing w:val="0"/>
          <w:sz w:val="28"/>
          <w:szCs w:val="28"/>
          <w:highlight w:val="none"/>
        </w:rPr>
        <w:t>响应性评审表</w:t>
      </w:r>
    </w:p>
    <w:p>
      <w:pPr>
        <w:keepNext w:val="0"/>
        <w:keepLines w:val="0"/>
        <w:pageBreakBefore w:val="0"/>
        <w:widowControl w:val="0"/>
        <w:kinsoku/>
        <w:overflowPunct/>
        <w:bidi w:val="0"/>
        <w:spacing w:line="360" w:lineRule="auto"/>
        <w:rPr>
          <w:rFonts w:hint="eastAsia" w:ascii="宋体" w:hAnsi="宋体"/>
          <w:color w:val="auto"/>
          <w:spacing w:val="0"/>
          <w:sz w:val="21"/>
          <w:szCs w:val="21"/>
          <w:highlight w:val="none"/>
        </w:rPr>
      </w:pPr>
      <w:r>
        <w:rPr>
          <w:rFonts w:hint="eastAsia" w:ascii="宋体" w:hAnsi="宋体" w:cs="宋体"/>
          <w:color w:val="auto"/>
          <w:spacing w:val="0"/>
          <w:sz w:val="21"/>
          <w:szCs w:val="21"/>
          <w:highlight w:val="none"/>
        </w:rPr>
        <w:t>项目名称：</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5564"/>
        <w:gridCol w:w="535"/>
        <w:gridCol w:w="535"/>
        <w:gridCol w:w="535"/>
        <w:gridCol w:w="535"/>
        <w:gridCol w:w="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6" w:type="dxa"/>
            <w:noWrap w:val="0"/>
            <w:vAlign w:val="center"/>
          </w:tcPr>
          <w:p>
            <w:pPr>
              <w:keepNext w:val="0"/>
              <w:keepLines w:val="0"/>
              <w:widowControl w:val="0"/>
              <w:suppressLineNumbers w:val="0"/>
              <w:spacing w:before="0" w:beforeAutospacing="0" w:after="0" w:afterAutospacing="0" w:line="360" w:lineRule="exact"/>
              <w:ind w:left="-31" w:leftChars="-15" w:right="-31" w:rightChars="-15" w:firstLine="0" w:firstLineChars="0"/>
              <w:jc w:val="center"/>
              <w:rPr>
                <w:rFonts w:hint="eastAsia" w:ascii="宋体" w:hAnsi="宋体" w:eastAsia="宋体" w:cs="宋体"/>
                <w:color w:val="auto"/>
                <w:spacing w:val="0"/>
                <w:sz w:val="21"/>
                <w:szCs w:val="21"/>
                <w:highlight w:val="none"/>
                <w:vertAlign w:val="baseline"/>
              </w:rPr>
            </w:pPr>
            <w:r>
              <w:rPr>
                <w:rFonts w:hint="eastAsia" w:ascii="宋体" w:hAnsi="宋体" w:eastAsia="宋体" w:cs="宋体"/>
                <w:color w:val="auto"/>
                <w:kern w:val="2"/>
                <w:sz w:val="21"/>
                <w:szCs w:val="21"/>
              </w:rPr>
              <w:t>编号</w:t>
            </w:r>
          </w:p>
        </w:tc>
        <w:tc>
          <w:tcPr>
            <w:tcW w:w="5564" w:type="dxa"/>
            <w:tcBorders>
              <w:tl2br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firstLine="3780" w:firstLineChars="18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投标人名称</w:t>
            </w:r>
          </w:p>
          <w:p>
            <w:pPr>
              <w:keepNext w:val="0"/>
              <w:keepLines w:val="0"/>
              <w:widowControl w:val="0"/>
              <w:suppressLineNumbers w:val="0"/>
              <w:spacing w:before="0" w:beforeAutospacing="0" w:after="0" w:afterAutospacing="0" w:line="360" w:lineRule="exact"/>
              <w:ind w:left="0" w:right="0" w:firstLine="0" w:firstLineChars="0"/>
              <w:rPr>
                <w:rFonts w:hint="eastAsia" w:ascii="宋体" w:hAnsi="宋体" w:eastAsia="宋体" w:cs="宋体"/>
                <w:color w:val="auto"/>
                <w:spacing w:val="0"/>
                <w:sz w:val="21"/>
                <w:szCs w:val="21"/>
                <w:highlight w:val="none"/>
                <w:vertAlign w:val="baseline"/>
              </w:rPr>
            </w:pPr>
            <w:r>
              <w:rPr>
                <w:rFonts w:hint="eastAsia" w:ascii="宋体" w:hAnsi="宋体" w:eastAsia="宋体" w:cs="宋体"/>
                <w:color w:val="auto"/>
                <w:kern w:val="2"/>
                <w:sz w:val="21"/>
                <w:szCs w:val="21"/>
              </w:rPr>
              <w:t>评审项目</w:t>
            </w: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8"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6" w:type="dxa"/>
            <w:noWrap w:val="0"/>
            <w:vAlign w:val="center"/>
          </w:tcPr>
          <w:p>
            <w:pPr>
              <w:keepNext w:val="0"/>
              <w:keepLines w:val="0"/>
              <w:widowControl w:val="0"/>
              <w:suppressLineNumbers w:val="0"/>
              <w:spacing w:before="0" w:beforeAutospacing="0" w:after="0" w:afterAutospacing="0" w:line="360" w:lineRule="exact"/>
              <w:ind w:left="-31" w:leftChars="-15" w:right="-31" w:rightChars="-15" w:firstLine="0" w:firstLineChars="0"/>
              <w:jc w:val="center"/>
              <w:rPr>
                <w:rFonts w:hint="eastAsia" w:ascii="宋体" w:hAnsi="宋体" w:eastAsia="宋体" w:cs="宋体"/>
                <w:color w:val="auto"/>
                <w:spacing w:val="0"/>
                <w:sz w:val="21"/>
                <w:szCs w:val="21"/>
                <w:highlight w:val="none"/>
                <w:vertAlign w:val="baseline"/>
              </w:rPr>
            </w:pPr>
            <w:r>
              <w:rPr>
                <w:rFonts w:hint="eastAsia" w:ascii="宋体" w:hAnsi="宋体" w:eastAsia="宋体" w:cs="宋体"/>
                <w:color w:val="auto"/>
                <w:kern w:val="2"/>
                <w:sz w:val="21"/>
                <w:szCs w:val="21"/>
              </w:rPr>
              <w:t>1</w:t>
            </w:r>
          </w:p>
        </w:tc>
        <w:tc>
          <w:tcPr>
            <w:tcW w:w="5564" w:type="dxa"/>
            <w:noWrap w:val="0"/>
            <w:vAlign w:val="center"/>
          </w:tcPr>
          <w:p>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投标报价</w:t>
            </w:r>
            <w:r>
              <w:rPr>
                <w:rFonts w:hint="eastAsia" w:ascii="宋体" w:hAnsi="宋体" w:eastAsia="宋体" w:cs="宋体"/>
                <w:color w:val="auto"/>
                <w:kern w:val="2"/>
                <w:sz w:val="21"/>
                <w:szCs w:val="21"/>
                <w:lang w:eastAsia="zh-CN"/>
              </w:rPr>
              <w:t>：</w:t>
            </w:r>
          </w:p>
          <w:p>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color w:val="auto"/>
                <w:spacing w:val="0"/>
                <w:sz w:val="21"/>
                <w:szCs w:val="21"/>
                <w:highlight w:val="none"/>
                <w:vertAlign w:val="baseline"/>
              </w:rPr>
            </w:pPr>
            <w:r>
              <w:rPr>
                <w:rFonts w:hint="eastAsia" w:ascii="宋体" w:hAnsi="宋体" w:eastAsia="宋体" w:cs="宋体"/>
                <w:color w:val="auto"/>
                <w:kern w:val="2"/>
                <w:sz w:val="21"/>
                <w:szCs w:val="21"/>
              </w:rPr>
              <w:t>符合第二章“投标人须知”第3.2款规定；对同一招标项目没有出现两个或以上的投标报价，且修正无依据。</w:t>
            </w: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8"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6" w:type="dxa"/>
            <w:noWrap w:val="0"/>
            <w:vAlign w:val="center"/>
          </w:tcPr>
          <w:p>
            <w:pPr>
              <w:keepNext w:val="0"/>
              <w:keepLines w:val="0"/>
              <w:widowControl w:val="0"/>
              <w:suppressLineNumbers w:val="0"/>
              <w:spacing w:before="0" w:beforeAutospacing="0" w:after="0" w:afterAutospacing="0" w:line="360" w:lineRule="exact"/>
              <w:ind w:left="-31" w:leftChars="-15" w:right="-31" w:rightChars="-15" w:firstLine="0" w:firstLineChars="0"/>
              <w:jc w:val="center"/>
              <w:rPr>
                <w:rFonts w:hint="eastAsia" w:ascii="宋体" w:hAnsi="宋体" w:eastAsia="宋体" w:cs="宋体"/>
                <w:color w:val="auto"/>
                <w:spacing w:val="0"/>
                <w:sz w:val="21"/>
                <w:szCs w:val="21"/>
                <w:highlight w:val="none"/>
                <w:vertAlign w:val="baseline"/>
              </w:rPr>
            </w:pPr>
            <w:r>
              <w:rPr>
                <w:rFonts w:hint="eastAsia" w:ascii="宋体" w:hAnsi="宋体" w:eastAsia="宋体" w:cs="宋体"/>
                <w:color w:val="auto"/>
                <w:kern w:val="2"/>
                <w:sz w:val="21"/>
                <w:szCs w:val="21"/>
              </w:rPr>
              <w:t>2</w:t>
            </w:r>
          </w:p>
        </w:tc>
        <w:tc>
          <w:tcPr>
            <w:tcW w:w="5564" w:type="dxa"/>
            <w:noWrap w:val="0"/>
            <w:vAlign w:val="center"/>
          </w:tcPr>
          <w:p>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投标内容</w:t>
            </w:r>
            <w:r>
              <w:rPr>
                <w:rFonts w:hint="eastAsia" w:ascii="宋体" w:hAnsi="宋体" w:eastAsia="宋体" w:cs="宋体"/>
                <w:color w:val="auto"/>
                <w:kern w:val="2"/>
                <w:sz w:val="21"/>
                <w:szCs w:val="21"/>
                <w:lang w:val="en-US" w:eastAsia="zh-CN"/>
              </w:rPr>
              <w:t>：</w:t>
            </w:r>
          </w:p>
          <w:p>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color w:val="auto"/>
                <w:spacing w:val="0"/>
                <w:sz w:val="21"/>
                <w:szCs w:val="21"/>
                <w:highlight w:val="none"/>
                <w:vertAlign w:val="baseline"/>
              </w:rPr>
            </w:pPr>
            <w:r>
              <w:rPr>
                <w:rFonts w:hint="eastAsia" w:ascii="宋体" w:hAnsi="宋体" w:eastAsia="宋体" w:cs="宋体"/>
                <w:color w:val="auto"/>
                <w:kern w:val="2"/>
                <w:sz w:val="21"/>
                <w:szCs w:val="21"/>
              </w:rPr>
              <w:t>符合第二章“投标人须知”第1.3.1项规定。</w:t>
            </w: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8"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6" w:type="dxa"/>
            <w:noWrap w:val="0"/>
            <w:vAlign w:val="center"/>
          </w:tcPr>
          <w:p>
            <w:pPr>
              <w:keepNext w:val="0"/>
              <w:keepLines w:val="0"/>
              <w:widowControl w:val="0"/>
              <w:suppressLineNumbers w:val="0"/>
              <w:spacing w:before="0" w:beforeAutospacing="0" w:after="0" w:afterAutospacing="0" w:line="360" w:lineRule="exact"/>
              <w:ind w:left="-31" w:leftChars="-15" w:right="-31" w:rightChars="-15" w:firstLine="0" w:firstLineChars="0"/>
              <w:jc w:val="center"/>
              <w:rPr>
                <w:rFonts w:hint="eastAsia" w:ascii="宋体" w:hAnsi="宋体" w:eastAsia="宋体" w:cs="宋体"/>
                <w:color w:val="auto"/>
                <w:spacing w:val="0"/>
                <w:sz w:val="21"/>
                <w:szCs w:val="21"/>
                <w:highlight w:val="none"/>
                <w:vertAlign w:val="baseline"/>
              </w:rPr>
            </w:pPr>
            <w:r>
              <w:rPr>
                <w:rFonts w:hint="eastAsia" w:ascii="宋体" w:hAnsi="宋体" w:eastAsia="宋体" w:cs="宋体"/>
                <w:color w:val="auto"/>
                <w:kern w:val="2"/>
                <w:sz w:val="21"/>
                <w:szCs w:val="21"/>
              </w:rPr>
              <w:t>3</w:t>
            </w:r>
          </w:p>
        </w:tc>
        <w:tc>
          <w:tcPr>
            <w:tcW w:w="5564" w:type="dxa"/>
            <w:noWrap w:val="0"/>
            <w:vAlign w:val="center"/>
          </w:tcPr>
          <w:p>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服务期限</w:t>
            </w:r>
            <w:r>
              <w:rPr>
                <w:rFonts w:hint="eastAsia" w:ascii="宋体" w:hAnsi="宋体" w:eastAsia="宋体" w:cs="宋体"/>
                <w:color w:val="auto"/>
                <w:sz w:val="21"/>
                <w:szCs w:val="21"/>
                <w:lang w:eastAsia="zh-CN"/>
              </w:rPr>
              <w:t>：</w:t>
            </w:r>
          </w:p>
          <w:p>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color w:val="auto"/>
                <w:spacing w:val="0"/>
                <w:sz w:val="21"/>
                <w:szCs w:val="21"/>
                <w:highlight w:val="none"/>
                <w:vertAlign w:val="baseline"/>
              </w:rPr>
            </w:pPr>
            <w:r>
              <w:rPr>
                <w:rFonts w:hint="eastAsia" w:ascii="宋体" w:hAnsi="宋体" w:eastAsia="宋体" w:cs="宋体"/>
                <w:color w:val="auto"/>
                <w:sz w:val="21"/>
                <w:szCs w:val="21"/>
              </w:rPr>
              <w:t>符合第二章“投标人须知”第1.3.2项规定</w:t>
            </w: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8"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6" w:type="dxa"/>
            <w:noWrap w:val="0"/>
            <w:vAlign w:val="center"/>
          </w:tcPr>
          <w:p>
            <w:pPr>
              <w:keepNext w:val="0"/>
              <w:keepLines w:val="0"/>
              <w:widowControl w:val="0"/>
              <w:suppressLineNumbers w:val="0"/>
              <w:spacing w:before="0" w:beforeAutospacing="0" w:after="0" w:afterAutospacing="0" w:line="360" w:lineRule="exact"/>
              <w:ind w:left="-31" w:leftChars="-15" w:right="-31" w:rightChars="-15" w:firstLine="0" w:firstLineChars="0"/>
              <w:jc w:val="center"/>
              <w:rPr>
                <w:rFonts w:hint="eastAsia" w:ascii="宋体" w:hAnsi="宋体" w:eastAsia="宋体" w:cs="宋体"/>
                <w:color w:val="auto"/>
                <w:spacing w:val="0"/>
                <w:sz w:val="21"/>
                <w:szCs w:val="21"/>
                <w:highlight w:val="none"/>
                <w:vertAlign w:val="baseline"/>
              </w:rPr>
            </w:pPr>
            <w:r>
              <w:rPr>
                <w:rFonts w:hint="eastAsia" w:ascii="宋体" w:hAnsi="宋体" w:eastAsia="宋体" w:cs="宋体"/>
                <w:color w:val="auto"/>
                <w:kern w:val="2"/>
                <w:sz w:val="21"/>
                <w:szCs w:val="21"/>
              </w:rPr>
              <w:t>4</w:t>
            </w:r>
          </w:p>
        </w:tc>
        <w:tc>
          <w:tcPr>
            <w:tcW w:w="5564" w:type="dxa"/>
            <w:noWrap w:val="0"/>
            <w:vAlign w:val="center"/>
          </w:tcPr>
          <w:p>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质量标准</w:t>
            </w:r>
            <w:r>
              <w:rPr>
                <w:rFonts w:hint="eastAsia" w:ascii="宋体" w:hAnsi="宋体" w:eastAsia="宋体" w:cs="宋体"/>
                <w:color w:val="auto"/>
                <w:sz w:val="21"/>
                <w:szCs w:val="21"/>
                <w:lang w:eastAsia="zh-CN"/>
              </w:rPr>
              <w:t>：</w:t>
            </w:r>
          </w:p>
          <w:p>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color w:val="auto"/>
                <w:spacing w:val="0"/>
                <w:sz w:val="21"/>
                <w:szCs w:val="21"/>
                <w:highlight w:val="none"/>
                <w:vertAlign w:val="baseline"/>
              </w:rPr>
            </w:pPr>
            <w:r>
              <w:rPr>
                <w:rFonts w:hint="eastAsia" w:ascii="宋体" w:hAnsi="宋体" w:eastAsia="宋体" w:cs="宋体"/>
                <w:color w:val="auto"/>
                <w:sz w:val="21"/>
                <w:szCs w:val="21"/>
              </w:rPr>
              <w:t>符合第二章“投标人须知”第1.3.3项规定</w:t>
            </w: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8"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6" w:type="dxa"/>
            <w:noWrap w:val="0"/>
            <w:vAlign w:val="center"/>
          </w:tcPr>
          <w:p>
            <w:pPr>
              <w:keepNext w:val="0"/>
              <w:keepLines w:val="0"/>
              <w:widowControl w:val="0"/>
              <w:suppressLineNumbers w:val="0"/>
              <w:spacing w:before="0" w:beforeAutospacing="0" w:after="0" w:afterAutospacing="0" w:line="360" w:lineRule="exact"/>
              <w:ind w:left="-31" w:leftChars="-15" w:right="-31" w:rightChars="-15" w:firstLine="0" w:firstLineChars="0"/>
              <w:jc w:val="center"/>
              <w:rPr>
                <w:rFonts w:hint="eastAsia" w:ascii="宋体" w:hAnsi="宋体" w:eastAsia="宋体" w:cs="宋体"/>
                <w:color w:val="auto"/>
                <w:spacing w:val="0"/>
                <w:sz w:val="21"/>
                <w:szCs w:val="21"/>
                <w:highlight w:val="none"/>
                <w:vertAlign w:val="baseline"/>
              </w:rPr>
            </w:pPr>
            <w:r>
              <w:rPr>
                <w:rFonts w:hint="eastAsia" w:ascii="宋体" w:hAnsi="宋体" w:eastAsia="宋体" w:cs="宋体"/>
                <w:color w:val="auto"/>
                <w:kern w:val="2"/>
                <w:sz w:val="21"/>
                <w:szCs w:val="21"/>
              </w:rPr>
              <w:t>5</w:t>
            </w:r>
          </w:p>
        </w:tc>
        <w:tc>
          <w:tcPr>
            <w:tcW w:w="5564" w:type="dxa"/>
            <w:noWrap w:val="0"/>
            <w:vAlign w:val="center"/>
          </w:tcPr>
          <w:p>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投标有效期</w:t>
            </w:r>
            <w:r>
              <w:rPr>
                <w:rFonts w:hint="eastAsia" w:ascii="宋体" w:hAnsi="宋体" w:eastAsia="宋体" w:cs="宋体"/>
                <w:color w:val="auto"/>
                <w:sz w:val="21"/>
                <w:szCs w:val="21"/>
                <w:lang w:eastAsia="zh-CN"/>
              </w:rPr>
              <w:t>：</w:t>
            </w:r>
          </w:p>
          <w:p>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color w:val="auto"/>
                <w:spacing w:val="0"/>
                <w:sz w:val="21"/>
                <w:szCs w:val="21"/>
                <w:highlight w:val="none"/>
                <w:vertAlign w:val="baseline"/>
              </w:rPr>
            </w:pPr>
            <w:r>
              <w:rPr>
                <w:rFonts w:hint="eastAsia" w:ascii="宋体" w:hAnsi="宋体" w:eastAsia="宋体" w:cs="宋体"/>
                <w:color w:val="auto"/>
                <w:sz w:val="21"/>
                <w:szCs w:val="21"/>
              </w:rPr>
              <w:t>符合第二章“投标人须知”第3.3.1项规定</w:t>
            </w: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8"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6" w:type="dxa"/>
            <w:noWrap w:val="0"/>
            <w:vAlign w:val="center"/>
          </w:tcPr>
          <w:p>
            <w:pPr>
              <w:keepNext w:val="0"/>
              <w:keepLines w:val="0"/>
              <w:widowControl w:val="0"/>
              <w:suppressLineNumbers w:val="0"/>
              <w:spacing w:before="0" w:beforeAutospacing="0" w:after="0" w:afterAutospacing="0" w:line="360" w:lineRule="exact"/>
              <w:ind w:left="-31" w:leftChars="-15" w:right="-31" w:rightChars="-15" w:firstLine="0" w:firstLineChars="0"/>
              <w:jc w:val="center"/>
              <w:rPr>
                <w:rFonts w:hint="eastAsia" w:ascii="宋体" w:hAnsi="宋体" w:eastAsia="宋体" w:cs="宋体"/>
                <w:color w:val="auto"/>
                <w:spacing w:val="0"/>
                <w:sz w:val="21"/>
                <w:szCs w:val="21"/>
                <w:highlight w:val="none"/>
                <w:vertAlign w:val="baseline"/>
              </w:rPr>
            </w:pPr>
            <w:r>
              <w:rPr>
                <w:rFonts w:hint="eastAsia" w:ascii="宋体" w:hAnsi="宋体" w:eastAsia="宋体" w:cs="宋体"/>
                <w:color w:val="auto"/>
                <w:kern w:val="2"/>
                <w:sz w:val="21"/>
                <w:szCs w:val="21"/>
                <w:lang w:val="en-US" w:eastAsia="zh-CN"/>
              </w:rPr>
              <w:t>6</w:t>
            </w:r>
          </w:p>
        </w:tc>
        <w:tc>
          <w:tcPr>
            <w:tcW w:w="5564" w:type="dxa"/>
            <w:noWrap w:val="0"/>
            <w:vAlign w:val="center"/>
          </w:tcPr>
          <w:p>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串通投标情形</w:t>
            </w:r>
            <w:r>
              <w:rPr>
                <w:rFonts w:hint="eastAsia" w:ascii="宋体" w:hAnsi="宋体" w:eastAsia="宋体" w:cs="宋体"/>
                <w:color w:val="auto"/>
                <w:sz w:val="21"/>
                <w:szCs w:val="21"/>
                <w:lang w:eastAsia="zh-CN"/>
              </w:rPr>
              <w:t>：</w:t>
            </w:r>
          </w:p>
          <w:p>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color w:val="auto"/>
                <w:spacing w:val="0"/>
                <w:sz w:val="21"/>
                <w:szCs w:val="21"/>
                <w:highlight w:val="none"/>
                <w:vertAlign w:val="baseline"/>
              </w:rPr>
            </w:pPr>
            <w:r>
              <w:rPr>
                <w:rFonts w:hint="eastAsia" w:ascii="宋体" w:hAnsi="宋体" w:eastAsia="宋体" w:cs="宋体"/>
                <w:color w:val="auto"/>
                <w:kern w:val="2"/>
                <w:sz w:val="21"/>
                <w:szCs w:val="21"/>
              </w:rPr>
              <w:t>投标人之间存在《广东省实施&lt;中华人民共和国招标投标法&gt;办法》第十六条所禁止的情形的</w:t>
            </w:r>
            <w:r>
              <w:rPr>
                <w:rFonts w:hint="eastAsia" w:ascii="宋体" w:hAnsi="宋体" w:eastAsia="宋体" w:cs="宋体"/>
                <w:color w:val="auto"/>
                <w:kern w:val="2"/>
                <w:sz w:val="21"/>
                <w:szCs w:val="21"/>
                <w:lang w:eastAsia="zh-CN"/>
              </w:rPr>
              <w:t>。</w:t>
            </w: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8"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6" w:type="dxa"/>
            <w:noWrap w:val="0"/>
            <w:vAlign w:val="center"/>
          </w:tcPr>
          <w:p>
            <w:pPr>
              <w:keepNext w:val="0"/>
              <w:keepLines w:val="0"/>
              <w:widowControl w:val="0"/>
              <w:suppressLineNumbers w:val="0"/>
              <w:spacing w:before="0" w:beforeAutospacing="0" w:after="0" w:afterAutospacing="0" w:line="360" w:lineRule="exact"/>
              <w:ind w:left="-31" w:leftChars="-15" w:right="-31" w:rightChars="-15" w:firstLine="0" w:firstLineChars="0"/>
              <w:jc w:val="center"/>
              <w:rPr>
                <w:rFonts w:hint="eastAsia" w:ascii="宋体" w:hAnsi="宋体" w:eastAsia="宋体" w:cs="宋体"/>
                <w:color w:val="auto"/>
                <w:spacing w:val="0"/>
                <w:sz w:val="21"/>
                <w:szCs w:val="21"/>
                <w:highlight w:val="none"/>
                <w:vertAlign w:val="baseline"/>
              </w:rPr>
            </w:pPr>
            <w:r>
              <w:rPr>
                <w:rFonts w:hint="eastAsia" w:ascii="宋体" w:hAnsi="宋体" w:eastAsia="宋体" w:cs="宋体"/>
                <w:color w:val="auto"/>
                <w:kern w:val="2"/>
                <w:sz w:val="21"/>
                <w:szCs w:val="21"/>
              </w:rPr>
              <w:t>结论</w:t>
            </w:r>
          </w:p>
        </w:tc>
        <w:tc>
          <w:tcPr>
            <w:tcW w:w="5564" w:type="dxa"/>
            <w:noWrap w:val="0"/>
            <w:vAlign w:val="center"/>
          </w:tcPr>
          <w:p>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color w:val="auto"/>
                <w:spacing w:val="0"/>
                <w:sz w:val="21"/>
                <w:szCs w:val="21"/>
                <w:highlight w:val="none"/>
                <w:vertAlign w:val="baseline"/>
              </w:rPr>
            </w:pPr>
            <w:r>
              <w:rPr>
                <w:rFonts w:hint="eastAsia" w:ascii="宋体" w:hAnsi="宋体" w:eastAsia="宋体" w:cs="宋体"/>
                <w:color w:val="auto"/>
                <w:kern w:val="2"/>
                <w:sz w:val="21"/>
                <w:szCs w:val="21"/>
              </w:rPr>
              <w:t>是否通过并进入下一阶段评审</w:t>
            </w: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5"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c>
          <w:tcPr>
            <w:tcW w:w="538" w:type="dxa"/>
            <w:noWrap w:val="0"/>
            <w:vAlign w:val="top"/>
          </w:tcPr>
          <w:p>
            <w:pPr>
              <w:keepNext w:val="0"/>
              <w:keepLines w:val="0"/>
              <w:pageBreakBefore w:val="0"/>
              <w:widowControl w:val="0"/>
              <w:suppressLineNumbers w:val="0"/>
              <w:tabs>
                <w:tab w:val="left" w:pos="720"/>
              </w:tabs>
              <w:kinsoku/>
              <w:overflowPunct/>
              <w:bidi w:val="0"/>
              <w:snapToGrid w:val="0"/>
              <w:spacing w:before="0" w:beforeAutospacing="0" w:after="0" w:afterAutospacing="0" w:line="360" w:lineRule="exact"/>
              <w:ind w:left="0" w:right="0"/>
              <w:rPr>
                <w:rFonts w:hint="eastAsia" w:ascii="宋体" w:hAnsi="宋体" w:eastAsia="宋体" w:cs="宋体"/>
                <w:color w:val="auto"/>
                <w:spacing w:val="0"/>
                <w:sz w:val="21"/>
                <w:szCs w:val="21"/>
                <w:highlight w:val="none"/>
                <w:vertAlign w:val="baseline"/>
              </w:rPr>
            </w:pPr>
          </w:p>
        </w:tc>
      </w:tr>
    </w:tbl>
    <w:p>
      <w:pPr>
        <w:pStyle w:val="2"/>
        <w:rPr>
          <w:rFonts w:hint="eastAsia"/>
          <w:color w:val="auto"/>
        </w:rPr>
      </w:pPr>
    </w:p>
    <w:p>
      <w:pPr>
        <w:keepNext w:val="0"/>
        <w:keepLines w:val="0"/>
        <w:pageBreakBefore w:val="0"/>
        <w:widowControl w:val="0"/>
        <w:tabs>
          <w:tab w:val="left" w:pos="720"/>
        </w:tabs>
        <w:kinsoku/>
        <w:wordWrap/>
        <w:overflowPunct/>
        <w:topLinePunct w:val="0"/>
        <w:autoSpaceDE/>
        <w:autoSpaceDN/>
        <w:bidi w:val="0"/>
        <w:adjustRightInd/>
        <w:snapToGrid w:val="0"/>
        <w:spacing w:line="360" w:lineRule="exact"/>
        <w:ind w:firstLine="420" w:firstLineChars="200"/>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备注：1、“是否通过并进入下一阶段评审”一栏应写“通过”“不通过”。</w:t>
      </w:r>
    </w:p>
    <w:p>
      <w:pPr>
        <w:keepNext w:val="0"/>
        <w:keepLines w:val="0"/>
        <w:pageBreakBefore w:val="0"/>
        <w:widowControl w:val="0"/>
        <w:tabs>
          <w:tab w:val="left" w:pos="720"/>
        </w:tabs>
        <w:kinsoku/>
        <w:wordWrap/>
        <w:overflowPunct/>
        <w:topLinePunct w:val="0"/>
        <w:autoSpaceDE/>
        <w:autoSpaceDN/>
        <w:bidi w:val="0"/>
        <w:adjustRightInd/>
        <w:snapToGrid w:val="0"/>
        <w:spacing w:line="360" w:lineRule="exact"/>
        <w:ind w:firstLine="630" w:firstLineChars="300"/>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w:t>
      </w:r>
      <w:r>
        <w:rPr>
          <w:rFonts w:hint="eastAsia" w:ascii="宋体" w:hAnsi="宋体" w:eastAsia="宋体" w:cs="宋体"/>
          <w:b/>
          <w:color w:val="auto"/>
          <w:spacing w:val="0"/>
          <w:sz w:val="21"/>
          <w:szCs w:val="21"/>
          <w:highlight w:val="none"/>
        </w:rPr>
        <w:t>符合要求的打“○”，不符合的打“×”。</w:t>
      </w:r>
    </w:p>
    <w:p>
      <w:pPr>
        <w:keepNext w:val="0"/>
        <w:keepLines w:val="0"/>
        <w:pageBreakBefore w:val="0"/>
        <w:widowControl w:val="0"/>
        <w:tabs>
          <w:tab w:val="left" w:pos="720"/>
        </w:tabs>
        <w:kinsoku/>
        <w:wordWrap/>
        <w:overflowPunct/>
        <w:topLinePunct w:val="0"/>
        <w:autoSpaceDE/>
        <w:autoSpaceDN/>
        <w:bidi w:val="0"/>
        <w:adjustRightInd/>
        <w:snapToGrid w:val="0"/>
        <w:spacing w:line="360" w:lineRule="exact"/>
        <w:ind w:firstLine="630" w:firstLineChars="300"/>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3、经评标委员会审核后，出现一个“×”的结论为“不通过”，即按废标处理。</w:t>
      </w:r>
    </w:p>
    <w:p>
      <w:pPr>
        <w:keepNext w:val="0"/>
        <w:keepLines w:val="0"/>
        <w:pageBreakBefore w:val="0"/>
        <w:widowControl w:val="0"/>
        <w:tabs>
          <w:tab w:val="left" w:pos="720"/>
        </w:tabs>
        <w:kinsoku/>
        <w:wordWrap/>
        <w:overflowPunct/>
        <w:topLinePunct w:val="0"/>
        <w:autoSpaceDE/>
        <w:autoSpaceDN/>
        <w:bidi w:val="0"/>
        <w:adjustRightInd/>
        <w:snapToGrid w:val="0"/>
        <w:spacing w:line="360" w:lineRule="exact"/>
        <w:ind w:firstLine="630" w:firstLineChars="300"/>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4、表中全部条件满足为“通过”，同意进入下一阶段评审。</w:t>
      </w:r>
    </w:p>
    <w:p>
      <w:pPr>
        <w:keepNext w:val="0"/>
        <w:keepLines w:val="0"/>
        <w:pageBreakBefore w:val="0"/>
        <w:widowControl w:val="0"/>
        <w:tabs>
          <w:tab w:val="left" w:pos="720"/>
        </w:tabs>
        <w:kinsoku/>
        <w:wordWrap/>
        <w:overflowPunct/>
        <w:topLinePunct w:val="0"/>
        <w:autoSpaceDE/>
        <w:autoSpaceDN/>
        <w:bidi w:val="0"/>
        <w:adjustRightInd/>
        <w:snapToGrid w:val="0"/>
        <w:spacing w:line="360" w:lineRule="exact"/>
        <w:ind w:firstLine="630" w:firstLineChars="300"/>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5、若评委意见不一致时，则按少数服从多数的原则，决定该投标人是否通过符合性审查，进入下一阶段评审。</w:t>
      </w:r>
    </w:p>
    <w:p>
      <w:pPr>
        <w:pStyle w:val="2"/>
        <w:rPr>
          <w:rFonts w:hint="eastAsia" w:ascii="宋体" w:hAnsi="宋体" w:eastAsia="宋体" w:cs="宋体"/>
          <w:color w:val="auto"/>
          <w:spacing w:val="0"/>
          <w:sz w:val="21"/>
          <w:szCs w:val="21"/>
          <w:highlight w:val="none"/>
        </w:rPr>
      </w:pPr>
    </w:p>
    <w:p>
      <w:pPr>
        <w:pStyle w:val="2"/>
        <w:rPr>
          <w:rFonts w:hint="eastAsia" w:ascii="宋体" w:hAnsi="宋体" w:eastAsia="宋体" w:cs="Times New Roman"/>
          <w:color w:val="auto"/>
          <w:spacing w:val="0"/>
          <w:sz w:val="21"/>
          <w:szCs w:val="21"/>
          <w:highlight w:val="none"/>
        </w:rPr>
      </w:pPr>
    </w:p>
    <w:p>
      <w:pPr>
        <w:keepNext w:val="0"/>
        <w:keepLines w:val="0"/>
        <w:pageBreakBefore w:val="0"/>
        <w:widowControl w:val="0"/>
        <w:tabs>
          <w:tab w:val="left" w:pos="720"/>
        </w:tabs>
        <w:kinsoku/>
        <w:overflowPunct/>
        <w:bidi w:val="0"/>
        <w:snapToGrid w:val="0"/>
        <w:ind w:firstLine="3780" w:firstLineChars="1800"/>
        <w:rPr>
          <w:rFonts w:hint="eastAsia" w:ascii="宋体" w:hAnsi="宋体"/>
          <w:color w:val="auto"/>
          <w:spacing w:val="0"/>
          <w:szCs w:val="21"/>
          <w:highlight w:val="none"/>
        </w:rPr>
      </w:pPr>
    </w:p>
    <w:p>
      <w:pPr>
        <w:keepNext w:val="0"/>
        <w:keepLines w:val="0"/>
        <w:pageBreakBefore w:val="0"/>
        <w:widowControl w:val="0"/>
        <w:tabs>
          <w:tab w:val="left" w:pos="720"/>
        </w:tabs>
        <w:kinsoku/>
        <w:overflowPunct/>
        <w:bidi w:val="0"/>
        <w:snapToGrid w:val="0"/>
        <w:ind w:firstLine="3780" w:firstLineChars="1800"/>
        <w:rPr>
          <w:rFonts w:hint="eastAsia" w:ascii="宋体" w:hAnsi="宋体"/>
          <w:color w:val="auto"/>
          <w:spacing w:val="0"/>
          <w:szCs w:val="21"/>
          <w:highlight w:val="none"/>
        </w:rPr>
      </w:pPr>
      <w:r>
        <w:rPr>
          <w:rFonts w:hint="eastAsia" w:ascii="宋体" w:hAnsi="宋体"/>
          <w:color w:val="auto"/>
          <w:spacing w:val="0"/>
          <w:szCs w:val="21"/>
          <w:highlight w:val="none"/>
        </w:rPr>
        <w:t>评委签名：                     日期：</w:t>
      </w:r>
    </w:p>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s="宋体"/>
          <w:color w:val="auto"/>
          <w:spacing w:val="0"/>
          <w:szCs w:val="21"/>
          <w:highlight w:val="none"/>
        </w:rPr>
      </w:pPr>
    </w:p>
    <w:p>
      <w:pPr>
        <w:pStyle w:val="2"/>
        <w:ind w:left="0" w:leftChars="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br w:type="page"/>
      </w:r>
    </w:p>
    <w:p>
      <w:pPr>
        <w:pStyle w:val="4"/>
        <w:keepNext w:val="0"/>
        <w:keepLines w:val="0"/>
        <w:pageBreakBefore w:val="0"/>
        <w:widowControl w:val="0"/>
        <w:kinsoku/>
        <w:wordWrap/>
        <w:overflowPunct/>
        <w:topLinePunct w:val="0"/>
        <w:autoSpaceDE/>
        <w:autoSpaceDN/>
        <w:bidi w:val="0"/>
        <w:adjustRightInd/>
        <w:snapToGrid/>
        <w:textAlignment w:val="baseline"/>
        <w:rPr>
          <w:rFonts w:hint="eastAsia" w:ascii="Arial" w:hAnsi="Arial" w:eastAsia="宋体" w:cs="Times New Roman"/>
          <w:b/>
          <w:bCs/>
          <w:color w:val="auto"/>
          <w:spacing w:val="0"/>
          <w:highlight w:val="none"/>
          <w:lang w:val="en-US" w:eastAsia="zh-CN"/>
        </w:rPr>
      </w:pPr>
      <w:r>
        <w:rPr>
          <w:rFonts w:hint="eastAsia" w:ascii="Arial" w:hAnsi="Arial" w:eastAsia="宋体" w:cs="Times New Roman"/>
          <w:b/>
          <w:bCs/>
          <w:color w:val="auto"/>
          <w:spacing w:val="0"/>
          <w:highlight w:val="none"/>
          <w:lang w:val="en-US" w:eastAsia="zh-CN"/>
        </w:rPr>
        <w:t>附表四：综合评分表</w:t>
      </w:r>
    </w:p>
    <w:p>
      <w:pPr>
        <w:pStyle w:val="84"/>
        <w:keepNext w:val="0"/>
        <w:keepLines w:val="0"/>
        <w:pageBreakBefore w:val="0"/>
        <w:widowControl w:val="0"/>
        <w:kinsoku/>
        <w:overflowPunct/>
        <w:bidi w:val="0"/>
        <w:jc w:val="center"/>
        <w:outlineLvl w:val="1"/>
        <w:rPr>
          <w:rStyle w:val="66"/>
          <w:rFonts w:ascii="宋体" w:hAnsi="宋体"/>
          <w:b/>
          <w:bCs/>
          <w:color w:val="auto"/>
          <w:spacing w:val="0"/>
          <w:sz w:val="28"/>
          <w:highlight w:val="none"/>
        </w:rPr>
      </w:pPr>
      <w:bookmarkStart w:id="330" w:name="_Toc9243"/>
      <w:bookmarkStart w:id="331" w:name="_Toc23191"/>
      <w:bookmarkStart w:id="332" w:name="_Toc24778"/>
      <w:bookmarkStart w:id="333" w:name="_Toc27910"/>
      <w:r>
        <w:rPr>
          <w:rStyle w:val="66"/>
          <w:rFonts w:ascii="宋体" w:hAnsi="宋体"/>
          <w:b/>
          <w:bCs/>
          <w:color w:val="auto"/>
          <w:spacing w:val="0"/>
          <w:sz w:val="28"/>
          <w:highlight w:val="none"/>
        </w:rPr>
        <w:t>综合评分表</w:t>
      </w:r>
      <w:bookmarkEnd w:id="330"/>
      <w:bookmarkEnd w:id="331"/>
      <w:bookmarkEnd w:id="332"/>
      <w:bookmarkEnd w:id="333"/>
    </w:p>
    <w:tbl>
      <w:tblPr>
        <w:tblStyle w:val="36"/>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
        <w:gridCol w:w="1011"/>
        <w:gridCol w:w="1335"/>
        <w:gridCol w:w="11"/>
        <w:gridCol w:w="7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432" w:type="dxa"/>
            <w:gridSpan w:val="2"/>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条款号</w:t>
            </w:r>
          </w:p>
        </w:tc>
        <w:tc>
          <w:tcPr>
            <w:tcW w:w="1346" w:type="dxa"/>
            <w:gridSpan w:val="2"/>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评分分值</w:t>
            </w:r>
          </w:p>
        </w:tc>
        <w:tc>
          <w:tcPr>
            <w:tcW w:w="7016" w:type="dxa"/>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21" w:type="dxa"/>
            <w:vMerge w:val="restart"/>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w:t>
            </w:r>
          </w:p>
        </w:tc>
        <w:tc>
          <w:tcPr>
            <w:tcW w:w="1011" w:type="dxa"/>
            <w:vMerge w:val="restart"/>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商务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45</w:t>
            </w:r>
            <w:r>
              <w:rPr>
                <w:rFonts w:hint="eastAsia" w:ascii="宋体" w:hAnsi="宋体" w:eastAsia="宋体" w:cs="宋体"/>
                <w:color w:val="auto"/>
                <w:spacing w:val="0"/>
                <w:sz w:val="21"/>
                <w:szCs w:val="21"/>
                <w:highlight w:val="none"/>
              </w:rPr>
              <w:t>分）</w:t>
            </w:r>
          </w:p>
        </w:tc>
        <w:tc>
          <w:tcPr>
            <w:tcW w:w="1346" w:type="dxa"/>
            <w:gridSpan w:val="2"/>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项目业绩</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（10分）</w:t>
            </w:r>
          </w:p>
        </w:tc>
        <w:tc>
          <w:tcPr>
            <w:tcW w:w="7016" w:type="dxa"/>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2021年1月1日至今，投标人</w:t>
            </w:r>
            <w:r>
              <w:rPr>
                <w:rFonts w:hint="eastAsia" w:ascii="宋体" w:hAnsi="宋体" w:eastAsia="宋体" w:cs="宋体"/>
                <w:color w:val="auto"/>
                <w:spacing w:val="0"/>
                <w:sz w:val="21"/>
                <w:szCs w:val="21"/>
                <w:highlight w:val="none"/>
                <w:lang w:eastAsia="zh-CN"/>
              </w:rPr>
              <w:t>完成</w:t>
            </w:r>
            <w:r>
              <w:rPr>
                <w:rFonts w:hint="eastAsia" w:ascii="宋体" w:hAnsi="宋体" w:eastAsia="宋体" w:cs="宋体"/>
                <w:color w:val="auto"/>
                <w:spacing w:val="0"/>
                <w:sz w:val="21"/>
                <w:szCs w:val="21"/>
                <w:highlight w:val="none"/>
              </w:rPr>
              <w:t>过房屋建筑工程的施工图审查业绩且合同金额60万元或以上，每项得2分，本项最高得10分。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无或其他情况不得分。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注：需同时提供施工图审查合同（或委托书</w:t>
            </w:r>
            <w:r>
              <w:rPr>
                <w:rFonts w:hint="eastAsia" w:ascii="宋体" w:hAnsi="宋体" w:eastAsia="宋体" w:cs="宋体"/>
                <w:color w:val="auto"/>
                <w:spacing w:val="0"/>
                <w:sz w:val="21"/>
                <w:szCs w:val="21"/>
                <w:highlight w:val="none"/>
                <w:lang w:eastAsia="zh-CN"/>
              </w:rPr>
              <w:t>或</w:t>
            </w:r>
            <w:r>
              <w:rPr>
                <w:rFonts w:hint="eastAsia" w:ascii="宋体" w:hAnsi="宋体" w:eastAsia="宋体" w:cs="宋体"/>
                <w:color w:val="auto"/>
                <w:spacing w:val="0"/>
                <w:sz w:val="21"/>
                <w:szCs w:val="21"/>
                <w:highlight w:val="none"/>
              </w:rPr>
              <w:t>中标通知书）</w:t>
            </w:r>
            <w:r>
              <w:rPr>
                <w:rFonts w:hint="eastAsia" w:ascii="宋体" w:hAnsi="宋体" w:eastAsia="宋体" w:cs="宋体"/>
                <w:color w:val="auto"/>
                <w:spacing w:val="0"/>
                <w:sz w:val="21"/>
                <w:szCs w:val="21"/>
                <w:highlight w:val="none"/>
                <w:lang w:eastAsia="zh-CN"/>
              </w:rPr>
              <w:t>及</w:t>
            </w:r>
            <w:r>
              <w:rPr>
                <w:rFonts w:hint="eastAsia" w:ascii="宋体" w:hAnsi="宋体" w:eastAsia="宋体" w:cs="宋体"/>
                <w:color w:val="auto"/>
                <w:spacing w:val="0"/>
                <w:sz w:val="21"/>
                <w:szCs w:val="21"/>
                <w:highlight w:val="none"/>
              </w:rPr>
              <w:t>施工图审查报告证明文件，且能反</w:t>
            </w:r>
            <w:r>
              <w:rPr>
                <w:rFonts w:hint="eastAsia" w:ascii="宋体" w:hAnsi="宋体" w:eastAsia="宋体" w:cs="宋体"/>
                <w:color w:val="auto"/>
                <w:spacing w:val="0"/>
                <w:sz w:val="21"/>
                <w:szCs w:val="21"/>
                <w:highlight w:val="none"/>
                <w:lang w:eastAsia="zh-CN"/>
              </w:rPr>
              <w:t>映</w:t>
            </w:r>
            <w:r>
              <w:rPr>
                <w:rFonts w:hint="eastAsia" w:ascii="宋体" w:hAnsi="宋体" w:eastAsia="宋体" w:cs="宋体"/>
                <w:color w:val="auto"/>
                <w:spacing w:val="0"/>
                <w:sz w:val="21"/>
                <w:szCs w:val="21"/>
                <w:highlight w:val="none"/>
              </w:rPr>
              <w:t>相应规模指标</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时间以施工图审查报告时间为准。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21" w:type="dxa"/>
            <w:vMerge w:val="continue"/>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p>
        </w:tc>
        <w:tc>
          <w:tcPr>
            <w:tcW w:w="1011" w:type="dxa"/>
            <w:vMerge w:val="continue"/>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p>
        </w:tc>
        <w:tc>
          <w:tcPr>
            <w:tcW w:w="1346" w:type="dxa"/>
            <w:gridSpan w:val="2"/>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投入人员资历（20分）</w:t>
            </w:r>
          </w:p>
        </w:tc>
        <w:tc>
          <w:tcPr>
            <w:tcW w:w="7016" w:type="dxa"/>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1.项目负责人具备一级注册结构工程师或一级注册建筑师，每项得3分，注册证书的注册单位须为投标人单位，否则不得分。本小项最高得6分。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2.2021年1月1日至今，项目负责人</w:t>
            </w:r>
            <w:r>
              <w:rPr>
                <w:rFonts w:hint="eastAsia" w:ascii="宋体" w:hAnsi="宋体" w:eastAsia="宋体" w:cs="宋体"/>
                <w:color w:val="auto"/>
                <w:spacing w:val="0"/>
                <w:sz w:val="21"/>
                <w:szCs w:val="21"/>
                <w:highlight w:val="none"/>
                <w:lang w:eastAsia="zh-CN"/>
              </w:rPr>
              <w:t>完成</w:t>
            </w:r>
            <w:r>
              <w:rPr>
                <w:rFonts w:hint="eastAsia" w:ascii="宋体" w:hAnsi="宋体" w:eastAsia="宋体" w:cs="宋体"/>
                <w:color w:val="auto"/>
                <w:spacing w:val="0"/>
                <w:sz w:val="21"/>
                <w:szCs w:val="21"/>
                <w:highlight w:val="none"/>
              </w:rPr>
              <w:t>过合同额60万或以上房屋建筑工程的施工图审查业绩，每项得2分，本小项最高得4分。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无或其他情况不得分，本项累计最高得10分。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注：</w:t>
            </w: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rPr>
              <w:t>提供上述人员证书及业绩证明，同时提供上述人员2025年</w:t>
            </w:r>
            <w:r>
              <w:rPr>
                <w:rFonts w:hint="eastAsia" w:ascii="宋体" w:hAnsi="宋体" w:cs="宋体"/>
                <w:color w:val="auto"/>
                <w:spacing w:val="0"/>
                <w:sz w:val="21"/>
                <w:szCs w:val="21"/>
                <w:highlight w:val="none"/>
                <w:lang w:val="en-US" w:eastAsia="zh-CN"/>
              </w:rPr>
              <w:t>4</w:t>
            </w:r>
            <w:r>
              <w:rPr>
                <w:rFonts w:hint="eastAsia" w:ascii="宋体" w:hAnsi="宋体" w:eastAsia="宋体" w:cs="宋体"/>
                <w:color w:val="auto"/>
                <w:spacing w:val="0"/>
                <w:sz w:val="21"/>
                <w:szCs w:val="21"/>
                <w:highlight w:val="none"/>
              </w:rPr>
              <w:t>月在本单位缴纳的有效社保证明。</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2.业绩需同时提供施工图审查合同（或委托书或中标通知书）及施工图审查报告证明文件，且能反应人员姓名及相应规模指标。时间以施工图审查报告时间为准。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21" w:type="dxa"/>
            <w:vMerge w:val="continue"/>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p>
        </w:tc>
        <w:tc>
          <w:tcPr>
            <w:tcW w:w="1011" w:type="dxa"/>
            <w:vMerge w:val="continue"/>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p>
        </w:tc>
        <w:tc>
          <w:tcPr>
            <w:tcW w:w="1346" w:type="dxa"/>
            <w:gridSpan w:val="2"/>
            <w:vMerge w:val="continue"/>
            <w:noWrap w:val="0"/>
            <w:vAlign w:val="center"/>
          </w:tcPr>
          <w:p>
            <w:pPr>
              <w:pStyle w:val="70"/>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p>
        </w:tc>
        <w:tc>
          <w:tcPr>
            <w:tcW w:w="7016" w:type="dxa"/>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服务团队成员（除项目负责人外）：</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1.拟投入本项目的人员数量配备满足程度均需按照招标文件要求（详见招标文件《拟投入本工程的专业人员一览表》），满足的得5分，如不符合，本项得0分；本小项最高得5分。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2.拟投入本项目的人员</w:t>
            </w:r>
            <w:r>
              <w:rPr>
                <w:rFonts w:hint="eastAsia" w:ascii="宋体" w:hAnsi="宋体" w:eastAsia="宋体" w:cs="宋体"/>
                <w:color w:val="auto"/>
                <w:spacing w:val="0"/>
                <w:sz w:val="21"/>
                <w:szCs w:val="21"/>
                <w:highlight w:val="none"/>
                <w:lang w:eastAsia="zh-CN"/>
              </w:rPr>
              <w:t>在满足招标文件《拟投入本工程的专业人员一览表》</w:t>
            </w:r>
            <w:r>
              <w:rPr>
                <w:rFonts w:hint="eastAsia" w:ascii="宋体" w:hAnsi="宋体" w:eastAsia="宋体" w:cs="宋体"/>
                <w:color w:val="auto"/>
                <w:spacing w:val="0"/>
                <w:sz w:val="21"/>
                <w:szCs w:val="21"/>
                <w:highlight w:val="none"/>
              </w:rPr>
              <w:t>要求的基础上：</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（1）自2021年1月1日至今获得建设行业主管部门或行业协会颁发的施工图审查专项奖的，每人加1分，本小项最高</w:t>
            </w:r>
            <w:r>
              <w:rPr>
                <w:rFonts w:hint="eastAsia" w:ascii="宋体" w:hAnsi="宋体" w:eastAsia="宋体" w:cs="宋体"/>
                <w:color w:val="auto"/>
                <w:spacing w:val="0"/>
                <w:sz w:val="21"/>
                <w:szCs w:val="21"/>
                <w:highlight w:val="none"/>
                <w:lang w:eastAsia="zh-CN"/>
              </w:rPr>
              <w:t>加</w:t>
            </w:r>
            <w:r>
              <w:rPr>
                <w:rFonts w:hint="eastAsia" w:ascii="宋体" w:hAnsi="宋体" w:eastAsia="宋体" w:cs="宋体"/>
                <w:color w:val="auto"/>
                <w:spacing w:val="0"/>
                <w:sz w:val="21"/>
                <w:szCs w:val="21"/>
                <w:highlight w:val="none"/>
              </w:rPr>
              <w:t>2分；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（2）每增加1名注册工程师或高级工程师（或以上）加1分。本小项最高</w:t>
            </w:r>
            <w:r>
              <w:rPr>
                <w:rFonts w:hint="eastAsia" w:ascii="宋体" w:hAnsi="宋体" w:eastAsia="宋体" w:cs="宋体"/>
                <w:color w:val="auto"/>
                <w:spacing w:val="0"/>
                <w:sz w:val="21"/>
                <w:szCs w:val="21"/>
                <w:highlight w:val="none"/>
                <w:lang w:eastAsia="zh-CN"/>
              </w:rPr>
              <w:t>加</w:t>
            </w:r>
            <w:r>
              <w:rPr>
                <w:rFonts w:hint="eastAsia" w:ascii="宋体" w:hAnsi="宋体" w:eastAsia="宋体" w:cs="宋体"/>
                <w:color w:val="auto"/>
                <w:spacing w:val="0"/>
                <w:sz w:val="21"/>
                <w:szCs w:val="21"/>
                <w:highlight w:val="none"/>
              </w:rPr>
              <w:t>3分。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无或其他情况不</w:t>
            </w:r>
            <w:r>
              <w:rPr>
                <w:rFonts w:hint="eastAsia" w:ascii="宋体" w:hAnsi="宋体" w:eastAsia="宋体" w:cs="宋体"/>
                <w:color w:val="auto"/>
                <w:spacing w:val="0"/>
                <w:sz w:val="21"/>
                <w:szCs w:val="21"/>
                <w:highlight w:val="none"/>
                <w:lang w:eastAsia="zh-CN"/>
              </w:rPr>
              <w:t>加</w:t>
            </w:r>
            <w:r>
              <w:rPr>
                <w:rFonts w:hint="eastAsia" w:ascii="宋体" w:hAnsi="宋体" w:eastAsia="宋体" w:cs="宋体"/>
                <w:color w:val="auto"/>
                <w:spacing w:val="0"/>
                <w:sz w:val="21"/>
                <w:szCs w:val="21"/>
                <w:highlight w:val="none"/>
              </w:rPr>
              <w:t>分，本项累计最高</w:t>
            </w:r>
            <w:r>
              <w:rPr>
                <w:rFonts w:hint="eastAsia" w:ascii="宋体" w:hAnsi="宋体" w:eastAsia="宋体" w:cs="宋体"/>
                <w:color w:val="auto"/>
                <w:spacing w:val="0"/>
                <w:sz w:val="21"/>
                <w:szCs w:val="21"/>
                <w:highlight w:val="none"/>
                <w:lang w:eastAsia="zh-CN"/>
              </w:rPr>
              <w:t>加</w:t>
            </w:r>
            <w:r>
              <w:rPr>
                <w:rFonts w:hint="eastAsia" w:ascii="宋体" w:hAnsi="宋体" w:eastAsia="宋体" w:cs="宋体"/>
                <w:color w:val="auto"/>
                <w:spacing w:val="0"/>
                <w:sz w:val="21"/>
                <w:szCs w:val="21"/>
                <w:highlight w:val="none"/>
              </w:rPr>
              <w:t>10分。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注：1.提供上述人员证书，同时提供上述人员2025年</w:t>
            </w:r>
            <w:r>
              <w:rPr>
                <w:rFonts w:hint="eastAsia" w:ascii="宋体" w:hAnsi="宋体" w:cs="宋体"/>
                <w:color w:val="auto"/>
                <w:spacing w:val="0"/>
                <w:sz w:val="21"/>
                <w:szCs w:val="21"/>
                <w:highlight w:val="none"/>
                <w:lang w:val="en-US" w:eastAsia="zh-CN"/>
              </w:rPr>
              <w:t>4</w:t>
            </w:r>
            <w:r>
              <w:rPr>
                <w:rFonts w:hint="eastAsia" w:ascii="宋体" w:hAnsi="宋体" w:eastAsia="宋体" w:cs="宋体"/>
                <w:color w:val="auto"/>
                <w:spacing w:val="0"/>
                <w:sz w:val="21"/>
                <w:szCs w:val="21"/>
                <w:highlight w:val="none"/>
              </w:rPr>
              <w:t>月在本单位缴纳的有效社保证明。上述人员若为退休人员，须提供退休证和返聘合同。</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2.提供</w:t>
            </w:r>
            <w:r>
              <w:rPr>
                <w:rFonts w:hint="eastAsia" w:ascii="宋体" w:hAnsi="宋体" w:eastAsia="宋体" w:cs="宋体"/>
                <w:color w:val="auto"/>
                <w:spacing w:val="0"/>
                <w:sz w:val="21"/>
                <w:szCs w:val="21"/>
                <w:highlight w:val="none"/>
                <w:lang w:eastAsia="zh-CN"/>
              </w:rPr>
              <w:t>获</w:t>
            </w:r>
            <w:r>
              <w:rPr>
                <w:rFonts w:hint="eastAsia" w:ascii="宋体" w:hAnsi="宋体" w:eastAsia="宋体" w:cs="宋体"/>
                <w:color w:val="auto"/>
                <w:spacing w:val="0"/>
                <w:sz w:val="21"/>
                <w:szCs w:val="21"/>
                <w:highlight w:val="none"/>
              </w:rPr>
              <w:t>奖证书，如颁奖单位为协会或学会的，还须提供协会或学会在“中国社会组织政务服务平台（全国社会组织信用信息公示平台）”登记的网页查询截图，否则不得分。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21" w:type="dxa"/>
            <w:vMerge w:val="continue"/>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p>
        </w:tc>
        <w:tc>
          <w:tcPr>
            <w:tcW w:w="1011" w:type="dxa"/>
            <w:vMerge w:val="continue"/>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p>
        </w:tc>
        <w:tc>
          <w:tcPr>
            <w:tcW w:w="1346" w:type="dxa"/>
            <w:gridSpan w:val="2"/>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企业获奖</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（12分）</w:t>
            </w:r>
          </w:p>
        </w:tc>
        <w:tc>
          <w:tcPr>
            <w:tcW w:w="7016" w:type="dxa"/>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投标人自2021年1月1日至今审查项目获得过建设行业主管部门或行业协会颁发的施工图审查专项奖</w:t>
            </w:r>
            <w:r>
              <w:rPr>
                <w:rFonts w:hint="eastAsia" w:ascii="宋体" w:hAnsi="宋体" w:eastAsia="宋体" w:cs="宋体"/>
                <w:color w:val="auto"/>
                <w:spacing w:val="0"/>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1.省级奖项或以上的，每项得4分；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2.市级（或副省级）奖项的，每项得2分。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无或其他情况不得分，本项累计最高得12分。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注：1.获奖以获奖证书为准，获奖时间以取得获奖证书时间为准，同一项目奖项只计最高奖项得分，不叠加计算。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2.提供奖证书，如颁奖单位为协会或学会的，还须提供协会或学会在“中国社会组织政务服务平台（全国社会组织信用信息公示平台）”登记的网页查询截图，否则不得分。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21" w:type="dxa"/>
            <w:vMerge w:val="continue"/>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p>
        </w:tc>
        <w:tc>
          <w:tcPr>
            <w:tcW w:w="1011" w:type="dxa"/>
            <w:vMerge w:val="continue"/>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p>
        </w:tc>
        <w:tc>
          <w:tcPr>
            <w:tcW w:w="134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企业综合能力（3分）</w:t>
            </w:r>
          </w:p>
        </w:tc>
        <w:tc>
          <w:tcPr>
            <w:tcW w:w="7016" w:type="dxa"/>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1.投标人具备具有环境管理体系认证证书、职业健康安全管理体系认证证书、质量管理体系认证证书，每提供一个得1分，本项最高得3分；不提供或没有得0分。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注：需提供以上相应的认证扫描件和全国认证认可信息公共服务平台官网（http://cx.cnca.cn/)或国家认证认可监督管理委员会官方（http://www.cnca.gov.cn/ ）网址【平台名称及网址若有更新，以最新发布的为准】有效查询结果截图，且证书状态应为“有效”，否则本项不得分。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21" w:type="dxa"/>
            <w:vMerge w:val="restart"/>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w:t>
            </w:r>
          </w:p>
        </w:tc>
        <w:tc>
          <w:tcPr>
            <w:tcW w:w="1011" w:type="dxa"/>
            <w:vMerge w:val="restart"/>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技术</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45</w:t>
            </w:r>
            <w:r>
              <w:rPr>
                <w:rFonts w:hint="eastAsia" w:ascii="宋体" w:hAnsi="宋体" w:eastAsia="宋体" w:cs="宋体"/>
                <w:color w:val="auto"/>
                <w:spacing w:val="0"/>
                <w:sz w:val="21"/>
                <w:szCs w:val="21"/>
                <w:highlight w:val="none"/>
              </w:rPr>
              <w:t>分）</w:t>
            </w:r>
          </w:p>
        </w:tc>
        <w:tc>
          <w:tcPr>
            <w:tcW w:w="1346" w:type="dxa"/>
            <w:gridSpan w:val="2"/>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对项目的熟悉和了解程度（15分）</w:t>
            </w:r>
          </w:p>
        </w:tc>
        <w:tc>
          <w:tcPr>
            <w:tcW w:w="7016" w:type="dxa"/>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优：</w:t>
            </w:r>
            <w:r>
              <w:rPr>
                <w:rFonts w:hint="eastAsia" w:ascii="宋体" w:hAnsi="宋体" w:eastAsia="宋体" w:cs="宋体"/>
                <w:color w:val="auto"/>
                <w:spacing w:val="0"/>
                <w:sz w:val="21"/>
                <w:szCs w:val="21"/>
                <w:highlight w:val="none"/>
              </w:rPr>
              <w:t>对本项目背景的解读清晰、明确，研究内容和要求的理解深度和准确性高的，得15-12分；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良：</w:t>
            </w:r>
            <w:r>
              <w:rPr>
                <w:rFonts w:hint="eastAsia" w:ascii="宋体" w:hAnsi="宋体" w:eastAsia="宋体" w:cs="宋体"/>
                <w:color w:val="auto"/>
                <w:spacing w:val="0"/>
                <w:sz w:val="21"/>
                <w:szCs w:val="21"/>
                <w:highlight w:val="none"/>
              </w:rPr>
              <w:t>对本项目背景的解读较清晰、明确，研究内容和要求的理解深度和准确性基本具体，得11-7分；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中：</w:t>
            </w:r>
            <w:r>
              <w:rPr>
                <w:rFonts w:hint="eastAsia" w:ascii="宋体" w:hAnsi="宋体" w:eastAsia="宋体" w:cs="宋体"/>
                <w:color w:val="auto"/>
                <w:spacing w:val="0"/>
                <w:sz w:val="21"/>
                <w:szCs w:val="21"/>
                <w:highlight w:val="none"/>
              </w:rPr>
              <w:t>对本项目背景的解读基本准确，对研究内容和要求的理解具有一定的深度和准确性，得6-2分；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差：</w:t>
            </w:r>
            <w:r>
              <w:rPr>
                <w:rFonts w:hint="eastAsia" w:ascii="宋体" w:hAnsi="宋体" w:eastAsia="宋体" w:cs="宋体"/>
                <w:color w:val="auto"/>
                <w:spacing w:val="0"/>
                <w:sz w:val="21"/>
                <w:szCs w:val="21"/>
                <w:highlight w:val="none"/>
              </w:rPr>
              <w:t>对本项目背景的解读不够清晰、明确，研究内容和要求的理解缺乏深度和准确性的，得1分。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不提供不得分</w:t>
            </w:r>
            <w:r>
              <w:rPr>
                <w:rFonts w:hint="eastAsia" w:ascii="宋体" w:hAnsi="宋体" w:eastAsia="宋体" w:cs="宋体"/>
                <w:color w:val="auto"/>
                <w:spacing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21" w:type="dxa"/>
            <w:vMerge w:val="continue"/>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p>
        </w:tc>
        <w:tc>
          <w:tcPr>
            <w:tcW w:w="1011" w:type="dxa"/>
            <w:vMerge w:val="continue"/>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p>
        </w:tc>
        <w:tc>
          <w:tcPr>
            <w:tcW w:w="1346" w:type="dxa"/>
            <w:gridSpan w:val="2"/>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施工图审查难点的认知和对策</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(10分)</w:t>
            </w:r>
          </w:p>
        </w:tc>
        <w:tc>
          <w:tcPr>
            <w:tcW w:w="7016" w:type="dxa"/>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优：</w:t>
            </w:r>
            <w:r>
              <w:rPr>
                <w:rFonts w:hint="eastAsia" w:ascii="宋体" w:hAnsi="宋体" w:eastAsia="宋体" w:cs="宋体"/>
                <w:color w:val="auto"/>
                <w:spacing w:val="0"/>
                <w:sz w:val="21"/>
                <w:szCs w:val="21"/>
                <w:highlight w:val="none"/>
              </w:rPr>
              <w:t>对本工程的难点有充分的认识，对策具体，针对性强；得10-8分；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良：</w:t>
            </w:r>
            <w:r>
              <w:rPr>
                <w:rFonts w:hint="eastAsia" w:ascii="宋体" w:hAnsi="宋体" w:eastAsia="宋体" w:cs="宋体"/>
                <w:color w:val="auto"/>
                <w:spacing w:val="0"/>
                <w:sz w:val="21"/>
                <w:szCs w:val="21"/>
                <w:highlight w:val="none"/>
              </w:rPr>
              <w:t>对本工程的难点有较充分认识，对策具体，针对性较强；得7-5分；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中：</w:t>
            </w:r>
            <w:r>
              <w:rPr>
                <w:rFonts w:hint="eastAsia" w:ascii="宋体" w:hAnsi="宋体" w:eastAsia="宋体" w:cs="宋体"/>
                <w:color w:val="auto"/>
                <w:spacing w:val="0"/>
                <w:sz w:val="21"/>
                <w:szCs w:val="21"/>
                <w:highlight w:val="none"/>
              </w:rPr>
              <w:t>对本工程的难点有基本认识，对策基本可行；得4-2分；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差：</w:t>
            </w:r>
            <w:r>
              <w:rPr>
                <w:rFonts w:hint="eastAsia" w:ascii="宋体" w:hAnsi="宋体" w:eastAsia="宋体" w:cs="宋体"/>
                <w:color w:val="auto"/>
                <w:spacing w:val="0"/>
                <w:sz w:val="21"/>
                <w:szCs w:val="21"/>
                <w:highlight w:val="none"/>
              </w:rPr>
              <w:t>对本工程的难点认识不充分，对策不具体，针对性不强。得1分。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不提供不得分</w:t>
            </w:r>
            <w:r>
              <w:rPr>
                <w:rFonts w:hint="eastAsia" w:ascii="宋体" w:hAnsi="宋体" w:eastAsia="宋体" w:cs="宋体"/>
                <w:color w:val="auto"/>
                <w:spacing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21" w:type="dxa"/>
            <w:vMerge w:val="continue"/>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p>
        </w:tc>
        <w:tc>
          <w:tcPr>
            <w:tcW w:w="1011" w:type="dxa"/>
            <w:vMerge w:val="continue"/>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p>
        </w:tc>
        <w:tc>
          <w:tcPr>
            <w:tcW w:w="1346" w:type="dxa"/>
            <w:gridSpan w:val="2"/>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施工图审查质量、进度控制（10分）</w:t>
            </w:r>
          </w:p>
        </w:tc>
        <w:tc>
          <w:tcPr>
            <w:tcW w:w="7016" w:type="dxa"/>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优：</w:t>
            </w:r>
            <w:r>
              <w:rPr>
                <w:rFonts w:hint="eastAsia" w:ascii="宋体" w:hAnsi="宋体" w:eastAsia="宋体" w:cs="宋体"/>
                <w:color w:val="auto"/>
                <w:spacing w:val="0"/>
                <w:sz w:val="21"/>
                <w:szCs w:val="21"/>
                <w:highlight w:val="none"/>
              </w:rPr>
              <w:t>质量、进度控制措施全面、完善、科学合理，针对性强，得10-8分；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良：</w:t>
            </w:r>
            <w:r>
              <w:rPr>
                <w:rFonts w:hint="eastAsia" w:ascii="宋体" w:hAnsi="宋体" w:eastAsia="宋体" w:cs="宋体"/>
                <w:color w:val="auto"/>
                <w:spacing w:val="0"/>
                <w:sz w:val="21"/>
                <w:szCs w:val="21"/>
                <w:highlight w:val="none"/>
              </w:rPr>
              <w:t>质量、进度控制措施较为全面、完善、科学合理，针对性较强，得7-5分；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中：</w:t>
            </w:r>
            <w:r>
              <w:rPr>
                <w:rFonts w:hint="eastAsia" w:ascii="宋体" w:hAnsi="宋体" w:eastAsia="宋体" w:cs="宋体"/>
                <w:color w:val="auto"/>
                <w:spacing w:val="0"/>
                <w:sz w:val="21"/>
                <w:szCs w:val="21"/>
                <w:highlight w:val="none"/>
              </w:rPr>
              <w:t>质量、进度控制措施较合理但不全面，基本可行，得4-2分；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差：</w:t>
            </w:r>
            <w:r>
              <w:rPr>
                <w:rFonts w:hint="eastAsia" w:ascii="宋体" w:hAnsi="宋体" w:eastAsia="宋体" w:cs="宋体"/>
                <w:color w:val="auto"/>
                <w:spacing w:val="0"/>
                <w:sz w:val="21"/>
                <w:szCs w:val="21"/>
                <w:highlight w:val="none"/>
              </w:rPr>
              <w:t>质量、进度控制措施不合理且可行性差，得1分。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不提供不得分</w:t>
            </w:r>
            <w:r>
              <w:rPr>
                <w:rFonts w:hint="eastAsia" w:ascii="宋体" w:hAnsi="宋体" w:eastAsia="宋体" w:cs="宋体"/>
                <w:color w:val="auto"/>
                <w:spacing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21" w:type="dxa"/>
            <w:vMerge w:val="continue"/>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p>
        </w:tc>
        <w:tc>
          <w:tcPr>
            <w:tcW w:w="1011" w:type="dxa"/>
            <w:vMerge w:val="continue"/>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p>
        </w:tc>
        <w:tc>
          <w:tcPr>
            <w:tcW w:w="1346" w:type="dxa"/>
            <w:gridSpan w:val="2"/>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施工图审查保障措施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（10分）</w:t>
            </w:r>
          </w:p>
        </w:tc>
        <w:tc>
          <w:tcPr>
            <w:tcW w:w="7016" w:type="dxa"/>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优：</w:t>
            </w:r>
            <w:r>
              <w:rPr>
                <w:rFonts w:hint="eastAsia" w:ascii="宋体" w:hAnsi="宋体" w:eastAsia="宋体" w:cs="宋体"/>
                <w:color w:val="auto"/>
                <w:spacing w:val="0"/>
                <w:sz w:val="21"/>
                <w:szCs w:val="21"/>
                <w:highlight w:val="none"/>
              </w:rPr>
              <w:t>保障措施全面、完善、科学合理，针对性强，得10-8分；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良：</w:t>
            </w:r>
            <w:r>
              <w:rPr>
                <w:rFonts w:hint="eastAsia" w:ascii="宋体" w:hAnsi="宋体" w:eastAsia="宋体" w:cs="宋体"/>
                <w:color w:val="auto"/>
                <w:spacing w:val="0"/>
                <w:sz w:val="21"/>
                <w:szCs w:val="21"/>
                <w:highlight w:val="none"/>
              </w:rPr>
              <w:t>保障措施较为全面、完善、科学合理，针对性较强，得7-5分；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中：</w:t>
            </w:r>
            <w:r>
              <w:rPr>
                <w:rFonts w:hint="eastAsia" w:ascii="宋体" w:hAnsi="宋体" w:eastAsia="宋体" w:cs="宋体"/>
                <w:color w:val="auto"/>
                <w:spacing w:val="0"/>
                <w:sz w:val="21"/>
                <w:szCs w:val="21"/>
                <w:highlight w:val="none"/>
              </w:rPr>
              <w:t>保障措施较合理但不全面，基本可行，得4-2分；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差：</w:t>
            </w:r>
            <w:r>
              <w:rPr>
                <w:rFonts w:hint="eastAsia" w:ascii="宋体" w:hAnsi="宋体" w:eastAsia="宋体" w:cs="宋体"/>
                <w:color w:val="auto"/>
                <w:spacing w:val="0"/>
                <w:sz w:val="21"/>
                <w:szCs w:val="21"/>
                <w:highlight w:val="none"/>
              </w:rPr>
              <w:t>保障措施不合理且可行性差，得1分。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不提供不得分</w:t>
            </w:r>
            <w:r>
              <w:rPr>
                <w:rFonts w:hint="eastAsia" w:ascii="宋体" w:hAnsi="宋体" w:eastAsia="宋体" w:cs="宋体"/>
                <w:color w:val="auto"/>
                <w:spacing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21" w:type="dxa"/>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w:t>
            </w:r>
          </w:p>
        </w:tc>
        <w:tc>
          <w:tcPr>
            <w:tcW w:w="1011" w:type="dxa"/>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报价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（10分）</w:t>
            </w:r>
          </w:p>
        </w:tc>
        <w:tc>
          <w:tcPr>
            <w:tcW w:w="133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报价得分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（10分）</w:t>
            </w:r>
          </w:p>
        </w:tc>
        <w:tc>
          <w:tcPr>
            <w:tcW w:w="7027" w:type="dxa"/>
            <w:gridSpan w:val="2"/>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报价得分以评标基准价作为计算各有效投标报价得分的基础，当有效投标报价等于评标基准价时得10分；有效投标报价每高出评标参考价1%扣0.3分，每低于评标参考价1%扣0.2分，不足1%时按直线内插法计算，最多扣至0分止，计算出报价得分。报价得分四舍五入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432" w:type="dxa"/>
            <w:gridSpan w:val="2"/>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总分</w:t>
            </w:r>
          </w:p>
        </w:tc>
        <w:tc>
          <w:tcPr>
            <w:tcW w:w="133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100分</w:t>
            </w:r>
          </w:p>
        </w:tc>
        <w:tc>
          <w:tcPr>
            <w:tcW w:w="7027" w:type="dxa"/>
            <w:gridSpan w:val="2"/>
            <w:noWrap w:val="0"/>
            <w:tcMar>
              <w:top w:w="14" w:type="dxa"/>
              <w:left w:w="14" w:type="dxa"/>
              <w:bottom w:w="0" w:type="dxa"/>
              <w:right w:w="14"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63" w:leftChars="30" w:right="63" w:rightChars="30"/>
              <w:jc w:val="both"/>
              <w:rPr>
                <w:rFonts w:hint="eastAsia" w:ascii="宋体" w:hAnsi="宋体" w:eastAsia="宋体" w:cs="宋体"/>
                <w:color w:val="auto"/>
                <w:spacing w:val="0"/>
                <w:sz w:val="21"/>
                <w:szCs w:val="21"/>
                <w:highlight w:val="none"/>
              </w:rPr>
            </w:pPr>
          </w:p>
        </w:tc>
      </w:tr>
    </w:tbl>
    <w:p>
      <w:pPr>
        <w:pStyle w:val="17"/>
        <w:keepNext w:val="0"/>
        <w:keepLines w:val="0"/>
        <w:pageBreakBefore w:val="0"/>
        <w:widowControl w:val="0"/>
        <w:kinsoku/>
        <w:overflowPunct/>
        <w:bidi w:val="0"/>
        <w:spacing w:line="360" w:lineRule="auto"/>
        <w:ind w:firstLine="420" w:firstLineChars="200"/>
        <w:rPr>
          <w:rFonts w:hint="eastAsia"/>
          <w:color w:val="auto"/>
          <w:spacing w:val="0"/>
          <w:highlight w:val="none"/>
        </w:rPr>
      </w:pPr>
      <w:r>
        <w:rPr>
          <w:rFonts w:hint="eastAsia"/>
          <w:color w:val="auto"/>
          <w:spacing w:val="0"/>
          <w:highlight w:val="none"/>
        </w:rPr>
        <w:t>注：</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1</w:t>
      </w:r>
      <w:r>
        <w:rPr>
          <w:rFonts w:hint="eastAsia" w:ascii="宋体" w:hAnsi="宋体" w:eastAsia="宋体" w:cs="宋体"/>
          <w:color w:val="auto"/>
          <w:spacing w:val="0"/>
          <w:highlight w:val="none"/>
        </w:rPr>
        <w:t>、获奖：获奖奖项指由建设行业主管部门或行业协会颁发的施工图审查项目奖项，提供获奖有效证明材料；获奖单位须为投标人，子公司不计算在内；时间以获奖有效证明材料的时间为准。</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baseline"/>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2、投入人员仅指注册在本公司人员，不含子公司人员，如投标申请人为集团公司，则不含其集团下属的子公司人员。</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baseline"/>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3、社保证明：指人员2025年4月在本单位缴纳的有效社保证明（含分支机构缴纳的社保证明）。</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baseline"/>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4、综合评分表中要求提供的证明文件如无特别说明，投标人提供的扫描件或网页信息打印页或网页信息截图内容等证明材料必须清晰可辨，如因扫描件或网页信息打印页或网页信息截图内容模糊导致评标时无法判断的，后果由投标人自负。上述证明资料不提供或提供不完整或提供不符合要求的不得分。</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5</w:t>
      </w:r>
      <w:r>
        <w:rPr>
          <w:rFonts w:hint="eastAsia" w:ascii="宋体" w:hAnsi="宋体" w:eastAsia="宋体" w:cs="宋体"/>
          <w:color w:val="auto"/>
          <w:spacing w:val="0"/>
          <w:highlight w:val="none"/>
        </w:rPr>
        <w:t>、本表按百分制评分，所有评委每个分项的分数汇总后去掉一个最高分和最低分的算术平均值为投标人的得分。分数出现小数点，保留小数点后二位小数，第三位小数四舍五入。</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baseline"/>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lang w:val="en-US" w:eastAsia="zh-CN"/>
        </w:rPr>
        <w:t>6、</w:t>
      </w:r>
      <w:r>
        <w:rPr>
          <w:rFonts w:hint="eastAsia" w:ascii="宋体" w:hAnsi="宋体" w:eastAsia="宋体" w:cs="宋体"/>
          <w:color w:val="auto"/>
          <w:spacing w:val="0"/>
          <w:highlight w:val="none"/>
        </w:rPr>
        <w:t>关于职称证书认定的相关说明：投标人应提供由人社部门核发的职称证书，若职称证书不是由人社部门核发，则应提供核发机构（或该机构职称评审委员会）获得人社部门授权或核准备案证明其具有职称评审权的证明文件，或该人员在人社部门职称管理系统登记的获得该职称的信息记录网页或截图打印件。</w:t>
      </w:r>
    </w:p>
    <w:p>
      <w:pPr>
        <w:pStyle w:val="17"/>
        <w:keepNext w:val="0"/>
        <w:keepLines w:val="0"/>
        <w:pageBreakBefore w:val="0"/>
        <w:widowControl w:val="0"/>
        <w:kinsoku/>
        <w:overflowPunct/>
        <w:bidi w:val="0"/>
        <w:rPr>
          <w:rFonts w:hint="eastAsia" w:hAnsi="宋体"/>
          <w:color w:val="auto"/>
          <w:spacing w:val="0"/>
          <w:szCs w:val="21"/>
          <w:highlight w:val="none"/>
        </w:rPr>
      </w:pPr>
    </w:p>
    <w:p>
      <w:pPr>
        <w:pStyle w:val="4"/>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cs="宋体"/>
          <w:color w:val="auto"/>
          <w:spacing w:val="0"/>
          <w:szCs w:val="21"/>
          <w:highlight w:val="none"/>
        </w:rPr>
      </w:pPr>
    </w:p>
    <w:p>
      <w:pPr>
        <w:pStyle w:val="4"/>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cs="宋体"/>
          <w:color w:val="auto"/>
          <w:spacing w:val="0"/>
          <w:szCs w:val="21"/>
          <w:highlight w:val="none"/>
        </w:rPr>
      </w:pPr>
      <w:r>
        <w:rPr>
          <w:rFonts w:hint="eastAsia" w:ascii="宋体" w:hAnsi="宋体" w:cs="宋体"/>
          <w:color w:val="auto"/>
          <w:spacing w:val="0"/>
          <w:szCs w:val="21"/>
          <w:highlight w:val="none"/>
        </w:rPr>
        <w:br w:type="page"/>
      </w:r>
    </w:p>
    <w:p>
      <w:pPr>
        <w:keepNext w:val="0"/>
        <w:keepLines w:val="0"/>
        <w:pageBreakBefore w:val="0"/>
        <w:widowControl w:val="0"/>
        <w:kinsoku/>
        <w:overflowPunct/>
        <w:bidi w:val="0"/>
        <w:spacing w:line="360" w:lineRule="auto"/>
        <w:jc w:val="center"/>
        <w:rPr>
          <w:rFonts w:hint="eastAsia" w:ascii="宋体" w:hAnsi="宋体"/>
          <w:b/>
          <w:bCs/>
          <w:color w:val="auto"/>
          <w:spacing w:val="0"/>
          <w:sz w:val="32"/>
          <w:szCs w:val="32"/>
          <w:highlight w:val="none"/>
        </w:rPr>
      </w:pPr>
      <w:r>
        <w:rPr>
          <w:rFonts w:hint="eastAsia" w:ascii="宋体" w:hAnsi="宋体"/>
          <w:b/>
          <w:bCs/>
          <w:color w:val="auto"/>
          <w:spacing w:val="0"/>
          <w:sz w:val="32"/>
          <w:szCs w:val="32"/>
          <w:highlight w:val="none"/>
        </w:rPr>
        <w:t>拟投入本工程的专业人员一览表</w:t>
      </w:r>
    </w:p>
    <w:tbl>
      <w:tblPr>
        <w:tblStyle w:val="36"/>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077"/>
        <w:gridCol w:w="526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11" w:type="dxa"/>
            <w:gridSpan w:val="2"/>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专业岗位</w:t>
            </w:r>
          </w:p>
        </w:tc>
        <w:tc>
          <w:tcPr>
            <w:tcW w:w="5264" w:type="dxa"/>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资  历  要  求</w:t>
            </w:r>
          </w:p>
        </w:tc>
        <w:tc>
          <w:tcPr>
            <w:tcW w:w="1445" w:type="dxa"/>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人数要求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11" w:type="dxa"/>
            <w:gridSpan w:val="2"/>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项目负责人</w:t>
            </w:r>
          </w:p>
        </w:tc>
        <w:tc>
          <w:tcPr>
            <w:tcW w:w="5264" w:type="dxa"/>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基本要求：按招标公告。</w:t>
            </w:r>
          </w:p>
        </w:tc>
        <w:tc>
          <w:tcPr>
            <w:tcW w:w="1445" w:type="dxa"/>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34" w:type="dxa"/>
            <w:vMerge w:val="restart"/>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专业人员</w:t>
            </w:r>
          </w:p>
        </w:tc>
        <w:tc>
          <w:tcPr>
            <w:tcW w:w="1077" w:type="dxa"/>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建筑</w:t>
            </w:r>
          </w:p>
        </w:tc>
        <w:tc>
          <w:tcPr>
            <w:tcW w:w="5264" w:type="dxa"/>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建筑专业工程师需具备一级注册建筑师资格。</w:t>
            </w:r>
          </w:p>
        </w:tc>
        <w:tc>
          <w:tcPr>
            <w:tcW w:w="1445" w:type="dxa"/>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不少于1人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34" w:type="dxa"/>
            <w:vMerge w:val="continue"/>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jc w:val="center"/>
              <w:rPr>
                <w:rFonts w:hint="eastAsia" w:ascii="宋体" w:hAnsi="宋体" w:eastAsia="宋体" w:cs="宋体"/>
                <w:color w:val="auto"/>
                <w:spacing w:val="0"/>
                <w:sz w:val="21"/>
                <w:szCs w:val="21"/>
                <w:highlight w:val="none"/>
              </w:rPr>
            </w:pPr>
          </w:p>
        </w:tc>
        <w:tc>
          <w:tcPr>
            <w:tcW w:w="1077" w:type="dxa"/>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结构</w:t>
            </w:r>
          </w:p>
        </w:tc>
        <w:tc>
          <w:tcPr>
            <w:tcW w:w="5264" w:type="dxa"/>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结构专业工程师需具备一级注册结构工程师。</w:t>
            </w:r>
          </w:p>
        </w:tc>
        <w:tc>
          <w:tcPr>
            <w:tcW w:w="1445" w:type="dxa"/>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34" w:type="dxa"/>
            <w:vMerge w:val="continue"/>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jc w:val="center"/>
              <w:rPr>
                <w:rFonts w:hint="eastAsia" w:ascii="宋体" w:hAnsi="宋体" w:eastAsia="宋体" w:cs="宋体"/>
                <w:color w:val="auto"/>
                <w:spacing w:val="0"/>
                <w:sz w:val="21"/>
                <w:szCs w:val="21"/>
                <w:highlight w:val="none"/>
              </w:rPr>
            </w:pPr>
          </w:p>
        </w:tc>
        <w:tc>
          <w:tcPr>
            <w:tcW w:w="1077" w:type="dxa"/>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给排水</w:t>
            </w:r>
          </w:p>
        </w:tc>
        <w:tc>
          <w:tcPr>
            <w:tcW w:w="5264" w:type="dxa"/>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给排水专业需具备注册公用设备工程师（给排水）。</w:t>
            </w:r>
          </w:p>
        </w:tc>
        <w:tc>
          <w:tcPr>
            <w:tcW w:w="1445" w:type="dxa"/>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不少于1人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34" w:type="dxa"/>
            <w:vMerge w:val="continue"/>
            <w:noWrap w:val="0"/>
            <w:vAlign w:val="top"/>
          </w:tcPr>
          <w:p>
            <w:pPr>
              <w:keepNext w:val="0"/>
              <w:keepLines w:val="0"/>
              <w:pageBreakBefore w:val="0"/>
              <w:widowControl w:val="0"/>
              <w:suppressLineNumbers w:val="0"/>
              <w:kinsoku/>
              <w:overflowPunct/>
              <w:bidi w:val="0"/>
              <w:spacing w:before="0" w:beforeAutospacing="0" w:after="0" w:afterAutospacing="0" w:line="320" w:lineRule="exact"/>
              <w:ind w:left="0" w:right="0"/>
              <w:jc w:val="center"/>
              <w:rPr>
                <w:rFonts w:hint="eastAsia" w:ascii="宋体" w:hAnsi="宋体" w:eastAsia="宋体" w:cs="宋体"/>
                <w:color w:val="auto"/>
                <w:spacing w:val="0"/>
                <w:sz w:val="21"/>
                <w:szCs w:val="21"/>
                <w:highlight w:val="none"/>
              </w:rPr>
            </w:pPr>
          </w:p>
        </w:tc>
        <w:tc>
          <w:tcPr>
            <w:tcW w:w="1077" w:type="dxa"/>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暖通空调</w:t>
            </w:r>
          </w:p>
        </w:tc>
        <w:tc>
          <w:tcPr>
            <w:tcW w:w="5264" w:type="dxa"/>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暖通空调专业需具备注册公用设备工程师（暖通空调）。</w:t>
            </w:r>
          </w:p>
        </w:tc>
        <w:tc>
          <w:tcPr>
            <w:tcW w:w="1445" w:type="dxa"/>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不少于1人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34" w:type="dxa"/>
            <w:vMerge w:val="continue"/>
            <w:noWrap w:val="0"/>
            <w:vAlign w:val="top"/>
          </w:tcPr>
          <w:p>
            <w:pPr>
              <w:keepNext w:val="0"/>
              <w:keepLines w:val="0"/>
              <w:pageBreakBefore w:val="0"/>
              <w:widowControl w:val="0"/>
              <w:suppressLineNumbers w:val="0"/>
              <w:kinsoku/>
              <w:overflowPunct/>
              <w:bidi w:val="0"/>
              <w:spacing w:before="0" w:beforeAutospacing="0" w:after="0" w:afterAutospacing="0" w:line="320" w:lineRule="exact"/>
              <w:ind w:left="0" w:right="0"/>
              <w:jc w:val="center"/>
              <w:rPr>
                <w:rFonts w:hint="eastAsia" w:ascii="宋体" w:hAnsi="宋体" w:eastAsia="宋体" w:cs="宋体"/>
                <w:color w:val="auto"/>
                <w:spacing w:val="0"/>
                <w:sz w:val="21"/>
                <w:szCs w:val="21"/>
                <w:highlight w:val="none"/>
              </w:rPr>
            </w:pPr>
          </w:p>
        </w:tc>
        <w:tc>
          <w:tcPr>
            <w:tcW w:w="1077" w:type="dxa"/>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电气</w:t>
            </w:r>
          </w:p>
        </w:tc>
        <w:tc>
          <w:tcPr>
            <w:tcW w:w="5264" w:type="dxa"/>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电气专业需具备注册电气工程师。</w:t>
            </w:r>
          </w:p>
        </w:tc>
        <w:tc>
          <w:tcPr>
            <w:tcW w:w="1445" w:type="dxa"/>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不少于1人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34" w:type="dxa"/>
            <w:vMerge w:val="continue"/>
            <w:noWrap w:val="0"/>
            <w:vAlign w:val="top"/>
          </w:tcPr>
          <w:p>
            <w:pPr>
              <w:keepNext w:val="0"/>
              <w:keepLines w:val="0"/>
              <w:pageBreakBefore w:val="0"/>
              <w:widowControl w:val="0"/>
              <w:suppressLineNumbers w:val="0"/>
              <w:kinsoku/>
              <w:overflowPunct/>
              <w:bidi w:val="0"/>
              <w:spacing w:before="0" w:beforeAutospacing="0" w:after="0" w:afterAutospacing="0" w:line="320" w:lineRule="exact"/>
              <w:ind w:left="0" w:right="0"/>
              <w:jc w:val="center"/>
              <w:rPr>
                <w:rFonts w:hint="eastAsia" w:ascii="宋体" w:hAnsi="宋体" w:eastAsia="宋体" w:cs="宋体"/>
                <w:color w:val="auto"/>
                <w:spacing w:val="0"/>
                <w:sz w:val="21"/>
                <w:szCs w:val="21"/>
                <w:highlight w:val="none"/>
              </w:rPr>
            </w:pPr>
          </w:p>
        </w:tc>
        <w:tc>
          <w:tcPr>
            <w:tcW w:w="1077" w:type="dxa"/>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园林绿化</w:t>
            </w:r>
          </w:p>
        </w:tc>
        <w:tc>
          <w:tcPr>
            <w:tcW w:w="5264" w:type="dxa"/>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园林绿化专业需具备高级工程师或以上职称。</w:t>
            </w:r>
          </w:p>
        </w:tc>
        <w:tc>
          <w:tcPr>
            <w:tcW w:w="1445" w:type="dxa"/>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不少于1人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134" w:type="dxa"/>
            <w:vMerge w:val="continue"/>
            <w:noWrap w:val="0"/>
            <w:vAlign w:val="top"/>
          </w:tcPr>
          <w:p>
            <w:pPr>
              <w:keepNext w:val="0"/>
              <w:keepLines w:val="0"/>
              <w:pageBreakBefore w:val="0"/>
              <w:widowControl w:val="0"/>
              <w:suppressLineNumbers w:val="0"/>
              <w:kinsoku/>
              <w:overflowPunct/>
              <w:bidi w:val="0"/>
              <w:spacing w:before="0" w:beforeAutospacing="0" w:after="0" w:afterAutospacing="0" w:line="320" w:lineRule="exact"/>
              <w:ind w:left="0" w:right="0"/>
              <w:jc w:val="center"/>
              <w:rPr>
                <w:rFonts w:hint="eastAsia" w:ascii="宋体" w:hAnsi="宋体" w:eastAsia="宋体" w:cs="宋体"/>
                <w:color w:val="auto"/>
                <w:spacing w:val="0"/>
                <w:sz w:val="21"/>
                <w:szCs w:val="21"/>
                <w:highlight w:val="none"/>
              </w:rPr>
            </w:pPr>
          </w:p>
        </w:tc>
        <w:tc>
          <w:tcPr>
            <w:tcW w:w="1077" w:type="dxa"/>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勘察</w:t>
            </w:r>
          </w:p>
        </w:tc>
        <w:tc>
          <w:tcPr>
            <w:tcW w:w="5264" w:type="dxa"/>
            <w:noWrap w:val="0"/>
            <w:vAlign w:val="center"/>
          </w:tcPr>
          <w:p>
            <w:pPr>
              <w:keepNext w:val="0"/>
              <w:keepLines w:val="0"/>
              <w:pageBreakBefore w:val="0"/>
              <w:widowControl w:val="0"/>
              <w:suppressLineNumbers w:val="0"/>
              <w:kinsoku/>
              <w:overflowPunct/>
              <w:bidi w:val="0"/>
              <w:spacing w:before="0" w:beforeAutospacing="0" w:after="0" w:afterAutospacing="0" w:line="320" w:lineRule="exact"/>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勘察专业需具备注册岩土工程师执业资格。</w:t>
            </w:r>
          </w:p>
        </w:tc>
        <w:tc>
          <w:tcPr>
            <w:tcW w:w="1445" w:type="dxa"/>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不少于1人</w:t>
            </w:r>
          </w:p>
        </w:tc>
      </w:tr>
    </w:tbl>
    <w:p>
      <w:pPr>
        <w:keepNext w:val="0"/>
        <w:keepLines w:val="0"/>
        <w:pageBreakBefore w:val="0"/>
        <w:widowControl w:val="0"/>
        <w:kinsoku/>
        <w:overflowPunct/>
        <w:bidi w:val="0"/>
        <w:spacing w:line="360" w:lineRule="auto"/>
        <w:rPr>
          <w:rFonts w:hint="eastAsia" w:ascii="宋体" w:hAnsi="宋体"/>
          <w:color w:val="auto"/>
          <w:spacing w:val="0"/>
          <w:szCs w:val="21"/>
          <w:highlight w:val="none"/>
        </w:rPr>
      </w:pPr>
      <w:r>
        <w:rPr>
          <w:rFonts w:hint="eastAsia" w:ascii="宋体" w:hAnsi="宋体"/>
          <w:color w:val="auto"/>
          <w:spacing w:val="0"/>
          <w:szCs w:val="21"/>
          <w:highlight w:val="none"/>
        </w:rPr>
        <w:t>注：1、上述人员不得兼任。</w:t>
      </w:r>
    </w:p>
    <w:p>
      <w:pPr>
        <w:keepNext w:val="0"/>
        <w:keepLines w:val="0"/>
        <w:pageBreakBefore w:val="0"/>
        <w:widowControl w:val="0"/>
        <w:kinsoku/>
        <w:overflowPunct/>
        <w:bidi w:val="0"/>
        <w:spacing w:line="360" w:lineRule="auto"/>
        <w:ind w:firstLine="420" w:firstLineChars="200"/>
        <w:rPr>
          <w:rFonts w:hint="eastAsia" w:ascii="宋体" w:hAnsi="宋体"/>
          <w:color w:val="auto"/>
          <w:spacing w:val="0"/>
          <w:szCs w:val="21"/>
          <w:highlight w:val="none"/>
        </w:rPr>
      </w:pPr>
      <w:r>
        <w:rPr>
          <w:rFonts w:hint="eastAsia" w:ascii="宋体" w:hAnsi="宋体"/>
          <w:color w:val="auto"/>
          <w:spacing w:val="0"/>
          <w:szCs w:val="21"/>
          <w:highlight w:val="none"/>
        </w:rPr>
        <w:t>2、上述人员需提供简历表。</w:t>
      </w:r>
    </w:p>
    <w:p>
      <w:pPr>
        <w:keepNext w:val="0"/>
        <w:keepLines w:val="0"/>
        <w:pageBreakBefore w:val="0"/>
        <w:widowControl w:val="0"/>
        <w:kinsoku/>
        <w:overflowPunct/>
        <w:bidi w:val="0"/>
        <w:spacing w:line="360" w:lineRule="auto"/>
        <w:ind w:firstLine="420" w:firstLineChars="200"/>
        <w:rPr>
          <w:rFonts w:hint="eastAsia" w:ascii="宋体" w:hAnsi="宋体" w:eastAsia="宋体" w:cs="Times New Roman"/>
          <w:color w:val="auto"/>
          <w:spacing w:val="0"/>
          <w:szCs w:val="21"/>
          <w:highlight w:val="none"/>
        </w:rPr>
      </w:pPr>
      <w:r>
        <w:rPr>
          <w:rFonts w:hint="eastAsia" w:ascii="宋体" w:hAnsi="宋体" w:eastAsia="宋体" w:cs="Times New Roman"/>
          <w:color w:val="auto"/>
          <w:spacing w:val="0"/>
          <w:szCs w:val="21"/>
          <w:highlight w:val="none"/>
          <w:lang w:val="en-US" w:eastAsia="zh-CN"/>
        </w:rPr>
        <w:t>3</w:t>
      </w:r>
      <w:r>
        <w:rPr>
          <w:rFonts w:hint="eastAsia" w:ascii="宋体" w:hAnsi="宋体" w:eastAsia="宋体" w:cs="Times New Roman"/>
          <w:color w:val="auto"/>
          <w:spacing w:val="0"/>
          <w:szCs w:val="21"/>
          <w:highlight w:val="none"/>
        </w:rPr>
        <w:t>、投标人拟投入的人员应为本单位人员，并提供本表所列人员近一个月（202</w:t>
      </w:r>
      <w:r>
        <w:rPr>
          <w:rFonts w:hint="eastAsia" w:ascii="宋体" w:hAnsi="宋体" w:eastAsia="宋体" w:cs="Times New Roman"/>
          <w:color w:val="auto"/>
          <w:spacing w:val="0"/>
          <w:szCs w:val="21"/>
          <w:highlight w:val="none"/>
          <w:lang w:val="en-US" w:eastAsia="zh-CN"/>
        </w:rPr>
        <w:t>5</w:t>
      </w:r>
      <w:r>
        <w:rPr>
          <w:rFonts w:hint="eastAsia" w:ascii="宋体" w:hAnsi="宋体" w:eastAsia="宋体" w:cs="Times New Roman"/>
          <w:color w:val="auto"/>
          <w:spacing w:val="0"/>
          <w:szCs w:val="21"/>
          <w:highlight w:val="none"/>
        </w:rPr>
        <w:t>年</w:t>
      </w:r>
      <w:r>
        <w:rPr>
          <w:rFonts w:hint="eastAsia" w:ascii="宋体" w:hAnsi="宋体" w:cs="Times New Roman"/>
          <w:color w:val="auto"/>
          <w:spacing w:val="0"/>
          <w:szCs w:val="21"/>
          <w:highlight w:val="none"/>
          <w:lang w:val="en-US" w:eastAsia="zh-CN"/>
        </w:rPr>
        <w:t>4</w:t>
      </w:r>
      <w:r>
        <w:rPr>
          <w:rFonts w:hint="eastAsia" w:ascii="宋体" w:hAnsi="宋体" w:eastAsia="宋体" w:cs="Times New Roman"/>
          <w:color w:val="auto"/>
          <w:spacing w:val="0"/>
          <w:szCs w:val="21"/>
          <w:highlight w:val="none"/>
        </w:rPr>
        <w:t>月）的参保社保证明。</w:t>
      </w:r>
    </w:p>
    <w:p>
      <w:pPr>
        <w:keepNext w:val="0"/>
        <w:keepLines w:val="0"/>
        <w:pageBreakBefore w:val="0"/>
        <w:widowControl w:val="0"/>
        <w:kinsoku/>
        <w:overflowPunct/>
        <w:bidi w:val="0"/>
        <w:spacing w:line="360" w:lineRule="auto"/>
        <w:ind w:firstLine="420" w:firstLineChars="200"/>
        <w:rPr>
          <w:rFonts w:hint="eastAsia" w:ascii="宋体" w:hAnsi="宋体" w:eastAsia="宋体" w:cs="Times New Roman"/>
          <w:color w:val="auto"/>
          <w:spacing w:val="0"/>
          <w:szCs w:val="21"/>
          <w:highlight w:val="none"/>
        </w:rPr>
      </w:pPr>
      <w:r>
        <w:rPr>
          <w:rFonts w:hint="eastAsia" w:ascii="宋体" w:hAnsi="宋体" w:eastAsia="宋体" w:cs="Times New Roman"/>
          <w:color w:val="auto"/>
          <w:spacing w:val="0"/>
          <w:szCs w:val="21"/>
          <w:highlight w:val="none"/>
          <w:lang w:val="en-US" w:eastAsia="zh-CN"/>
        </w:rPr>
        <w:t>4</w:t>
      </w:r>
      <w:r>
        <w:rPr>
          <w:rFonts w:hint="eastAsia" w:ascii="宋体" w:hAnsi="宋体" w:eastAsia="宋体" w:cs="Times New Roman"/>
          <w:color w:val="auto"/>
          <w:spacing w:val="0"/>
          <w:szCs w:val="21"/>
          <w:highlight w:val="none"/>
        </w:rPr>
        <w:t>、为保障审查人员稳定性，要求项目以上审查人员不得随意更换，如特殊情况更换，须征得</w:t>
      </w:r>
      <w:r>
        <w:rPr>
          <w:rFonts w:hint="eastAsia" w:ascii="宋体" w:hAnsi="宋体" w:eastAsia="宋体" w:cs="Times New Roman"/>
          <w:color w:val="auto"/>
          <w:spacing w:val="0"/>
          <w:szCs w:val="21"/>
          <w:highlight w:val="none"/>
          <w:lang w:eastAsia="zh-CN"/>
        </w:rPr>
        <w:t>招标人</w:t>
      </w:r>
      <w:r>
        <w:rPr>
          <w:rFonts w:hint="eastAsia" w:ascii="宋体" w:hAnsi="宋体" w:eastAsia="宋体" w:cs="Times New Roman"/>
          <w:color w:val="auto"/>
          <w:spacing w:val="0"/>
          <w:szCs w:val="21"/>
          <w:highlight w:val="none"/>
        </w:rPr>
        <w:t>同意。</w:t>
      </w:r>
    </w:p>
    <w:p>
      <w:pPr>
        <w:keepNext w:val="0"/>
        <w:keepLines w:val="0"/>
        <w:pageBreakBefore w:val="0"/>
        <w:widowControl w:val="0"/>
        <w:kinsoku/>
        <w:overflowPunct/>
        <w:bidi w:val="0"/>
        <w:spacing w:line="360" w:lineRule="auto"/>
        <w:ind w:firstLine="420" w:firstLineChars="200"/>
        <w:rPr>
          <w:rFonts w:hint="eastAsia" w:ascii="宋体" w:hAnsi="宋体" w:eastAsia="宋体" w:cs="Times New Roman"/>
          <w:color w:val="auto"/>
          <w:spacing w:val="0"/>
          <w:szCs w:val="21"/>
          <w:highlight w:val="none"/>
        </w:rPr>
      </w:pPr>
      <w:r>
        <w:rPr>
          <w:rFonts w:hint="eastAsia" w:ascii="宋体" w:hAnsi="宋体" w:eastAsia="宋体" w:cs="Times New Roman"/>
          <w:color w:val="auto"/>
          <w:spacing w:val="0"/>
          <w:szCs w:val="21"/>
          <w:highlight w:val="none"/>
          <w:lang w:val="en-US" w:eastAsia="zh-CN"/>
        </w:rPr>
        <w:t>5</w:t>
      </w:r>
      <w:r>
        <w:rPr>
          <w:rFonts w:hint="eastAsia" w:ascii="宋体" w:hAnsi="宋体" w:eastAsia="宋体" w:cs="Times New Roman"/>
          <w:color w:val="auto"/>
          <w:spacing w:val="0"/>
          <w:szCs w:val="21"/>
          <w:highlight w:val="none"/>
        </w:rPr>
        <w:t>、审查人员数量、专业水平、配套专业等达不到审查水平所需。审查单位应及时补充或更换，未能在指定时间内更换或补充的，视为违约。</w:t>
      </w:r>
    </w:p>
    <w:p>
      <w:pPr>
        <w:pStyle w:val="2"/>
        <w:keepNext w:val="0"/>
        <w:keepLines w:val="0"/>
        <w:pageBreakBefore w:val="0"/>
        <w:widowControl w:val="0"/>
        <w:kinsoku/>
        <w:overflowPunct/>
        <w:bidi w:val="0"/>
        <w:ind w:firstLine="0" w:firstLineChars="0"/>
        <w:rPr>
          <w:rFonts w:hint="eastAsia" w:ascii="宋体" w:hAnsi="宋体" w:cs="宋体"/>
          <w:color w:val="auto"/>
          <w:spacing w:val="0"/>
          <w:szCs w:val="21"/>
          <w:highlight w:val="none"/>
        </w:rPr>
      </w:pPr>
    </w:p>
    <w:p>
      <w:pPr>
        <w:pStyle w:val="2"/>
        <w:keepNext w:val="0"/>
        <w:keepLines w:val="0"/>
        <w:pageBreakBefore w:val="0"/>
        <w:widowControl w:val="0"/>
        <w:kinsoku/>
        <w:overflowPunct/>
        <w:bidi w:val="0"/>
        <w:ind w:firstLine="0" w:firstLineChars="0"/>
        <w:rPr>
          <w:rFonts w:hint="eastAsia" w:ascii="宋体" w:hAnsi="宋体" w:cs="宋体"/>
          <w:color w:val="auto"/>
          <w:spacing w:val="0"/>
          <w:szCs w:val="21"/>
          <w:highlight w:val="none"/>
        </w:rPr>
      </w:pPr>
    </w:p>
    <w:p>
      <w:pPr>
        <w:pStyle w:val="2"/>
        <w:keepNext w:val="0"/>
        <w:keepLines w:val="0"/>
        <w:pageBreakBefore w:val="0"/>
        <w:widowControl w:val="0"/>
        <w:kinsoku/>
        <w:overflowPunct/>
        <w:bidi w:val="0"/>
        <w:ind w:firstLine="0" w:firstLineChars="0"/>
        <w:rPr>
          <w:rFonts w:hint="eastAsia" w:ascii="宋体" w:hAnsi="宋体" w:cs="宋体"/>
          <w:color w:val="auto"/>
          <w:spacing w:val="0"/>
          <w:szCs w:val="21"/>
          <w:highlight w:val="none"/>
        </w:rPr>
        <w:sectPr>
          <w:pgSz w:w="11907" w:h="16839"/>
          <w:pgMar w:top="1361" w:right="1587" w:bottom="1361" w:left="1587" w:header="720" w:footer="890" w:gutter="0"/>
          <w:pgBorders>
            <w:top w:val="none" w:sz="0" w:space="0"/>
            <w:left w:val="none" w:sz="0" w:space="0"/>
            <w:bottom w:val="none" w:sz="0" w:space="0"/>
            <w:right w:val="none" w:sz="0" w:space="0"/>
          </w:pgBorders>
          <w:cols w:space="720" w:num="1"/>
          <w:rtlGutter w:val="0"/>
          <w:docGrid w:linePitch="286" w:charSpace="0"/>
        </w:sectPr>
      </w:pPr>
    </w:p>
    <w:p>
      <w:pPr>
        <w:pStyle w:val="2"/>
        <w:keepNext w:val="0"/>
        <w:keepLines w:val="0"/>
        <w:pageBreakBefore w:val="0"/>
        <w:widowControl w:val="0"/>
        <w:kinsoku/>
        <w:overflowPunct/>
        <w:bidi w:val="0"/>
        <w:ind w:firstLine="0" w:firstLineChars="0"/>
        <w:rPr>
          <w:rFonts w:hint="eastAsia" w:ascii="宋体" w:hAnsi="宋体" w:cs="宋体"/>
          <w:color w:val="auto"/>
          <w:spacing w:val="0"/>
          <w:szCs w:val="21"/>
          <w:highlight w:val="none"/>
        </w:rPr>
      </w:pPr>
    </w:p>
    <w:p>
      <w:pPr>
        <w:pStyle w:val="2"/>
        <w:keepNext w:val="0"/>
        <w:keepLines w:val="0"/>
        <w:pageBreakBefore w:val="0"/>
        <w:widowControl w:val="0"/>
        <w:kinsoku/>
        <w:overflowPunct/>
        <w:bidi w:val="0"/>
        <w:ind w:firstLine="0" w:firstLineChars="0"/>
        <w:rPr>
          <w:rFonts w:hint="eastAsia" w:ascii="宋体" w:hAnsi="宋体" w:cs="宋体"/>
          <w:color w:val="auto"/>
          <w:spacing w:val="0"/>
          <w:szCs w:val="21"/>
          <w:highlight w:val="none"/>
        </w:rPr>
      </w:pPr>
    </w:p>
    <w:p>
      <w:pPr>
        <w:keepNext w:val="0"/>
        <w:keepLines w:val="0"/>
        <w:pageBreakBefore w:val="0"/>
        <w:widowControl w:val="0"/>
        <w:kinsoku/>
        <w:overflowPunct/>
        <w:bidi w:val="0"/>
        <w:spacing w:after="120" w:line="360" w:lineRule="auto"/>
        <w:ind w:firstLine="723" w:firstLineChars="200"/>
        <w:jc w:val="center"/>
        <w:outlineLvl w:val="0"/>
        <w:rPr>
          <w:rFonts w:hint="eastAsia" w:ascii="宋体" w:hAnsi="宋体" w:eastAsia="宋体" w:cs="Times New Roman"/>
          <w:color w:val="auto"/>
          <w:spacing w:val="0"/>
          <w:sz w:val="10"/>
          <w:szCs w:val="10"/>
          <w:highlight w:val="none"/>
        </w:rPr>
      </w:pPr>
      <w:bookmarkStart w:id="334" w:name="_Toc11107"/>
      <w:bookmarkStart w:id="335" w:name="_Toc24978"/>
      <w:bookmarkStart w:id="336" w:name="_Toc31799"/>
      <w:bookmarkStart w:id="337" w:name="_Toc20605"/>
      <w:r>
        <w:rPr>
          <w:rStyle w:val="63"/>
          <w:rFonts w:ascii="宋体" w:hAnsi="宋体"/>
          <w:b/>
          <w:color w:val="auto"/>
          <w:spacing w:val="0"/>
          <w:sz w:val="36"/>
          <w:szCs w:val="36"/>
          <w:highlight w:val="none"/>
        </w:rPr>
        <w:t xml:space="preserve">第四章 </w:t>
      </w:r>
      <w:r>
        <w:rPr>
          <w:rStyle w:val="63"/>
          <w:rFonts w:hint="eastAsia" w:ascii="宋体" w:hAnsi="宋体"/>
          <w:b/>
          <w:color w:val="auto"/>
          <w:spacing w:val="0"/>
          <w:sz w:val="36"/>
          <w:szCs w:val="36"/>
          <w:highlight w:val="none"/>
          <w:lang w:val="en-US"/>
        </w:rPr>
        <w:t xml:space="preserve"> </w:t>
      </w:r>
      <w:r>
        <w:rPr>
          <w:rStyle w:val="63"/>
          <w:rFonts w:ascii="宋体" w:hAnsi="宋体"/>
          <w:b/>
          <w:color w:val="auto"/>
          <w:spacing w:val="0"/>
          <w:sz w:val="36"/>
          <w:szCs w:val="36"/>
          <w:highlight w:val="none"/>
        </w:rPr>
        <w:t>合同条款及格式</w:t>
      </w:r>
      <w:bookmarkEnd w:id="334"/>
      <w:bookmarkEnd w:id="335"/>
      <w:bookmarkEnd w:id="336"/>
      <w:bookmarkEnd w:id="337"/>
      <w:r>
        <w:rPr>
          <w:rStyle w:val="63"/>
          <w:rFonts w:hint="eastAsia" w:ascii="宋体" w:hAnsi="宋体"/>
          <w:b/>
          <w:color w:val="auto"/>
          <w:spacing w:val="0"/>
          <w:sz w:val="36"/>
          <w:szCs w:val="36"/>
          <w:highlight w:val="none"/>
        </w:rPr>
        <w:t>（</w:t>
      </w:r>
      <w:r>
        <w:rPr>
          <w:rStyle w:val="63"/>
          <w:rFonts w:hint="eastAsia" w:ascii="宋体" w:hAnsi="宋体"/>
          <w:b/>
          <w:color w:val="auto"/>
          <w:spacing w:val="0"/>
          <w:sz w:val="36"/>
          <w:szCs w:val="36"/>
          <w:highlight w:val="none"/>
          <w:lang w:val="en-US"/>
        </w:rPr>
        <w:t>另册</w:t>
      </w:r>
      <w:r>
        <w:rPr>
          <w:rStyle w:val="63"/>
          <w:rFonts w:hint="eastAsia" w:ascii="宋体" w:hAnsi="宋体"/>
          <w:b/>
          <w:color w:val="auto"/>
          <w:spacing w:val="0"/>
          <w:sz w:val="36"/>
          <w:szCs w:val="36"/>
          <w:highlight w:val="none"/>
        </w:rPr>
        <w:t>）</w:t>
      </w:r>
    </w:p>
    <w:p>
      <w:pPr>
        <w:pStyle w:val="34"/>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baseline"/>
        <w:rPr>
          <w:rStyle w:val="66"/>
          <w:rFonts w:ascii="宋体" w:hAnsi="宋体"/>
          <w:color w:val="auto"/>
          <w:spacing w:val="0"/>
          <w:sz w:val="24"/>
          <w:szCs w:val="24"/>
          <w:highlight w:val="none"/>
        </w:rPr>
      </w:pPr>
      <w:bookmarkStart w:id="338" w:name="_Toc2896"/>
      <w:bookmarkStart w:id="339" w:name="_Toc55393425"/>
      <w:bookmarkStart w:id="340" w:name="_Toc4772"/>
    </w:p>
    <w:p>
      <w:pPr>
        <w:pStyle w:val="34"/>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baseline"/>
        <w:rPr>
          <w:rStyle w:val="66"/>
          <w:rFonts w:ascii="宋体" w:hAnsi="宋体"/>
          <w:color w:val="auto"/>
          <w:spacing w:val="0"/>
          <w:sz w:val="24"/>
          <w:szCs w:val="24"/>
          <w:highlight w:val="none"/>
        </w:rPr>
        <w:sectPr>
          <w:pgSz w:w="11907" w:h="16839"/>
          <w:pgMar w:top="1361" w:right="1587" w:bottom="1361" w:left="1587" w:header="720" w:footer="890" w:gutter="0"/>
          <w:pgBorders>
            <w:top w:val="none" w:sz="0" w:space="0"/>
            <w:left w:val="none" w:sz="0" w:space="0"/>
            <w:bottom w:val="none" w:sz="0" w:space="0"/>
            <w:right w:val="none" w:sz="0" w:space="0"/>
          </w:pgBorders>
          <w:cols w:space="720" w:num="1"/>
          <w:rtlGutter w:val="0"/>
          <w:docGrid w:linePitch="286" w:charSpace="0"/>
        </w:sectPr>
      </w:pPr>
    </w:p>
    <w:p>
      <w:pPr>
        <w:pStyle w:val="34"/>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baseline"/>
        <w:rPr>
          <w:rStyle w:val="66"/>
          <w:rFonts w:ascii="宋体" w:hAnsi="宋体"/>
          <w:color w:val="auto"/>
          <w:spacing w:val="0"/>
          <w:sz w:val="24"/>
          <w:szCs w:val="24"/>
          <w:highlight w:val="none"/>
        </w:rPr>
      </w:pPr>
    </w:p>
    <w:p>
      <w:pPr>
        <w:pStyle w:val="83"/>
        <w:keepNext w:val="0"/>
        <w:keepLines w:val="0"/>
        <w:pageBreakBefore w:val="0"/>
        <w:widowControl w:val="0"/>
        <w:kinsoku/>
        <w:overflowPunct/>
        <w:bidi w:val="0"/>
        <w:spacing w:before="0" w:after="120" w:line="360" w:lineRule="auto"/>
        <w:ind w:firstLine="2891" w:firstLineChars="800"/>
        <w:jc w:val="both"/>
        <w:outlineLvl w:val="0"/>
        <w:rPr>
          <w:rStyle w:val="66"/>
          <w:rFonts w:ascii="宋体" w:hAnsi="宋体"/>
          <w:color w:val="auto"/>
          <w:spacing w:val="0"/>
          <w:sz w:val="36"/>
          <w:szCs w:val="36"/>
          <w:highlight w:val="none"/>
        </w:rPr>
      </w:pPr>
      <w:bookmarkStart w:id="341" w:name="_Toc6170"/>
      <w:bookmarkStart w:id="342" w:name="_Toc21551"/>
      <w:r>
        <w:rPr>
          <w:rStyle w:val="66"/>
          <w:rFonts w:ascii="宋体" w:hAnsi="宋体"/>
          <w:color w:val="auto"/>
          <w:spacing w:val="0"/>
          <w:sz w:val="36"/>
          <w:szCs w:val="36"/>
          <w:highlight w:val="none"/>
        </w:rPr>
        <w:t xml:space="preserve">第五章 </w:t>
      </w:r>
      <w:r>
        <w:rPr>
          <w:rStyle w:val="66"/>
          <w:rFonts w:hint="eastAsia" w:ascii="宋体" w:hAnsi="宋体"/>
          <w:color w:val="auto"/>
          <w:spacing w:val="0"/>
          <w:sz w:val="36"/>
          <w:szCs w:val="36"/>
          <w:highlight w:val="none"/>
          <w:lang w:val="en-US" w:eastAsia="zh-CN"/>
        </w:rPr>
        <w:t xml:space="preserve"> </w:t>
      </w:r>
      <w:r>
        <w:rPr>
          <w:rStyle w:val="66"/>
          <w:rFonts w:ascii="宋体" w:hAnsi="宋体"/>
          <w:color w:val="auto"/>
          <w:spacing w:val="0"/>
          <w:sz w:val="36"/>
          <w:szCs w:val="36"/>
          <w:highlight w:val="none"/>
        </w:rPr>
        <w:t>委托人要求</w:t>
      </w:r>
      <w:bookmarkEnd w:id="338"/>
      <w:bookmarkEnd w:id="339"/>
      <w:bookmarkEnd w:id="340"/>
      <w:bookmarkEnd w:id="341"/>
      <w:bookmarkEnd w:id="342"/>
    </w:p>
    <w:p>
      <w:pPr>
        <w:keepNext w:val="0"/>
        <w:keepLines w:val="0"/>
        <w:pageBreakBefore w:val="0"/>
        <w:widowControl w:val="0"/>
        <w:kinsoku/>
        <w:overflowPunct/>
        <w:bidi w:val="0"/>
        <w:spacing w:line="360" w:lineRule="auto"/>
        <w:jc w:val="center"/>
        <w:outlineLvl w:val="1"/>
        <w:rPr>
          <w:rFonts w:hint="eastAsia" w:ascii="宋体" w:hAnsi="宋体"/>
          <w:b/>
          <w:color w:val="auto"/>
          <w:spacing w:val="0"/>
          <w:sz w:val="36"/>
          <w:szCs w:val="36"/>
          <w:highlight w:val="none"/>
        </w:rPr>
      </w:pPr>
      <w:bookmarkStart w:id="343" w:name="_Toc32293"/>
      <w:bookmarkStart w:id="344" w:name="_Toc9627"/>
      <w:bookmarkStart w:id="345" w:name="_Toc29819"/>
      <w:bookmarkStart w:id="346" w:name="_Toc24109"/>
    </w:p>
    <w:p>
      <w:pPr>
        <w:keepNext w:val="0"/>
        <w:keepLines w:val="0"/>
        <w:pageBreakBefore w:val="0"/>
        <w:widowControl w:val="0"/>
        <w:kinsoku/>
        <w:overflowPunct/>
        <w:bidi w:val="0"/>
        <w:spacing w:line="360" w:lineRule="auto"/>
        <w:jc w:val="center"/>
        <w:outlineLvl w:val="1"/>
        <w:rPr>
          <w:rFonts w:ascii="宋体" w:hAnsi="宋体"/>
          <w:b/>
          <w:color w:val="auto"/>
          <w:spacing w:val="0"/>
          <w:sz w:val="36"/>
          <w:szCs w:val="36"/>
          <w:highlight w:val="none"/>
        </w:rPr>
      </w:pPr>
      <w:r>
        <w:rPr>
          <w:rFonts w:hint="eastAsia" w:ascii="宋体" w:hAnsi="宋体"/>
          <w:b/>
          <w:color w:val="auto"/>
          <w:spacing w:val="0"/>
          <w:sz w:val="36"/>
          <w:szCs w:val="36"/>
          <w:highlight w:val="none"/>
        </w:rPr>
        <w:t>施工图审查工作任务书</w:t>
      </w:r>
      <w:bookmarkEnd w:id="343"/>
      <w:bookmarkEnd w:id="344"/>
      <w:bookmarkEnd w:id="345"/>
      <w:bookmarkEnd w:id="346"/>
    </w:p>
    <w:p>
      <w:pPr>
        <w:pStyle w:val="105"/>
        <w:keepNext w:val="0"/>
        <w:keepLines w:val="0"/>
        <w:pageBreakBefore w:val="0"/>
        <w:widowControl w:val="0"/>
        <w:tabs>
          <w:tab w:val="left" w:pos="0"/>
        </w:tabs>
        <w:kinsoku/>
        <w:overflowPunct/>
        <w:bidi w:val="0"/>
        <w:snapToGrid w:val="0"/>
        <w:spacing w:line="360" w:lineRule="auto"/>
        <w:ind w:firstLine="0" w:firstLineChars="0"/>
        <w:outlineLvl w:val="1"/>
        <w:rPr>
          <w:rFonts w:hint="eastAsia" w:ascii="宋体" w:hAnsi="宋体"/>
          <w:b/>
          <w:bCs/>
          <w:color w:val="auto"/>
          <w:spacing w:val="0"/>
          <w:sz w:val="24"/>
          <w:szCs w:val="24"/>
          <w:highlight w:val="none"/>
        </w:rPr>
      </w:pPr>
      <w:bookmarkStart w:id="347" w:name="_Toc20956"/>
      <w:bookmarkStart w:id="348" w:name="_Toc28492"/>
      <w:bookmarkStart w:id="349" w:name="_Toc19521"/>
      <w:bookmarkStart w:id="350" w:name="_Toc6357"/>
    </w:p>
    <w:p>
      <w:pPr>
        <w:pStyle w:val="105"/>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firstLine="0" w:firstLineChars="0"/>
        <w:outlineLvl w:val="9"/>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一、项目名称</w:t>
      </w:r>
      <w:bookmarkEnd w:id="347"/>
      <w:bookmarkEnd w:id="348"/>
      <w:bookmarkEnd w:id="349"/>
      <w:bookmarkEnd w:id="350"/>
    </w:p>
    <w:p>
      <w:pPr>
        <w:pStyle w:val="6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沧联社区榕村片城中村改造项目复建安置01、02地块工程施工图技术审查</w:t>
      </w:r>
      <w:r>
        <w:rPr>
          <w:rFonts w:hint="eastAsia" w:ascii="宋体" w:hAnsi="宋体" w:eastAsia="宋体" w:cs="宋体"/>
          <w:color w:val="auto"/>
          <w:spacing w:val="0"/>
          <w:sz w:val="24"/>
          <w:szCs w:val="24"/>
          <w:highlight w:val="none"/>
        </w:rPr>
        <w:t>。</w:t>
      </w:r>
    </w:p>
    <w:p>
      <w:pPr>
        <w:pStyle w:val="108"/>
        <w:keepNext w:val="0"/>
        <w:keepLines w:val="0"/>
        <w:pageBreakBefore w:val="0"/>
        <w:widowControl w:val="0"/>
        <w:kinsoku/>
        <w:wordWrap/>
        <w:overflowPunct/>
        <w:topLinePunct w:val="0"/>
        <w:autoSpaceDE/>
        <w:autoSpaceDN/>
        <w:bidi w:val="0"/>
        <w:adjustRightInd/>
        <w:spacing w:after="0" w:line="360" w:lineRule="auto"/>
        <w:ind w:left="0" w:leftChars="0"/>
        <w:jc w:val="left"/>
        <w:outlineLvl w:val="9"/>
        <w:rPr>
          <w:rFonts w:hint="eastAsia" w:ascii="宋体" w:hAnsi="宋体" w:eastAsia="宋体" w:cs="宋体"/>
          <w:b/>
          <w:bCs/>
          <w:color w:val="auto"/>
          <w:spacing w:val="0"/>
          <w:sz w:val="24"/>
          <w:szCs w:val="24"/>
          <w:highlight w:val="none"/>
        </w:rPr>
      </w:pPr>
      <w:bookmarkStart w:id="351" w:name="_Toc6143"/>
      <w:bookmarkStart w:id="352" w:name="_Toc14991"/>
      <w:bookmarkStart w:id="353" w:name="_Toc7366"/>
      <w:bookmarkStart w:id="354" w:name="_Toc9579"/>
      <w:r>
        <w:rPr>
          <w:rFonts w:hint="eastAsia" w:ascii="宋体" w:hAnsi="宋体" w:eastAsia="宋体" w:cs="宋体"/>
          <w:b/>
          <w:bCs/>
          <w:color w:val="auto"/>
          <w:spacing w:val="0"/>
          <w:sz w:val="24"/>
          <w:szCs w:val="24"/>
          <w:highlight w:val="none"/>
        </w:rPr>
        <w:t>二、工程概况</w:t>
      </w:r>
      <w:bookmarkEnd w:id="351"/>
      <w:bookmarkEnd w:id="352"/>
      <w:bookmarkEnd w:id="353"/>
      <w:bookmarkEnd w:id="354"/>
    </w:p>
    <w:p>
      <w:pPr>
        <w:shd w:val="clear" w:color="auto" w:fill="FFFFFF"/>
        <w:adjustRightInd w:val="0"/>
        <w:spacing w:line="360" w:lineRule="auto"/>
        <w:ind w:firstLine="420" w:firstLineChars="175"/>
        <w:jc w:val="left"/>
        <w:rPr>
          <w:rFonts w:hint="eastAsia" w:ascii="宋体" w:hAnsi="宋体" w:eastAsia="宋体" w:cs="宋体"/>
          <w:color w:val="auto"/>
          <w:sz w:val="24"/>
          <w:szCs w:val="24"/>
          <w:highlight w:val="none"/>
          <w:u w:val="single"/>
        </w:rPr>
      </w:pPr>
      <w:bookmarkStart w:id="355" w:name="_Toc8944"/>
      <w:bookmarkStart w:id="356" w:name="_Toc1175"/>
      <w:bookmarkStart w:id="357" w:name="_Toc14171"/>
      <w:bookmarkStart w:id="358" w:name="_Toc8703"/>
      <w:r>
        <w:rPr>
          <w:rFonts w:hint="eastAsia" w:ascii="宋体" w:hAnsi="宋体" w:eastAsia="宋体" w:cs="宋体"/>
          <w:color w:val="auto"/>
          <w:sz w:val="24"/>
          <w:szCs w:val="24"/>
          <w:highlight w:val="none"/>
          <w:u w:val="single"/>
        </w:rPr>
        <w:t>项目位于于广州市黄埔区云埔产业组团，处于沧联社区南部，毗邻增城区。地块总用地面积约22786平方米（详见建设用地规划红线图），复建总建筑量约1</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万平方米，其中，复建住宅建设总量约7.8</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万平方米（含公建配套约0.86</w:t>
      </w:r>
      <w:r>
        <w:rPr>
          <w:rFonts w:hint="eastAsia" w:ascii="宋体" w:hAnsi="宋体" w:eastAsia="宋体" w:cs="宋体"/>
          <w:color w:val="auto"/>
          <w:sz w:val="24"/>
          <w:szCs w:val="24"/>
          <w:highlight w:val="none"/>
          <w:u w:val="single"/>
          <w:lang w:val="en-US" w:eastAsia="zh-CN"/>
        </w:rPr>
        <w:t>万</w:t>
      </w:r>
      <w:r>
        <w:rPr>
          <w:rFonts w:hint="eastAsia" w:ascii="宋体" w:hAnsi="宋体" w:eastAsia="宋体" w:cs="宋体"/>
          <w:color w:val="auto"/>
          <w:sz w:val="24"/>
          <w:szCs w:val="24"/>
          <w:highlight w:val="none"/>
          <w:u w:val="single"/>
        </w:rPr>
        <w:t>平方米），复建物业建设总量约3.29万平方米。复建商住01地块用地面积12353.0</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平方米，容积率5.2</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，计容总建筑面积</w:t>
      </w:r>
      <w:r>
        <w:rPr>
          <w:rFonts w:hint="eastAsia" w:ascii="宋体" w:hAnsi="宋体" w:eastAsia="宋体" w:cs="宋体"/>
          <w:color w:val="auto"/>
          <w:sz w:val="24"/>
          <w:szCs w:val="24"/>
          <w:highlight w:val="none"/>
          <w:u w:val="single"/>
          <w:lang w:val="en-US" w:eastAsia="zh-CN"/>
        </w:rPr>
        <w:t>65212</w:t>
      </w:r>
      <w:r>
        <w:rPr>
          <w:rFonts w:hint="eastAsia" w:ascii="宋体" w:hAnsi="宋体" w:eastAsia="宋体" w:cs="宋体"/>
          <w:color w:val="auto"/>
          <w:sz w:val="24"/>
          <w:szCs w:val="24"/>
          <w:highlight w:val="none"/>
          <w:u w:val="single"/>
        </w:rPr>
        <w:t>平方米，建筑密度≤38%，绿地率≥30%；复建商住02地块用地面积10432.</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平方米，容积率5.2</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，计容总建筑面积</w:t>
      </w:r>
      <w:r>
        <w:rPr>
          <w:rFonts w:hint="eastAsia" w:ascii="宋体" w:hAnsi="宋体" w:eastAsia="宋体" w:cs="宋体"/>
          <w:color w:val="auto"/>
          <w:sz w:val="24"/>
          <w:szCs w:val="24"/>
          <w:highlight w:val="none"/>
          <w:u w:val="single"/>
          <w:lang w:val="en-US" w:eastAsia="zh-CN"/>
        </w:rPr>
        <w:t>55003</w:t>
      </w:r>
      <w:r>
        <w:rPr>
          <w:rFonts w:hint="eastAsia" w:ascii="宋体" w:hAnsi="宋体" w:eastAsia="宋体" w:cs="宋体"/>
          <w:color w:val="auto"/>
          <w:sz w:val="24"/>
          <w:szCs w:val="24"/>
          <w:highlight w:val="none"/>
          <w:u w:val="single"/>
        </w:rPr>
        <w:t>平方米，建筑密度≤40%，绿地率≥28%。建筑高度≤100米，裙楼1至4层，塔楼2至32层。建设内容包括住宅、地下室车库、商业、公建配套等。（注：以上数据以最终控规审批方案为准。）</w:t>
      </w:r>
      <w:r>
        <w:rPr>
          <w:rFonts w:hint="eastAsia" w:ascii="宋体" w:hAnsi="宋体" w:eastAsia="宋体" w:cs="宋体"/>
          <w:color w:val="auto"/>
          <w:sz w:val="24"/>
          <w:szCs w:val="24"/>
          <w:highlight w:val="none"/>
          <w:u w:val="none"/>
        </w:rPr>
        <w:t>2.1.4 工程投资额：</w:t>
      </w:r>
      <w:r>
        <w:rPr>
          <w:rFonts w:hint="eastAsia" w:ascii="宋体" w:hAnsi="宋体" w:eastAsia="宋体" w:cs="宋体"/>
          <w:color w:val="auto"/>
          <w:sz w:val="24"/>
          <w:szCs w:val="24"/>
          <w:highlight w:val="none"/>
          <w:u w:val="single"/>
        </w:rPr>
        <w:t>约人民币</w:t>
      </w:r>
      <w:r>
        <w:rPr>
          <w:rFonts w:hint="eastAsia" w:ascii="宋体" w:hAnsi="宋体" w:eastAsia="宋体" w:cs="宋体"/>
          <w:color w:val="auto"/>
          <w:sz w:val="24"/>
          <w:szCs w:val="24"/>
          <w:highlight w:val="none"/>
          <w:u w:val="single"/>
          <w:lang w:val="en-US" w:eastAsia="zh-CN"/>
        </w:rPr>
        <w:t>124555</w:t>
      </w:r>
      <w:r>
        <w:rPr>
          <w:rFonts w:hint="eastAsia" w:ascii="宋体" w:hAnsi="宋体" w:eastAsia="宋体" w:cs="宋体"/>
          <w:color w:val="auto"/>
          <w:sz w:val="24"/>
          <w:szCs w:val="24"/>
          <w:highlight w:val="none"/>
          <w:u w:val="single"/>
        </w:rPr>
        <w:t>万元。其中：工程费用暂定人民币约</w:t>
      </w:r>
      <w:r>
        <w:rPr>
          <w:rFonts w:hint="eastAsia" w:ascii="宋体" w:hAnsi="宋体" w:eastAsia="宋体" w:cs="宋体"/>
          <w:color w:val="auto"/>
          <w:sz w:val="24"/>
          <w:szCs w:val="24"/>
          <w:highlight w:val="none"/>
          <w:u w:val="single"/>
          <w:lang w:val="en-US" w:eastAsia="zh-CN"/>
        </w:rPr>
        <w:t>105899.91</w:t>
      </w:r>
      <w:r>
        <w:rPr>
          <w:rFonts w:hint="eastAsia" w:ascii="宋体" w:hAnsi="宋体" w:eastAsia="宋体" w:cs="宋体"/>
          <w:color w:val="auto"/>
          <w:sz w:val="24"/>
          <w:szCs w:val="24"/>
          <w:highlight w:val="none"/>
          <w:u w:val="single"/>
        </w:rPr>
        <w:t>万元（最终以相关职能部门审定的结果为准)。</w:t>
      </w:r>
    </w:p>
    <w:p>
      <w:pPr>
        <w:pStyle w:val="108"/>
        <w:keepNext w:val="0"/>
        <w:keepLines w:val="0"/>
        <w:pageBreakBefore w:val="0"/>
        <w:widowControl w:val="0"/>
        <w:kinsoku/>
        <w:wordWrap/>
        <w:overflowPunct/>
        <w:topLinePunct w:val="0"/>
        <w:autoSpaceDE/>
        <w:autoSpaceDN/>
        <w:bidi w:val="0"/>
        <w:adjustRightInd/>
        <w:spacing w:after="0" w:line="360" w:lineRule="auto"/>
        <w:ind w:left="0" w:leftChars="0"/>
        <w:jc w:val="left"/>
        <w:outlineLvl w:val="9"/>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lang w:eastAsia="zh-CN"/>
        </w:rPr>
        <w:t>三</w:t>
      </w:r>
      <w:r>
        <w:rPr>
          <w:rFonts w:hint="eastAsia" w:ascii="宋体" w:hAnsi="宋体" w:eastAsia="宋体" w:cs="宋体"/>
          <w:b/>
          <w:bCs/>
          <w:color w:val="auto"/>
          <w:spacing w:val="0"/>
          <w:sz w:val="24"/>
          <w:szCs w:val="24"/>
          <w:highlight w:val="none"/>
        </w:rPr>
        <w:t>、</w:t>
      </w:r>
      <w:r>
        <w:rPr>
          <w:rFonts w:hint="eastAsia" w:ascii="宋体" w:hAnsi="宋体" w:eastAsia="宋体" w:cs="宋体"/>
          <w:b/>
          <w:color w:val="auto"/>
          <w:spacing w:val="0"/>
          <w:sz w:val="24"/>
          <w:szCs w:val="24"/>
          <w:highlight w:val="none"/>
        </w:rPr>
        <w:t>施工图审查等</w:t>
      </w:r>
      <w:r>
        <w:rPr>
          <w:rFonts w:hint="eastAsia" w:ascii="宋体" w:hAnsi="宋体" w:eastAsia="宋体" w:cs="宋体"/>
          <w:b/>
          <w:bCs/>
          <w:color w:val="auto"/>
          <w:spacing w:val="0"/>
          <w:sz w:val="24"/>
          <w:szCs w:val="24"/>
          <w:highlight w:val="none"/>
        </w:rPr>
        <w:t>工作内容</w:t>
      </w:r>
      <w:bookmarkEnd w:id="355"/>
      <w:bookmarkEnd w:id="356"/>
      <w:bookmarkEnd w:id="357"/>
      <w:bookmarkEnd w:id="358"/>
    </w:p>
    <w:p>
      <w:pPr>
        <w:keepNext w:val="0"/>
        <w:keepLines w:val="0"/>
        <w:pageBreakBefore w:val="0"/>
        <w:widowControl w:val="0"/>
        <w:kinsoku/>
        <w:wordWrap/>
        <w:overflowPunct/>
        <w:topLinePunct w:val="0"/>
        <w:autoSpaceDE/>
        <w:autoSpaceDN/>
        <w:bidi w:val="0"/>
        <w:adjustRightInd/>
        <w:spacing w:line="360" w:lineRule="auto"/>
        <w:ind w:left="0" w:firstLine="420"/>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(1)审查强条；</w:t>
      </w:r>
    </w:p>
    <w:p>
      <w:pPr>
        <w:keepNext w:val="0"/>
        <w:keepLines w:val="0"/>
        <w:pageBreakBefore w:val="0"/>
        <w:widowControl w:val="0"/>
        <w:kinsoku/>
        <w:wordWrap/>
        <w:overflowPunct/>
        <w:topLinePunct w:val="0"/>
        <w:autoSpaceDE/>
        <w:autoSpaceDN/>
        <w:bidi w:val="0"/>
        <w:adjustRightInd/>
        <w:spacing w:line="360" w:lineRule="auto"/>
        <w:ind w:left="0" w:firstLine="420"/>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(2)审查深度、完整性及合规性、合理性；</w:t>
      </w:r>
    </w:p>
    <w:p>
      <w:pPr>
        <w:keepNext w:val="0"/>
        <w:keepLines w:val="0"/>
        <w:pageBreakBefore w:val="0"/>
        <w:widowControl w:val="0"/>
        <w:kinsoku/>
        <w:wordWrap/>
        <w:overflowPunct/>
        <w:topLinePunct w:val="0"/>
        <w:autoSpaceDE/>
        <w:autoSpaceDN/>
        <w:bidi w:val="0"/>
        <w:adjustRightInd/>
        <w:spacing w:line="360" w:lineRule="auto"/>
        <w:ind w:left="0" w:firstLine="420"/>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(3)审查构造物的稳定性、安全性审查；</w:t>
      </w:r>
    </w:p>
    <w:p>
      <w:pPr>
        <w:keepNext w:val="0"/>
        <w:keepLines w:val="0"/>
        <w:pageBreakBefore w:val="0"/>
        <w:widowControl w:val="0"/>
        <w:kinsoku/>
        <w:wordWrap/>
        <w:overflowPunct/>
        <w:topLinePunct w:val="0"/>
        <w:autoSpaceDE/>
        <w:autoSpaceDN/>
        <w:bidi w:val="0"/>
        <w:adjustRightInd/>
        <w:spacing w:line="360" w:lineRule="auto"/>
        <w:ind w:left="0" w:firstLine="420"/>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(4)审查上阶段批复意见执行情况。</w:t>
      </w:r>
    </w:p>
    <w:p>
      <w:pPr>
        <w:pStyle w:val="2"/>
        <w:ind w:left="0" w:leftChars="0" w:firstLine="0" w:firstLineChars="0"/>
        <w:rPr>
          <w:rFonts w:hint="eastAsia" w:ascii="宋体" w:hAnsi="宋体"/>
          <w:color w:val="auto"/>
          <w:spacing w:val="0"/>
          <w:sz w:val="24"/>
          <w:szCs w:val="24"/>
          <w:highlight w:val="none"/>
        </w:rPr>
      </w:pPr>
    </w:p>
    <w:p>
      <w:pPr>
        <w:pStyle w:val="2"/>
        <w:ind w:left="0" w:leftChars="0" w:firstLine="0" w:firstLineChars="0"/>
        <w:rPr>
          <w:rFonts w:hint="eastAsia" w:ascii="宋体" w:hAnsi="宋体"/>
          <w:color w:val="auto"/>
          <w:spacing w:val="0"/>
          <w:sz w:val="24"/>
          <w:szCs w:val="24"/>
          <w:highlight w:val="none"/>
        </w:rPr>
      </w:pPr>
    </w:p>
    <w:p>
      <w:pPr>
        <w:keepNext w:val="0"/>
        <w:keepLines w:val="0"/>
        <w:pageBreakBefore w:val="0"/>
        <w:widowControl w:val="0"/>
        <w:kinsoku/>
        <w:overflowPunct/>
        <w:bidi w:val="0"/>
        <w:rPr>
          <w:rFonts w:ascii="宋体" w:hAnsi="宋体"/>
          <w:color w:val="auto"/>
          <w:spacing w:val="0"/>
          <w:highlight w:val="none"/>
        </w:rPr>
        <w:sectPr>
          <w:pgSz w:w="11907" w:h="16839"/>
          <w:pgMar w:top="1361" w:right="1587" w:bottom="1361" w:left="1587" w:header="720" w:footer="890" w:gutter="0"/>
          <w:pgBorders>
            <w:top w:val="none" w:sz="0" w:space="0"/>
            <w:left w:val="none" w:sz="0" w:space="0"/>
            <w:bottom w:val="none" w:sz="0" w:space="0"/>
            <w:right w:val="none" w:sz="0" w:space="0"/>
          </w:pgBorders>
          <w:cols w:space="720" w:num="1"/>
          <w:rtlGutter w:val="0"/>
          <w:docGrid w:linePitch="286" w:charSpace="0"/>
        </w:sectPr>
      </w:pPr>
    </w:p>
    <w:p>
      <w:pPr>
        <w:pStyle w:val="2"/>
        <w:keepNext w:val="0"/>
        <w:keepLines w:val="0"/>
        <w:pageBreakBefore w:val="0"/>
        <w:kinsoku/>
        <w:wordWrap/>
        <w:overflowPunct/>
        <w:topLinePunct w:val="0"/>
        <w:autoSpaceDE/>
        <w:autoSpaceDN/>
        <w:bidi w:val="0"/>
        <w:adjustRightInd/>
        <w:snapToGrid/>
        <w:ind w:left="0" w:leftChars="0" w:firstLine="0" w:firstLineChars="0"/>
        <w:textAlignment w:val="baseline"/>
        <w:rPr>
          <w:color w:val="auto"/>
        </w:rPr>
      </w:pPr>
    </w:p>
    <w:p>
      <w:pPr>
        <w:pStyle w:val="74"/>
        <w:keepNext w:val="0"/>
        <w:keepLines w:val="0"/>
        <w:pageBreakBefore w:val="0"/>
        <w:widowControl w:val="0"/>
        <w:kinsoku/>
        <w:wordWrap/>
        <w:overflowPunct/>
        <w:topLinePunct w:val="0"/>
        <w:autoSpaceDE/>
        <w:autoSpaceDN/>
        <w:bidi w:val="0"/>
        <w:adjustRightInd/>
        <w:snapToGrid/>
        <w:spacing w:before="0" w:after="120" w:line="360" w:lineRule="auto"/>
        <w:ind w:firstLine="200"/>
        <w:jc w:val="center"/>
        <w:textAlignment w:val="baseline"/>
        <w:outlineLvl w:val="9"/>
        <w:rPr>
          <w:rStyle w:val="63"/>
          <w:rFonts w:ascii="宋体" w:hAnsi="宋体"/>
          <w:color w:val="auto"/>
          <w:spacing w:val="0"/>
          <w:kern w:val="44"/>
          <w:sz w:val="36"/>
          <w:szCs w:val="36"/>
          <w:highlight w:val="none"/>
        </w:rPr>
      </w:pPr>
      <w:bookmarkStart w:id="359" w:name="_Toc2577"/>
      <w:bookmarkStart w:id="360" w:name="_Toc26749"/>
    </w:p>
    <w:p>
      <w:pPr>
        <w:pStyle w:val="74"/>
        <w:keepNext w:val="0"/>
        <w:keepLines w:val="0"/>
        <w:pageBreakBefore w:val="0"/>
        <w:widowControl w:val="0"/>
        <w:kinsoku/>
        <w:overflowPunct/>
        <w:bidi w:val="0"/>
        <w:spacing w:before="0" w:after="120" w:line="360" w:lineRule="auto"/>
        <w:ind w:firstLine="200"/>
        <w:jc w:val="center"/>
        <w:outlineLvl w:val="0"/>
        <w:rPr>
          <w:rStyle w:val="63"/>
          <w:rFonts w:ascii="宋体" w:hAnsi="宋体"/>
          <w:color w:val="auto"/>
          <w:spacing w:val="0"/>
          <w:kern w:val="44"/>
          <w:sz w:val="36"/>
          <w:szCs w:val="36"/>
          <w:highlight w:val="none"/>
        </w:rPr>
      </w:pPr>
      <w:bookmarkStart w:id="361" w:name="_Toc19958"/>
      <w:bookmarkStart w:id="362" w:name="_Toc446"/>
      <w:r>
        <w:rPr>
          <w:rStyle w:val="63"/>
          <w:rFonts w:ascii="宋体" w:hAnsi="宋体"/>
          <w:color w:val="auto"/>
          <w:spacing w:val="0"/>
          <w:kern w:val="44"/>
          <w:sz w:val="36"/>
          <w:szCs w:val="36"/>
          <w:highlight w:val="none"/>
        </w:rPr>
        <w:t>第六章</w:t>
      </w:r>
      <w:r>
        <w:rPr>
          <w:rStyle w:val="63"/>
          <w:rFonts w:hint="eastAsia" w:ascii="宋体" w:hAnsi="宋体"/>
          <w:color w:val="auto"/>
          <w:spacing w:val="0"/>
          <w:kern w:val="44"/>
          <w:sz w:val="36"/>
          <w:szCs w:val="36"/>
          <w:highlight w:val="none"/>
          <w:lang w:val="en-US"/>
        </w:rPr>
        <w:t xml:space="preserve"> </w:t>
      </w:r>
      <w:r>
        <w:rPr>
          <w:rStyle w:val="63"/>
          <w:rFonts w:ascii="宋体" w:hAnsi="宋体"/>
          <w:color w:val="auto"/>
          <w:spacing w:val="0"/>
          <w:kern w:val="44"/>
          <w:sz w:val="36"/>
          <w:szCs w:val="36"/>
          <w:highlight w:val="none"/>
        </w:rPr>
        <w:t xml:space="preserve"> 投标文件格式</w:t>
      </w:r>
      <w:bookmarkEnd w:id="359"/>
      <w:bookmarkEnd w:id="360"/>
      <w:bookmarkEnd w:id="361"/>
      <w:bookmarkEnd w:id="362"/>
    </w:p>
    <w:p>
      <w:pPr>
        <w:keepNext w:val="0"/>
        <w:keepLines w:val="0"/>
        <w:pageBreakBefore w:val="0"/>
        <w:widowControl w:val="0"/>
        <w:kinsoku/>
        <w:wordWrap/>
        <w:overflowPunct/>
        <w:topLinePunct w:val="0"/>
        <w:autoSpaceDE/>
        <w:autoSpaceDN/>
        <w:bidi w:val="0"/>
        <w:adjustRightInd/>
        <w:snapToGrid/>
        <w:spacing w:line="400" w:lineRule="exact"/>
        <w:textAlignment w:val="baseline"/>
        <w:outlineLvl w:val="9"/>
        <w:rPr>
          <w:rStyle w:val="63"/>
          <w:rFonts w:ascii="宋体" w:hAnsi="宋体"/>
          <w:color w:val="auto"/>
          <w:spacing w:val="0"/>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baseline"/>
        <w:outlineLvl w:val="9"/>
        <w:rPr>
          <w:rStyle w:val="63"/>
          <w:rFonts w:ascii="宋体" w:hAnsi="宋体"/>
          <w:color w:val="auto"/>
          <w:spacing w:val="0"/>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baseline"/>
        <w:outlineLvl w:val="9"/>
        <w:rPr>
          <w:rStyle w:val="63"/>
          <w:rFonts w:ascii="宋体" w:hAnsi="宋体"/>
          <w:color w:val="auto"/>
          <w:spacing w:val="0"/>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baseline"/>
        <w:outlineLvl w:val="9"/>
        <w:rPr>
          <w:rStyle w:val="63"/>
          <w:rFonts w:ascii="宋体" w:hAnsi="宋体"/>
          <w:color w:val="auto"/>
          <w:spacing w:val="0"/>
          <w:highlight w:val="none"/>
        </w:rPr>
      </w:pPr>
    </w:p>
    <w:p>
      <w:pPr>
        <w:keepNext w:val="0"/>
        <w:keepLines w:val="0"/>
        <w:pageBreakBefore w:val="0"/>
        <w:widowControl w:val="0"/>
        <w:kinsoku/>
        <w:wordWrap/>
        <w:overflowPunct/>
        <w:topLinePunct w:val="0"/>
        <w:autoSpaceDE/>
        <w:autoSpaceDN/>
        <w:bidi w:val="0"/>
        <w:adjustRightInd/>
        <w:snapToGrid/>
        <w:jc w:val="center"/>
        <w:textAlignment w:val="baseline"/>
        <w:outlineLvl w:val="9"/>
        <w:rPr>
          <w:rStyle w:val="63"/>
          <w:rFonts w:ascii="宋体" w:hAnsi="宋体"/>
          <w:color w:val="auto"/>
          <w:spacing w:val="0"/>
          <w:sz w:val="28"/>
          <w:szCs w:val="28"/>
          <w:highlight w:val="none"/>
        </w:rPr>
      </w:pPr>
      <w:r>
        <w:rPr>
          <w:rStyle w:val="63"/>
          <w:rFonts w:ascii="宋体" w:hAnsi="宋体"/>
          <w:color w:val="auto"/>
          <w:spacing w:val="0"/>
          <w:sz w:val="28"/>
          <w:szCs w:val="28"/>
          <w:highlight w:val="none"/>
          <w:u w:val="single"/>
        </w:rPr>
        <w:t xml:space="preserve">         </w:t>
      </w:r>
      <w:bookmarkStart w:id="363" w:name="_Toc19386"/>
      <w:bookmarkStart w:id="364" w:name="_Toc2778"/>
      <w:bookmarkStart w:id="365" w:name="_Toc31286"/>
      <w:bookmarkStart w:id="366" w:name="_Toc11329"/>
      <w:r>
        <w:rPr>
          <w:rStyle w:val="63"/>
          <w:rFonts w:ascii="宋体" w:hAnsi="宋体"/>
          <w:color w:val="auto"/>
          <w:spacing w:val="0"/>
          <w:sz w:val="28"/>
          <w:szCs w:val="28"/>
          <w:highlight w:val="none"/>
        </w:rPr>
        <w:t>（项目名称）</w:t>
      </w:r>
      <w:bookmarkEnd w:id="363"/>
      <w:bookmarkEnd w:id="364"/>
      <w:bookmarkEnd w:id="365"/>
      <w:bookmarkEnd w:id="366"/>
    </w:p>
    <w:p>
      <w:pPr>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sz w:val="20"/>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sz w:val="20"/>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sz w:val="20"/>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sz w:val="20"/>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sz w:val="20"/>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sz w:val="20"/>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sz w:val="20"/>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sz w:val="20"/>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sz w:val="20"/>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sz w:val="20"/>
          <w:highlight w:val="none"/>
        </w:rPr>
      </w:pPr>
    </w:p>
    <w:p>
      <w:pPr>
        <w:keepNext w:val="0"/>
        <w:keepLines w:val="0"/>
        <w:pageBreakBefore w:val="0"/>
        <w:widowControl w:val="0"/>
        <w:kinsoku/>
        <w:wordWrap/>
        <w:overflowPunct/>
        <w:topLinePunct w:val="0"/>
        <w:autoSpaceDE/>
        <w:autoSpaceDN/>
        <w:bidi w:val="0"/>
        <w:adjustRightInd/>
        <w:snapToGrid/>
        <w:jc w:val="center"/>
        <w:textAlignment w:val="baseline"/>
        <w:outlineLvl w:val="9"/>
        <w:rPr>
          <w:rStyle w:val="63"/>
          <w:rFonts w:ascii="宋体" w:hAnsi="宋体"/>
          <w:color w:val="auto"/>
          <w:spacing w:val="0"/>
          <w:sz w:val="48"/>
          <w:szCs w:val="48"/>
          <w:highlight w:val="none"/>
        </w:rPr>
      </w:pPr>
      <w:bookmarkStart w:id="367" w:name="_Toc30149"/>
      <w:bookmarkStart w:id="368" w:name="_Toc31654"/>
      <w:bookmarkStart w:id="369" w:name="_Toc12715"/>
      <w:bookmarkStart w:id="370" w:name="_Toc31769"/>
      <w:r>
        <w:rPr>
          <w:rStyle w:val="63"/>
          <w:rFonts w:ascii="宋体" w:hAnsi="宋体"/>
          <w:color w:val="auto"/>
          <w:spacing w:val="0"/>
          <w:sz w:val="48"/>
          <w:szCs w:val="48"/>
          <w:highlight w:val="none"/>
        </w:rPr>
        <w:t>投 标 文 件</w:t>
      </w:r>
      <w:bookmarkEnd w:id="367"/>
      <w:bookmarkEnd w:id="368"/>
      <w:bookmarkEnd w:id="369"/>
      <w:bookmarkEnd w:id="370"/>
    </w:p>
    <w:p>
      <w:pPr>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sz w:val="28"/>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sz w:val="28"/>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sz w:val="28"/>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sz w:val="28"/>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sz w:val="28"/>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sz w:val="28"/>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sz w:val="28"/>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sz w:val="28"/>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sz w:val="28"/>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Style w:val="63"/>
          <w:rFonts w:ascii="宋体" w:hAnsi="宋体"/>
          <w:color w:val="auto"/>
          <w:spacing w:val="0"/>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Style w:val="63"/>
          <w:rFonts w:ascii="宋体" w:hAnsi="宋体"/>
          <w:color w:val="auto"/>
          <w:spacing w:val="0"/>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baseline"/>
        <w:outlineLvl w:val="9"/>
        <w:rPr>
          <w:rStyle w:val="63"/>
          <w:rFonts w:ascii="宋体" w:hAnsi="宋体"/>
          <w:color w:val="auto"/>
          <w:spacing w:val="0"/>
          <w:sz w:val="28"/>
          <w:highlight w:val="none"/>
          <w:u w:val="single"/>
        </w:rPr>
      </w:pPr>
      <w:bookmarkStart w:id="371" w:name="_Toc3494"/>
      <w:bookmarkStart w:id="372" w:name="_Toc27821"/>
      <w:bookmarkStart w:id="373" w:name="_Toc2985"/>
      <w:bookmarkStart w:id="374" w:name="_Toc30399"/>
      <w:r>
        <w:rPr>
          <w:rStyle w:val="63"/>
          <w:rFonts w:ascii="宋体" w:hAnsi="宋体"/>
          <w:color w:val="auto"/>
          <w:spacing w:val="0"/>
          <w:sz w:val="28"/>
          <w:highlight w:val="none"/>
        </w:rPr>
        <w:t>投标人：</w:t>
      </w:r>
      <w:r>
        <w:rPr>
          <w:rStyle w:val="63"/>
          <w:rFonts w:ascii="宋体" w:hAnsi="宋体"/>
          <w:color w:val="auto"/>
          <w:spacing w:val="0"/>
          <w:highlight w:val="none"/>
          <w:u w:val="single"/>
        </w:rPr>
        <w:t xml:space="preserve">                                            </w:t>
      </w:r>
      <w:r>
        <w:rPr>
          <w:rStyle w:val="63"/>
          <w:rFonts w:ascii="宋体" w:hAnsi="宋体"/>
          <w:color w:val="auto"/>
          <w:spacing w:val="0"/>
          <w:sz w:val="28"/>
          <w:highlight w:val="none"/>
        </w:rPr>
        <w:t>（盖单位章）</w:t>
      </w:r>
      <w:bookmarkEnd w:id="371"/>
      <w:bookmarkEnd w:id="372"/>
      <w:bookmarkEnd w:id="373"/>
      <w:bookmarkEnd w:id="374"/>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jc w:val="left"/>
        <w:textAlignment w:val="baseline"/>
        <w:outlineLvl w:val="9"/>
        <w:rPr>
          <w:rStyle w:val="63"/>
          <w:rFonts w:ascii="宋体" w:hAnsi="宋体"/>
          <w:color w:val="auto"/>
          <w:spacing w:val="0"/>
          <w:sz w:val="28"/>
          <w:highlight w:val="none"/>
        </w:rPr>
      </w:pPr>
      <w:bookmarkStart w:id="375" w:name="_Toc32590"/>
      <w:bookmarkStart w:id="376" w:name="_Toc27731"/>
      <w:bookmarkStart w:id="377" w:name="_Toc14549"/>
      <w:bookmarkStart w:id="378" w:name="_Toc26648"/>
      <w:r>
        <w:rPr>
          <w:rStyle w:val="63"/>
          <w:rFonts w:ascii="宋体" w:hAnsi="宋体"/>
          <w:color w:val="auto"/>
          <w:spacing w:val="0"/>
          <w:sz w:val="28"/>
          <w:highlight w:val="none"/>
        </w:rPr>
        <w:t>法定代表人或其委托代理人：</w:t>
      </w:r>
      <w:r>
        <w:rPr>
          <w:rStyle w:val="63"/>
          <w:rFonts w:ascii="宋体" w:hAnsi="宋体"/>
          <w:color w:val="auto"/>
          <w:spacing w:val="0"/>
          <w:highlight w:val="none"/>
          <w:u w:val="single"/>
        </w:rPr>
        <w:t xml:space="preserve">       </w:t>
      </w:r>
      <w:r>
        <w:rPr>
          <w:rStyle w:val="63"/>
          <w:rFonts w:ascii="宋体" w:hAnsi="宋体"/>
          <w:color w:val="auto"/>
          <w:spacing w:val="0"/>
          <w:sz w:val="28"/>
          <w:highlight w:val="none"/>
        </w:rPr>
        <w:t>（签字）</w:t>
      </w:r>
      <w:bookmarkEnd w:id="375"/>
      <w:bookmarkEnd w:id="376"/>
      <w:bookmarkEnd w:id="377"/>
      <w:bookmarkEnd w:id="378"/>
    </w:p>
    <w:p>
      <w:pPr>
        <w:keepNext w:val="0"/>
        <w:keepLines w:val="0"/>
        <w:pageBreakBefore w:val="0"/>
        <w:widowControl w:val="0"/>
        <w:kinsoku/>
        <w:wordWrap/>
        <w:overflowPunct/>
        <w:topLinePunct w:val="0"/>
        <w:autoSpaceDE/>
        <w:autoSpaceDN/>
        <w:bidi w:val="0"/>
        <w:adjustRightInd/>
        <w:snapToGrid/>
        <w:jc w:val="center"/>
        <w:textAlignment w:val="baseline"/>
        <w:outlineLvl w:val="9"/>
        <w:rPr>
          <w:rStyle w:val="63"/>
          <w:rFonts w:ascii="宋体" w:hAnsi="宋体"/>
          <w:color w:val="auto"/>
          <w:spacing w:val="0"/>
          <w:sz w:val="28"/>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9"/>
        <w:rPr>
          <w:rStyle w:val="63"/>
          <w:rFonts w:ascii="宋体" w:hAnsi="宋体"/>
          <w:color w:val="auto"/>
          <w:spacing w:val="0"/>
          <w:highlight w:val="none"/>
        </w:rPr>
      </w:pPr>
      <w:r>
        <w:rPr>
          <w:rStyle w:val="63"/>
          <w:rFonts w:ascii="宋体" w:hAnsi="宋体"/>
          <w:color w:val="auto"/>
          <w:spacing w:val="0"/>
          <w:highlight w:val="none"/>
          <w:u w:val="single"/>
        </w:rPr>
        <w:t xml:space="preserve">       </w:t>
      </w:r>
      <w:bookmarkStart w:id="379" w:name="_Toc25617"/>
      <w:bookmarkStart w:id="380" w:name="_Toc13187"/>
      <w:bookmarkStart w:id="381" w:name="_Toc20429"/>
      <w:bookmarkStart w:id="382" w:name="_Toc30050"/>
      <w:r>
        <w:rPr>
          <w:rStyle w:val="63"/>
          <w:rFonts w:ascii="宋体" w:hAnsi="宋体"/>
          <w:color w:val="auto"/>
          <w:spacing w:val="0"/>
          <w:sz w:val="28"/>
          <w:highlight w:val="none"/>
        </w:rPr>
        <w:t>年</w:t>
      </w:r>
      <w:r>
        <w:rPr>
          <w:rStyle w:val="63"/>
          <w:rFonts w:ascii="宋体" w:hAnsi="宋体"/>
          <w:color w:val="auto"/>
          <w:spacing w:val="0"/>
          <w:highlight w:val="none"/>
          <w:u w:val="single"/>
        </w:rPr>
        <w:t xml:space="preserve">     </w:t>
      </w:r>
      <w:r>
        <w:rPr>
          <w:rStyle w:val="63"/>
          <w:rFonts w:ascii="宋体" w:hAnsi="宋体"/>
          <w:color w:val="auto"/>
          <w:spacing w:val="0"/>
          <w:sz w:val="28"/>
          <w:highlight w:val="none"/>
        </w:rPr>
        <w:t>月</w:t>
      </w:r>
      <w:r>
        <w:rPr>
          <w:rStyle w:val="63"/>
          <w:rFonts w:ascii="宋体" w:hAnsi="宋体"/>
          <w:color w:val="auto"/>
          <w:spacing w:val="0"/>
          <w:highlight w:val="none"/>
          <w:u w:val="single"/>
        </w:rPr>
        <w:t xml:space="preserve">     </w:t>
      </w:r>
      <w:r>
        <w:rPr>
          <w:rStyle w:val="63"/>
          <w:rFonts w:ascii="宋体" w:hAnsi="宋体"/>
          <w:color w:val="auto"/>
          <w:spacing w:val="0"/>
          <w:sz w:val="28"/>
          <w:highlight w:val="none"/>
        </w:rPr>
        <w:t>日</w:t>
      </w:r>
      <w:bookmarkEnd w:id="379"/>
      <w:bookmarkEnd w:id="380"/>
      <w:bookmarkEnd w:id="381"/>
      <w:bookmarkEnd w:id="382"/>
    </w:p>
    <w:p>
      <w:pPr>
        <w:keepNext w:val="0"/>
        <w:keepLines w:val="0"/>
        <w:pageBreakBefore w:val="0"/>
        <w:widowControl w:val="0"/>
        <w:kinsoku/>
        <w:wordWrap/>
        <w:overflowPunct/>
        <w:topLinePunct w:val="0"/>
        <w:autoSpaceDE/>
        <w:autoSpaceDN/>
        <w:bidi w:val="0"/>
        <w:adjustRightInd/>
        <w:snapToGrid/>
        <w:textAlignment w:val="baseline"/>
        <w:rPr>
          <w:rFonts w:hint="eastAsia" w:ascii="Times New Roman" w:hAnsi="Times New Roman" w:eastAsia="宋体" w:cs="Times New Roman"/>
          <w:color w:val="auto"/>
          <w:spacing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textAlignment w:val="baseline"/>
        <w:rPr>
          <w:rFonts w:hint="eastAsia" w:ascii="Times New Roman" w:hAnsi="Times New Roman" w:eastAsia="宋体" w:cs="Times New Roman"/>
          <w:color w:val="auto"/>
          <w:spacing w:val="0"/>
          <w:sz w:val="24"/>
          <w:szCs w:val="24"/>
          <w:highlight w:val="none"/>
          <w:lang w:val="zh-CN"/>
        </w:rPr>
        <w:sectPr>
          <w:pgSz w:w="11907" w:h="16839"/>
          <w:pgMar w:top="1361" w:right="1587" w:bottom="1361" w:left="1587" w:header="720" w:footer="890" w:gutter="0"/>
          <w:pgBorders>
            <w:top w:val="none" w:sz="0" w:space="0"/>
            <w:left w:val="none" w:sz="0" w:space="0"/>
            <w:bottom w:val="none" w:sz="0" w:space="0"/>
            <w:right w:val="none" w:sz="0" w:space="0"/>
          </w:pgBorders>
          <w:cols w:space="720" w:num="1"/>
          <w:rtlGutter w:val="0"/>
          <w:docGrid w:linePitch="286" w:charSpace="0"/>
        </w:sectPr>
      </w:pPr>
      <w:bookmarkStart w:id="383" w:name="_Toc24523"/>
      <w:bookmarkStart w:id="384" w:name="_Toc16052"/>
    </w:p>
    <w:p>
      <w:pPr>
        <w:pStyle w:val="2"/>
        <w:ind w:left="0" w:leftChars="0" w:firstLine="0" w:firstLineChars="0"/>
        <w:rPr>
          <w:rFonts w:hint="eastAsia"/>
          <w:color w:val="auto"/>
          <w:lang w:val="zh-CN"/>
        </w:rPr>
      </w:pPr>
    </w:p>
    <w:p>
      <w:pPr>
        <w:pStyle w:val="2"/>
        <w:ind w:left="0" w:leftChars="0" w:firstLine="0" w:firstLineChars="0"/>
        <w:rPr>
          <w:rFonts w:hint="eastAsia"/>
          <w:color w:val="auto"/>
          <w:lang w:val="zh-CN"/>
        </w:rPr>
      </w:pPr>
    </w:p>
    <w:p>
      <w:pPr>
        <w:pStyle w:val="100"/>
        <w:keepNext w:val="0"/>
        <w:keepLines w:val="0"/>
        <w:pageBreakBefore w:val="0"/>
        <w:widowControl w:val="0"/>
        <w:kinsoku/>
        <w:wordWrap/>
        <w:overflowPunct/>
        <w:topLinePunct w:val="0"/>
        <w:autoSpaceDE/>
        <w:autoSpaceDN/>
        <w:bidi w:val="0"/>
        <w:adjustRightInd/>
        <w:snapToGrid/>
        <w:spacing w:line="413" w:lineRule="auto"/>
        <w:jc w:val="center"/>
        <w:textAlignment w:val="baseline"/>
        <w:outlineLvl w:val="9"/>
        <w:rPr>
          <w:rStyle w:val="63"/>
          <w:rFonts w:ascii="宋体" w:hAnsi="宋体"/>
          <w:color w:val="auto"/>
          <w:spacing w:val="0"/>
          <w:sz w:val="36"/>
          <w:szCs w:val="36"/>
          <w:highlight w:val="none"/>
        </w:rPr>
      </w:pPr>
      <w:bookmarkStart w:id="385" w:name="_Toc23254"/>
      <w:bookmarkStart w:id="386" w:name="_Toc25787"/>
      <w:r>
        <w:rPr>
          <w:rStyle w:val="63"/>
          <w:rFonts w:ascii="宋体" w:hAnsi="宋体"/>
          <w:color w:val="auto"/>
          <w:spacing w:val="0"/>
          <w:sz w:val="36"/>
          <w:szCs w:val="36"/>
          <w:highlight w:val="none"/>
        </w:rPr>
        <w:t>目  录</w:t>
      </w:r>
      <w:bookmarkEnd w:id="383"/>
      <w:bookmarkEnd w:id="384"/>
      <w:bookmarkEnd w:id="385"/>
      <w:bookmarkEnd w:id="386"/>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baseline"/>
        <w:outlineLvl w:val="9"/>
        <w:rPr>
          <w:rStyle w:val="63"/>
          <w:rFonts w:ascii="宋体" w:hAnsi="宋体"/>
          <w:color w:val="auto"/>
          <w:spacing w:val="0"/>
          <w:sz w:val="24"/>
          <w:szCs w:val="24"/>
          <w:highlight w:val="none"/>
        </w:rPr>
      </w:pPr>
      <w:bookmarkStart w:id="387" w:name="_Toc14179"/>
      <w:bookmarkStart w:id="388" w:name="_Toc6384"/>
      <w:bookmarkStart w:id="389" w:name="_Toc23281"/>
      <w:bookmarkStart w:id="390" w:name="_Toc992"/>
      <w:r>
        <w:rPr>
          <w:rStyle w:val="63"/>
          <w:rFonts w:ascii="宋体" w:hAnsi="宋体"/>
          <w:color w:val="auto"/>
          <w:spacing w:val="0"/>
          <w:sz w:val="24"/>
          <w:szCs w:val="24"/>
          <w:highlight w:val="none"/>
        </w:rPr>
        <w:t>一、投标函及投标函附录</w:t>
      </w:r>
      <w:bookmarkEnd w:id="387"/>
      <w:bookmarkEnd w:id="388"/>
      <w:bookmarkEnd w:id="389"/>
      <w:bookmarkEnd w:id="390"/>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baseline"/>
        <w:outlineLvl w:val="9"/>
        <w:rPr>
          <w:rStyle w:val="63"/>
          <w:rFonts w:ascii="宋体" w:hAnsi="宋体"/>
          <w:color w:val="auto"/>
          <w:spacing w:val="0"/>
          <w:sz w:val="24"/>
          <w:szCs w:val="24"/>
          <w:highlight w:val="none"/>
        </w:rPr>
      </w:pPr>
      <w:bookmarkStart w:id="391" w:name="_Toc2307"/>
      <w:bookmarkStart w:id="392" w:name="_Toc30994"/>
      <w:bookmarkStart w:id="393" w:name="_Toc4076"/>
      <w:bookmarkStart w:id="394" w:name="_Toc10930"/>
      <w:r>
        <w:rPr>
          <w:rStyle w:val="63"/>
          <w:rFonts w:ascii="宋体" w:hAnsi="宋体"/>
          <w:color w:val="auto"/>
          <w:spacing w:val="0"/>
          <w:sz w:val="24"/>
          <w:szCs w:val="24"/>
          <w:highlight w:val="none"/>
        </w:rPr>
        <w:t>二、法定代表人证明书及授权委托书</w:t>
      </w:r>
      <w:bookmarkEnd w:id="391"/>
      <w:bookmarkEnd w:id="392"/>
      <w:bookmarkEnd w:id="393"/>
      <w:bookmarkEnd w:id="394"/>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baseline"/>
        <w:outlineLvl w:val="9"/>
        <w:rPr>
          <w:rStyle w:val="63"/>
          <w:rFonts w:ascii="宋体" w:hAnsi="宋体"/>
          <w:color w:val="auto"/>
          <w:spacing w:val="0"/>
          <w:sz w:val="24"/>
          <w:szCs w:val="24"/>
          <w:highlight w:val="none"/>
        </w:rPr>
      </w:pPr>
      <w:bookmarkStart w:id="395" w:name="_Toc8399"/>
      <w:bookmarkStart w:id="396" w:name="_Toc7248"/>
      <w:bookmarkStart w:id="397" w:name="_Toc29763"/>
      <w:bookmarkStart w:id="398" w:name="_Toc24843"/>
      <w:r>
        <w:rPr>
          <w:rStyle w:val="63"/>
          <w:rFonts w:hint="eastAsia" w:ascii="宋体" w:hAnsi="宋体"/>
          <w:color w:val="auto"/>
          <w:spacing w:val="0"/>
          <w:sz w:val="24"/>
          <w:szCs w:val="24"/>
          <w:highlight w:val="none"/>
          <w:lang w:val="en-US"/>
        </w:rPr>
        <w:t>三</w:t>
      </w:r>
      <w:r>
        <w:rPr>
          <w:rStyle w:val="63"/>
          <w:rFonts w:hint="eastAsia" w:ascii="宋体" w:hAnsi="宋体"/>
          <w:color w:val="auto"/>
          <w:spacing w:val="0"/>
          <w:sz w:val="24"/>
          <w:szCs w:val="24"/>
          <w:highlight w:val="none"/>
        </w:rPr>
        <w:t>、投标报价汇总表</w:t>
      </w:r>
      <w:bookmarkEnd w:id="395"/>
      <w:bookmarkEnd w:id="396"/>
      <w:bookmarkEnd w:id="397"/>
      <w:bookmarkEnd w:id="398"/>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baseline"/>
        <w:outlineLvl w:val="9"/>
        <w:rPr>
          <w:rStyle w:val="63"/>
          <w:rFonts w:ascii="宋体" w:hAnsi="宋体"/>
          <w:color w:val="auto"/>
          <w:spacing w:val="0"/>
          <w:sz w:val="24"/>
          <w:szCs w:val="24"/>
          <w:highlight w:val="none"/>
        </w:rPr>
      </w:pPr>
      <w:bookmarkStart w:id="399" w:name="_Toc13400"/>
      <w:bookmarkStart w:id="400" w:name="_Toc14277"/>
      <w:bookmarkStart w:id="401" w:name="_Toc31244"/>
      <w:bookmarkStart w:id="402" w:name="_Toc11686"/>
      <w:r>
        <w:rPr>
          <w:rStyle w:val="63"/>
          <w:rFonts w:hint="eastAsia" w:ascii="宋体" w:hAnsi="宋体"/>
          <w:color w:val="auto"/>
          <w:spacing w:val="0"/>
          <w:sz w:val="24"/>
          <w:szCs w:val="24"/>
          <w:highlight w:val="none"/>
          <w:lang w:val="en-US"/>
        </w:rPr>
        <w:t>四</w:t>
      </w:r>
      <w:r>
        <w:rPr>
          <w:rStyle w:val="63"/>
          <w:rFonts w:ascii="宋体" w:hAnsi="宋体"/>
          <w:color w:val="auto"/>
          <w:spacing w:val="0"/>
          <w:sz w:val="24"/>
          <w:szCs w:val="24"/>
          <w:highlight w:val="none"/>
        </w:rPr>
        <w:t>、资格审查资料</w:t>
      </w:r>
      <w:bookmarkEnd w:id="399"/>
      <w:bookmarkEnd w:id="400"/>
      <w:bookmarkEnd w:id="401"/>
      <w:bookmarkEnd w:id="402"/>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baseline"/>
        <w:outlineLvl w:val="9"/>
        <w:rPr>
          <w:rStyle w:val="63"/>
          <w:rFonts w:hint="eastAsia" w:ascii="宋体" w:hAnsi="宋体"/>
          <w:color w:val="auto"/>
          <w:spacing w:val="0"/>
          <w:sz w:val="24"/>
          <w:szCs w:val="24"/>
          <w:highlight w:val="none"/>
        </w:rPr>
      </w:pPr>
      <w:bookmarkStart w:id="403" w:name="_Toc27786"/>
      <w:bookmarkStart w:id="404" w:name="_Toc23204"/>
      <w:bookmarkStart w:id="405" w:name="_Toc8543"/>
      <w:bookmarkStart w:id="406" w:name="_Toc9762"/>
      <w:r>
        <w:rPr>
          <w:rStyle w:val="63"/>
          <w:rFonts w:hint="eastAsia" w:ascii="宋体" w:hAnsi="宋体"/>
          <w:color w:val="auto"/>
          <w:spacing w:val="0"/>
          <w:sz w:val="24"/>
          <w:szCs w:val="24"/>
          <w:highlight w:val="none"/>
          <w:lang w:val="en-US"/>
        </w:rPr>
        <w:t>五</w:t>
      </w:r>
      <w:r>
        <w:rPr>
          <w:rStyle w:val="63"/>
          <w:rFonts w:ascii="宋体" w:hAnsi="宋体"/>
          <w:color w:val="auto"/>
          <w:spacing w:val="0"/>
          <w:sz w:val="24"/>
          <w:szCs w:val="24"/>
          <w:highlight w:val="none"/>
        </w:rPr>
        <w:t>、</w:t>
      </w:r>
      <w:r>
        <w:rPr>
          <w:rStyle w:val="63"/>
          <w:rFonts w:hint="eastAsia" w:ascii="宋体" w:hAnsi="宋体"/>
          <w:color w:val="auto"/>
          <w:spacing w:val="0"/>
          <w:sz w:val="24"/>
          <w:szCs w:val="24"/>
          <w:highlight w:val="none"/>
        </w:rPr>
        <w:t>施工图审查</w:t>
      </w:r>
      <w:r>
        <w:rPr>
          <w:rStyle w:val="63"/>
          <w:rFonts w:ascii="宋体" w:hAnsi="宋体"/>
          <w:color w:val="auto"/>
          <w:spacing w:val="0"/>
          <w:sz w:val="24"/>
          <w:szCs w:val="24"/>
          <w:highlight w:val="none"/>
        </w:rPr>
        <w:t>服务方案</w:t>
      </w:r>
      <w:bookmarkEnd w:id="403"/>
      <w:bookmarkEnd w:id="404"/>
      <w:bookmarkEnd w:id="405"/>
      <w:bookmarkEnd w:id="406"/>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baseline"/>
        <w:outlineLvl w:val="9"/>
        <w:rPr>
          <w:rStyle w:val="63"/>
          <w:rFonts w:hint="eastAsia" w:ascii="宋体" w:hAnsi="宋体"/>
          <w:color w:val="auto"/>
          <w:spacing w:val="0"/>
          <w:sz w:val="24"/>
          <w:szCs w:val="24"/>
          <w:highlight w:val="none"/>
        </w:rPr>
      </w:pPr>
      <w:bookmarkStart w:id="407" w:name="_Toc6885"/>
      <w:bookmarkStart w:id="408" w:name="_Toc11592"/>
      <w:bookmarkStart w:id="409" w:name="_Toc21503"/>
      <w:bookmarkStart w:id="410" w:name="_Toc28813"/>
      <w:r>
        <w:rPr>
          <w:rStyle w:val="63"/>
          <w:rFonts w:hint="eastAsia" w:ascii="宋体" w:hAnsi="宋体"/>
          <w:color w:val="auto"/>
          <w:spacing w:val="0"/>
          <w:sz w:val="24"/>
          <w:szCs w:val="24"/>
          <w:highlight w:val="none"/>
          <w:lang w:val="en-US"/>
        </w:rPr>
        <w:t>六</w:t>
      </w:r>
      <w:r>
        <w:rPr>
          <w:rStyle w:val="63"/>
          <w:rFonts w:hint="eastAsia" w:ascii="宋体" w:hAnsi="宋体"/>
          <w:color w:val="auto"/>
          <w:spacing w:val="0"/>
          <w:sz w:val="24"/>
          <w:szCs w:val="24"/>
          <w:highlight w:val="none"/>
        </w:rPr>
        <w:t>、公司简介</w:t>
      </w:r>
      <w:bookmarkEnd w:id="407"/>
      <w:bookmarkEnd w:id="408"/>
      <w:bookmarkEnd w:id="409"/>
      <w:bookmarkEnd w:id="410"/>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baseline"/>
        <w:outlineLvl w:val="9"/>
        <w:rPr>
          <w:rStyle w:val="63"/>
          <w:rFonts w:ascii="宋体" w:hAnsi="宋体"/>
          <w:color w:val="auto"/>
          <w:spacing w:val="0"/>
          <w:sz w:val="24"/>
          <w:szCs w:val="24"/>
          <w:highlight w:val="none"/>
        </w:rPr>
      </w:pPr>
      <w:bookmarkStart w:id="411" w:name="_Toc14657"/>
      <w:bookmarkStart w:id="412" w:name="_Toc23809"/>
      <w:bookmarkStart w:id="413" w:name="_Toc1463"/>
      <w:bookmarkStart w:id="414" w:name="_Toc26475"/>
      <w:r>
        <w:rPr>
          <w:rStyle w:val="63"/>
          <w:rFonts w:hint="eastAsia" w:ascii="宋体" w:hAnsi="宋体"/>
          <w:color w:val="auto"/>
          <w:spacing w:val="0"/>
          <w:sz w:val="24"/>
          <w:szCs w:val="24"/>
          <w:highlight w:val="none"/>
          <w:lang w:val="en-US"/>
        </w:rPr>
        <w:t>七</w:t>
      </w:r>
      <w:r>
        <w:rPr>
          <w:rStyle w:val="63"/>
          <w:rFonts w:hint="eastAsia" w:ascii="宋体" w:hAnsi="宋体"/>
          <w:color w:val="auto"/>
          <w:spacing w:val="0"/>
          <w:sz w:val="24"/>
          <w:szCs w:val="24"/>
          <w:highlight w:val="none"/>
        </w:rPr>
        <w:t>、项目机构人员配备情况</w:t>
      </w:r>
      <w:bookmarkEnd w:id="411"/>
      <w:bookmarkEnd w:id="412"/>
      <w:bookmarkEnd w:id="413"/>
      <w:bookmarkEnd w:id="414"/>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baseline"/>
        <w:outlineLvl w:val="9"/>
        <w:rPr>
          <w:rStyle w:val="63"/>
          <w:rFonts w:ascii="宋体" w:hAnsi="宋体"/>
          <w:color w:val="auto"/>
          <w:spacing w:val="0"/>
          <w:sz w:val="24"/>
          <w:szCs w:val="24"/>
          <w:highlight w:val="none"/>
        </w:rPr>
      </w:pPr>
      <w:bookmarkStart w:id="415" w:name="_Toc3441"/>
      <w:bookmarkStart w:id="416" w:name="_Toc20446"/>
      <w:bookmarkStart w:id="417" w:name="_Toc5997"/>
      <w:bookmarkStart w:id="418" w:name="_Toc8719"/>
      <w:r>
        <w:rPr>
          <w:rStyle w:val="63"/>
          <w:rFonts w:hint="eastAsia" w:ascii="宋体" w:hAnsi="宋体"/>
          <w:color w:val="auto"/>
          <w:spacing w:val="0"/>
          <w:sz w:val="24"/>
          <w:szCs w:val="24"/>
          <w:highlight w:val="none"/>
          <w:lang w:val="en-US"/>
        </w:rPr>
        <w:t>八</w:t>
      </w:r>
      <w:r>
        <w:rPr>
          <w:rStyle w:val="63"/>
          <w:rFonts w:ascii="宋体" w:hAnsi="宋体"/>
          <w:color w:val="auto"/>
          <w:spacing w:val="0"/>
          <w:sz w:val="24"/>
          <w:szCs w:val="24"/>
          <w:highlight w:val="none"/>
        </w:rPr>
        <w:t>、其他资料（如有）</w:t>
      </w:r>
      <w:bookmarkEnd w:id="415"/>
      <w:bookmarkEnd w:id="416"/>
      <w:bookmarkEnd w:id="417"/>
      <w:bookmarkEnd w:id="418"/>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baseline"/>
        <w:outlineLvl w:val="9"/>
        <w:rPr>
          <w:rStyle w:val="63"/>
          <w:rFonts w:hint="eastAsia" w:ascii="宋体" w:hAnsi="宋体" w:eastAsia="宋体" w:cs="Times New Roman"/>
          <w:color w:val="auto"/>
          <w:spacing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textAlignment w:val="baseline"/>
        <w:rPr>
          <w:rFonts w:hint="eastAsia" w:ascii="Times New Roman" w:hAnsi="Times New Roman" w:eastAsia="宋体" w:cs="Times New Roman"/>
          <w:color w:val="auto"/>
          <w:spacing w:val="0"/>
          <w:sz w:val="24"/>
          <w:szCs w:val="24"/>
          <w:highlight w:val="none"/>
          <w:lang w:val="zh-CN"/>
        </w:rPr>
      </w:pPr>
      <w:bookmarkStart w:id="419" w:name="_Toc10634"/>
      <w:bookmarkStart w:id="420" w:name="_Toc28569"/>
      <w:r>
        <w:rPr>
          <w:rFonts w:hint="eastAsia" w:ascii="Times New Roman" w:hAnsi="Times New Roman" w:eastAsia="宋体" w:cs="Times New Roman"/>
          <w:color w:val="auto"/>
          <w:spacing w:val="0"/>
          <w:sz w:val="24"/>
          <w:szCs w:val="24"/>
          <w:highlight w:val="none"/>
          <w:lang w:val="zh-CN"/>
        </w:rPr>
        <w:br w:type="page"/>
      </w:r>
    </w:p>
    <w:p>
      <w:pPr>
        <w:pStyle w:val="100"/>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baseline"/>
        <w:outlineLvl w:val="9"/>
        <w:rPr>
          <w:rStyle w:val="63"/>
          <w:rFonts w:ascii="宋体" w:hAnsi="宋体"/>
          <w:color w:val="auto"/>
          <w:spacing w:val="0"/>
          <w:sz w:val="32"/>
          <w:szCs w:val="20"/>
          <w:highlight w:val="none"/>
        </w:rPr>
      </w:pPr>
      <w:bookmarkStart w:id="421" w:name="_Toc31976"/>
      <w:bookmarkStart w:id="422" w:name="_Toc785"/>
      <w:r>
        <w:rPr>
          <w:rStyle w:val="63"/>
          <w:rFonts w:ascii="宋体" w:hAnsi="宋体"/>
          <w:color w:val="auto"/>
          <w:spacing w:val="0"/>
          <w:sz w:val="32"/>
          <w:szCs w:val="20"/>
          <w:highlight w:val="none"/>
        </w:rPr>
        <w:t>一、投标函及投标函附录</w:t>
      </w:r>
      <w:bookmarkEnd w:id="419"/>
      <w:bookmarkEnd w:id="420"/>
      <w:bookmarkEnd w:id="421"/>
      <w:bookmarkEnd w:id="422"/>
    </w:p>
    <w:p>
      <w:pPr>
        <w:keepNext w:val="0"/>
        <w:keepLines w:val="0"/>
        <w:pageBreakBefore w:val="0"/>
        <w:widowControl w:val="0"/>
        <w:kinsoku/>
        <w:wordWrap/>
        <w:overflowPunct/>
        <w:topLinePunct w:val="0"/>
        <w:autoSpaceDE/>
        <w:autoSpaceDN/>
        <w:bidi w:val="0"/>
        <w:adjustRightInd/>
        <w:snapToGrid/>
        <w:spacing w:line="373" w:lineRule="exact"/>
        <w:ind w:left="238" w:right="-23"/>
        <w:jc w:val="center"/>
        <w:textAlignment w:val="auto"/>
        <w:outlineLvl w:val="9"/>
        <w:rPr>
          <w:rFonts w:ascii="宋体" w:hAnsi="宋体"/>
          <w:color w:val="auto"/>
          <w:spacing w:val="0"/>
          <w:sz w:val="28"/>
          <w:szCs w:val="24"/>
          <w:highlight w:val="none"/>
        </w:rPr>
      </w:pPr>
      <w:bookmarkStart w:id="423" w:name="_Toc13552"/>
      <w:bookmarkStart w:id="424" w:name="_Toc15618"/>
      <w:bookmarkStart w:id="425" w:name="_Toc18528"/>
      <w:bookmarkStart w:id="426" w:name="_Toc14861"/>
    </w:p>
    <w:p>
      <w:pPr>
        <w:keepNext w:val="0"/>
        <w:keepLines w:val="0"/>
        <w:pageBreakBefore w:val="0"/>
        <w:widowControl w:val="0"/>
        <w:kinsoku/>
        <w:wordWrap/>
        <w:overflowPunct/>
        <w:topLinePunct w:val="0"/>
        <w:autoSpaceDE/>
        <w:autoSpaceDN/>
        <w:bidi w:val="0"/>
        <w:adjustRightInd/>
        <w:snapToGrid/>
        <w:spacing w:line="373" w:lineRule="exact"/>
        <w:ind w:left="238" w:right="-23"/>
        <w:jc w:val="center"/>
        <w:textAlignment w:val="auto"/>
        <w:outlineLvl w:val="9"/>
        <w:rPr>
          <w:rFonts w:ascii="宋体" w:hAnsi="宋体"/>
          <w:color w:val="auto"/>
          <w:spacing w:val="0"/>
          <w:sz w:val="28"/>
          <w:szCs w:val="24"/>
          <w:highlight w:val="none"/>
        </w:rPr>
      </w:pPr>
      <w:r>
        <w:rPr>
          <w:rFonts w:ascii="宋体" w:hAnsi="宋体"/>
          <w:color w:val="auto"/>
          <w:spacing w:val="0"/>
          <w:sz w:val="28"/>
          <w:szCs w:val="24"/>
          <w:highlight w:val="none"/>
        </w:rPr>
        <w:t>（一）投标函</w:t>
      </w:r>
      <w:bookmarkEnd w:id="423"/>
      <w:bookmarkEnd w:id="424"/>
      <w:bookmarkEnd w:id="425"/>
      <w:bookmarkEnd w:id="426"/>
    </w:p>
    <w:p>
      <w:pPr>
        <w:keepNext w:val="0"/>
        <w:keepLines w:val="0"/>
        <w:pageBreakBefore w:val="0"/>
        <w:widowControl w:val="0"/>
        <w:kinsoku/>
        <w:wordWrap/>
        <w:overflowPunct/>
        <w:topLinePunct w:val="0"/>
        <w:autoSpaceDE w:val="0"/>
        <w:autoSpaceDN w:val="0"/>
        <w:bidi w:val="0"/>
        <w:adjustRightInd w:val="0"/>
        <w:snapToGrid/>
        <w:spacing w:line="400" w:lineRule="exact"/>
        <w:ind w:right="0"/>
        <w:jc w:val="both"/>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致</w:t>
      </w:r>
      <w:r>
        <w:rPr>
          <w:rFonts w:hint="eastAsia" w:ascii="宋体" w:hAnsi="宋体" w:eastAsia="宋体" w:cs="宋体"/>
          <w:color w:val="auto"/>
          <w:spacing w:val="0"/>
          <w:kern w:val="0"/>
          <w:sz w:val="24"/>
          <w:szCs w:val="24"/>
          <w:highlight w:val="none"/>
          <w:u w:val="single"/>
          <w:lang w:eastAsia="zh-CN"/>
        </w:rPr>
        <w:t>广州市黄埔丰镐有限公司</w:t>
      </w:r>
      <w:r>
        <w:rPr>
          <w:rFonts w:hint="eastAsia" w:ascii="宋体" w:hAnsi="宋体" w:eastAsia="宋体" w:cs="宋体"/>
          <w:color w:val="auto"/>
          <w:spacing w:val="0"/>
          <w:kern w:val="0"/>
          <w:sz w:val="24"/>
          <w:szCs w:val="24"/>
          <w:highlight w:val="none"/>
        </w:rPr>
        <w:t>（招标人）：</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80" w:firstLineChars="200"/>
        <w:jc w:val="both"/>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1．我方已仔细研究了</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（项目名称）招标项目招标文件的全部内容，</w:t>
      </w:r>
      <w:r>
        <w:rPr>
          <w:rFonts w:hint="eastAsia" w:ascii="宋体" w:hAnsi="宋体" w:eastAsia="宋体" w:cs="宋体"/>
          <w:color w:val="auto"/>
          <w:spacing w:val="0"/>
          <w:sz w:val="24"/>
          <w:szCs w:val="24"/>
          <w:highlight w:val="none"/>
        </w:rPr>
        <w:t>愿意以《开标记录表》中的投标总报价和服务期限，</w:t>
      </w:r>
      <w:r>
        <w:rPr>
          <w:rFonts w:hint="eastAsia" w:ascii="宋体" w:hAnsi="宋体" w:eastAsia="宋体" w:cs="宋体"/>
          <w:color w:val="auto"/>
          <w:spacing w:val="0"/>
          <w:kern w:val="0"/>
          <w:sz w:val="24"/>
          <w:szCs w:val="24"/>
          <w:highlight w:val="none"/>
        </w:rPr>
        <w:t>按合同约定完成施工图</w:t>
      </w:r>
      <w:r>
        <w:rPr>
          <w:rFonts w:hint="eastAsia" w:ascii="宋体" w:hAnsi="宋体" w:eastAsia="宋体" w:cs="宋体"/>
          <w:color w:val="auto"/>
          <w:spacing w:val="0"/>
          <w:kern w:val="0"/>
          <w:sz w:val="24"/>
          <w:szCs w:val="24"/>
          <w:highlight w:val="none"/>
          <w:lang w:eastAsia="zh-CN"/>
        </w:rPr>
        <w:t>技术</w:t>
      </w:r>
      <w:r>
        <w:rPr>
          <w:rFonts w:hint="eastAsia" w:ascii="宋体" w:hAnsi="宋体" w:eastAsia="宋体" w:cs="宋体"/>
          <w:color w:val="auto"/>
          <w:spacing w:val="0"/>
          <w:kern w:val="0"/>
          <w:sz w:val="24"/>
          <w:szCs w:val="24"/>
          <w:highlight w:val="none"/>
        </w:rPr>
        <w:t>审查工作。</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80" w:firstLineChars="200"/>
        <w:jc w:val="both"/>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2．我方的投标文件包括下列内容：</w:t>
      </w:r>
    </w:p>
    <w:p>
      <w:pPr>
        <w:keepNext w:val="0"/>
        <w:keepLines w:val="0"/>
        <w:pageBreakBefore w:val="0"/>
        <w:widowControl w:val="0"/>
        <w:kinsoku/>
        <w:wordWrap/>
        <w:overflowPunct/>
        <w:topLinePunct w:val="0"/>
        <w:bidi w:val="0"/>
        <w:snapToGrid/>
        <w:spacing w:line="400" w:lineRule="exact"/>
        <w:ind w:left="0" w:leftChars="0" w:right="0" w:firstLine="480" w:firstLineChars="200"/>
        <w:jc w:val="both"/>
        <w:textAlignment w:val="auto"/>
        <w:outlineLvl w:val="9"/>
        <w:rPr>
          <w:rFonts w:hint="eastAsia" w:ascii="宋体" w:hAnsi="宋体" w:eastAsia="宋体" w:cs="宋体"/>
          <w:color w:val="auto"/>
          <w:spacing w:val="0"/>
          <w:sz w:val="24"/>
          <w:szCs w:val="24"/>
          <w:highlight w:val="none"/>
        </w:rPr>
      </w:pPr>
      <w:bookmarkStart w:id="427" w:name="_Toc31728"/>
      <w:bookmarkStart w:id="428" w:name="_Toc10729"/>
      <w:bookmarkStart w:id="429" w:name="_Toc32550"/>
      <w:bookmarkStart w:id="430" w:name="_Toc20401"/>
      <w:r>
        <w:rPr>
          <w:rFonts w:hint="eastAsia" w:ascii="宋体" w:hAnsi="宋体" w:eastAsia="宋体" w:cs="宋体"/>
          <w:color w:val="auto"/>
          <w:spacing w:val="0"/>
          <w:sz w:val="24"/>
          <w:szCs w:val="24"/>
          <w:highlight w:val="none"/>
        </w:rPr>
        <w:t>（1）投标函及投标函附录</w:t>
      </w:r>
      <w:bookmarkEnd w:id="427"/>
      <w:bookmarkEnd w:id="428"/>
      <w:bookmarkEnd w:id="429"/>
      <w:bookmarkEnd w:id="430"/>
    </w:p>
    <w:p>
      <w:pPr>
        <w:keepNext w:val="0"/>
        <w:keepLines w:val="0"/>
        <w:pageBreakBefore w:val="0"/>
        <w:widowControl w:val="0"/>
        <w:kinsoku/>
        <w:wordWrap/>
        <w:overflowPunct/>
        <w:topLinePunct w:val="0"/>
        <w:bidi w:val="0"/>
        <w:snapToGrid/>
        <w:spacing w:line="400" w:lineRule="exact"/>
        <w:ind w:left="0" w:leftChars="0" w:right="0" w:firstLine="480" w:firstLineChars="200"/>
        <w:jc w:val="both"/>
        <w:textAlignment w:val="auto"/>
        <w:outlineLvl w:val="9"/>
        <w:rPr>
          <w:rFonts w:hint="eastAsia" w:ascii="宋体" w:hAnsi="宋体" w:eastAsia="宋体" w:cs="宋体"/>
          <w:color w:val="auto"/>
          <w:spacing w:val="0"/>
          <w:sz w:val="24"/>
          <w:szCs w:val="24"/>
          <w:highlight w:val="none"/>
        </w:rPr>
      </w:pPr>
      <w:bookmarkStart w:id="431" w:name="_Toc4486"/>
      <w:bookmarkStart w:id="432" w:name="_Toc18798"/>
      <w:bookmarkStart w:id="433" w:name="_Toc9268"/>
      <w:bookmarkStart w:id="434" w:name="_Toc5127"/>
      <w:r>
        <w:rPr>
          <w:rFonts w:hint="eastAsia" w:ascii="宋体" w:hAnsi="宋体" w:eastAsia="宋体" w:cs="宋体"/>
          <w:color w:val="auto"/>
          <w:spacing w:val="0"/>
          <w:sz w:val="24"/>
          <w:szCs w:val="24"/>
          <w:highlight w:val="none"/>
        </w:rPr>
        <w:t>（2）法定代表人身份证明、授权委托书</w:t>
      </w:r>
      <w:bookmarkEnd w:id="431"/>
      <w:bookmarkEnd w:id="432"/>
      <w:bookmarkEnd w:id="433"/>
      <w:bookmarkEnd w:id="434"/>
    </w:p>
    <w:p>
      <w:pPr>
        <w:keepNext w:val="0"/>
        <w:keepLines w:val="0"/>
        <w:pageBreakBefore w:val="0"/>
        <w:widowControl w:val="0"/>
        <w:kinsoku/>
        <w:wordWrap/>
        <w:overflowPunct/>
        <w:topLinePunct w:val="0"/>
        <w:bidi w:val="0"/>
        <w:snapToGrid/>
        <w:spacing w:line="400" w:lineRule="exact"/>
        <w:ind w:left="0" w:leftChars="0" w:right="0" w:firstLine="480" w:firstLineChars="200"/>
        <w:jc w:val="both"/>
        <w:textAlignment w:val="auto"/>
        <w:outlineLvl w:val="9"/>
        <w:rPr>
          <w:rFonts w:hint="eastAsia" w:ascii="宋体" w:hAnsi="宋体" w:eastAsia="宋体" w:cs="宋体"/>
          <w:color w:val="auto"/>
          <w:spacing w:val="0"/>
          <w:sz w:val="24"/>
          <w:szCs w:val="24"/>
          <w:highlight w:val="none"/>
        </w:rPr>
      </w:pPr>
      <w:bookmarkStart w:id="435" w:name="_Toc28137"/>
      <w:bookmarkStart w:id="436" w:name="_Toc22202"/>
      <w:bookmarkStart w:id="437" w:name="_Toc18706"/>
      <w:bookmarkStart w:id="438" w:name="_Toc19048"/>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）投标报价汇总表</w:t>
      </w:r>
      <w:bookmarkEnd w:id="435"/>
      <w:bookmarkEnd w:id="436"/>
      <w:bookmarkEnd w:id="437"/>
      <w:bookmarkEnd w:id="438"/>
    </w:p>
    <w:p>
      <w:pPr>
        <w:keepNext w:val="0"/>
        <w:keepLines w:val="0"/>
        <w:pageBreakBefore w:val="0"/>
        <w:widowControl w:val="0"/>
        <w:kinsoku/>
        <w:wordWrap/>
        <w:overflowPunct/>
        <w:topLinePunct w:val="0"/>
        <w:bidi w:val="0"/>
        <w:snapToGrid/>
        <w:spacing w:line="400" w:lineRule="exact"/>
        <w:ind w:left="0" w:leftChars="0" w:right="0" w:firstLine="480" w:firstLineChars="200"/>
        <w:jc w:val="both"/>
        <w:textAlignment w:val="auto"/>
        <w:outlineLvl w:val="9"/>
        <w:rPr>
          <w:rFonts w:hint="eastAsia" w:ascii="宋体" w:hAnsi="宋体" w:eastAsia="宋体" w:cs="宋体"/>
          <w:color w:val="auto"/>
          <w:spacing w:val="0"/>
          <w:sz w:val="24"/>
          <w:szCs w:val="24"/>
          <w:highlight w:val="none"/>
        </w:rPr>
      </w:pPr>
      <w:bookmarkStart w:id="439" w:name="_Toc8358"/>
      <w:bookmarkStart w:id="440" w:name="_Toc27936"/>
      <w:bookmarkStart w:id="441" w:name="_Toc6532"/>
      <w:bookmarkStart w:id="442" w:name="_Toc1150"/>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）资格审查资料</w:t>
      </w:r>
      <w:bookmarkEnd w:id="439"/>
      <w:bookmarkEnd w:id="440"/>
      <w:bookmarkEnd w:id="441"/>
      <w:bookmarkEnd w:id="442"/>
    </w:p>
    <w:p>
      <w:pPr>
        <w:keepNext w:val="0"/>
        <w:keepLines w:val="0"/>
        <w:pageBreakBefore w:val="0"/>
        <w:widowControl w:val="0"/>
        <w:kinsoku/>
        <w:wordWrap/>
        <w:overflowPunct/>
        <w:topLinePunct w:val="0"/>
        <w:bidi w:val="0"/>
        <w:snapToGrid/>
        <w:spacing w:line="400" w:lineRule="exact"/>
        <w:ind w:left="0" w:leftChars="0" w:right="0" w:firstLine="480" w:firstLineChars="200"/>
        <w:jc w:val="both"/>
        <w:textAlignment w:val="auto"/>
        <w:outlineLvl w:val="9"/>
        <w:rPr>
          <w:rFonts w:hint="eastAsia" w:ascii="宋体" w:hAnsi="宋体" w:eastAsia="宋体" w:cs="宋体"/>
          <w:color w:val="auto"/>
          <w:spacing w:val="0"/>
          <w:sz w:val="24"/>
          <w:szCs w:val="24"/>
          <w:highlight w:val="none"/>
        </w:rPr>
      </w:pPr>
      <w:bookmarkStart w:id="443" w:name="_Toc2392"/>
      <w:bookmarkStart w:id="444" w:name="_Toc19173"/>
      <w:bookmarkStart w:id="445" w:name="_Toc19759"/>
      <w:bookmarkStart w:id="446" w:name="_Toc7353"/>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）施工图审查服务方案</w:t>
      </w:r>
      <w:bookmarkEnd w:id="443"/>
      <w:bookmarkEnd w:id="444"/>
      <w:bookmarkEnd w:id="445"/>
      <w:bookmarkEnd w:id="446"/>
    </w:p>
    <w:p>
      <w:pPr>
        <w:keepNext w:val="0"/>
        <w:keepLines w:val="0"/>
        <w:pageBreakBefore w:val="0"/>
        <w:widowControl w:val="0"/>
        <w:kinsoku/>
        <w:wordWrap/>
        <w:overflowPunct/>
        <w:topLinePunct w:val="0"/>
        <w:bidi w:val="0"/>
        <w:snapToGrid/>
        <w:spacing w:line="400" w:lineRule="exact"/>
        <w:ind w:left="0" w:leftChars="0" w:right="0" w:firstLine="480" w:firstLineChars="200"/>
        <w:jc w:val="both"/>
        <w:textAlignment w:val="auto"/>
        <w:outlineLvl w:val="9"/>
        <w:rPr>
          <w:rFonts w:hint="eastAsia" w:ascii="宋体" w:hAnsi="宋体" w:eastAsia="宋体" w:cs="宋体"/>
          <w:color w:val="auto"/>
          <w:spacing w:val="0"/>
          <w:sz w:val="24"/>
          <w:szCs w:val="24"/>
          <w:highlight w:val="none"/>
        </w:rPr>
      </w:pPr>
      <w:bookmarkStart w:id="447" w:name="_Toc14935"/>
      <w:bookmarkStart w:id="448" w:name="_Toc27795"/>
      <w:bookmarkStart w:id="449" w:name="_Toc31505"/>
      <w:bookmarkStart w:id="450" w:name="_Toc24255"/>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）公司简介</w:t>
      </w:r>
      <w:bookmarkEnd w:id="447"/>
      <w:bookmarkEnd w:id="448"/>
      <w:bookmarkEnd w:id="449"/>
      <w:bookmarkEnd w:id="450"/>
    </w:p>
    <w:p>
      <w:pPr>
        <w:keepNext w:val="0"/>
        <w:keepLines w:val="0"/>
        <w:pageBreakBefore w:val="0"/>
        <w:widowControl w:val="0"/>
        <w:kinsoku/>
        <w:wordWrap/>
        <w:overflowPunct/>
        <w:topLinePunct w:val="0"/>
        <w:bidi w:val="0"/>
        <w:snapToGrid/>
        <w:spacing w:line="400" w:lineRule="exact"/>
        <w:ind w:left="0" w:leftChars="0" w:right="0" w:firstLine="480" w:firstLineChars="200"/>
        <w:jc w:val="both"/>
        <w:textAlignment w:val="auto"/>
        <w:outlineLvl w:val="9"/>
        <w:rPr>
          <w:rFonts w:hint="eastAsia" w:ascii="宋体" w:hAnsi="宋体" w:eastAsia="宋体" w:cs="宋体"/>
          <w:color w:val="auto"/>
          <w:spacing w:val="0"/>
          <w:sz w:val="24"/>
          <w:szCs w:val="24"/>
          <w:highlight w:val="none"/>
        </w:rPr>
      </w:pPr>
      <w:bookmarkStart w:id="451" w:name="_Toc2886"/>
      <w:bookmarkStart w:id="452" w:name="_Toc25835"/>
      <w:bookmarkStart w:id="453" w:name="_Toc29786"/>
      <w:bookmarkStart w:id="454" w:name="_Toc566"/>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rPr>
        <w:t>）项目机构人员配备情况</w:t>
      </w:r>
      <w:bookmarkEnd w:id="451"/>
      <w:bookmarkEnd w:id="452"/>
      <w:bookmarkEnd w:id="453"/>
      <w:bookmarkEnd w:id="454"/>
    </w:p>
    <w:p>
      <w:pPr>
        <w:keepNext w:val="0"/>
        <w:keepLines w:val="0"/>
        <w:pageBreakBefore w:val="0"/>
        <w:widowControl w:val="0"/>
        <w:kinsoku/>
        <w:wordWrap/>
        <w:overflowPunct/>
        <w:topLinePunct w:val="0"/>
        <w:bidi w:val="0"/>
        <w:snapToGrid/>
        <w:spacing w:line="400" w:lineRule="exact"/>
        <w:ind w:left="0" w:leftChars="0" w:right="0" w:firstLine="480" w:firstLineChars="200"/>
        <w:jc w:val="both"/>
        <w:textAlignment w:val="auto"/>
        <w:outlineLvl w:val="9"/>
        <w:rPr>
          <w:rFonts w:hint="eastAsia" w:ascii="宋体" w:hAnsi="宋体" w:eastAsia="宋体" w:cs="宋体"/>
          <w:color w:val="auto"/>
          <w:spacing w:val="0"/>
          <w:sz w:val="24"/>
          <w:szCs w:val="24"/>
          <w:highlight w:val="none"/>
        </w:rPr>
      </w:pPr>
      <w:bookmarkStart w:id="455" w:name="_Toc17879"/>
      <w:bookmarkStart w:id="456" w:name="_Toc17704"/>
      <w:bookmarkStart w:id="457" w:name="_Toc25337"/>
      <w:bookmarkStart w:id="458" w:name="_Toc27926"/>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8</w:t>
      </w:r>
      <w:r>
        <w:rPr>
          <w:rFonts w:hint="eastAsia" w:ascii="宋体" w:hAnsi="宋体" w:eastAsia="宋体" w:cs="宋体"/>
          <w:color w:val="auto"/>
          <w:spacing w:val="0"/>
          <w:sz w:val="24"/>
          <w:szCs w:val="24"/>
          <w:highlight w:val="none"/>
        </w:rPr>
        <w:t>）其他资料</w:t>
      </w:r>
      <w:bookmarkEnd w:id="455"/>
      <w:bookmarkEnd w:id="456"/>
      <w:bookmarkEnd w:id="457"/>
      <w:bookmarkEnd w:id="458"/>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80" w:firstLineChars="200"/>
        <w:jc w:val="both"/>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投标文件的上述组成部分如存在内容不一致的，以投标函为准。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80" w:firstLineChars="200"/>
        <w:jc w:val="both"/>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3．我方承诺在招标文件规定的投标有效期内不撤销投标文件。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80" w:firstLineChars="200"/>
        <w:jc w:val="both"/>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4．如我方中标，我方承诺：</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80" w:firstLineChars="200"/>
        <w:jc w:val="both"/>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（1）在收到中标通知书后，在中标通知书规定的期限内与你方签订合同；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80" w:firstLineChars="200"/>
        <w:jc w:val="both"/>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（2）在签订合同时不向你方提出附加条件；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80" w:firstLineChars="200"/>
        <w:jc w:val="both"/>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（3）在合同约定的期限内完成合同规定的全部义务。</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80" w:firstLineChars="200"/>
        <w:jc w:val="both"/>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5．我方在此声明，所递交的投标文件及有关资料内容完整、真实和准确，且不存在第二章“投标人须知”第1.4.3项规定的任何一种情形。</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80" w:firstLineChars="200"/>
        <w:jc w:val="both"/>
        <w:textAlignment w:val="auto"/>
        <w:outlineLvl w:val="9"/>
        <w:rPr>
          <w:rFonts w:hint="eastAsia" w:ascii="宋体" w:hAnsi="宋体" w:eastAsia="宋体" w:cs="宋体"/>
          <w:color w:val="auto"/>
          <w:spacing w:val="0"/>
          <w:kern w:val="0"/>
          <w:sz w:val="24"/>
          <w:szCs w:val="24"/>
          <w:highlight w:val="none"/>
        </w:rPr>
      </w:pPr>
    </w:p>
    <w:p>
      <w:pPr>
        <w:pStyle w:val="2"/>
        <w:keepNext w:val="0"/>
        <w:keepLines w:val="0"/>
        <w:pageBreakBefore w:val="0"/>
        <w:widowControl w:val="0"/>
        <w:kinsoku/>
        <w:wordWrap/>
        <w:overflowPunct/>
        <w:topLinePunct w:val="0"/>
        <w:bidi w:val="0"/>
        <w:snapToGrid/>
        <w:spacing w:line="360" w:lineRule="auto"/>
        <w:ind w:left="0" w:leftChars="0" w:firstLine="0" w:firstLineChars="0"/>
        <w:rPr>
          <w:rFonts w:hint="eastAsia"/>
          <w:color w:val="auto"/>
        </w:rPr>
      </w:pPr>
    </w:p>
    <w:p>
      <w:pPr>
        <w:keepNext w:val="0"/>
        <w:keepLines w:val="0"/>
        <w:pageBreakBefore w:val="0"/>
        <w:widowControl w:val="0"/>
        <w:tabs>
          <w:tab w:val="left" w:pos="6660"/>
        </w:tabs>
        <w:kinsoku/>
        <w:overflowPunct/>
        <w:autoSpaceDE w:val="0"/>
        <w:autoSpaceDN w:val="0"/>
        <w:bidi w:val="0"/>
        <w:adjustRightInd w:val="0"/>
        <w:spacing w:line="360" w:lineRule="auto"/>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投标人名称：</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 xml:space="preserve"> （盖单位公章）</w:t>
      </w:r>
    </w:p>
    <w:p>
      <w:pPr>
        <w:keepNext w:val="0"/>
        <w:keepLines w:val="0"/>
        <w:pageBreakBefore w:val="0"/>
        <w:widowControl w:val="0"/>
        <w:kinsoku/>
        <w:overflowPunct/>
        <w:autoSpaceDE w:val="0"/>
        <w:autoSpaceDN w:val="0"/>
        <w:bidi w:val="0"/>
        <w:adjustRightInd w:val="0"/>
        <w:spacing w:line="360" w:lineRule="auto"/>
        <w:jc w:val="left"/>
        <w:textAlignment w:val="auto"/>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rPr>
        <w:t>单位地址：</w:t>
      </w:r>
      <w:r>
        <w:rPr>
          <w:rFonts w:hint="eastAsia" w:ascii="宋体" w:hAnsi="宋体" w:eastAsia="宋体" w:cs="宋体"/>
          <w:color w:val="auto"/>
          <w:spacing w:val="0"/>
          <w:kern w:val="0"/>
          <w:sz w:val="24"/>
          <w:szCs w:val="24"/>
          <w:highlight w:val="none"/>
          <w:u w:val="single"/>
        </w:rPr>
        <w:t xml:space="preserve">                          </w:t>
      </w:r>
    </w:p>
    <w:p>
      <w:pPr>
        <w:keepNext w:val="0"/>
        <w:keepLines w:val="0"/>
        <w:pageBreakBefore w:val="0"/>
        <w:widowControl w:val="0"/>
        <w:kinsoku/>
        <w:overflowPunct/>
        <w:autoSpaceDE w:val="0"/>
        <w:autoSpaceDN w:val="0"/>
        <w:bidi w:val="0"/>
        <w:adjustRightInd w:val="0"/>
        <w:spacing w:line="360" w:lineRule="auto"/>
        <w:jc w:val="left"/>
        <w:textAlignment w:val="auto"/>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rPr>
        <w:t>法定代表人或其委托代理人：</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（签字或盖章或签章）</w:t>
      </w:r>
    </w:p>
    <w:p>
      <w:pPr>
        <w:keepNext w:val="0"/>
        <w:keepLines w:val="0"/>
        <w:pageBreakBefore w:val="0"/>
        <w:widowControl w:val="0"/>
        <w:kinsoku/>
        <w:overflowPunct/>
        <w:autoSpaceDE w:val="0"/>
        <w:autoSpaceDN w:val="0"/>
        <w:bidi w:val="0"/>
        <w:adjustRightInd w:val="0"/>
        <w:spacing w:line="360" w:lineRule="auto"/>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电话：</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 xml:space="preserve"> </w:t>
      </w:r>
    </w:p>
    <w:p>
      <w:pPr>
        <w:keepNext w:val="0"/>
        <w:keepLines w:val="0"/>
        <w:pageBreakBefore w:val="0"/>
        <w:widowControl w:val="0"/>
        <w:kinsoku/>
        <w:overflowPunct/>
        <w:bidi w:val="0"/>
        <w:spacing w:line="360" w:lineRule="auto"/>
        <w:jc w:val="left"/>
        <w:textAlignment w:val="auto"/>
        <w:rPr>
          <w:rFonts w:hint="eastAsia" w:ascii="Times New Roman" w:hAnsi="Times New Roman" w:eastAsia="宋体" w:cs="Times New Roman"/>
          <w:color w:val="auto"/>
          <w:spacing w:val="0"/>
          <w:sz w:val="24"/>
          <w:szCs w:val="24"/>
          <w:highlight w:val="none"/>
          <w:lang w:val="zh-CN"/>
        </w:rPr>
      </w:pPr>
      <w:r>
        <w:rPr>
          <w:rFonts w:hint="eastAsia" w:ascii="宋体" w:hAnsi="宋体" w:eastAsia="宋体" w:cs="宋体"/>
          <w:color w:val="auto"/>
          <w:spacing w:val="0"/>
          <w:kern w:val="0"/>
          <w:sz w:val="24"/>
          <w:szCs w:val="24"/>
          <w:highlight w:val="none"/>
        </w:rPr>
        <w:t>日期：</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 xml:space="preserve">年 </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月</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日</w:t>
      </w:r>
      <w:bookmarkStart w:id="459" w:name="_Toc19923"/>
      <w:bookmarkStart w:id="460" w:name="_Toc21781"/>
      <w:r>
        <w:rPr>
          <w:rFonts w:hint="eastAsia" w:ascii="Times New Roman" w:hAnsi="Times New Roman" w:eastAsia="宋体" w:cs="Times New Roman"/>
          <w:color w:val="auto"/>
          <w:spacing w:val="0"/>
          <w:sz w:val="24"/>
          <w:szCs w:val="24"/>
          <w:highlight w:val="none"/>
          <w:lang w:val="zh-CN"/>
        </w:rPr>
        <w:br w:type="page"/>
      </w:r>
    </w:p>
    <w:p>
      <w:pPr>
        <w:pStyle w:val="2"/>
        <w:ind w:left="0" w:leftChars="0" w:firstLine="0" w:firstLineChars="0"/>
        <w:rPr>
          <w:rFonts w:hint="eastAsia"/>
          <w:color w:val="auto"/>
          <w:lang w:val="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baseline"/>
        <w:outlineLvl w:val="9"/>
        <w:rPr>
          <w:rStyle w:val="63"/>
          <w:rFonts w:ascii="宋体" w:hAnsi="宋体"/>
          <w:color w:val="auto"/>
          <w:spacing w:val="0"/>
          <w:sz w:val="28"/>
          <w:szCs w:val="20"/>
          <w:highlight w:val="none"/>
        </w:rPr>
      </w:pPr>
      <w:bookmarkStart w:id="461" w:name="_Toc3050"/>
      <w:bookmarkStart w:id="462" w:name="_Toc19688"/>
      <w:r>
        <w:rPr>
          <w:rStyle w:val="63"/>
          <w:rFonts w:ascii="宋体" w:hAnsi="宋体"/>
          <w:color w:val="auto"/>
          <w:spacing w:val="0"/>
          <w:sz w:val="28"/>
          <w:szCs w:val="20"/>
          <w:highlight w:val="none"/>
        </w:rPr>
        <w:t>（二）投标函附录</w:t>
      </w:r>
      <w:bookmarkEnd w:id="459"/>
      <w:bookmarkEnd w:id="460"/>
      <w:bookmarkEnd w:id="461"/>
      <w:bookmarkEnd w:id="462"/>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785"/>
        <w:gridCol w:w="306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default" w:ascii="宋体" w:hAnsi="宋体" w:cs="Times New Roman"/>
                <w:b/>
                <w:color w:val="auto"/>
                <w:spacing w:val="0"/>
                <w:szCs w:val="21"/>
                <w:highlight w:val="none"/>
              </w:rPr>
            </w:pPr>
            <w:r>
              <w:rPr>
                <w:rFonts w:hint="eastAsia" w:ascii="宋体" w:hAnsi="宋体" w:cs="Times New Roman"/>
                <w:b/>
                <w:color w:val="auto"/>
                <w:spacing w:val="0"/>
                <w:szCs w:val="21"/>
                <w:highlight w:val="none"/>
              </w:rPr>
              <w:t>序号</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default" w:ascii="宋体" w:hAnsi="宋体" w:cs="Times New Roman"/>
                <w:b/>
                <w:color w:val="auto"/>
                <w:spacing w:val="0"/>
                <w:szCs w:val="21"/>
                <w:highlight w:val="none"/>
              </w:rPr>
            </w:pPr>
            <w:r>
              <w:rPr>
                <w:rFonts w:hint="eastAsia" w:ascii="宋体" w:hAnsi="宋体" w:cs="Times New Roman"/>
                <w:b/>
                <w:color w:val="auto"/>
                <w:spacing w:val="0"/>
                <w:szCs w:val="21"/>
                <w:highlight w:val="none"/>
              </w:rPr>
              <w:t>条款名称</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cs="Times New Roman"/>
                <w:b/>
                <w:color w:val="auto"/>
                <w:spacing w:val="0"/>
                <w:szCs w:val="21"/>
                <w:highlight w:val="none"/>
              </w:rPr>
            </w:pPr>
            <w:r>
              <w:rPr>
                <w:rFonts w:hint="eastAsia" w:ascii="宋体" w:hAnsi="宋体" w:cs="Times New Roman"/>
                <w:b/>
                <w:color w:val="auto"/>
                <w:spacing w:val="0"/>
                <w:szCs w:val="21"/>
                <w:highlight w:val="none"/>
              </w:rPr>
              <w:t>约定内容</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default" w:ascii="宋体" w:hAnsi="宋体" w:cs="Times New Roman"/>
                <w:b/>
                <w:color w:val="auto"/>
                <w:spacing w:val="0"/>
                <w:szCs w:val="21"/>
                <w:highlight w:val="none"/>
              </w:rPr>
            </w:pPr>
            <w:r>
              <w:rPr>
                <w:rFonts w:hint="default" w:ascii="宋体" w:hAnsi="宋体" w:cs="Times New Roman"/>
                <w:b/>
                <w:color w:val="auto"/>
                <w:spacing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cs="宋体"/>
                <w:color w:val="auto"/>
                <w:spacing w:val="0"/>
                <w:sz w:val="24"/>
                <w:highlight w:val="none"/>
              </w:rPr>
            </w:pPr>
            <w:r>
              <w:rPr>
                <w:rFonts w:hint="eastAsia" w:ascii="宋体" w:hAnsi="宋体" w:cs="宋体"/>
                <w:color w:val="auto"/>
                <w:spacing w:val="0"/>
                <w:sz w:val="24"/>
                <w:highlight w:val="none"/>
              </w:rPr>
              <w:t>1</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cs="宋体"/>
                <w:color w:val="auto"/>
                <w:spacing w:val="0"/>
                <w:sz w:val="24"/>
                <w:highlight w:val="none"/>
              </w:rPr>
            </w:pPr>
            <w:r>
              <w:rPr>
                <w:rFonts w:hint="eastAsia" w:ascii="宋体" w:hAnsi="宋体" w:cs="宋体"/>
                <w:color w:val="auto"/>
                <w:spacing w:val="0"/>
                <w:sz w:val="24"/>
                <w:highlight w:val="none"/>
              </w:rPr>
              <w:t>项目负责人</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eastAsia" w:ascii="宋体" w:hAnsi="宋体" w:cs="宋体"/>
                <w:bCs/>
                <w:color w:val="auto"/>
                <w:spacing w:val="0"/>
                <w:sz w:val="24"/>
                <w:highlight w:val="none"/>
                <w:u w:val="single"/>
              </w:rPr>
            </w:pPr>
            <w:r>
              <w:rPr>
                <w:rFonts w:hint="eastAsia" w:ascii="宋体" w:hAnsi="宋体" w:cs="宋体"/>
                <w:bCs/>
                <w:color w:val="auto"/>
                <w:spacing w:val="0"/>
                <w:sz w:val="24"/>
                <w:highlight w:val="none"/>
              </w:rPr>
              <w:t>姓名：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eastAsia" w:ascii="宋体" w:hAnsi="宋体" w:cs="宋体"/>
                <w:bCs/>
                <w:color w:val="auto"/>
                <w:spacing w:val="0"/>
                <w:sz w:val="24"/>
                <w:highlight w:val="none"/>
              </w:rPr>
            </w:pPr>
            <w:r>
              <w:rPr>
                <w:rFonts w:hint="eastAsia" w:ascii="宋体" w:hAnsi="宋体" w:cs="宋体"/>
                <w:bCs/>
                <w:color w:val="auto"/>
                <w:spacing w:val="0"/>
                <w:sz w:val="24"/>
                <w:highlight w:val="none"/>
              </w:rPr>
              <w:t>技术职称：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eastAsia" w:ascii="宋体" w:hAnsi="宋体" w:eastAsia="宋体" w:cs="宋体"/>
                <w:bCs/>
                <w:color w:val="auto"/>
                <w:spacing w:val="0"/>
                <w:sz w:val="24"/>
                <w:highlight w:val="none"/>
                <w:u w:val="single"/>
                <w:lang w:val="en-US" w:eastAsia="zh-CN"/>
              </w:rPr>
            </w:pPr>
            <w:r>
              <w:rPr>
                <w:rFonts w:hint="eastAsia" w:ascii="宋体" w:hAnsi="宋体" w:cs="宋体"/>
                <w:bCs/>
                <w:color w:val="auto"/>
                <w:spacing w:val="0"/>
                <w:sz w:val="24"/>
                <w:highlight w:val="none"/>
              </w:rPr>
              <w:t>注册证号：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宋体" w:hAnsi="宋体" w:eastAsia="宋体" w:cs="宋体"/>
                <w:bCs/>
                <w:color w:val="auto"/>
                <w:spacing w:val="0"/>
                <w:sz w:val="24"/>
                <w:highlight w:val="none"/>
                <w:lang w:val="en-US" w:eastAsia="zh-CN"/>
              </w:rPr>
            </w:pPr>
            <w:r>
              <w:rPr>
                <w:rFonts w:hint="eastAsia" w:ascii="宋体" w:hAnsi="宋体" w:cs="宋体"/>
                <w:bCs/>
                <w:color w:val="auto"/>
                <w:spacing w:val="0"/>
                <w:sz w:val="24"/>
                <w:highlight w:val="none"/>
                <w:u w:val="none"/>
              </w:rPr>
              <w:t>身份证号码：</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default" w:ascii="宋体" w:hAnsi="宋体" w:cs="Times New Roman"/>
                <w:b/>
                <w:color w:val="auto"/>
                <w:spacing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cs="宋体"/>
                <w:color w:val="auto"/>
                <w:spacing w:val="0"/>
                <w:sz w:val="24"/>
                <w:highlight w:val="none"/>
              </w:rPr>
            </w:pPr>
            <w:r>
              <w:rPr>
                <w:rFonts w:hint="eastAsia" w:ascii="宋体" w:hAnsi="宋体" w:cs="宋体"/>
                <w:color w:val="auto"/>
                <w:spacing w:val="0"/>
                <w:sz w:val="24"/>
                <w:highlight w:val="none"/>
              </w:rPr>
              <w:t>2</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cs="宋体"/>
                <w:color w:val="auto"/>
                <w:spacing w:val="0"/>
                <w:sz w:val="24"/>
                <w:highlight w:val="none"/>
              </w:rPr>
            </w:pPr>
            <w:r>
              <w:rPr>
                <w:rFonts w:hint="eastAsia" w:ascii="宋体" w:hAnsi="宋体" w:cs="宋体"/>
                <w:color w:val="auto"/>
                <w:spacing w:val="0"/>
                <w:sz w:val="24"/>
                <w:highlight w:val="none"/>
              </w:rPr>
              <w:t>服务期限</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eastAsia" w:ascii="宋体" w:hAnsi="宋体" w:cs="宋体"/>
                <w:bCs/>
                <w:color w:val="auto"/>
                <w:spacing w:val="0"/>
                <w:sz w:val="24"/>
                <w:highlight w:val="none"/>
              </w:rPr>
            </w:pPr>
            <w:r>
              <w:rPr>
                <w:rFonts w:hint="eastAsia" w:ascii="宋体" w:hAnsi="宋体" w:cs="宋体"/>
                <w:bCs/>
                <w:color w:val="auto"/>
                <w:spacing w:val="0"/>
                <w:sz w:val="24"/>
                <w:highlight w:val="none"/>
              </w:rPr>
              <w:t>按招标文件要求</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default" w:ascii="宋体" w:hAnsi="宋体" w:cs="Times New Roman"/>
                <w:b/>
                <w:color w:val="auto"/>
                <w:spacing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cs="宋体"/>
                <w:color w:val="auto"/>
                <w:spacing w:val="0"/>
                <w:sz w:val="24"/>
                <w:highlight w:val="none"/>
              </w:rPr>
            </w:pPr>
            <w:r>
              <w:rPr>
                <w:rFonts w:hint="eastAsia" w:ascii="宋体" w:hAnsi="宋体" w:cs="宋体"/>
                <w:color w:val="auto"/>
                <w:spacing w:val="0"/>
                <w:sz w:val="24"/>
                <w:highlight w:val="none"/>
              </w:rPr>
              <w:t>3</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cs="宋体"/>
                <w:color w:val="auto"/>
                <w:spacing w:val="0"/>
                <w:sz w:val="24"/>
                <w:highlight w:val="none"/>
              </w:rPr>
            </w:pPr>
            <w:r>
              <w:rPr>
                <w:rFonts w:hint="eastAsia" w:ascii="宋体" w:hAnsi="宋体" w:cs="宋体"/>
                <w:color w:val="auto"/>
                <w:spacing w:val="0"/>
                <w:sz w:val="24"/>
                <w:highlight w:val="none"/>
              </w:rPr>
              <w:t>合同价款确定方式</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eastAsia" w:ascii="宋体" w:hAnsi="宋体" w:cs="宋体"/>
                <w:bCs/>
                <w:color w:val="auto"/>
                <w:spacing w:val="0"/>
                <w:sz w:val="24"/>
                <w:highlight w:val="none"/>
              </w:rPr>
            </w:pPr>
            <w:r>
              <w:rPr>
                <w:rFonts w:hint="eastAsia" w:ascii="宋体" w:hAnsi="宋体" w:cs="宋体"/>
                <w:bCs/>
                <w:color w:val="auto"/>
                <w:spacing w:val="0"/>
                <w:sz w:val="24"/>
                <w:highlight w:val="none"/>
              </w:rPr>
              <w:t>按招标文件要求</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default" w:ascii="宋体" w:hAnsi="宋体" w:cs="Times New Roman"/>
                <w:b/>
                <w:color w:val="auto"/>
                <w:spacing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cs="宋体"/>
                <w:color w:val="auto"/>
                <w:spacing w:val="0"/>
                <w:sz w:val="24"/>
                <w:highlight w:val="none"/>
              </w:rPr>
            </w:pPr>
            <w:r>
              <w:rPr>
                <w:rFonts w:hint="eastAsia" w:ascii="宋体" w:hAnsi="宋体" w:cs="宋体"/>
                <w:color w:val="auto"/>
                <w:spacing w:val="0"/>
                <w:sz w:val="24"/>
                <w:highlight w:val="none"/>
              </w:rPr>
              <w:t>4</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cs="宋体"/>
                <w:color w:val="auto"/>
                <w:spacing w:val="0"/>
                <w:sz w:val="24"/>
                <w:highlight w:val="none"/>
              </w:rPr>
            </w:pPr>
            <w:r>
              <w:rPr>
                <w:rFonts w:hint="eastAsia" w:ascii="宋体" w:hAnsi="宋体" w:cs="宋体"/>
                <w:color w:val="auto"/>
                <w:spacing w:val="0"/>
                <w:sz w:val="24"/>
                <w:highlight w:val="none"/>
              </w:rPr>
              <w:t>质量标准</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eastAsia" w:ascii="宋体" w:hAnsi="宋体" w:cs="宋体"/>
                <w:bCs/>
                <w:color w:val="auto"/>
                <w:spacing w:val="0"/>
                <w:sz w:val="24"/>
                <w:highlight w:val="none"/>
              </w:rPr>
            </w:pPr>
            <w:r>
              <w:rPr>
                <w:rFonts w:hint="eastAsia" w:ascii="宋体" w:hAnsi="宋体" w:cs="宋体"/>
                <w:bCs/>
                <w:color w:val="auto"/>
                <w:spacing w:val="0"/>
                <w:sz w:val="24"/>
                <w:highlight w:val="none"/>
              </w:rPr>
              <w:t>按招标文件要求</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default" w:ascii="宋体" w:hAnsi="宋体" w:cs="Times New Roman"/>
                <w:b/>
                <w:color w:val="auto"/>
                <w:spacing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cs="宋体"/>
                <w:color w:val="auto"/>
                <w:spacing w:val="0"/>
                <w:sz w:val="24"/>
                <w:highlight w:val="none"/>
              </w:rPr>
            </w:pPr>
            <w:bookmarkStart w:id="463" w:name="OLE_LINK1" w:colFirst="2" w:colLast="3"/>
            <w:r>
              <w:rPr>
                <w:rFonts w:hint="eastAsia" w:ascii="宋体" w:hAnsi="宋体" w:cs="宋体"/>
                <w:color w:val="auto"/>
                <w:spacing w:val="0"/>
                <w:sz w:val="24"/>
                <w:highlight w:val="none"/>
              </w:rPr>
              <w:t>5</w:t>
            </w:r>
          </w:p>
        </w:tc>
        <w:tc>
          <w:tcPr>
            <w:tcW w:w="178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cs="宋体"/>
                <w:color w:val="auto"/>
                <w:spacing w:val="0"/>
                <w:sz w:val="24"/>
                <w:highlight w:val="none"/>
              </w:rPr>
            </w:pPr>
            <w:r>
              <w:rPr>
                <w:rFonts w:hint="eastAsia" w:ascii="宋体" w:hAnsi="宋体" w:cs="宋体"/>
                <w:color w:val="auto"/>
                <w:spacing w:val="0"/>
                <w:sz w:val="24"/>
                <w:highlight w:val="none"/>
              </w:rPr>
              <w:t>投标报价</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eastAsia" w:ascii="宋体" w:hAnsi="宋体" w:cs="宋体"/>
                <w:bCs/>
                <w:color w:val="auto"/>
                <w:spacing w:val="0"/>
                <w:sz w:val="24"/>
                <w:highlight w:val="none"/>
                <w:u w:val="single"/>
              </w:rPr>
            </w:pPr>
            <w:r>
              <w:rPr>
                <w:rFonts w:hint="eastAsia" w:ascii="宋体" w:hAnsi="宋体" w:cs="宋体"/>
                <w:bCs/>
                <w:color w:val="auto"/>
                <w:spacing w:val="0"/>
                <w:sz w:val="24"/>
                <w:highlight w:val="none"/>
                <w:u w:val="none"/>
              </w:rPr>
              <w:t>小写：</w:t>
            </w:r>
            <w:r>
              <w:rPr>
                <w:rFonts w:hint="eastAsia" w:ascii="宋体" w:hAnsi="宋体" w:cs="宋体"/>
                <w:bCs/>
                <w:color w:val="auto"/>
                <w:spacing w:val="0"/>
                <w:sz w:val="24"/>
                <w:highlight w:val="none"/>
                <w:u w:val="single"/>
              </w:rPr>
              <w:t xml:space="preserve">    </w:t>
            </w:r>
            <w:r>
              <w:rPr>
                <w:rFonts w:hint="eastAsia" w:ascii="宋体" w:hAnsi="宋体" w:cs="宋体"/>
                <w:bCs/>
                <w:color w:val="auto"/>
                <w:spacing w:val="0"/>
                <w:sz w:val="24"/>
                <w:highlight w:val="none"/>
                <w:u w:val="single"/>
                <w:lang w:val="en-US" w:eastAsia="zh-CN"/>
              </w:rPr>
              <w:t xml:space="preserve">    </w:t>
            </w:r>
            <w:r>
              <w:rPr>
                <w:rFonts w:hint="eastAsia" w:ascii="宋体" w:hAnsi="宋体" w:cs="宋体"/>
                <w:bCs/>
                <w:color w:val="auto"/>
                <w:spacing w:val="0"/>
                <w:sz w:val="24"/>
                <w:highlight w:val="none"/>
                <w:u w:val="single"/>
              </w:rPr>
              <w:t xml:space="preserve">   </w:t>
            </w:r>
            <w:r>
              <w:rPr>
                <w:rFonts w:hint="eastAsia" w:ascii="宋体" w:hAnsi="宋体" w:cs="宋体"/>
                <w:bCs/>
                <w:color w:val="auto"/>
                <w:spacing w:val="0"/>
                <w:sz w:val="24"/>
                <w:highlight w:val="none"/>
                <w:u w:val="none"/>
              </w:rPr>
              <w:t>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eastAsia" w:ascii="宋体" w:hAnsi="宋体" w:cs="宋体"/>
                <w:bCs/>
                <w:color w:val="auto"/>
                <w:spacing w:val="0"/>
                <w:sz w:val="24"/>
                <w:highlight w:val="none"/>
                <w:u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eastAsia" w:ascii="宋体" w:hAnsi="宋体" w:cs="宋体"/>
                <w:bCs/>
                <w:color w:val="auto"/>
                <w:spacing w:val="0"/>
                <w:sz w:val="24"/>
                <w:highlight w:val="none"/>
                <w:u w:val="single"/>
              </w:rPr>
            </w:pPr>
            <w:r>
              <w:rPr>
                <w:rFonts w:hint="eastAsia" w:ascii="宋体" w:hAnsi="宋体" w:cs="宋体"/>
                <w:bCs/>
                <w:color w:val="auto"/>
                <w:spacing w:val="0"/>
                <w:sz w:val="24"/>
                <w:highlight w:val="none"/>
                <w:u w:val="none"/>
              </w:rPr>
              <w:t>大写：</w:t>
            </w:r>
            <w:r>
              <w:rPr>
                <w:rFonts w:hint="eastAsia" w:ascii="宋体" w:hAnsi="宋体" w:cs="宋体"/>
                <w:bCs/>
                <w:color w:val="auto"/>
                <w:spacing w:val="0"/>
                <w:sz w:val="24"/>
                <w:highlight w:val="none"/>
                <w:u w:val="single"/>
              </w:rPr>
              <w:t xml:space="preserve">     </w:t>
            </w:r>
            <w:r>
              <w:rPr>
                <w:rFonts w:hint="eastAsia" w:ascii="宋体" w:hAnsi="宋体" w:cs="宋体"/>
                <w:bCs/>
                <w:color w:val="auto"/>
                <w:spacing w:val="0"/>
                <w:sz w:val="24"/>
                <w:highlight w:val="none"/>
                <w:u w:val="single"/>
                <w:lang w:val="en-US" w:eastAsia="zh-CN"/>
              </w:rPr>
              <w:t xml:space="preserve">    </w:t>
            </w:r>
            <w:r>
              <w:rPr>
                <w:rFonts w:hint="eastAsia" w:ascii="宋体" w:hAnsi="宋体" w:cs="宋体"/>
                <w:bCs/>
                <w:color w:val="auto"/>
                <w:spacing w:val="0"/>
                <w:sz w:val="24"/>
                <w:highlight w:val="none"/>
                <w:u w:val="single"/>
              </w:rPr>
              <w:t xml:space="preserve">  </w:t>
            </w:r>
          </w:p>
        </w:tc>
        <w:tc>
          <w:tcPr>
            <w:tcW w:w="240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default" w:ascii="宋体" w:hAnsi="宋体" w:cs="Times New Roman"/>
                <w:b/>
                <w:color w:val="auto"/>
                <w:spacing w:val="0"/>
                <w:szCs w:val="21"/>
                <w:highlight w:val="none"/>
              </w:rPr>
            </w:pPr>
            <w:r>
              <w:rPr>
                <w:rFonts w:hint="eastAsia" w:ascii="宋体" w:hAnsi="宋体" w:cs="Times New Roman"/>
                <w:b/>
                <w:color w:val="auto"/>
                <w:spacing w:val="0"/>
                <w:szCs w:val="21"/>
                <w:highlight w:val="none"/>
              </w:rPr>
              <w:t>投标报价以元为单位</w:t>
            </w:r>
            <w:r>
              <w:rPr>
                <w:rFonts w:hint="eastAsia" w:ascii="Calibri" w:hAnsi="Calibri" w:cs="Times New Roman"/>
                <w:b/>
                <w:bCs/>
                <w:color w:val="auto"/>
                <w:spacing w:val="0"/>
                <w:sz w:val="21"/>
                <w:szCs w:val="21"/>
                <w:highlight w:val="none"/>
                <w:u w:val="none"/>
              </w:rPr>
              <w:t>，保留两位小数，第三位小数四舍五入</w:t>
            </w:r>
            <w:r>
              <w:rPr>
                <w:rFonts w:hint="eastAsia" w:ascii="宋体" w:hAnsi="宋体" w:cs="Times New Roman"/>
                <w:b/>
                <w:color w:val="auto"/>
                <w:spacing w:val="0"/>
                <w:szCs w:val="21"/>
                <w:highlight w:val="none"/>
              </w:rPr>
              <w:t>。</w:t>
            </w:r>
          </w:p>
        </w:tc>
      </w:tr>
      <w:bookmarkEnd w:id="4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6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baseline"/>
              <w:rPr>
                <w:rFonts w:hint="eastAsia" w:ascii="宋体" w:hAnsi="宋体" w:cs="宋体"/>
                <w:color w:val="auto"/>
                <w:spacing w:val="0"/>
                <w:sz w:val="24"/>
                <w:highlight w:val="none"/>
              </w:rPr>
            </w:pPr>
          </w:p>
        </w:tc>
        <w:tc>
          <w:tcPr>
            <w:tcW w:w="1785"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baseline"/>
              <w:rPr>
                <w:rFonts w:hint="eastAsia" w:ascii="宋体" w:hAnsi="宋体" w:cs="宋体"/>
                <w:color w:val="auto"/>
                <w:spacing w:val="0"/>
                <w:sz w:val="24"/>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Cs/>
                <w:color w:val="auto"/>
                <w:spacing w:val="0"/>
                <w:sz w:val="24"/>
                <w:highlight w:val="yellow"/>
                <w:lang w:val="en-US" w:eastAsia="zh-CN"/>
              </w:rPr>
            </w:pPr>
            <w:r>
              <w:rPr>
                <w:rFonts w:hint="eastAsia" w:ascii="宋体" w:hAnsi="宋体" w:cs="宋体"/>
                <w:bCs/>
                <w:color w:val="auto"/>
                <w:spacing w:val="0"/>
                <w:sz w:val="24"/>
                <w:highlight w:val="none"/>
                <w:lang w:eastAsia="zh-CN"/>
              </w:rPr>
              <w:t>下浮率</w:t>
            </w:r>
            <w:r>
              <w:rPr>
                <w:rFonts w:hint="eastAsia" w:ascii="宋体" w:hAnsi="宋体" w:cs="宋体"/>
                <w:bCs/>
                <w:color w:val="auto"/>
                <w:spacing w:val="0"/>
                <w:sz w:val="24"/>
                <w:highlight w:val="none"/>
              </w:rPr>
              <w:t>：</w:t>
            </w:r>
            <w:r>
              <w:rPr>
                <w:rFonts w:hint="eastAsia" w:ascii="宋体" w:hAnsi="宋体" w:cs="宋体"/>
                <w:bCs/>
                <w:color w:val="auto"/>
                <w:spacing w:val="0"/>
                <w:sz w:val="24"/>
                <w:highlight w:val="none"/>
                <w:u w:val="single"/>
              </w:rPr>
              <w:t xml:space="preserve">          </w:t>
            </w:r>
            <w:r>
              <w:rPr>
                <w:rFonts w:hint="eastAsia" w:ascii="宋体" w:hAnsi="宋体" w:cs="宋体"/>
                <w:bCs/>
                <w:color w:val="auto"/>
                <w:spacing w:val="0"/>
                <w:sz w:val="24"/>
                <w:highlight w:val="none"/>
                <w:u w:val="none"/>
                <w:lang w:val="en-US" w:eastAsia="zh-CN"/>
              </w:rPr>
              <w:t>%</w:t>
            </w:r>
          </w:p>
        </w:tc>
        <w:tc>
          <w:tcPr>
            <w:tcW w:w="2400"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宋体" w:hAnsi="宋体" w:cs="Times New Roman"/>
                <w:b/>
                <w:color w:val="auto"/>
                <w:spacing w:val="0"/>
                <w:szCs w:val="21"/>
                <w:highlight w:val="yellow"/>
              </w:rPr>
            </w:pPr>
            <w:r>
              <w:rPr>
                <w:rFonts w:hint="eastAsia" w:ascii="宋体" w:hAnsi="宋体" w:cs="宋体"/>
                <w:color w:val="auto"/>
                <w:spacing w:val="0"/>
                <w:kern w:val="0"/>
                <w:sz w:val="24"/>
                <w:highlight w:val="none"/>
                <w:lang w:bidi="ar"/>
              </w:rPr>
              <w:t>下浮率</w:t>
            </w:r>
            <w:r>
              <w:rPr>
                <w:rFonts w:hint="default" w:ascii="宋体" w:hAnsi="宋体" w:cs="宋体"/>
                <w:color w:val="auto"/>
                <w:spacing w:val="0"/>
                <w:kern w:val="0"/>
                <w:sz w:val="24"/>
                <w:highlight w:val="none"/>
                <w:lang w:bidi="ar"/>
              </w:rPr>
              <w:t>=（</w:t>
            </w:r>
            <w:r>
              <w:rPr>
                <w:rFonts w:hint="eastAsia" w:ascii="宋体" w:hAnsi="宋体" w:cs="宋体"/>
                <w:color w:val="auto"/>
                <w:spacing w:val="0"/>
                <w:kern w:val="0"/>
                <w:sz w:val="24"/>
                <w:highlight w:val="none"/>
                <w:lang w:bidi="ar"/>
              </w:rPr>
              <w:t>投标</w:t>
            </w:r>
            <w:r>
              <w:rPr>
                <w:rFonts w:hint="default" w:ascii="宋体" w:hAnsi="宋体" w:cs="宋体"/>
                <w:color w:val="auto"/>
                <w:spacing w:val="0"/>
                <w:kern w:val="0"/>
                <w:sz w:val="24"/>
                <w:highlight w:val="none"/>
                <w:lang w:bidi="ar"/>
              </w:rPr>
              <w:t>报价－</w:t>
            </w:r>
            <w:r>
              <w:rPr>
                <w:rFonts w:hint="eastAsia" w:ascii="宋体" w:hAnsi="宋体" w:cs="宋体"/>
                <w:color w:val="auto"/>
                <w:spacing w:val="0"/>
                <w:kern w:val="0"/>
                <w:sz w:val="24"/>
                <w:highlight w:val="none"/>
                <w:lang w:bidi="ar"/>
              </w:rPr>
              <w:t>最高投标限价</w:t>
            </w:r>
            <w:r>
              <w:rPr>
                <w:rFonts w:hint="default" w:ascii="宋体" w:hAnsi="宋体" w:cs="宋体"/>
                <w:color w:val="auto"/>
                <w:spacing w:val="0"/>
                <w:kern w:val="0"/>
                <w:sz w:val="24"/>
                <w:highlight w:val="none"/>
                <w:lang w:bidi="ar"/>
              </w:rPr>
              <w:t>）/</w:t>
            </w:r>
            <w:r>
              <w:rPr>
                <w:rFonts w:hint="eastAsia" w:ascii="宋体" w:hAnsi="宋体" w:cs="宋体"/>
                <w:color w:val="auto"/>
                <w:spacing w:val="0"/>
                <w:kern w:val="0"/>
                <w:sz w:val="24"/>
                <w:highlight w:val="none"/>
                <w:lang w:bidi="ar"/>
              </w:rPr>
              <w:t>最高投标限</w:t>
            </w:r>
            <w:r>
              <w:rPr>
                <w:rFonts w:hint="default" w:ascii="宋体" w:hAnsi="宋体" w:cs="宋体"/>
                <w:color w:val="auto"/>
                <w:spacing w:val="0"/>
                <w:kern w:val="0"/>
                <w:sz w:val="24"/>
                <w:highlight w:val="none"/>
                <w:lang w:bidi="ar"/>
              </w:rPr>
              <w:t>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61"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baseline"/>
              <w:rPr>
                <w:rFonts w:hint="eastAsia" w:ascii="宋体" w:hAnsi="宋体" w:eastAsia="宋体" w:cs="宋体"/>
                <w:color w:val="auto"/>
                <w:spacing w:val="0"/>
                <w:sz w:val="24"/>
                <w:highlight w:val="none"/>
                <w:lang w:eastAsia="zh-CN"/>
              </w:rPr>
            </w:pPr>
            <w:r>
              <w:rPr>
                <w:rFonts w:hint="eastAsia" w:ascii="宋体" w:hAnsi="宋体" w:cs="宋体"/>
                <w:color w:val="auto"/>
                <w:spacing w:val="0"/>
                <w:sz w:val="24"/>
                <w:highlight w:val="none"/>
                <w:lang w:val="en-US" w:eastAsia="zh-CN"/>
              </w:rPr>
              <w:t>6</w:t>
            </w:r>
          </w:p>
        </w:tc>
        <w:tc>
          <w:tcPr>
            <w:tcW w:w="178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baseline"/>
              <w:rPr>
                <w:rFonts w:hint="eastAsia" w:ascii="宋体" w:hAnsi="宋体" w:cs="宋体"/>
                <w:color w:val="auto"/>
                <w:spacing w:val="0"/>
                <w:sz w:val="24"/>
                <w:highlight w:val="none"/>
              </w:rPr>
            </w:pPr>
            <w:r>
              <w:rPr>
                <w:rFonts w:hint="eastAsia" w:ascii="宋体" w:hAnsi="宋体" w:cs="宋体"/>
                <w:color w:val="auto"/>
                <w:spacing w:val="0"/>
                <w:sz w:val="24"/>
                <w:highlight w:val="none"/>
              </w:rPr>
              <w:t>投标有效期</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cs="宋体"/>
                <w:bCs/>
                <w:color w:val="auto"/>
                <w:spacing w:val="0"/>
                <w:sz w:val="24"/>
                <w:highlight w:val="none"/>
              </w:rPr>
            </w:pPr>
            <w:r>
              <w:rPr>
                <w:rFonts w:hint="eastAsia" w:ascii="宋体" w:hAnsi="宋体" w:cs="宋体"/>
                <w:bCs/>
                <w:color w:val="auto"/>
                <w:spacing w:val="0"/>
                <w:sz w:val="24"/>
                <w:highlight w:val="none"/>
              </w:rPr>
              <w:t>按招标文件要求</w:t>
            </w:r>
          </w:p>
        </w:tc>
        <w:tc>
          <w:tcPr>
            <w:tcW w:w="240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baseline"/>
              <w:rPr>
                <w:rFonts w:hint="default" w:ascii="宋体" w:hAnsi="宋体" w:cs="Times New Roman"/>
                <w:b/>
                <w:color w:val="auto"/>
                <w:spacing w:val="0"/>
                <w:szCs w:val="21"/>
                <w:highlight w:val="none"/>
              </w:rPr>
            </w:pPr>
          </w:p>
        </w:tc>
      </w:tr>
    </w:tbl>
    <w:p>
      <w:pPr>
        <w:keepNext w:val="0"/>
        <w:keepLines w:val="0"/>
        <w:pageBreakBefore w:val="0"/>
        <w:widowControl w:val="0"/>
        <w:kinsoku/>
        <w:overflowPunct/>
        <w:bidi w:val="0"/>
        <w:spacing w:line="440" w:lineRule="exact"/>
        <w:jc w:val="left"/>
        <w:rPr>
          <w:rStyle w:val="63"/>
          <w:rFonts w:hint="eastAsia" w:ascii="宋体" w:hAnsi="宋体"/>
          <w:color w:val="auto"/>
          <w:spacing w:val="0"/>
          <w:sz w:val="24"/>
          <w:szCs w:val="24"/>
          <w:highlight w:val="none"/>
        </w:rPr>
      </w:pPr>
    </w:p>
    <w:p>
      <w:pPr>
        <w:keepNext w:val="0"/>
        <w:keepLines w:val="0"/>
        <w:pageBreakBefore w:val="0"/>
        <w:widowControl w:val="0"/>
        <w:kinsoku/>
        <w:overflowPunct/>
        <w:bidi w:val="0"/>
        <w:spacing w:line="440" w:lineRule="exact"/>
        <w:jc w:val="left"/>
        <w:rPr>
          <w:rStyle w:val="63"/>
          <w:rFonts w:hint="eastAsia" w:ascii="宋体" w:hAnsi="宋体"/>
          <w:color w:val="auto"/>
          <w:spacing w:val="0"/>
          <w:sz w:val="24"/>
          <w:szCs w:val="24"/>
          <w:highlight w:val="none"/>
        </w:rPr>
      </w:pPr>
    </w:p>
    <w:p>
      <w:pPr>
        <w:keepNext w:val="0"/>
        <w:keepLines w:val="0"/>
        <w:pageBreakBefore w:val="0"/>
        <w:widowControl w:val="0"/>
        <w:kinsoku/>
        <w:overflowPunct/>
        <w:bidi w:val="0"/>
        <w:spacing w:line="440" w:lineRule="exact"/>
        <w:jc w:val="left"/>
        <w:rPr>
          <w:rStyle w:val="63"/>
          <w:rFonts w:ascii="宋体" w:hAnsi="宋体"/>
          <w:color w:val="auto"/>
          <w:spacing w:val="0"/>
          <w:sz w:val="24"/>
          <w:szCs w:val="24"/>
          <w:highlight w:val="none"/>
        </w:rPr>
      </w:pPr>
      <w:r>
        <w:rPr>
          <w:rStyle w:val="63"/>
          <w:rFonts w:ascii="宋体" w:hAnsi="宋体"/>
          <w:color w:val="auto"/>
          <w:spacing w:val="0"/>
          <w:sz w:val="24"/>
          <w:szCs w:val="24"/>
          <w:highlight w:val="none"/>
        </w:rPr>
        <w:t>投标人：</w:t>
      </w:r>
      <w:r>
        <w:rPr>
          <w:rStyle w:val="63"/>
          <w:rFonts w:ascii="宋体" w:hAnsi="宋体"/>
          <w:color w:val="auto"/>
          <w:spacing w:val="0"/>
          <w:sz w:val="24"/>
          <w:szCs w:val="24"/>
          <w:highlight w:val="none"/>
          <w:u w:val="single"/>
        </w:rPr>
        <w:t xml:space="preserve">                      </w:t>
      </w:r>
      <w:r>
        <w:rPr>
          <w:rStyle w:val="63"/>
          <w:rFonts w:hint="eastAsia" w:ascii="宋体" w:hAnsi="宋体"/>
          <w:color w:val="auto"/>
          <w:spacing w:val="0"/>
          <w:sz w:val="24"/>
          <w:szCs w:val="24"/>
          <w:highlight w:val="none"/>
          <w:u w:val="single"/>
          <w:lang w:val="en-US"/>
        </w:rPr>
        <w:t xml:space="preserve"> </w:t>
      </w:r>
      <w:r>
        <w:rPr>
          <w:rStyle w:val="63"/>
          <w:rFonts w:ascii="宋体" w:hAnsi="宋体"/>
          <w:color w:val="auto"/>
          <w:spacing w:val="0"/>
          <w:sz w:val="24"/>
          <w:szCs w:val="24"/>
          <w:highlight w:val="none"/>
        </w:rPr>
        <w:t>（盖单位</w:t>
      </w:r>
      <w:r>
        <w:rPr>
          <w:rStyle w:val="63"/>
          <w:rFonts w:hint="eastAsia" w:ascii="宋体" w:hAnsi="宋体"/>
          <w:color w:val="auto"/>
          <w:spacing w:val="0"/>
          <w:sz w:val="24"/>
          <w:szCs w:val="24"/>
          <w:highlight w:val="none"/>
        </w:rPr>
        <w:t>公</w:t>
      </w:r>
      <w:r>
        <w:rPr>
          <w:rStyle w:val="63"/>
          <w:rFonts w:ascii="宋体" w:hAnsi="宋体"/>
          <w:color w:val="auto"/>
          <w:spacing w:val="0"/>
          <w:sz w:val="24"/>
          <w:szCs w:val="24"/>
          <w:highlight w:val="none"/>
        </w:rPr>
        <w:t>章）</w:t>
      </w:r>
    </w:p>
    <w:p>
      <w:pPr>
        <w:keepNext w:val="0"/>
        <w:keepLines w:val="0"/>
        <w:pageBreakBefore w:val="0"/>
        <w:widowControl w:val="0"/>
        <w:kinsoku/>
        <w:overflowPunct/>
        <w:bidi w:val="0"/>
        <w:spacing w:line="440" w:lineRule="exact"/>
        <w:jc w:val="left"/>
        <w:rPr>
          <w:rStyle w:val="63"/>
          <w:rFonts w:hint="default" w:ascii="宋体" w:hAnsi="宋体"/>
          <w:color w:val="auto"/>
          <w:spacing w:val="0"/>
          <w:sz w:val="24"/>
          <w:szCs w:val="24"/>
          <w:highlight w:val="none"/>
          <w:lang w:val="en-US"/>
        </w:rPr>
      </w:pPr>
      <w:r>
        <w:rPr>
          <w:rStyle w:val="63"/>
          <w:rFonts w:ascii="宋体" w:hAnsi="宋体"/>
          <w:color w:val="auto"/>
          <w:spacing w:val="0"/>
          <w:sz w:val="24"/>
          <w:szCs w:val="24"/>
          <w:highlight w:val="none"/>
        </w:rPr>
        <w:t>法定代表人或其委托代理人：</w:t>
      </w:r>
      <w:r>
        <w:rPr>
          <w:rStyle w:val="63"/>
          <w:rFonts w:ascii="宋体" w:hAnsi="宋体"/>
          <w:color w:val="auto"/>
          <w:spacing w:val="0"/>
          <w:sz w:val="24"/>
          <w:szCs w:val="24"/>
          <w:highlight w:val="none"/>
          <w:u w:val="single"/>
        </w:rPr>
        <w:t xml:space="preserve">      </w:t>
      </w:r>
      <w:r>
        <w:rPr>
          <w:rStyle w:val="63"/>
          <w:rFonts w:hint="eastAsia" w:ascii="宋体" w:hAnsi="宋体"/>
          <w:color w:val="auto"/>
          <w:spacing w:val="0"/>
          <w:sz w:val="24"/>
          <w:szCs w:val="24"/>
          <w:highlight w:val="none"/>
          <w:u w:val="single"/>
          <w:lang w:val="en-US"/>
        </w:rPr>
        <w:t xml:space="preserve"> </w:t>
      </w:r>
      <w:r>
        <w:rPr>
          <w:rStyle w:val="63"/>
          <w:rFonts w:ascii="宋体" w:hAnsi="宋体"/>
          <w:color w:val="auto"/>
          <w:spacing w:val="0"/>
          <w:sz w:val="24"/>
          <w:szCs w:val="24"/>
          <w:highlight w:val="none"/>
          <w:u w:val="single"/>
        </w:rPr>
        <w:t xml:space="preserve"> </w:t>
      </w:r>
      <w:r>
        <w:rPr>
          <w:rStyle w:val="63"/>
          <w:rFonts w:hint="eastAsia" w:ascii="宋体" w:hAnsi="宋体"/>
          <w:color w:val="auto"/>
          <w:spacing w:val="0"/>
          <w:sz w:val="24"/>
          <w:szCs w:val="24"/>
          <w:highlight w:val="none"/>
          <w:u w:val="single"/>
          <w:lang w:val="en-US"/>
        </w:rPr>
        <w:t xml:space="preserve">     </w:t>
      </w:r>
      <w:r>
        <w:rPr>
          <w:rStyle w:val="63"/>
          <w:rFonts w:hint="eastAsia" w:ascii="宋体" w:hAnsi="宋体"/>
          <w:color w:val="auto"/>
          <w:spacing w:val="0"/>
          <w:sz w:val="24"/>
          <w:szCs w:val="24"/>
          <w:highlight w:val="none"/>
        </w:rPr>
        <w:t>（签字或盖章或签章）</w:t>
      </w:r>
    </w:p>
    <w:p>
      <w:pPr>
        <w:keepNext w:val="0"/>
        <w:keepLines w:val="0"/>
        <w:pageBreakBefore w:val="0"/>
        <w:widowControl w:val="0"/>
        <w:kinsoku/>
        <w:overflowPunct/>
        <w:bidi w:val="0"/>
        <w:spacing w:line="440" w:lineRule="exact"/>
        <w:jc w:val="both"/>
        <w:rPr>
          <w:rStyle w:val="63"/>
          <w:rFonts w:ascii="宋体" w:hAnsi="宋体"/>
          <w:color w:val="auto"/>
          <w:spacing w:val="0"/>
          <w:sz w:val="24"/>
          <w:szCs w:val="24"/>
          <w:highlight w:val="none"/>
        </w:rPr>
      </w:pPr>
      <w:r>
        <w:rPr>
          <w:rStyle w:val="63"/>
          <w:rFonts w:hint="eastAsia" w:ascii="宋体" w:hAnsi="宋体"/>
          <w:color w:val="auto"/>
          <w:spacing w:val="0"/>
          <w:sz w:val="24"/>
          <w:szCs w:val="24"/>
          <w:highlight w:val="none"/>
          <w:u w:val="none"/>
        </w:rPr>
        <w:t>日期：</w:t>
      </w:r>
      <w:r>
        <w:rPr>
          <w:rStyle w:val="63"/>
          <w:rFonts w:ascii="宋体" w:hAnsi="宋体"/>
          <w:color w:val="auto"/>
          <w:spacing w:val="0"/>
          <w:sz w:val="24"/>
          <w:szCs w:val="24"/>
          <w:highlight w:val="none"/>
          <w:u w:val="single"/>
        </w:rPr>
        <w:t xml:space="preserve">      </w:t>
      </w:r>
      <w:r>
        <w:rPr>
          <w:rStyle w:val="63"/>
          <w:rFonts w:ascii="宋体" w:hAnsi="宋体"/>
          <w:color w:val="auto"/>
          <w:spacing w:val="0"/>
          <w:sz w:val="24"/>
          <w:szCs w:val="24"/>
          <w:highlight w:val="none"/>
        </w:rPr>
        <w:t>年</w:t>
      </w:r>
      <w:r>
        <w:rPr>
          <w:rStyle w:val="63"/>
          <w:rFonts w:ascii="宋体" w:hAnsi="宋体"/>
          <w:color w:val="auto"/>
          <w:spacing w:val="0"/>
          <w:sz w:val="24"/>
          <w:szCs w:val="24"/>
          <w:highlight w:val="none"/>
          <w:u w:val="single"/>
        </w:rPr>
        <w:t xml:space="preserve">    </w:t>
      </w:r>
      <w:r>
        <w:rPr>
          <w:rStyle w:val="63"/>
          <w:rFonts w:ascii="宋体" w:hAnsi="宋体"/>
          <w:color w:val="auto"/>
          <w:spacing w:val="0"/>
          <w:sz w:val="24"/>
          <w:szCs w:val="24"/>
          <w:highlight w:val="none"/>
        </w:rPr>
        <w:t>月</w:t>
      </w:r>
      <w:r>
        <w:rPr>
          <w:rStyle w:val="63"/>
          <w:rFonts w:ascii="宋体" w:hAnsi="宋体"/>
          <w:color w:val="auto"/>
          <w:spacing w:val="0"/>
          <w:sz w:val="24"/>
          <w:szCs w:val="24"/>
          <w:highlight w:val="none"/>
          <w:u w:val="single"/>
        </w:rPr>
        <w:t xml:space="preserve">    </w:t>
      </w:r>
      <w:r>
        <w:rPr>
          <w:rStyle w:val="63"/>
          <w:rFonts w:ascii="宋体" w:hAnsi="宋体"/>
          <w:color w:val="auto"/>
          <w:spacing w:val="0"/>
          <w:sz w:val="24"/>
          <w:szCs w:val="24"/>
          <w:highlight w:val="none"/>
        </w:rPr>
        <w:t>日</w:t>
      </w:r>
    </w:p>
    <w:p>
      <w:pPr>
        <w:keepNext w:val="0"/>
        <w:keepLines w:val="0"/>
        <w:pageBreakBefore w:val="0"/>
        <w:widowControl w:val="0"/>
        <w:kinsoku/>
        <w:wordWrap/>
        <w:overflowPunct/>
        <w:topLinePunct w:val="0"/>
        <w:autoSpaceDE/>
        <w:autoSpaceDN/>
        <w:bidi w:val="0"/>
        <w:adjustRightInd/>
        <w:snapToGrid/>
        <w:textAlignment w:val="baseline"/>
        <w:rPr>
          <w:rFonts w:hint="eastAsia" w:ascii="Times New Roman" w:hAnsi="Times New Roman" w:eastAsia="宋体" w:cs="Times New Roman"/>
          <w:color w:val="auto"/>
          <w:spacing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textAlignment w:val="baseline"/>
        <w:rPr>
          <w:rFonts w:hint="eastAsia" w:ascii="Times New Roman" w:hAnsi="Times New Roman" w:eastAsia="宋体" w:cs="Times New Roman"/>
          <w:color w:val="auto"/>
          <w:spacing w:val="0"/>
          <w:sz w:val="24"/>
          <w:szCs w:val="24"/>
          <w:highlight w:val="none"/>
          <w:lang w:val="zh-CN"/>
        </w:rPr>
      </w:pPr>
      <w:bookmarkStart w:id="464" w:name="_Toc25015"/>
      <w:bookmarkStart w:id="465" w:name="_Toc23491"/>
      <w:r>
        <w:rPr>
          <w:rFonts w:hint="eastAsia" w:ascii="Times New Roman" w:hAnsi="Times New Roman" w:eastAsia="宋体" w:cs="Times New Roman"/>
          <w:color w:val="auto"/>
          <w:spacing w:val="0"/>
          <w:sz w:val="24"/>
          <w:szCs w:val="24"/>
          <w:highlight w:val="none"/>
          <w:lang w:val="zh-CN"/>
        </w:rPr>
        <w:br w:type="page"/>
      </w:r>
    </w:p>
    <w:p>
      <w:pPr>
        <w:pStyle w:val="2"/>
        <w:ind w:left="0" w:leftChars="0" w:firstLine="0" w:firstLineChars="0"/>
        <w:rPr>
          <w:rFonts w:hint="eastAsia"/>
          <w:color w:val="auto"/>
          <w:lang w:val="zh-CN"/>
        </w:rPr>
      </w:pPr>
    </w:p>
    <w:p>
      <w:pPr>
        <w:pStyle w:val="100"/>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baseline"/>
        <w:outlineLvl w:val="9"/>
        <w:rPr>
          <w:rStyle w:val="63"/>
          <w:rFonts w:hint="eastAsia" w:ascii="宋体" w:hAnsi="宋体" w:eastAsia="宋体" w:cs="Times New Roman"/>
          <w:color w:val="auto"/>
          <w:spacing w:val="0"/>
          <w:sz w:val="32"/>
          <w:szCs w:val="20"/>
          <w:highlight w:val="none"/>
        </w:rPr>
      </w:pPr>
      <w:bookmarkStart w:id="466" w:name="_Toc11087"/>
      <w:bookmarkStart w:id="467" w:name="_Toc26105"/>
      <w:r>
        <w:rPr>
          <w:rStyle w:val="63"/>
          <w:rFonts w:hint="eastAsia" w:ascii="宋体" w:hAnsi="宋体" w:eastAsia="宋体" w:cs="Times New Roman"/>
          <w:color w:val="auto"/>
          <w:spacing w:val="0"/>
          <w:sz w:val="32"/>
          <w:szCs w:val="20"/>
          <w:highlight w:val="none"/>
        </w:rPr>
        <w:t>二、</w:t>
      </w:r>
      <w:r>
        <w:rPr>
          <w:rStyle w:val="63"/>
          <w:rFonts w:ascii="宋体" w:hAnsi="宋体" w:eastAsia="宋体" w:cs="Times New Roman"/>
          <w:color w:val="auto"/>
          <w:spacing w:val="0"/>
          <w:sz w:val="32"/>
          <w:szCs w:val="20"/>
          <w:highlight w:val="none"/>
        </w:rPr>
        <w:t>法定代表人证明书及授权委托书</w:t>
      </w:r>
      <w:bookmarkEnd w:id="464"/>
      <w:bookmarkEnd w:id="465"/>
      <w:bookmarkEnd w:id="466"/>
      <w:bookmarkEnd w:id="467"/>
    </w:p>
    <w:p>
      <w:pPr>
        <w:keepNext w:val="0"/>
        <w:keepLines w:val="0"/>
        <w:pageBreakBefore w:val="0"/>
        <w:widowControl w:val="0"/>
        <w:kinsoku/>
        <w:overflowPunct/>
        <w:bidi w:val="0"/>
        <w:rPr>
          <w:rFonts w:hint="eastAsia" w:ascii="宋体" w:hAnsi="宋体"/>
          <w:color w:val="auto"/>
          <w:spacing w:val="0"/>
          <w:highlight w:val="none"/>
        </w:rPr>
      </w:pPr>
    </w:p>
    <w:p>
      <w:pPr>
        <w:pStyle w:val="2"/>
        <w:rPr>
          <w:rFonts w:hint="eastAsia" w:ascii="宋体" w:hAnsi="宋体"/>
          <w:color w:val="auto"/>
          <w:spacing w:val="0"/>
          <w:highlight w:val="none"/>
        </w:rPr>
      </w:pPr>
    </w:p>
    <w:p>
      <w:pPr>
        <w:pStyle w:val="2"/>
        <w:rPr>
          <w:rFonts w:hint="eastAsia" w:ascii="宋体" w:hAnsi="宋体"/>
          <w:color w:val="auto"/>
          <w:spacing w:val="0"/>
          <w:highlight w:val="none"/>
        </w:rPr>
      </w:pPr>
    </w:p>
    <w:p>
      <w:pPr>
        <w:keepNext w:val="0"/>
        <w:keepLines w:val="0"/>
        <w:pageBreakBefore w:val="0"/>
        <w:widowControl w:val="0"/>
        <w:kinsoku/>
        <w:wordWrap/>
        <w:overflowPunct/>
        <w:topLinePunct w:val="0"/>
        <w:autoSpaceDE/>
        <w:autoSpaceDN/>
        <w:bidi w:val="0"/>
        <w:adjustRightInd/>
        <w:snapToGrid/>
        <w:spacing w:line="463" w:lineRule="exact"/>
        <w:ind w:right="0"/>
        <w:jc w:val="center"/>
        <w:textAlignment w:val="baseline"/>
        <w:rPr>
          <w:rFonts w:ascii="宋体" w:hAnsi="宋体"/>
          <w:b w:val="0"/>
          <w:bCs w:val="0"/>
          <w:color w:val="auto"/>
          <w:spacing w:val="0"/>
          <w:sz w:val="32"/>
          <w:highlight w:val="none"/>
        </w:rPr>
      </w:pPr>
      <w:r>
        <w:rPr>
          <w:rFonts w:hint="eastAsia" w:ascii="宋体" w:hAnsi="宋体"/>
          <w:b w:val="0"/>
          <w:bCs w:val="0"/>
          <w:color w:val="auto"/>
          <w:spacing w:val="0"/>
          <w:sz w:val="32"/>
          <w:highlight w:val="none"/>
        </w:rPr>
        <w:t>法定代表人证明书</w:t>
      </w:r>
    </w:p>
    <w:p>
      <w:pPr>
        <w:pStyle w:val="2"/>
        <w:rPr>
          <w:rFonts w:hint="eastAsia" w:ascii="宋体" w:hAnsi="宋体"/>
          <w:color w:val="auto"/>
          <w:spacing w:val="0"/>
          <w:highlight w:val="none"/>
        </w:rPr>
      </w:pPr>
    </w:p>
    <w:p>
      <w:pPr>
        <w:pStyle w:val="2"/>
        <w:rPr>
          <w:rFonts w:hint="eastAsia" w:ascii="宋体" w:hAnsi="宋体"/>
          <w:color w:val="auto"/>
          <w:spacing w:val="0"/>
          <w:highlight w:val="none"/>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aseline"/>
        <w:rPr>
          <w:rFonts w:hint="eastAsia" w:ascii="宋体" w:hAnsi="宋体" w:cs="宋体"/>
          <w:bCs/>
          <w:color w:val="auto"/>
          <w:spacing w:val="0"/>
          <w:kern w:val="0"/>
          <w:sz w:val="24"/>
          <w:szCs w:val="24"/>
          <w:highlight w:val="none"/>
          <w:u w:val="single"/>
        </w:rPr>
      </w:pPr>
      <w:r>
        <w:rPr>
          <w:rFonts w:hint="eastAsia" w:ascii="宋体" w:hAnsi="宋体" w:cs="宋体"/>
          <w:bCs/>
          <w:color w:val="auto"/>
          <w:spacing w:val="0"/>
          <w:kern w:val="0"/>
          <w:sz w:val="24"/>
          <w:szCs w:val="24"/>
          <w:highlight w:val="none"/>
        </w:rPr>
        <w:t>投标人名称：</w:t>
      </w:r>
      <w:r>
        <w:rPr>
          <w:rFonts w:hint="eastAsia" w:ascii="宋体" w:hAnsi="宋体" w:cs="宋体"/>
          <w:bCs/>
          <w:color w:val="auto"/>
          <w:spacing w:val="0"/>
          <w:kern w:val="0"/>
          <w:sz w:val="24"/>
          <w:szCs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aseline"/>
        <w:rPr>
          <w:rFonts w:hint="eastAsia" w:ascii="宋体" w:hAnsi="宋体" w:cs="宋体"/>
          <w:bCs/>
          <w:color w:val="auto"/>
          <w:spacing w:val="0"/>
          <w:kern w:val="0"/>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aseline"/>
        <w:rPr>
          <w:rFonts w:hint="eastAsia" w:ascii="宋体" w:hAnsi="宋体" w:eastAsia="宋体" w:cs="宋体"/>
          <w:bCs/>
          <w:color w:val="auto"/>
          <w:spacing w:val="0"/>
          <w:kern w:val="0"/>
          <w:sz w:val="24"/>
          <w:szCs w:val="24"/>
          <w:highlight w:val="none"/>
          <w:u w:val="single"/>
          <w:lang w:val="en-US" w:eastAsia="zh-CN"/>
        </w:rPr>
      </w:pPr>
      <w:r>
        <w:rPr>
          <w:rFonts w:hint="eastAsia" w:ascii="宋体" w:hAnsi="宋体" w:cs="宋体"/>
          <w:bCs/>
          <w:color w:val="auto"/>
          <w:spacing w:val="0"/>
          <w:kern w:val="0"/>
          <w:sz w:val="24"/>
          <w:szCs w:val="24"/>
          <w:highlight w:val="none"/>
        </w:rPr>
        <w:t>姓名：</w:t>
      </w:r>
      <w:r>
        <w:rPr>
          <w:rFonts w:hint="eastAsia" w:ascii="宋体" w:hAnsi="宋体" w:cs="宋体"/>
          <w:bCs/>
          <w:color w:val="auto"/>
          <w:spacing w:val="0"/>
          <w:kern w:val="0"/>
          <w:sz w:val="24"/>
          <w:szCs w:val="24"/>
          <w:highlight w:val="none"/>
          <w:u w:val="single"/>
        </w:rPr>
        <w:t xml:space="preserve">   </w:t>
      </w:r>
      <w:r>
        <w:rPr>
          <w:rFonts w:hint="eastAsia" w:ascii="宋体" w:hAnsi="宋体" w:cs="宋体"/>
          <w:bCs/>
          <w:color w:val="auto"/>
          <w:spacing w:val="0"/>
          <w:kern w:val="0"/>
          <w:sz w:val="24"/>
          <w:szCs w:val="24"/>
          <w:highlight w:val="none"/>
          <w:u w:val="single"/>
          <w:lang w:val="en-US" w:eastAsia="zh-CN"/>
        </w:rPr>
        <w:t xml:space="preserve">    </w:t>
      </w:r>
      <w:r>
        <w:rPr>
          <w:rFonts w:hint="eastAsia" w:ascii="宋体" w:hAnsi="宋体" w:cs="宋体"/>
          <w:bCs/>
          <w:color w:val="auto"/>
          <w:spacing w:val="0"/>
          <w:kern w:val="0"/>
          <w:sz w:val="24"/>
          <w:szCs w:val="24"/>
          <w:highlight w:val="none"/>
          <w:u w:val="single"/>
        </w:rPr>
        <w:t xml:space="preserve">    </w:t>
      </w:r>
      <w:r>
        <w:rPr>
          <w:rFonts w:hint="eastAsia" w:ascii="宋体" w:hAnsi="宋体" w:cs="宋体"/>
          <w:bCs/>
          <w:color w:val="auto"/>
          <w:spacing w:val="0"/>
          <w:kern w:val="0"/>
          <w:sz w:val="24"/>
          <w:szCs w:val="24"/>
          <w:highlight w:val="none"/>
        </w:rPr>
        <w:t xml:space="preserve"> 性别：</w:t>
      </w:r>
      <w:r>
        <w:rPr>
          <w:rFonts w:hint="eastAsia" w:ascii="宋体" w:hAnsi="宋体" w:cs="宋体"/>
          <w:bCs/>
          <w:color w:val="auto"/>
          <w:spacing w:val="0"/>
          <w:kern w:val="0"/>
          <w:sz w:val="24"/>
          <w:szCs w:val="24"/>
          <w:highlight w:val="none"/>
          <w:u w:val="single"/>
        </w:rPr>
        <w:t xml:space="preserve">    </w:t>
      </w:r>
      <w:r>
        <w:rPr>
          <w:rFonts w:hint="eastAsia" w:ascii="宋体" w:hAnsi="宋体" w:cs="宋体"/>
          <w:bCs/>
          <w:color w:val="auto"/>
          <w:spacing w:val="0"/>
          <w:kern w:val="0"/>
          <w:sz w:val="24"/>
          <w:szCs w:val="24"/>
          <w:highlight w:val="none"/>
          <w:u w:val="single"/>
          <w:lang w:val="en-US" w:eastAsia="zh-CN"/>
        </w:rPr>
        <w:t xml:space="preserve"> </w:t>
      </w:r>
      <w:r>
        <w:rPr>
          <w:rFonts w:hint="eastAsia" w:ascii="宋体" w:hAnsi="宋体" w:cs="宋体"/>
          <w:bCs/>
          <w:color w:val="auto"/>
          <w:spacing w:val="0"/>
          <w:kern w:val="0"/>
          <w:sz w:val="24"/>
          <w:szCs w:val="24"/>
          <w:highlight w:val="none"/>
          <w:u w:val="single"/>
        </w:rPr>
        <w:t xml:space="preserve">   </w:t>
      </w:r>
      <w:r>
        <w:rPr>
          <w:rFonts w:hint="eastAsia" w:ascii="宋体" w:hAnsi="宋体" w:cs="宋体"/>
          <w:bCs/>
          <w:color w:val="auto"/>
          <w:spacing w:val="0"/>
          <w:kern w:val="0"/>
          <w:sz w:val="24"/>
          <w:szCs w:val="24"/>
          <w:highlight w:val="none"/>
        </w:rPr>
        <w:t>年龄：</w:t>
      </w:r>
      <w:r>
        <w:rPr>
          <w:rFonts w:hint="eastAsia" w:ascii="宋体" w:hAnsi="宋体" w:cs="宋体"/>
          <w:bCs/>
          <w:color w:val="auto"/>
          <w:spacing w:val="0"/>
          <w:kern w:val="0"/>
          <w:sz w:val="24"/>
          <w:szCs w:val="24"/>
          <w:highlight w:val="none"/>
          <w:u w:val="single"/>
        </w:rPr>
        <w:t xml:space="preserve">      </w:t>
      </w:r>
      <w:r>
        <w:rPr>
          <w:rFonts w:hint="eastAsia" w:ascii="宋体" w:hAnsi="宋体" w:cs="宋体"/>
          <w:bCs/>
          <w:color w:val="auto"/>
          <w:spacing w:val="0"/>
          <w:kern w:val="0"/>
          <w:sz w:val="24"/>
          <w:szCs w:val="24"/>
          <w:highlight w:val="none"/>
        </w:rPr>
        <w:t>职 务：</w:t>
      </w:r>
      <w:r>
        <w:rPr>
          <w:rFonts w:hint="eastAsia" w:ascii="宋体" w:hAnsi="宋体" w:cs="宋体"/>
          <w:bCs/>
          <w:color w:val="auto"/>
          <w:spacing w:val="0"/>
          <w:kern w:val="0"/>
          <w:sz w:val="24"/>
          <w:szCs w:val="24"/>
          <w:highlight w:val="none"/>
          <w:u w:val="single"/>
        </w:rPr>
        <w:t xml:space="preserve">      </w:t>
      </w:r>
      <w:r>
        <w:rPr>
          <w:rFonts w:hint="eastAsia" w:ascii="宋体" w:hAnsi="宋体" w:cs="宋体"/>
          <w:bCs/>
          <w:color w:val="auto"/>
          <w:spacing w:val="0"/>
          <w:kern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aseline"/>
        <w:rPr>
          <w:rFonts w:hint="eastAsia" w:ascii="宋体" w:hAnsi="宋体" w:cs="宋体"/>
          <w:bCs/>
          <w:color w:val="auto"/>
          <w:spacing w:val="0"/>
          <w:kern w:val="0"/>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aseline"/>
        <w:rPr>
          <w:rFonts w:hint="eastAsia" w:ascii="宋体" w:hAnsi="宋体" w:cs="宋体"/>
          <w:bCs/>
          <w:color w:val="auto"/>
          <w:spacing w:val="0"/>
          <w:kern w:val="0"/>
          <w:sz w:val="24"/>
          <w:szCs w:val="24"/>
          <w:highlight w:val="none"/>
        </w:rPr>
      </w:pPr>
      <w:r>
        <w:rPr>
          <w:rFonts w:hint="eastAsia" w:ascii="宋体" w:hAnsi="宋体" w:cs="宋体"/>
          <w:bCs/>
          <w:color w:val="auto"/>
          <w:spacing w:val="0"/>
          <w:kern w:val="0"/>
          <w:sz w:val="24"/>
          <w:szCs w:val="24"/>
          <w:highlight w:val="none"/>
        </w:rPr>
        <w:t xml:space="preserve">系 </w:t>
      </w:r>
      <w:r>
        <w:rPr>
          <w:rFonts w:hint="eastAsia" w:ascii="宋体" w:hAnsi="宋体" w:cs="宋体"/>
          <w:bCs/>
          <w:color w:val="auto"/>
          <w:spacing w:val="0"/>
          <w:kern w:val="0"/>
          <w:sz w:val="24"/>
          <w:szCs w:val="24"/>
          <w:highlight w:val="none"/>
          <w:u w:val="single"/>
        </w:rPr>
        <w:t xml:space="preserve">         （投标人名称）             </w:t>
      </w:r>
      <w:r>
        <w:rPr>
          <w:rFonts w:hint="eastAsia" w:ascii="宋体" w:hAnsi="宋体" w:cs="宋体"/>
          <w:bCs/>
          <w:color w:val="auto"/>
          <w:spacing w:val="0"/>
          <w:kern w:val="0"/>
          <w:sz w:val="24"/>
          <w:szCs w:val="24"/>
          <w:highlight w:val="none"/>
        </w:rPr>
        <w:t>的法定代表人。</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aseline"/>
        <w:rPr>
          <w:rFonts w:hint="eastAsia" w:ascii="宋体" w:hAnsi="宋体" w:cs="宋体"/>
          <w:bCs/>
          <w:color w:val="auto"/>
          <w:spacing w:val="0"/>
          <w:kern w:val="0"/>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aseline"/>
        <w:rPr>
          <w:rFonts w:hint="eastAsia" w:ascii="宋体" w:hAnsi="宋体" w:cs="宋体"/>
          <w:bCs/>
          <w:color w:val="auto"/>
          <w:spacing w:val="0"/>
          <w:kern w:val="0"/>
          <w:sz w:val="24"/>
          <w:szCs w:val="24"/>
          <w:highlight w:val="none"/>
        </w:rPr>
      </w:pPr>
      <w:r>
        <w:rPr>
          <w:rFonts w:hint="eastAsia" w:ascii="宋体" w:hAnsi="宋体" w:cs="宋体"/>
          <w:bCs/>
          <w:color w:val="auto"/>
          <w:spacing w:val="0"/>
          <w:kern w:val="0"/>
          <w:sz w:val="24"/>
          <w:szCs w:val="24"/>
          <w:highlight w:val="none"/>
        </w:rPr>
        <w:t>特此证明。</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aseline"/>
        <w:rPr>
          <w:rFonts w:hint="eastAsia" w:ascii="宋体" w:hAnsi="宋体" w:cs="宋体"/>
          <w:bCs/>
          <w:color w:val="auto"/>
          <w:spacing w:val="0"/>
          <w:kern w:val="0"/>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aseline"/>
        <w:rPr>
          <w:rFonts w:hint="eastAsia" w:ascii="宋体" w:hAnsi="宋体" w:cs="微软雅黑"/>
          <w:color w:val="auto"/>
          <w:spacing w:val="0"/>
          <w:sz w:val="24"/>
          <w:szCs w:val="24"/>
          <w:highlight w:val="none"/>
        </w:rPr>
      </w:pPr>
      <w:r>
        <w:rPr>
          <w:rFonts w:ascii="宋体" w:hAnsi="宋体" w:cs="微软雅黑"/>
          <w:color w:val="auto"/>
          <w:spacing w:val="0"/>
          <w:sz w:val="24"/>
          <w:szCs w:val="24"/>
          <w:highlight w:val="none"/>
        </w:rPr>
        <w:t>附：法定代表人身份证</w:t>
      </w:r>
      <w:r>
        <w:rPr>
          <w:rFonts w:hint="eastAsia" w:ascii="宋体" w:hAnsi="宋体" w:cs="微软雅黑"/>
          <w:color w:val="auto"/>
          <w:spacing w:val="0"/>
          <w:sz w:val="24"/>
          <w:szCs w:val="24"/>
          <w:highlight w:val="none"/>
        </w:rPr>
        <w:t>扫描件</w:t>
      </w:r>
      <w:r>
        <w:rPr>
          <w:rFonts w:ascii="宋体" w:hAnsi="宋体" w:cs="微软雅黑"/>
          <w:color w:val="auto"/>
          <w:spacing w:val="0"/>
          <w:sz w:val="24"/>
          <w:szCs w:val="24"/>
          <w:highlight w:val="none"/>
        </w:rPr>
        <w:t>。</w:t>
      </w:r>
    </w:p>
    <w:p>
      <w:pPr>
        <w:keepNext w:val="0"/>
        <w:keepLines w:val="0"/>
        <w:pageBreakBefore w:val="0"/>
        <w:widowControl w:val="0"/>
        <w:kinsoku/>
        <w:overflowPunct/>
        <w:autoSpaceDE w:val="0"/>
        <w:autoSpaceDN w:val="0"/>
        <w:bidi w:val="0"/>
        <w:adjustRightInd w:val="0"/>
        <w:spacing w:line="400" w:lineRule="exact"/>
        <w:ind w:firstLine="3840" w:firstLineChars="1600"/>
        <w:rPr>
          <w:rFonts w:hint="eastAsia" w:ascii="宋体" w:hAnsi="宋体" w:cs="宋体"/>
          <w:bCs/>
          <w:color w:val="auto"/>
          <w:spacing w:val="0"/>
          <w:kern w:val="0"/>
          <w:sz w:val="24"/>
          <w:szCs w:val="24"/>
          <w:highlight w:val="none"/>
        </w:rPr>
      </w:pPr>
    </w:p>
    <w:p>
      <w:pPr>
        <w:pStyle w:val="2"/>
        <w:rPr>
          <w:rFonts w:hint="eastAsia"/>
          <w:color w:val="auto"/>
          <w:sz w:val="24"/>
          <w:szCs w:val="24"/>
        </w:rPr>
      </w:pPr>
    </w:p>
    <w:p>
      <w:pPr>
        <w:keepNext w:val="0"/>
        <w:keepLines w:val="0"/>
        <w:pageBreakBefore w:val="0"/>
        <w:widowControl w:val="0"/>
        <w:kinsoku/>
        <w:overflowPunct/>
        <w:autoSpaceDE w:val="0"/>
        <w:autoSpaceDN w:val="0"/>
        <w:bidi w:val="0"/>
        <w:adjustRightInd w:val="0"/>
        <w:spacing w:line="400" w:lineRule="exact"/>
        <w:ind w:firstLine="480" w:firstLineChars="200"/>
        <w:rPr>
          <w:rFonts w:hint="eastAsia" w:ascii="宋体" w:hAnsi="宋体" w:cs="宋体"/>
          <w:bCs/>
          <w:color w:val="auto"/>
          <w:spacing w:val="0"/>
          <w:kern w:val="0"/>
          <w:sz w:val="24"/>
          <w:szCs w:val="24"/>
          <w:highlight w:val="none"/>
        </w:rPr>
      </w:pPr>
      <w:r>
        <w:rPr>
          <w:rFonts w:hint="eastAsia" w:ascii="宋体" w:hAnsi="宋体" w:cs="宋体"/>
          <w:bCs/>
          <w:color w:val="auto"/>
          <w:spacing w:val="0"/>
          <w:kern w:val="0"/>
          <w:sz w:val="24"/>
          <w:szCs w:val="24"/>
          <w:highlight w:val="none"/>
        </w:rPr>
        <w:t>投标人：</w:t>
      </w:r>
      <w:r>
        <w:rPr>
          <w:rFonts w:hint="eastAsia" w:ascii="宋体" w:hAnsi="宋体" w:cs="宋体"/>
          <w:bCs/>
          <w:color w:val="auto"/>
          <w:spacing w:val="0"/>
          <w:kern w:val="0"/>
          <w:sz w:val="24"/>
          <w:szCs w:val="24"/>
          <w:highlight w:val="none"/>
          <w:u w:val="single"/>
        </w:rPr>
        <w:t xml:space="preserve">                       </w:t>
      </w:r>
      <w:r>
        <w:rPr>
          <w:rFonts w:hint="eastAsia" w:ascii="宋体" w:hAnsi="宋体" w:cs="宋体"/>
          <w:bCs/>
          <w:color w:val="auto"/>
          <w:spacing w:val="0"/>
          <w:kern w:val="0"/>
          <w:sz w:val="24"/>
          <w:szCs w:val="24"/>
          <w:highlight w:val="none"/>
        </w:rPr>
        <w:t>（盖单位公章）</w:t>
      </w:r>
    </w:p>
    <w:p>
      <w:pPr>
        <w:keepNext w:val="0"/>
        <w:keepLines w:val="0"/>
        <w:pageBreakBefore w:val="0"/>
        <w:widowControl w:val="0"/>
        <w:kinsoku/>
        <w:overflowPunct/>
        <w:autoSpaceDE w:val="0"/>
        <w:autoSpaceDN w:val="0"/>
        <w:bidi w:val="0"/>
        <w:adjustRightInd w:val="0"/>
        <w:spacing w:line="400" w:lineRule="exact"/>
        <w:ind w:firstLine="1560" w:firstLineChars="650"/>
        <w:rPr>
          <w:rFonts w:hint="eastAsia" w:ascii="宋体" w:hAnsi="宋体" w:cs="宋体"/>
          <w:bCs/>
          <w:color w:val="auto"/>
          <w:spacing w:val="0"/>
          <w:kern w:val="0"/>
          <w:sz w:val="24"/>
          <w:szCs w:val="24"/>
          <w:highlight w:val="none"/>
        </w:rPr>
      </w:pPr>
    </w:p>
    <w:p>
      <w:pPr>
        <w:keepNext w:val="0"/>
        <w:keepLines w:val="0"/>
        <w:pageBreakBefore w:val="0"/>
        <w:widowControl w:val="0"/>
        <w:kinsoku/>
        <w:overflowPunct/>
        <w:bidi w:val="0"/>
        <w:spacing w:line="480" w:lineRule="exact"/>
        <w:ind w:firstLine="480" w:firstLineChars="200"/>
        <w:rPr>
          <w:rFonts w:hint="eastAsia" w:ascii="宋体" w:hAnsi="宋体" w:cs="宋体"/>
          <w:color w:val="auto"/>
          <w:spacing w:val="0"/>
          <w:kern w:val="0"/>
          <w:sz w:val="24"/>
          <w:szCs w:val="24"/>
          <w:highlight w:val="none"/>
        </w:rPr>
      </w:pPr>
      <w:r>
        <w:rPr>
          <w:rFonts w:hint="eastAsia" w:ascii="宋体" w:hAnsi="宋体" w:cs="宋体"/>
          <w:color w:val="auto"/>
          <w:spacing w:val="0"/>
          <w:kern w:val="0"/>
          <w:sz w:val="24"/>
          <w:szCs w:val="24"/>
          <w:highlight w:val="none"/>
        </w:rPr>
        <w:t>日期：</w:t>
      </w:r>
      <w:r>
        <w:rPr>
          <w:rFonts w:hint="eastAsia" w:ascii="宋体" w:hAnsi="宋体" w:cs="宋体"/>
          <w:color w:val="auto"/>
          <w:spacing w:val="0"/>
          <w:kern w:val="0"/>
          <w:sz w:val="24"/>
          <w:szCs w:val="24"/>
          <w:highlight w:val="none"/>
          <w:u w:val="single"/>
        </w:rPr>
        <w:t xml:space="preserve">        </w:t>
      </w:r>
      <w:r>
        <w:rPr>
          <w:rFonts w:hint="eastAsia" w:ascii="宋体" w:hAnsi="宋体" w:cs="宋体"/>
          <w:color w:val="auto"/>
          <w:spacing w:val="0"/>
          <w:kern w:val="0"/>
          <w:sz w:val="24"/>
          <w:szCs w:val="24"/>
          <w:highlight w:val="none"/>
        </w:rPr>
        <w:t>年</w:t>
      </w:r>
      <w:r>
        <w:rPr>
          <w:rFonts w:hint="eastAsia" w:ascii="宋体" w:hAnsi="宋体" w:cs="宋体"/>
          <w:color w:val="auto"/>
          <w:spacing w:val="0"/>
          <w:kern w:val="0"/>
          <w:sz w:val="24"/>
          <w:szCs w:val="24"/>
          <w:highlight w:val="none"/>
          <w:u w:val="single"/>
        </w:rPr>
        <w:t xml:space="preserve">    </w:t>
      </w:r>
      <w:r>
        <w:rPr>
          <w:rFonts w:hint="eastAsia" w:ascii="宋体" w:hAnsi="宋体" w:cs="宋体"/>
          <w:color w:val="auto"/>
          <w:spacing w:val="0"/>
          <w:kern w:val="0"/>
          <w:sz w:val="24"/>
          <w:szCs w:val="24"/>
          <w:highlight w:val="none"/>
        </w:rPr>
        <w:t>月</w:t>
      </w:r>
      <w:r>
        <w:rPr>
          <w:rFonts w:hint="eastAsia" w:ascii="宋体" w:hAnsi="宋体" w:cs="宋体"/>
          <w:color w:val="auto"/>
          <w:spacing w:val="0"/>
          <w:kern w:val="0"/>
          <w:sz w:val="24"/>
          <w:szCs w:val="24"/>
          <w:highlight w:val="none"/>
          <w:u w:val="single"/>
        </w:rPr>
        <w:t xml:space="preserve">    </w:t>
      </w:r>
      <w:r>
        <w:rPr>
          <w:rFonts w:hint="eastAsia" w:ascii="宋体" w:hAnsi="宋体" w:cs="宋体"/>
          <w:color w:val="auto"/>
          <w:spacing w:val="0"/>
          <w:kern w:val="0"/>
          <w:sz w:val="24"/>
          <w:szCs w:val="24"/>
          <w:highlight w:val="none"/>
        </w:rPr>
        <w:t>日</w:t>
      </w:r>
    </w:p>
    <w:p>
      <w:pPr>
        <w:keepNext w:val="0"/>
        <w:keepLines w:val="0"/>
        <w:pageBreakBefore w:val="0"/>
        <w:widowControl w:val="0"/>
        <w:kinsoku/>
        <w:overflowPunct/>
        <w:bidi w:val="0"/>
        <w:rPr>
          <w:rFonts w:hint="eastAsia" w:ascii="宋体" w:hAnsi="宋体"/>
          <w:b/>
          <w:color w:val="auto"/>
          <w:spacing w:val="0"/>
          <w:sz w:val="24"/>
          <w:szCs w:val="24"/>
          <w:highlight w:val="none"/>
        </w:rPr>
      </w:pPr>
    </w:p>
    <w:p>
      <w:pPr>
        <w:keepNext w:val="0"/>
        <w:keepLines w:val="0"/>
        <w:pageBreakBefore w:val="0"/>
        <w:widowControl w:val="0"/>
        <w:kinsoku/>
        <w:wordWrap/>
        <w:overflowPunct/>
        <w:topLinePunct w:val="0"/>
        <w:autoSpaceDE/>
        <w:autoSpaceDN/>
        <w:bidi w:val="0"/>
        <w:adjustRightInd/>
        <w:snapToGrid/>
        <w:textAlignment w:val="baseline"/>
        <w:rPr>
          <w:rFonts w:hint="eastAsia" w:ascii="Times New Roman" w:hAnsi="Times New Roman" w:eastAsia="宋体" w:cs="Times New Roman"/>
          <w:color w:val="auto"/>
          <w:spacing w:val="0"/>
          <w:sz w:val="24"/>
          <w:szCs w:val="24"/>
          <w:highlight w:val="none"/>
          <w:lang w:val="zh-CN"/>
        </w:rPr>
      </w:pPr>
    </w:p>
    <w:p>
      <w:pPr>
        <w:pStyle w:val="2"/>
        <w:rPr>
          <w:rFonts w:hint="eastAsia" w:ascii="Times New Roman" w:hAnsi="Times New Roman" w:eastAsia="宋体" w:cs="Times New Roman"/>
          <w:color w:val="auto"/>
          <w:spacing w:val="0"/>
          <w:sz w:val="24"/>
          <w:szCs w:val="24"/>
          <w:highlight w:val="none"/>
          <w:lang w:val="zh-CN"/>
        </w:rPr>
      </w:pPr>
    </w:p>
    <w:p>
      <w:pPr>
        <w:pStyle w:val="2"/>
        <w:rPr>
          <w:rFonts w:hint="eastAsia" w:ascii="Times New Roman" w:hAnsi="Times New Roman" w:eastAsia="宋体" w:cs="Times New Roman"/>
          <w:color w:val="auto"/>
          <w:spacing w:val="0"/>
          <w:sz w:val="24"/>
          <w:szCs w:val="24"/>
          <w:highlight w:val="none"/>
          <w:lang w:val="zh-CN"/>
        </w:rPr>
      </w:pPr>
    </w:p>
    <w:p>
      <w:pPr>
        <w:pStyle w:val="2"/>
        <w:rPr>
          <w:rFonts w:hint="eastAsia"/>
          <w:color w:val="auto"/>
          <w:sz w:val="24"/>
          <w:szCs w:val="24"/>
          <w:lang w:val="zh-CN"/>
        </w:rPr>
      </w:pPr>
      <w:r>
        <w:rPr>
          <w:rFonts w:hint="eastAsia" w:hAnsi="宋体"/>
          <w:b/>
          <w:bCs/>
          <w:color w:val="auto"/>
          <w:sz w:val="24"/>
          <w:szCs w:val="24"/>
        </w:rPr>
        <w:t>备注：也可以采用工商行政管理局统一印制的格式。</w:t>
      </w:r>
    </w:p>
    <w:p>
      <w:pPr>
        <w:keepNext w:val="0"/>
        <w:keepLines w:val="0"/>
        <w:pageBreakBefore w:val="0"/>
        <w:widowControl w:val="0"/>
        <w:kinsoku/>
        <w:wordWrap/>
        <w:overflowPunct/>
        <w:topLinePunct w:val="0"/>
        <w:autoSpaceDE/>
        <w:autoSpaceDN/>
        <w:bidi w:val="0"/>
        <w:adjustRightInd/>
        <w:snapToGrid/>
        <w:textAlignment w:val="baseline"/>
        <w:rPr>
          <w:rFonts w:hint="eastAsia" w:ascii="Times New Roman" w:hAnsi="Times New Roman" w:eastAsia="宋体" w:cs="Times New Roman"/>
          <w:color w:val="auto"/>
          <w:spacing w:val="0"/>
          <w:sz w:val="24"/>
          <w:szCs w:val="24"/>
          <w:highlight w:val="none"/>
          <w:lang w:val="zh-CN"/>
        </w:rPr>
      </w:pPr>
      <w:r>
        <w:rPr>
          <w:rFonts w:hint="eastAsia" w:ascii="Times New Roman" w:hAnsi="Times New Roman" w:eastAsia="宋体" w:cs="Times New Roman"/>
          <w:color w:val="auto"/>
          <w:spacing w:val="0"/>
          <w:sz w:val="24"/>
          <w:szCs w:val="24"/>
          <w:highlight w:val="none"/>
          <w:lang w:val="zh-CN"/>
        </w:rPr>
        <w:br w:type="page"/>
      </w:r>
    </w:p>
    <w:p>
      <w:pPr>
        <w:pStyle w:val="2"/>
        <w:ind w:left="0" w:leftChars="0" w:firstLine="0" w:firstLineChars="0"/>
        <w:rPr>
          <w:rFonts w:hint="eastAsia"/>
          <w:color w:val="auto"/>
          <w:lang w:val="zh-CN"/>
        </w:rPr>
      </w:pPr>
    </w:p>
    <w:p>
      <w:pPr>
        <w:keepNext w:val="0"/>
        <w:keepLines w:val="0"/>
        <w:pageBreakBefore w:val="0"/>
        <w:widowControl w:val="0"/>
        <w:kinsoku/>
        <w:overflowPunct/>
        <w:bidi w:val="0"/>
        <w:spacing w:line="463" w:lineRule="exact"/>
        <w:ind w:left="3251" w:right="3251"/>
        <w:jc w:val="center"/>
        <w:rPr>
          <w:rFonts w:ascii="宋体" w:hAnsi="宋体"/>
          <w:b w:val="0"/>
          <w:bCs w:val="0"/>
          <w:color w:val="auto"/>
          <w:spacing w:val="0"/>
          <w:sz w:val="32"/>
          <w:highlight w:val="none"/>
        </w:rPr>
      </w:pPr>
      <w:r>
        <w:rPr>
          <w:rFonts w:ascii="宋体" w:hAnsi="宋体"/>
          <w:b w:val="0"/>
          <w:bCs w:val="0"/>
          <w:color w:val="auto"/>
          <w:spacing w:val="0"/>
          <w:w w:val="99"/>
          <w:position w:val="-1"/>
          <w:sz w:val="32"/>
          <w:highlight w:val="none"/>
        </w:rPr>
        <w:t>授权委托书</w:t>
      </w:r>
    </w:p>
    <w:p>
      <w:pPr>
        <w:keepNext w:val="0"/>
        <w:keepLines w:val="0"/>
        <w:pageBreakBefore w:val="0"/>
        <w:widowControl w:val="0"/>
        <w:kinsoku/>
        <w:overflowPunct/>
        <w:bidi w:val="0"/>
        <w:spacing w:line="200" w:lineRule="exact"/>
        <w:jc w:val="left"/>
        <w:rPr>
          <w:rFonts w:ascii="宋体" w:hAnsi="宋体"/>
          <w:color w:val="auto"/>
          <w:spacing w:val="0"/>
          <w:sz w:val="20"/>
          <w:highlight w:val="none"/>
        </w:rPr>
      </w:pPr>
    </w:p>
    <w:p>
      <w:pPr>
        <w:keepNext w:val="0"/>
        <w:keepLines w:val="0"/>
        <w:pageBreakBefore w:val="0"/>
        <w:widowControl w:val="0"/>
        <w:kinsoku/>
        <w:overflowPunct/>
        <w:bidi w:val="0"/>
        <w:spacing w:before="16" w:line="240" w:lineRule="exact"/>
        <w:jc w:val="left"/>
        <w:rPr>
          <w:rFonts w:ascii="宋体" w:hAnsi="宋体"/>
          <w:color w:val="auto"/>
          <w:spacing w:val="0"/>
          <w:sz w:val="24"/>
          <w:highlight w:val="none"/>
        </w:rPr>
      </w:pPr>
    </w:p>
    <w:p>
      <w:pPr>
        <w:keepNext w:val="0"/>
        <w:keepLines w:val="0"/>
        <w:pageBreakBefore w:val="0"/>
        <w:widowControl w:val="0"/>
        <w:tabs>
          <w:tab w:val="left" w:pos="2420"/>
          <w:tab w:val="left" w:pos="5580"/>
        </w:tabs>
        <w:kinsoku/>
        <w:wordWrap/>
        <w:overflowPunct/>
        <w:topLinePunct w:val="0"/>
        <w:autoSpaceDE/>
        <w:autoSpaceDN/>
        <w:bidi w:val="0"/>
        <w:adjustRightInd/>
        <w:snapToGrid/>
        <w:spacing w:line="360" w:lineRule="auto"/>
        <w:ind w:left="0" w:right="0" w:firstLine="480" w:firstLineChars="20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4"/>
          <w:sz w:val="24"/>
          <w:szCs w:val="24"/>
          <w:highlight w:val="none"/>
        </w:rPr>
        <w:t>本人</w:t>
      </w:r>
      <w:r>
        <w:rPr>
          <w:rFonts w:hint="eastAsia" w:ascii="宋体" w:hAnsi="宋体" w:eastAsia="宋体" w:cs="宋体"/>
          <w:color w:val="auto"/>
          <w:spacing w:val="0"/>
          <w:position w:val="-4"/>
          <w:sz w:val="24"/>
          <w:szCs w:val="24"/>
          <w:highlight w:val="none"/>
          <w:u w:val="single"/>
        </w:rPr>
        <w:t xml:space="preserve">  </w:t>
      </w:r>
      <w:r>
        <w:rPr>
          <w:rFonts w:hint="eastAsia" w:ascii="宋体" w:hAnsi="宋体" w:eastAsia="宋体" w:cs="宋体"/>
          <w:color w:val="auto"/>
          <w:spacing w:val="0"/>
          <w:position w:val="-4"/>
          <w:sz w:val="24"/>
          <w:szCs w:val="24"/>
          <w:highlight w:val="none"/>
          <w:u w:val="single"/>
          <w:lang w:val="en-US" w:eastAsia="zh-CN"/>
        </w:rPr>
        <w:t xml:space="preserve">         </w:t>
      </w:r>
      <w:r>
        <w:rPr>
          <w:rFonts w:hint="eastAsia" w:ascii="宋体" w:hAnsi="宋体" w:eastAsia="宋体" w:cs="宋体"/>
          <w:color w:val="auto"/>
          <w:spacing w:val="0"/>
          <w:position w:val="-4"/>
          <w:sz w:val="24"/>
          <w:szCs w:val="24"/>
          <w:highlight w:val="none"/>
        </w:rPr>
        <w:t>（姓名）系</w:t>
      </w:r>
      <w:r>
        <w:rPr>
          <w:rFonts w:hint="eastAsia" w:ascii="宋体" w:hAnsi="宋体" w:eastAsia="宋体" w:cs="宋体"/>
          <w:color w:val="auto"/>
          <w:spacing w:val="0"/>
          <w:position w:val="-4"/>
          <w:sz w:val="24"/>
          <w:szCs w:val="24"/>
          <w:highlight w:val="none"/>
          <w:u w:val="single"/>
        </w:rPr>
        <w:t xml:space="preserve">  </w:t>
      </w:r>
      <w:r>
        <w:rPr>
          <w:rFonts w:hint="eastAsia" w:ascii="宋体" w:hAnsi="宋体" w:eastAsia="宋体" w:cs="宋体"/>
          <w:color w:val="auto"/>
          <w:spacing w:val="0"/>
          <w:position w:val="-4"/>
          <w:sz w:val="24"/>
          <w:szCs w:val="24"/>
          <w:highlight w:val="none"/>
          <w:u w:val="single"/>
          <w:lang w:val="en-US" w:eastAsia="zh-CN"/>
        </w:rPr>
        <w:t xml:space="preserve">           </w:t>
      </w:r>
      <w:r>
        <w:rPr>
          <w:rFonts w:hint="eastAsia" w:ascii="宋体" w:hAnsi="宋体" w:eastAsia="宋体" w:cs="宋体"/>
          <w:color w:val="auto"/>
          <w:spacing w:val="0"/>
          <w:position w:val="-4"/>
          <w:sz w:val="24"/>
          <w:szCs w:val="24"/>
          <w:highlight w:val="none"/>
        </w:rPr>
        <w:t>（投标人名称）的法定代表人，</w:t>
      </w:r>
      <w:r>
        <w:rPr>
          <w:rFonts w:hint="eastAsia" w:ascii="宋体" w:hAnsi="宋体" w:eastAsia="宋体" w:cs="宋体"/>
          <w:color w:val="auto"/>
          <w:spacing w:val="0"/>
          <w:position w:val="-4"/>
          <w:sz w:val="24"/>
          <w:szCs w:val="24"/>
          <w:highlight w:val="none"/>
          <w:lang w:eastAsia="zh-CN"/>
        </w:rPr>
        <w:t>现委托</w:t>
      </w:r>
      <w:r>
        <w:rPr>
          <w:rFonts w:hint="eastAsia" w:ascii="宋体" w:hAnsi="宋体" w:eastAsia="宋体" w:cs="宋体"/>
          <w:color w:val="auto"/>
          <w:spacing w:val="0"/>
          <w:position w:val="-2"/>
          <w:sz w:val="24"/>
          <w:szCs w:val="24"/>
          <w:highlight w:val="none"/>
          <w:u w:val="single"/>
        </w:rPr>
        <w:t xml:space="preserve">  </w:t>
      </w:r>
      <w:r>
        <w:rPr>
          <w:rFonts w:hint="eastAsia" w:ascii="宋体" w:hAnsi="宋体" w:eastAsia="宋体" w:cs="宋体"/>
          <w:color w:val="auto"/>
          <w:spacing w:val="0"/>
          <w:position w:val="-2"/>
          <w:sz w:val="24"/>
          <w:szCs w:val="24"/>
          <w:highlight w:val="none"/>
          <w:u w:val="single"/>
          <w:lang w:val="en-US" w:eastAsia="zh-CN"/>
        </w:rPr>
        <w:t xml:space="preserve">           </w:t>
      </w:r>
      <w:r>
        <w:rPr>
          <w:rFonts w:hint="eastAsia" w:ascii="宋体" w:hAnsi="宋体" w:eastAsia="宋体" w:cs="宋体"/>
          <w:color w:val="auto"/>
          <w:spacing w:val="0"/>
          <w:position w:val="-2"/>
          <w:sz w:val="24"/>
          <w:szCs w:val="24"/>
          <w:highlight w:val="none"/>
        </w:rPr>
        <w:t>（姓名）为我方代理人。代理人根据授权，以我方名义签署、澄清确认、递</w:t>
      </w:r>
      <w:r>
        <w:rPr>
          <w:rFonts w:hint="eastAsia" w:ascii="宋体" w:hAnsi="宋体" w:eastAsia="宋体" w:cs="宋体"/>
          <w:color w:val="auto"/>
          <w:spacing w:val="0"/>
          <w:position w:val="-1"/>
          <w:sz w:val="24"/>
          <w:szCs w:val="24"/>
          <w:highlight w:val="none"/>
        </w:rPr>
        <w:t>交、撤回、修改</w:t>
      </w:r>
      <w:r>
        <w:rPr>
          <w:rFonts w:hint="eastAsia" w:ascii="宋体" w:hAnsi="宋体" w:eastAsia="宋体" w:cs="宋体"/>
          <w:color w:val="auto"/>
          <w:spacing w:val="0"/>
          <w:position w:val="-2"/>
          <w:sz w:val="24"/>
          <w:szCs w:val="24"/>
          <w:highlight w:val="none"/>
          <w:u w:val="single"/>
        </w:rPr>
        <w:t xml:space="preserve"> </w:t>
      </w:r>
      <w:r>
        <w:rPr>
          <w:rFonts w:hint="eastAsia" w:ascii="宋体" w:hAnsi="宋体" w:eastAsia="宋体" w:cs="宋体"/>
          <w:color w:val="auto"/>
          <w:spacing w:val="0"/>
          <w:position w:val="-2"/>
          <w:sz w:val="24"/>
          <w:szCs w:val="24"/>
          <w:highlight w:val="none"/>
          <w:u w:val="single"/>
          <w:lang w:val="en-US" w:eastAsia="zh-CN"/>
        </w:rPr>
        <w:t xml:space="preserve">        </w:t>
      </w:r>
      <w:r>
        <w:rPr>
          <w:rFonts w:hint="eastAsia" w:ascii="宋体" w:hAnsi="宋体" w:eastAsia="宋体" w:cs="宋体"/>
          <w:color w:val="auto"/>
          <w:spacing w:val="0"/>
          <w:position w:val="-2"/>
          <w:sz w:val="24"/>
          <w:szCs w:val="24"/>
          <w:highlight w:val="none"/>
          <w:u w:val="single"/>
        </w:rPr>
        <w:t xml:space="preserve">（项目名称）  </w:t>
      </w:r>
      <w:r>
        <w:rPr>
          <w:rFonts w:hint="eastAsia" w:ascii="宋体" w:hAnsi="宋体" w:eastAsia="宋体" w:cs="宋体"/>
          <w:color w:val="auto"/>
          <w:spacing w:val="0"/>
          <w:position w:val="-2"/>
          <w:sz w:val="24"/>
          <w:szCs w:val="24"/>
          <w:highlight w:val="none"/>
          <w:u w:val="single"/>
          <w:lang w:val="en-US" w:eastAsia="zh-CN"/>
        </w:rPr>
        <w:t xml:space="preserve">      </w:t>
      </w:r>
      <w:r>
        <w:rPr>
          <w:rFonts w:hint="eastAsia" w:ascii="宋体" w:hAnsi="宋体" w:eastAsia="宋体" w:cs="宋体"/>
          <w:color w:val="auto"/>
          <w:spacing w:val="0"/>
          <w:position w:val="-2"/>
          <w:sz w:val="24"/>
          <w:szCs w:val="24"/>
          <w:highlight w:val="none"/>
          <w:u w:val="single"/>
        </w:rPr>
        <w:t xml:space="preserve"> </w:t>
      </w:r>
      <w:r>
        <w:rPr>
          <w:rFonts w:hint="eastAsia" w:ascii="宋体" w:hAnsi="宋体" w:eastAsia="宋体" w:cs="宋体"/>
          <w:color w:val="auto"/>
          <w:spacing w:val="0"/>
          <w:position w:val="-1"/>
          <w:sz w:val="24"/>
          <w:szCs w:val="24"/>
          <w:highlight w:val="none"/>
        </w:rPr>
        <w:t>招标项目投标文件、签订合同和处理有关事宜，其法律后果由我方承担。</w:t>
      </w:r>
    </w:p>
    <w:p>
      <w:pPr>
        <w:keepNext w:val="0"/>
        <w:keepLines w:val="0"/>
        <w:pageBreakBefore w:val="0"/>
        <w:widowControl w:val="0"/>
        <w:tabs>
          <w:tab w:val="left" w:pos="3560"/>
        </w:tabs>
        <w:kinsoku/>
        <w:wordWrap/>
        <w:overflowPunct/>
        <w:topLinePunct w:val="0"/>
        <w:autoSpaceDE/>
        <w:autoSpaceDN/>
        <w:bidi w:val="0"/>
        <w:adjustRightInd/>
        <w:snapToGrid/>
        <w:spacing w:line="360" w:lineRule="auto"/>
        <w:ind w:left="0" w:right="0" w:firstLine="480" w:firstLineChars="20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4"/>
          <w:sz w:val="24"/>
          <w:szCs w:val="24"/>
          <w:highlight w:val="none"/>
        </w:rPr>
        <w:t>委托期限：</w:t>
      </w:r>
      <w:r>
        <w:rPr>
          <w:rFonts w:hint="eastAsia" w:ascii="宋体" w:hAnsi="宋体" w:eastAsia="宋体" w:cs="宋体"/>
          <w:color w:val="auto"/>
          <w:spacing w:val="0"/>
          <w:position w:val="-4"/>
          <w:sz w:val="24"/>
          <w:szCs w:val="24"/>
          <w:highlight w:val="none"/>
          <w:u w:val="single"/>
        </w:rPr>
        <w:t xml:space="preserve">  </w:t>
      </w:r>
      <w:r>
        <w:rPr>
          <w:rFonts w:hint="eastAsia" w:ascii="宋体" w:hAnsi="宋体" w:eastAsia="宋体" w:cs="宋体"/>
          <w:color w:val="auto"/>
          <w:spacing w:val="0"/>
          <w:position w:val="-4"/>
          <w:sz w:val="24"/>
          <w:szCs w:val="24"/>
          <w:highlight w:val="none"/>
          <w:u w:val="single"/>
          <w:lang w:val="en-US" w:eastAsia="zh-CN"/>
        </w:rPr>
        <w:t xml:space="preserve">                 </w:t>
      </w:r>
      <w:r>
        <w:rPr>
          <w:rFonts w:hint="eastAsia" w:ascii="宋体" w:hAnsi="宋体" w:eastAsia="宋体" w:cs="宋体"/>
          <w:color w:val="auto"/>
          <w:spacing w:val="0"/>
          <w:position w:val="-4"/>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1"/>
          <w:sz w:val="24"/>
          <w:szCs w:val="24"/>
          <w:highlight w:val="none"/>
        </w:rPr>
        <w:t>代理人无转委托权。</w:t>
      </w:r>
    </w:p>
    <w:p>
      <w:pPr>
        <w:keepNext w:val="0"/>
        <w:keepLines w:val="0"/>
        <w:pageBreakBefore w:val="0"/>
        <w:widowControl w:val="0"/>
        <w:kinsoku/>
        <w:wordWrap/>
        <w:overflowPunct/>
        <w:topLinePunct w:val="0"/>
        <w:autoSpaceDE/>
        <w:autoSpaceDN/>
        <w:bidi w:val="0"/>
        <w:adjustRightInd/>
        <w:snapToGrid/>
        <w:spacing w:before="10" w:line="360" w:lineRule="auto"/>
        <w:jc w:val="both"/>
        <w:textAlignment w:val="baseline"/>
        <w:rPr>
          <w:rFonts w:hint="eastAsia" w:ascii="宋体" w:hAnsi="宋体" w:eastAsia="宋体" w:cs="宋体"/>
          <w:color w:val="auto"/>
          <w:spacing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00" w:right="35"/>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附：法定代表人身份证扫描件及委托代理人身份证扫描件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baseline"/>
        <w:rPr>
          <w:rFonts w:hint="eastAsia" w:ascii="宋体" w:hAnsi="宋体" w:eastAsia="宋体" w:cs="宋体"/>
          <w:color w:val="auto"/>
          <w:spacing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baseline"/>
        <w:rPr>
          <w:rFonts w:hint="eastAsia" w:ascii="宋体" w:hAnsi="宋体" w:eastAsia="宋体" w:cs="宋体"/>
          <w:color w:val="auto"/>
          <w:spacing w:val="0"/>
          <w:sz w:val="24"/>
          <w:szCs w:val="24"/>
          <w:highlight w:val="none"/>
        </w:rPr>
      </w:pPr>
    </w:p>
    <w:p>
      <w:pPr>
        <w:keepNext w:val="0"/>
        <w:keepLines w:val="0"/>
        <w:pageBreakBefore w:val="0"/>
        <w:widowControl w:val="0"/>
        <w:tabs>
          <w:tab w:val="left" w:pos="3200"/>
          <w:tab w:val="left" w:pos="3620"/>
          <w:tab w:val="left" w:pos="7240"/>
        </w:tabs>
        <w:kinsoku/>
        <w:wordWrap/>
        <w:overflowPunct/>
        <w:topLinePunct w:val="0"/>
        <w:autoSpaceDE/>
        <w:autoSpaceDN/>
        <w:bidi w:val="0"/>
        <w:adjustRightInd/>
        <w:snapToGrid/>
        <w:spacing w:line="360" w:lineRule="auto"/>
        <w:ind w:right="-2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4"/>
          <w:sz w:val="24"/>
          <w:szCs w:val="24"/>
          <w:highlight w:val="none"/>
        </w:rPr>
        <w:t>投标人：</w:t>
      </w:r>
      <w:r>
        <w:rPr>
          <w:rFonts w:hint="eastAsia" w:ascii="宋体" w:hAnsi="宋体" w:eastAsia="宋体" w:cs="宋体"/>
          <w:color w:val="auto"/>
          <w:spacing w:val="0"/>
          <w:position w:val="-2"/>
          <w:sz w:val="24"/>
          <w:szCs w:val="24"/>
          <w:highlight w:val="none"/>
          <w:u w:val="single"/>
        </w:rPr>
        <w:tab/>
      </w:r>
      <w:r>
        <w:rPr>
          <w:rFonts w:hint="eastAsia" w:ascii="宋体" w:hAnsi="宋体" w:eastAsia="宋体" w:cs="宋体"/>
          <w:color w:val="auto"/>
          <w:spacing w:val="0"/>
          <w:position w:val="-4"/>
          <w:sz w:val="24"/>
          <w:szCs w:val="24"/>
          <w:highlight w:val="none"/>
        </w:rPr>
        <w:t>（盖单位</w:t>
      </w:r>
      <w:r>
        <w:rPr>
          <w:rFonts w:hint="eastAsia" w:ascii="宋体" w:hAnsi="宋体" w:eastAsia="宋体" w:cs="宋体"/>
          <w:color w:val="auto"/>
          <w:spacing w:val="0"/>
          <w:position w:val="-4"/>
          <w:sz w:val="24"/>
          <w:szCs w:val="24"/>
          <w:highlight w:val="none"/>
          <w:lang w:eastAsia="zh-CN"/>
        </w:rPr>
        <w:t>公</w:t>
      </w:r>
      <w:r>
        <w:rPr>
          <w:rFonts w:hint="eastAsia" w:ascii="宋体" w:hAnsi="宋体" w:eastAsia="宋体" w:cs="宋体"/>
          <w:color w:val="auto"/>
          <w:spacing w:val="0"/>
          <w:position w:val="-4"/>
          <w:sz w:val="24"/>
          <w:szCs w:val="24"/>
          <w:highlight w:val="none"/>
        </w:rPr>
        <w:t>章）</w:t>
      </w:r>
    </w:p>
    <w:p>
      <w:pPr>
        <w:keepNext w:val="0"/>
        <w:keepLines w:val="0"/>
        <w:pageBreakBefore w:val="0"/>
        <w:widowControl w:val="0"/>
        <w:tabs>
          <w:tab w:val="left" w:pos="6400"/>
        </w:tabs>
        <w:kinsoku/>
        <w:wordWrap/>
        <w:overflowPunct/>
        <w:topLinePunct w:val="0"/>
        <w:autoSpaceDE/>
        <w:autoSpaceDN/>
        <w:bidi w:val="0"/>
        <w:adjustRightInd/>
        <w:snapToGrid/>
        <w:spacing w:line="360" w:lineRule="auto"/>
        <w:ind w:right="-2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2"/>
          <w:sz w:val="24"/>
          <w:szCs w:val="24"/>
          <w:highlight w:val="none"/>
        </w:rPr>
        <w:t>法定代表人：</w:t>
      </w:r>
      <w:r>
        <w:rPr>
          <w:rFonts w:hint="eastAsia" w:ascii="宋体" w:hAnsi="宋体" w:eastAsia="宋体" w:cs="宋体"/>
          <w:color w:val="auto"/>
          <w:spacing w:val="0"/>
          <w:position w:val="-2"/>
          <w:sz w:val="24"/>
          <w:szCs w:val="24"/>
          <w:highlight w:val="none"/>
          <w:u w:val="single"/>
          <w:lang w:val="en-US" w:eastAsia="zh-CN"/>
        </w:rPr>
        <w:t xml:space="preserve">                      </w:t>
      </w:r>
      <w:r>
        <w:rPr>
          <w:rFonts w:hint="eastAsia" w:ascii="宋体" w:hAnsi="宋体" w:eastAsia="宋体" w:cs="宋体"/>
          <w:color w:val="auto"/>
          <w:spacing w:val="0"/>
          <w:position w:val="-2"/>
          <w:sz w:val="24"/>
          <w:szCs w:val="24"/>
          <w:highlight w:val="none"/>
        </w:rPr>
        <w:t>（签字或盖章或签章）</w:t>
      </w:r>
    </w:p>
    <w:p>
      <w:pPr>
        <w:keepNext w:val="0"/>
        <w:keepLines w:val="0"/>
        <w:pageBreakBefore w:val="0"/>
        <w:widowControl w:val="0"/>
        <w:tabs>
          <w:tab w:val="left" w:pos="8500"/>
        </w:tabs>
        <w:kinsoku/>
        <w:wordWrap/>
        <w:overflowPunct/>
        <w:topLinePunct w:val="0"/>
        <w:autoSpaceDE/>
        <w:autoSpaceDN/>
        <w:bidi w:val="0"/>
        <w:adjustRightInd/>
        <w:snapToGrid/>
        <w:spacing w:line="360" w:lineRule="auto"/>
        <w:ind w:right="-2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2"/>
          <w:sz w:val="24"/>
          <w:szCs w:val="24"/>
          <w:highlight w:val="none"/>
        </w:rPr>
        <w:t>身份证号码：</w:t>
      </w:r>
      <w:r>
        <w:rPr>
          <w:rFonts w:hint="eastAsia" w:ascii="宋体" w:hAnsi="宋体" w:eastAsia="宋体" w:cs="宋体"/>
          <w:color w:val="auto"/>
          <w:spacing w:val="0"/>
          <w:position w:val="-2"/>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2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2"/>
          <w:sz w:val="24"/>
          <w:szCs w:val="24"/>
          <w:highlight w:val="none"/>
        </w:rPr>
        <w:t>委托代理人：</w:t>
      </w:r>
      <w:r>
        <w:rPr>
          <w:rFonts w:hint="eastAsia" w:ascii="宋体" w:hAnsi="宋体" w:eastAsia="宋体" w:cs="宋体"/>
          <w:color w:val="auto"/>
          <w:spacing w:val="0"/>
          <w:position w:val="-2"/>
          <w:sz w:val="24"/>
          <w:szCs w:val="24"/>
          <w:highlight w:val="none"/>
          <w:u w:val="single"/>
          <w:lang w:val="en-US" w:eastAsia="zh-CN"/>
        </w:rPr>
        <w:t xml:space="preserve">                      </w:t>
      </w:r>
      <w:r>
        <w:rPr>
          <w:rFonts w:hint="eastAsia" w:ascii="宋体" w:hAnsi="宋体" w:eastAsia="宋体" w:cs="宋体"/>
          <w:color w:val="auto"/>
          <w:spacing w:val="0"/>
          <w:position w:val="-2"/>
          <w:sz w:val="24"/>
          <w:szCs w:val="24"/>
          <w:highlight w:val="none"/>
        </w:rPr>
        <w:t>（签字或盖章或签章）</w:t>
      </w:r>
    </w:p>
    <w:p>
      <w:pPr>
        <w:keepNext w:val="0"/>
        <w:keepLines w:val="0"/>
        <w:pageBreakBefore w:val="0"/>
        <w:widowControl w:val="0"/>
        <w:tabs>
          <w:tab w:val="left" w:pos="8500"/>
        </w:tabs>
        <w:kinsoku/>
        <w:wordWrap/>
        <w:overflowPunct/>
        <w:topLinePunct w:val="0"/>
        <w:autoSpaceDE/>
        <w:autoSpaceDN/>
        <w:bidi w:val="0"/>
        <w:adjustRightInd/>
        <w:snapToGrid/>
        <w:spacing w:line="360" w:lineRule="auto"/>
        <w:ind w:right="-20"/>
        <w:jc w:val="both"/>
        <w:textAlignment w:val="baseline"/>
        <w:rPr>
          <w:rFonts w:hint="eastAsia" w:ascii="宋体" w:hAnsi="宋体" w:eastAsia="宋体" w:cs="宋体"/>
          <w:color w:val="auto"/>
          <w:spacing w:val="0"/>
          <w:sz w:val="24"/>
          <w:szCs w:val="24"/>
          <w:highlight w:val="none"/>
          <w:lang w:val="en-US"/>
        </w:rPr>
      </w:pPr>
      <w:r>
        <w:rPr>
          <w:rFonts w:hint="eastAsia" w:ascii="宋体" w:hAnsi="宋体" w:eastAsia="宋体" w:cs="宋体"/>
          <w:color w:val="auto"/>
          <w:spacing w:val="0"/>
          <w:position w:val="-2"/>
          <w:sz w:val="24"/>
          <w:szCs w:val="24"/>
          <w:highlight w:val="none"/>
        </w:rPr>
        <w:t>身份证号码：</w:t>
      </w:r>
      <w:r>
        <w:rPr>
          <w:rFonts w:hint="eastAsia" w:ascii="宋体" w:hAnsi="宋体" w:eastAsia="宋体" w:cs="宋体"/>
          <w:color w:val="auto"/>
          <w:spacing w:val="0"/>
          <w:position w:val="-2"/>
          <w:sz w:val="24"/>
          <w:szCs w:val="24"/>
          <w:highlight w:val="none"/>
          <w:u w:val="single"/>
          <w:lang w:val="en-US" w:eastAsia="zh-CN"/>
        </w:rPr>
        <w:t xml:space="preserve">                            </w:t>
      </w:r>
    </w:p>
    <w:p>
      <w:pPr>
        <w:pStyle w:val="17"/>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2"/>
          <w:sz w:val="24"/>
          <w:szCs w:val="24"/>
          <w:highlight w:val="none"/>
          <w:u w:val="single"/>
          <w:lang w:val="en-US" w:eastAsia="zh-CN"/>
        </w:rPr>
        <w:t xml:space="preserve">        </w:t>
      </w:r>
      <w:r>
        <w:rPr>
          <w:rFonts w:hint="eastAsia" w:ascii="宋体" w:hAnsi="宋体" w:eastAsia="宋体" w:cs="宋体"/>
          <w:color w:val="auto"/>
          <w:spacing w:val="0"/>
          <w:position w:val="-1"/>
          <w:sz w:val="24"/>
          <w:szCs w:val="24"/>
          <w:highlight w:val="none"/>
        </w:rPr>
        <w:t>年</w:t>
      </w:r>
      <w:r>
        <w:rPr>
          <w:rFonts w:hint="eastAsia" w:ascii="宋体" w:hAnsi="宋体" w:eastAsia="宋体" w:cs="宋体"/>
          <w:color w:val="auto"/>
          <w:spacing w:val="0"/>
          <w:position w:val="-1"/>
          <w:sz w:val="24"/>
          <w:szCs w:val="24"/>
          <w:highlight w:val="none"/>
          <w:u w:val="single"/>
        </w:rPr>
        <w:t xml:space="preserve">  </w:t>
      </w:r>
      <w:r>
        <w:rPr>
          <w:rFonts w:hint="eastAsia" w:ascii="宋体" w:hAnsi="宋体" w:eastAsia="宋体" w:cs="宋体"/>
          <w:color w:val="auto"/>
          <w:spacing w:val="0"/>
          <w:position w:val="-1"/>
          <w:sz w:val="24"/>
          <w:szCs w:val="24"/>
          <w:highlight w:val="none"/>
          <w:u w:val="single"/>
          <w:lang w:val="en-US" w:eastAsia="zh-CN"/>
        </w:rPr>
        <w:t xml:space="preserve">  </w:t>
      </w:r>
      <w:r>
        <w:rPr>
          <w:rFonts w:hint="eastAsia" w:ascii="宋体" w:hAnsi="宋体" w:eastAsia="宋体" w:cs="宋体"/>
          <w:color w:val="auto"/>
          <w:spacing w:val="0"/>
          <w:position w:val="-1"/>
          <w:sz w:val="24"/>
          <w:szCs w:val="24"/>
          <w:highlight w:val="none"/>
        </w:rPr>
        <w:t>月</w:t>
      </w:r>
      <w:r>
        <w:rPr>
          <w:rFonts w:hint="eastAsia" w:ascii="宋体" w:hAnsi="宋体" w:eastAsia="宋体" w:cs="宋体"/>
          <w:color w:val="auto"/>
          <w:spacing w:val="0"/>
          <w:position w:val="-1"/>
          <w:sz w:val="24"/>
          <w:szCs w:val="24"/>
          <w:highlight w:val="none"/>
          <w:u w:val="single"/>
        </w:rPr>
        <w:t xml:space="preserve"> </w:t>
      </w:r>
      <w:r>
        <w:rPr>
          <w:rFonts w:hint="eastAsia" w:ascii="宋体" w:hAnsi="宋体" w:eastAsia="宋体" w:cs="宋体"/>
          <w:color w:val="auto"/>
          <w:spacing w:val="0"/>
          <w:position w:val="-1"/>
          <w:sz w:val="24"/>
          <w:szCs w:val="24"/>
          <w:highlight w:val="none"/>
          <w:u w:val="single"/>
          <w:lang w:val="en-US" w:eastAsia="zh-CN"/>
        </w:rPr>
        <w:t xml:space="preserve"> </w:t>
      </w:r>
      <w:r>
        <w:rPr>
          <w:rFonts w:hint="eastAsia" w:ascii="宋体" w:hAnsi="宋体" w:eastAsia="宋体" w:cs="宋体"/>
          <w:color w:val="auto"/>
          <w:spacing w:val="0"/>
          <w:position w:val="-1"/>
          <w:sz w:val="24"/>
          <w:szCs w:val="24"/>
          <w:highlight w:val="none"/>
          <w:u w:val="single"/>
        </w:rPr>
        <w:t xml:space="preserve"> </w:t>
      </w:r>
      <w:r>
        <w:rPr>
          <w:rFonts w:hint="eastAsia" w:ascii="宋体" w:hAnsi="宋体" w:eastAsia="宋体" w:cs="宋体"/>
          <w:color w:val="auto"/>
          <w:spacing w:val="0"/>
          <w:position w:val="-1"/>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baseline"/>
        <w:rPr>
          <w:rFonts w:hint="eastAsia" w:ascii="宋体" w:hAnsi="宋体" w:eastAsia="宋体" w:cs="宋体"/>
          <w:color w:val="auto"/>
          <w:spacing w:val="0"/>
          <w:sz w:val="24"/>
          <w:szCs w:val="24"/>
          <w:highlight w:val="none"/>
          <w:lang w:val="zh-CN"/>
        </w:rPr>
      </w:pPr>
      <w:bookmarkStart w:id="468" w:name="_Toc1871"/>
      <w:bookmarkStart w:id="469" w:name="_Toc25721"/>
      <w:bookmarkStart w:id="470" w:name="_Toc3349"/>
      <w:bookmarkStart w:id="471" w:name="_Toc13068"/>
      <w:bookmarkStart w:id="472" w:name="_Toc29313"/>
      <w:bookmarkStart w:id="473" w:name="_Toc6518"/>
    </w:p>
    <w:p>
      <w:pPr>
        <w:pStyle w:val="2"/>
        <w:ind w:left="0" w:leftChars="0" w:firstLine="0" w:firstLineChars="0"/>
        <w:rPr>
          <w:rFonts w:hint="eastAsia" w:ascii="宋体" w:hAnsi="宋体" w:eastAsia="宋体" w:cs="宋体"/>
          <w:color w:val="auto"/>
          <w:spacing w:val="0"/>
          <w:sz w:val="24"/>
          <w:szCs w:val="24"/>
          <w:highlight w:val="none"/>
          <w:lang w:val="zh-CN"/>
        </w:rPr>
      </w:pPr>
    </w:p>
    <w:p>
      <w:pPr>
        <w:pStyle w:val="2"/>
        <w:ind w:left="0" w:leftChars="0" w:firstLine="0" w:firstLineChars="0"/>
        <w:rPr>
          <w:rFonts w:hint="eastAsia" w:ascii="宋体" w:hAnsi="宋体" w:eastAsia="宋体" w:cs="宋体"/>
          <w:color w:val="auto"/>
          <w:spacing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textAlignment w:val="baseline"/>
        <w:rPr>
          <w:rFonts w:hint="eastAsia" w:ascii="宋体" w:hAnsi="宋体" w:eastAsia="宋体" w:cs="宋体"/>
          <w:color w:val="auto"/>
          <w:spacing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textAlignment w:val="baseline"/>
        <w:rPr>
          <w:rFonts w:hint="eastAsia" w:ascii="宋体" w:hAnsi="宋体" w:eastAsia="宋体" w:cs="宋体"/>
          <w:b/>
          <w:bCs/>
          <w:color w:val="auto"/>
          <w:spacing w:val="0"/>
          <w:sz w:val="24"/>
          <w:szCs w:val="24"/>
          <w:highlight w:val="none"/>
          <w:lang w:val="zh-CN"/>
        </w:rPr>
      </w:pPr>
      <w:r>
        <w:rPr>
          <w:rFonts w:hint="eastAsia" w:ascii="宋体" w:hAnsi="宋体" w:eastAsia="宋体" w:cs="宋体"/>
          <w:b/>
          <w:bCs/>
          <w:color w:val="auto"/>
          <w:spacing w:val="0"/>
          <w:sz w:val="24"/>
          <w:szCs w:val="24"/>
          <w:highlight w:val="none"/>
          <w:lang w:val="zh-CN"/>
        </w:rPr>
        <w:t>备注：也可以采用工商行政管理局统一印制的格式。</w:t>
      </w:r>
    </w:p>
    <w:p>
      <w:pPr>
        <w:keepNext w:val="0"/>
        <w:keepLines w:val="0"/>
        <w:pageBreakBefore w:val="0"/>
        <w:widowControl w:val="0"/>
        <w:kinsoku/>
        <w:wordWrap/>
        <w:overflowPunct/>
        <w:topLinePunct w:val="0"/>
        <w:autoSpaceDE/>
        <w:autoSpaceDN/>
        <w:bidi w:val="0"/>
        <w:adjustRightInd/>
        <w:snapToGrid/>
        <w:textAlignment w:val="baseline"/>
        <w:rPr>
          <w:rFonts w:hint="eastAsia" w:ascii="宋体" w:hAnsi="宋体" w:eastAsia="宋体" w:cs="宋体"/>
          <w:color w:val="auto"/>
          <w:spacing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textAlignment w:val="baseline"/>
        <w:rPr>
          <w:rFonts w:hint="eastAsia" w:ascii="宋体" w:hAnsi="宋体" w:eastAsia="宋体" w:cs="宋体"/>
          <w:b/>
          <w:bCs/>
          <w:color w:val="auto"/>
          <w:spacing w:val="0"/>
          <w:sz w:val="24"/>
          <w:szCs w:val="24"/>
          <w:highlight w:val="none"/>
          <w:lang w:val="zh-CN"/>
        </w:rPr>
      </w:pPr>
      <w:r>
        <w:rPr>
          <w:rFonts w:hint="eastAsia" w:ascii="宋体" w:hAnsi="宋体" w:eastAsia="宋体" w:cs="宋体"/>
          <w:b/>
          <w:bCs/>
          <w:color w:val="auto"/>
          <w:spacing w:val="0"/>
          <w:sz w:val="24"/>
          <w:szCs w:val="24"/>
          <w:highlight w:val="none"/>
          <w:lang w:val="zh-CN"/>
        </w:rPr>
        <w:t>本授权书适用于有委托代理人的情况，如法定代表人亲自办理，则不适用。</w:t>
      </w:r>
    </w:p>
    <w:p>
      <w:pPr>
        <w:keepNext w:val="0"/>
        <w:keepLines w:val="0"/>
        <w:pageBreakBefore w:val="0"/>
        <w:widowControl w:val="0"/>
        <w:kinsoku/>
        <w:wordWrap/>
        <w:overflowPunct/>
        <w:topLinePunct w:val="0"/>
        <w:autoSpaceDE/>
        <w:autoSpaceDN/>
        <w:bidi w:val="0"/>
        <w:adjustRightInd/>
        <w:snapToGrid/>
        <w:textAlignment w:val="baseline"/>
        <w:rPr>
          <w:rFonts w:hint="eastAsia" w:ascii="Times New Roman" w:hAnsi="Times New Roman" w:eastAsia="宋体" w:cs="Times New Roman"/>
          <w:color w:val="auto"/>
          <w:spacing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textAlignment w:val="baseline"/>
        <w:outlineLvl w:val="9"/>
        <w:rPr>
          <w:rFonts w:hint="eastAsia" w:ascii="Times New Roman" w:hAnsi="Times New Roman" w:eastAsia="宋体" w:cs="Times New Roman"/>
          <w:color w:val="auto"/>
          <w:spacing w:val="0"/>
          <w:sz w:val="24"/>
          <w:szCs w:val="24"/>
          <w:highlight w:val="none"/>
          <w:lang w:val="zh-CN"/>
        </w:rPr>
      </w:pPr>
      <w:r>
        <w:rPr>
          <w:rFonts w:hint="eastAsia" w:ascii="Times New Roman" w:hAnsi="Times New Roman" w:eastAsia="宋体" w:cs="Times New Roman"/>
          <w:color w:val="auto"/>
          <w:spacing w:val="0"/>
          <w:sz w:val="24"/>
          <w:szCs w:val="24"/>
          <w:highlight w:val="none"/>
          <w:lang w:val="zh-CN"/>
        </w:rPr>
        <w:br w:type="page"/>
      </w:r>
    </w:p>
    <w:p>
      <w:pPr>
        <w:pStyle w:val="2"/>
        <w:keepNext w:val="0"/>
        <w:keepLines w:val="0"/>
        <w:pageBreakBefore w:val="0"/>
        <w:kinsoku/>
        <w:overflowPunct/>
        <w:autoSpaceDE/>
        <w:autoSpaceDN/>
        <w:bidi w:val="0"/>
        <w:adjustRightInd/>
        <w:snapToGrid/>
        <w:ind w:left="0" w:leftChars="0" w:firstLine="0" w:firstLineChars="0"/>
        <w:textAlignment w:val="baseline"/>
        <w:outlineLvl w:val="9"/>
        <w:rPr>
          <w:rFonts w:hint="eastAsia"/>
          <w:color w:val="auto"/>
          <w:lang w:val="zh-CN"/>
        </w:rPr>
      </w:pPr>
    </w:p>
    <w:p>
      <w:pPr>
        <w:pStyle w:val="100"/>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baseline"/>
        <w:outlineLvl w:val="9"/>
        <w:rPr>
          <w:rStyle w:val="63"/>
          <w:rFonts w:hint="eastAsia" w:ascii="宋体" w:hAnsi="宋体" w:eastAsia="宋体" w:cs="Times New Roman"/>
          <w:color w:val="auto"/>
          <w:spacing w:val="0"/>
          <w:sz w:val="32"/>
          <w:szCs w:val="20"/>
          <w:highlight w:val="none"/>
        </w:rPr>
      </w:pPr>
      <w:bookmarkStart w:id="474" w:name="_Toc17076"/>
      <w:bookmarkStart w:id="475" w:name="_Toc24213"/>
      <w:r>
        <w:rPr>
          <w:rStyle w:val="63"/>
          <w:rFonts w:hint="eastAsia" w:ascii="宋体" w:hAnsi="宋体" w:eastAsia="宋体" w:cs="Times New Roman"/>
          <w:color w:val="auto"/>
          <w:spacing w:val="0"/>
          <w:sz w:val="32"/>
          <w:szCs w:val="20"/>
          <w:highlight w:val="none"/>
          <w:lang w:val="en-US" w:eastAsia="zh-CN"/>
        </w:rPr>
        <w:t>三</w:t>
      </w:r>
      <w:r>
        <w:rPr>
          <w:rStyle w:val="63"/>
          <w:rFonts w:hint="eastAsia" w:ascii="宋体" w:hAnsi="宋体" w:eastAsia="宋体" w:cs="Times New Roman"/>
          <w:color w:val="auto"/>
          <w:spacing w:val="0"/>
          <w:sz w:val="32"/>
          <w:szCs w:val="20"/>
          <w:highlight w:val="none"/>
        </w:rPr>
        <w:t>、</w:t>
      </w:r>
      <w:bookmarkEnd w:id="468"/>
      <w:bookmarkEnd w:id="469"/>
      <w:bookmarkEnd w:id="470"/>
      <w:bookmarkEnd w:id="471"/>
      <w:r>
        <w:rPr>
          <w:rStyle w:val="63"/>
          <w:rFonts w:hint="eastAsia" w:ascii="宋体" w:hAnsi="宋体" w:eastAsia="宋体" w:cs="Times New Roman"/>
          <w:color w:val="auto"/>
          <w:spacing w:val="0"/>
          <w:sz w:val="32"/>
          <w:szCs w:val="20"/>
          <w:highlight w:val="none"/>
        </w:rPr>
        <w:t>投标报价汇总表</w:t>
      </w:r>
      <w:bookmarkEnd w:id="472"/>
      <w:bookmarkEnd w:id="473"/>
      <w:bookmarkEnd w:id="474"/>
      <w:bookmarkEnd w:id="475"/>
    </w:p>
    <w:p>
      <w:pPr>
        <w:pStyle w:val="17"/>
        <w:keepNext w:val="0"/>
        <w:keepLines w:val="0"/>
        <w:pageBreakBefore w:val="0"/>
        <w:widowControl w:val="0"/>
        <w:kinsoku/>
        <w:overflowPunct/>
        <w:autoSpaceDE/>
        <w:autoSpaceDN/>
        <w:bidi w:val="0"/>
        <w:adjustRightInd/>
        <w:snapToGrid/>
        <w:textAlignment w:val="baseline"/>
        <w:outlineLvl w:val="9"/>
        <w:rPr>
          <w:rStyle w:val="63"/>
          <w:rFonts w:hint="eastAsia" w:hAnsi="宋体"/>
          <w:color w:val="auto"/>
          <w:spacing w:val="0"/>
          <w:kern w:val="0"/>
          <w:sz w:val="24"/>
          <w:szCs w:val="24"/>
          <w:highlight w:val="none"/>
        </w:rPr>
      </w:pPr>
    </w:p>
    <w:p>
      <w:pPr>
        <w:pStyle w:val="17"/>
        <w:keepNext w:val="0"/>
        <w:keepLines w:val="0"/>
        <w:pageBreakBefore w:val="0"/>
        <w:widowControl w:val="0"/>
        <w:kinsoku/>
        <w:overflowPunct/>
        <w:autoSpaceDE/>
        <w:autoSpaceDN/>
        <w:bidi w:val="0"/>
        <w:adjustRightInd/>
        <w:snapToGrid/>
        <w:textAlignment w:val="baseline"/>
        <w:outlineLvl w:val="9"/>
        <w:rPr>
          <w:rStyle w:val="63"/>
          <w:rFonts w:hint="eastAsia" w:hAnsi="宋体"/>
          <w:color w:val="auto"/>
          <w:spacing w:val="0"/>
          <w:kern w:val="0"/>
          <w:sz w:val="24"/>
          <w:szCs w:val="24"/>
          <w:highlight w:val="none"/>
        </w:rPr>
      </w:pPr>
    </w:p>
    <w:p>
      <w:pPr>
        <w:keepNext w:val="0"/>
        <w:keepLines w:val="0"/>
        <w:pageBreakBefore w:val="0"/>
        <w:widowControl w:val="0"/>
        <w:kinsoku/>
        <w:wordWrap w:val="0"/>
        <w:overflowPunct/>
        <w:topLinePunct/>
        <w:autoSpaceDE/>
        <w:autoSpaceDN/>
        <w:bidi w:val="0"/>
        <w:adjustRightInd/>
        <w:snapToGrid/>
        <w:ind w:left="178" w:leftChars="85"/>
        <w:jc w:val="center"/>
        <w:textAlignment w:val="baseline"/>
        <w:outlineLvl w:val="9"/>
        <w:rPr>
          <w:rFonts w:hint="eastAsia" w:ascii="宋体" w:hAnsi="宋体"/>
          <w:b/>
          <w:bCs/>
          <w:color w:val="auto"/>
          <w:spacing w:val="0"/>
          <w:sz w:val="24"/>
          <w:highlight w:val="none"/>
        </w:rPr>
      </w:pPr>
      <w:r>
        <w:rPr>
          <w:rFonts w:hint="eastAsia" w:ascii="宋体" w:hAnsi="宋体"/>
          <w:b/>
          <w:color w:val="auto"/>
          <w:spacing w:val="0"/>
          <w:sz w:val="32"/>
          <w:highlight w:val="none"/>
        </w:rPr>
        <w:t>投标报价汇总表</w:t>
      </w:r>
    </w:p>
    <w:tbl>
      <w:tblPr>
        <w:tblStyle w:val="36"/>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604"/>
        <w:gridCol w:w="2550"/>
        <w:gridCol w:w="1753"/>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59" w:type="dxa"/>
            <w:noWrap w:val="0"/>
            <w:vAlign w:val="center"/>
          </w:tcPr>
          <w:p>
            <w:pPr>
              <w:keepNext w:val="0"/>
              <w:keepLines w:val="0"/>
              <w:pageBreakBefore w:val="0"/>
              <w:widowControl w:val="0"/>
              <w:suppressLineNumbers w:val="0"/>
              <w:kinsoku/>
              <w:overflowPunct/>
              <w:bidi w:val="0"/>
              <w:spacing w:before="0" w:beforeAutospacing="0" w:after="0" w:afterAutospacing="0" w:line="240" w:lineRule="auto"/>
              <w:ind w:left="0" w:right="0" w:firstLine="0" w:firstLineChars="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2604" w:type="dxa"/>
            <w:noWrap w:val="0"/>
            <w:vAlign w:val="center"/>
          </w:tcPr>
          <w:p>
            <w:pPr>
              <w:keepNext w:val="0"/>
              <w:keepLines w:val="0"/>
              <w:pageBreakBefore w:val="0"/>
              <w:widowControl w:val="0"/>
              <w:suppressLineNumbers w:val="0"/>
              <w:kinsoku/>
              <w:overflowPunct/>
              <w:bidi w:val="0"/>
              <w:spacing w:before="0" w:beforeAutospacing="0" w:after="0" w:afterAutospacing="0" w:line="240" w:lineRule="auto"/>
              <w:ind w:left="0" w:right="0"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p>
        </w:tc>
        <w:tc>
          <w:tcPr>
            <w:tcW w:w="2550" w:type="dxa"/>
            <w:noWrap w:val="0"/>
            <w:vAlign w:val="center"/>
          </w:tcPr>
          <w:p>
            <w:pPr>
              <w:keepNext w:val="0"/>
              <w:keepLines w:val="0"/>
              <w:pageBreakBefore w:val="0"/>
              <w:widowControl w:val="0"/>
              <w:suppressLineNumbers w:val="0"/>
              <w:kinsoku/>
              <w:overflowPunct/>
              <w:bidi w:val="0"/>
              <w:spacing w:before="0" w:beforeAutospacing="0" w:after="0" w:afterAutospacing="0" w:line="240" w:lineRule="auto"/>
              <w:ind w:left="0" w:right="0"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投标</w:t>
            </w:r>
            <w:r>
              <w:rPr>
                <w:rFonts w:hint="eastAsia" w:ascii="宋体" w:hAnsi="宋体" w:eastAsia="宋体" w:cs="宋体"/>
                <w:b/>
                <w:color w:val="auto"/>
                <w:sz w:val="24"/>
                <w:szCs w:val="24"/>
                <w:lang w:eastAsia="zh-CN"/>
              </w:rPr>
              <w:t>总</w:t>
            </w:r>
            <w:r>
              <w:rPr>
                <w:rFonts w:hint="eastAsia" w:ascii="宋体" w:hAnsi="宋体" w:eastAsia="宋体" w:cs="宋体"/>
                <w:b/>
                <w:color w:val="auto"/>
                <w:sz w:val="24"/>
                <w:szCs w:val="24"/>
              </w:rPr>
              <w:t>报价</w:t>
            </w:r>
          </w:p>
          <w:p>
            <w:pPr>
              <w:keepNext w:val="0"/>
              <w:keepLines w:val="0"/>
              <w:pageBreakBefore w:val="0"/>
              <w:widowControl w:val="0"/>
              <w:suppressLineNumbers w:val="0"/>
              <w:kinsoku/>
              <w:overflowPunct/>
              <w:bidi w:val="0"/>
              <w:spacing w:before="0" w:beforeAutospacing="0" w:after="0" w:afterAutospacing="0" w:line="240" w:lineRule="auto"/>
              <w:ind w:left="0" w:right="0"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（含税）（元）</w:t>
            </w:r>
          </w:p>
        </w:tc>
        <w:tc>
          <w:tcPr>
            <w:tcW w:w="1753" w:type="dxa"/>
            <w:noWrap w:val="0"/>
            <w:vAlign w:val="center"/>
          </w:tcPr>
          <w:p>
            <w:pPr>
              <w:keepNext w:val="0"/>
              <w:keepLines w:val="0"/>
              <w:pageBreakBefore w:val="0"/>
              <w:widowControl w:val="0"/>
              <w:suppressLineNumbers w:val="0"/>
              <w:kinsoku/>
              <w:overflowPunct/>
              <w:bidi w:val="0"/>
              <w:spacing w:before="0" w:beforeAutospacing="0" w:after="0" w:afterAutospacing="0" w:line="240" w:lineRule="auto"/>
              <w:ind w:left="0" w:right="0"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下浮率（%）</w:t>
            </w:r>
          </w:p>
        </w:tc>
        <w:tc>
          <w:tcPr>
            <w:tcW w:w="1424" w:type="dxa"/>
            <w:noWrap w:val="0"/>
            <w:vAlign w:val="center"/>
          </w:tcPr>
          <w:p>
            <w:pPr>
              <w:keepNext w:val="0"/>
              <w:keepLines w:val="0"/>
              <w:pageBreakBefore w:val="0"/>
              <w:widowControl w:val="0"/>
              <w:suppressLineNumbers w:val="0"/>
              <w:kinsoku/>
              <w:overflowPunct/>
              <w:bidi w:val="0"/>
              <w:spacing w:before="0" w:beforeAutospacing="0" w:after="0" w:afterAutospacing="0" w:line="240" w:lineRule="auto"/>
              <w:ind w:left="0" w:right="0"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59" w:type="dxa"/>
            <w:noWrap w:val="0"/>
            <w:vAlign w:val="center"/>
          </w:tcPr>
          <w:p>
            <w:pPr>
              <w:keepNext w:val="0"/>
              <w:keepLines w:val="0"/>
              <w:pageBreakBefore w:val="0"/>
              <w:widowControl/>
              <w:suppressLineNumbers w:val="0"/>
              <w:kinsoku/>
              <w:overflowPunct/>
              <w:bidi w:val="0"/>
              <w:spacing w:before="0" w:beforeAutospacing="0" w:after="0" w:afterAutospacing="0"/>
              <w:ind w:left="0" w:right="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604" w:type="dxa"/>
            <w:noWrap w:val="0"/>
            <w:vAlign w:val="center"/>
          </w:tcPr>
          <w:p>
            <w:pPr>
              <w:keepNext w:val="0"/>
              <w:keepLines w:val="0"/>
              <w:pageBreakBefore w:val="0"/>
              <w:widowControl/>
              <w:suppressLineNumbers w:val="0"/>
              <w:kinsoku/>
              <w:overflowPunct/>
              <w:bidi w:val="0"/>
              <w:spacing w:before="0" w:beforeAutospacing="0" w:after="0" w:afterAutospacing="0"/>
              <w:ind w:left="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沧联社区榕村片城中村改造项目复建安置01、02地块工程施工图技术审</w:t>
            </w:r>
          </w:p>
        </w:tc>
        <w:tc>
          <w:tcPr>
            <w:tcW w:w="2550" w:type="dxa"/>
            <w:noWrap w:val="0"/>
            <w:vAlign w:val="center"/>
          </w:tcPr>
          <w:p>
            <w:pPr>
              <w:keepNext w:val="0"/>
              <w:keepLines w:val="0"/>
              <w:pageBreakBefore w:val="0"/>
              <w:widowControl/>
              <w:suppressLineNumbers w:val="0"/>
              <w:kinsoku/>
              <w:overflowPunct/>
              <w:bidi w:val="0"/>
              <w:spacing w:before="0" w:beforeAutospacing="0" w:after="0" w:afterAutospacing="0"/>
              <w:ind w:left="0" w:right="0" w:firstLine="0" w:firstLineChars="0"/>
              <w:jc w:val="center"/>
              <w:rPr>
                <w:rFonts w:hint="eastAsia" w:ascii="宋体" w:hAnsi="宋体" w:eastAsia="宋体" w:cs="宋体"/>
                <w:b/>
                <w:color w:val="auto"/>
                <w:sz w:val="24"/>
                <w:szCs w:val="24"/>
              </w:rPr>
            </w:pPr>
          </w:p>
        </w:tc>
        <w:tc>
          <w:tcPr>
            <w:tcW w:w="1753" w:type="dxa"/>
            <w:noWrap w:val="0"/>
            <w:vAlign w:val="center"/>
          </w:tcPr>
          <w:p>
            <w:pPr>
              <w:keepNext w:val="0"/>
              <w:keepLines w:val="0"/>
              <w:pageBreakBefore w:val="0"/>
              <w:widowControl/>
              <w:suppressLineNumbers w:val="0"/>
              <w:kinsoku/>
              <w:overflowPunct/>
              <w:bidi w:val="0"/>
              <w:spacing w:before="0" w:beforeAutospacing="0" w:after="0" w:afterAutospacing="0"/>
              <w:ind w:left="0" w:right="0" w:firstLine="0" w:firstLineChars="0"/>
              <w:jc w:val="center"/>
              <w:rPr>
                <w:rFonts w:hint="eastAsia" w:ascii="宋体" w:hAnsi="宋体" w:eastAsia="宋体" w:cs="宋体"/>
                <w:b/>
                <w:color w:val="auto"/>
                <w:sz w:val="24"/>
                <w:szCs w:val="24"/>
              </w:rPr>
            </w:pPr>
          </w:p>
        </w:tc>
        <w:tc>
          <w:tcPr>
            <w:tcW w:w="1424" w:type="dxa"/>
            <w:noWrap w:val="0"/>
            <w:vAlign w:val="center"/>
          </w:tcPr>
          <w:p>
            <w:pPr>
              <w:keepNext w:val="0"/>
              <w:keepLines w:val="0"/>
              <w:pageBreakBefore w:val="0"/>
              <w:widowControl/>
              <w:suppressLineNumbers w:val="0"/>
              <w:kinsoku/>
              <w:overflowPunct/>
              <w:bidi w:val="0"/>
              <w:spacing w:before="0" w:beforeAutospacing="0" w:after="0" w:afterAutospacing="0"/>
              <w:ind w:left="0" w:right="0" w:firstLine="0" w:firstLineChars="0"/>
              <w:rPr>
                <w:rFonts w:hint="eastAsia" w:ascii="宋体" w:hAnsi="宋体" w:eastAsia="宋体" w:cs="宋体"/>
                <w:b/>
                <w:color w:val="auto"/>
                <w:sz w:val="24"/>
                <w:szCs w:val="24"/>
              </w:rPr>
            </w:pPr>
            <w:r>
              <w:rPr>
                <w:rFonts w:hint="eastAsia" w:ascii="宋体" w:hAnsi="宋体" w:eastAsia="宋体" w:cs="宋体"/>
                <w:color w:val="auto"/>
                <w:sz w:val="24"/>
                <w:szCs w:val="24"/>
              </w:rPr>
              <w:t>以“元”为单位，精确到小数点后2位。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59" w:type="dxa"/>
            <w:noWrap w:val="0"/>
            <w:vAlign w:val="center"/>
          </w:tcPr>
          <w:p>
            <w:pPr>
              <w:keepNext w:val="0"/>
              <w:keepLines w:val="0"/>
              <w:pageBreakBefore w:val="0"/>
              <w:widowControl/>
              <w:suppressLineNumbers w:val="0"/>
              <w:kinsoku/>
              <w:overflowPunct/>
              <w:bidi w:val="0"/>
              <w:spacing w:before="0" w:beforeAutospacing="0" w:after="0" w:afterAutospacing="0"/>
              <w:ind w:left="0" w:right="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331" w:type="dxa"/>
            <w:gridSpan w:val="4"/>
            <w:noWrap w:val="0"/>
            <w:vAlign w:val="center"/>
          </w:tcPr>
          <w:p>
            <w:pPr>
              <w:keepNext w:val="0"/>
              <w:keepLines w:val="0"/>
              <w:pageBreakBefore w:val="0"/>
              <w:widowControl/>
              <w:suppressLineNumbers w:val="0"/>
              <w:kinsoku/>
              <w:overflowPunct/>
              <w:bidi w:val="0"/>
              <w:spacing w:before="0" w:beforeAutospacing="0" w:after="0" w:afterAutospacing="0"/>
              <w:ind w:left="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投标总</w:t>
            </w:r>
            <w:r>
              <w:rPr>
                <w:rFonts w:hint="eastAsia" w:ascii="宋体" w:hAnsi="宋体" w:eastAsia="宋体" w:cs="宋体"/>
                <w:color w:val="auto"/>
                <w:sz w:val="24"/>
                <w:szCs w:val="24"/>
                <w:lang w:eastAsia="zh-CN"/>
              </w:rPr>
              <w:t>报</w:t>
            </w:r>
            <w:r>
              <w:rPr>
                <w:rFonts w:hint="eastAsia" w:ascii="宋体" w:hAnsi="宋体" w:eastAsia="宋体" w:cs="宋体"/>
                <w:color w:val="auto"/>
                <w:sz w:val="24"/>
                <w:szCs w:val="24"/>
              </w:rPr>
              <w:t>价（含税）：大写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，税率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tc>
      </w:tr>
    </w:tbl>
    <w:p>
      <w:pPr>
        <w:keepNext w:val="0"/>
        <w:keepLines w:val="0"/>
        <w:pageBreakBefore w:val="0"/>
        <w:tabs>
          <w:tab w:val="left" w:pos="3828"/>
          <w:tab w:val="left" w:pos="8364"/>
        </w:tabs>
        <w:kinsoku/>
        <w:overflowPunct/>
        <w:bidi w:val="0"/>
        <w:snapToGrid w:val="0"/>
        <w:spacing w:line="240" w:lineRule="auto"/>
        <w:ind w:left="0" w:right="-57" w:hanging="420" w:hangingChars="200"/>
        <w:rPr>
          <w:rFonts w:hint="eastAsia" w:hAnsi="宋体" w:cs="宋体"/>
          <w:bCs/>
          <w:color w:val="auto"/>
          <w:szCs w:val="24"/>
        </w:rPr>
      </w:pPr>
    </w:p>
    <w:p>
      <w:pPr>
        <w:keepNext w:val="0"/>
        <w:keepLines w:val="0"/>
        <w:pageBreakBefore w:val="0"/>
        <w:tabs>
          <w:tab w:val="left" w:pos="3828"/>
          <w:tab w:val="left" w:pos="8364"/>
        </w:tabs>
        <w:kinsoku/>
        <w:wordWrap/>
        <w:overflowPunct/>
        <w:topLinePunct w:val="0"/>
        <w:autoSpaceDE/>
        <w:autoSpaceDN/>
        <w:bidi w:val="0"/>
        <w:adjustRightInd/>
        <w:snapToGrid w:val="0"/>
        <w:spacing w:line="360" w:lineRule="auto"/>
        <w:ind w:left="480" w:right="-57" w:hanging="480" w:hangingChars="200"/>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注：</w:t>
      </w:r>
    </w:p>
    <w:p>
      <w:pPr>
        <w:pStyle w:val="35"/>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1、投标报价总价的最高投标限价为</w:t>
      </w:r>
      <w:r>
        <w:rPr>
          <w:rFonts w:hint="eastAsia" w:ascii="宋体" w:hAnsi="宋体" w:eastAsia="宋体" w:cs="宋体"/>
          <w:color w:val="auto"/>
          <w:sz w:val="24"/>
          <w:szCs w:val="24"/>
          <w:u w:val="single"/>
          <w:lang w:val="en-US" w:eastAsia="zh-CN"/>
        </w:rPr>
        <w:t>941,898.99</w:t>
      </w:r>
      <w:r>
        <w:rPr>
          <w:rFonts w:hint="eastAsia" w:ascii="宋体" w:hAnsi="宋体" w:eastAsia="宋体" w:cs="宋体"/>
          <w:color w:val="auto"/>
          <w:sz w:val="24"/>
          <w:szCs w:val="24"/>
        </w:rPr>
        <w:t>元。投标人须按招标文件要求进行投标报价，否则由评标委员按否决其投标处理。</w:t>
      </w:r>
    </w:p>
    <w:p>
      <w:pPr>
        <w:pStyle w:val="35"/>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投标报价总价与下浮率所算出的价格不一致的，以投标报价总价为准，修正下浮率=1-投标报价总价/最高投标限价（以%为单位，精确到小数点后2位）。评标委员会按上述修正错误的原则及方法修正投标文件的下浮率，调整后的下浮率对投标人起约束作用。如果投标人不接受修正后的下浮率，则取消其中标资格。</w:t>
      </w:r>
    </w:p>
    <w:p>
      <w:pPr>
        <w:pStyle w:val="35"/>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3、投标报价总价及下浮率精确到小数点后二位小数，第三位小数四舍五入。</w:t>
      </w:r>
    </w:p>
    <w:p>
      <w:pPr>
        <w:pStyle w:val="115"/>
        <w:keepNext w:val="0"/>
        <w:keepLines w:val="0"/>
        <w:pageBreakBefore w:val="0"/>
        <w:kinsoku/>
        <w:overflowPunct/>
        <w:bidi w:val="0"/>
        <w:rPr>
          <w:rFonts w:hint="eastAsia" w:ascii="宋体" w:hAnsi="宋体" w:cs="宋体"/>
          <w:color w:val="auto"/>
        </w:rPr>
      </w:pPr>
    </w:p>
    <w:p>
      <w:pPr>
        <w:pStyle w:val="115"/>
        <w:keepNext w:val="0"/>
        <w:keepLines w:val="0"/>
        <w:pageBreakBefore w:val="0"/>
        <w:kinsoku/>
        <w:overflowPunct/>
        <w:bidi w:val="0"/>
        <w:rPr>
          <w:rFonts w:hint="eastAsia" w:ascii="宋体" w:hAnsi="宋体" w:cs="宋体"/>
          <w:color w:val="auto"/>
        </w:rPr>
      </w:pPr>
    </w:p>
    <w:p>
      <w:pPr>
        <w:pStyle w:val="115"/>
        <w:keepNext w:val="0"/>
        <w:keepLines w:val="0"/>
        <w:pageBreakBefore w:val="0"/>
        <w:kinsoku/>
        <w:overflowPunct/>
        <w:bidi w:val="0"/>
        <w:rPr>
          <w:rFonts w:hint="eastAsia" w:ascii="宋体" w:hAnsi="宋体" w:cs="宋体"/>
          <w:color w:val="auto"/>
        </w:rPr>
      </w:pPr>
    </w:p>
    <w:p>
      <w:pPr>
        <w:keepNext w:val="0"/>
        <w:keepLines w:val="0"/>
        <w:pageBreakBefore w:val="0"/>
        <w:widowControl/>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投标人（盖单位公章）：</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法定代表人或其委托代理人（签字或盖章或签章）：</w:t>
      </w:r>
      <w:r>
        <w:rPr>
          <w:rFonts w:hint="eastAsia" w:ascii="宋体" w:hAnsi="宋体" w:eastAsia="宋体" w:cs="宋体"/>
          <w:color w:val="auto"/>
          <w:sz w:val="24"/>
          <w:szCs w:val="24"/>
          <w:u w:val="single"/>
        </w:rPr>
        <w:t xml:space="preserve">                 </w:t>
      </w:r>
    </w:p>
    <w:p>
      <w:pPr>
        <w:pStyle w:val="34"/>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日期：_______年_______月______日</w:t>
      </w:r>
    </w:p>
    <w:p>
      <w:pPr>
        <w:pStyle w:val="17"/>
        <w:keepNext w:val="0"/>
        <w:keepLines w:val="0"/>
        <w:pageBreakBefore w:val="0"/>
        <w:widowControl w:val="0"/>
        <w:kinsoku/>
        <w:overflowPunct/>
        <w:bidi w:val="0"/>
        <w:rPr>
          <w:rStyle w:val="63"/>
          <w:rFonts w:hint="eastAsia" w:hAnsi="宋体" w:eastAsia="宋体" w:cs="Times New Roman"/>
          <w:color w:val="auto"/>
          <w:spacing w:val="0"/>
          <w:kern w:val="0"/>
          <w:sz w:val="24"/>
          <w:szCs w:val="24"/>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Fonts w:hint="eastAsia" w:ascii="Times New Roman" w:hAnsi="Times New Roman" w:eastAsia="宋体" w:cs="Times New Roman"/>
          <w:color w:val="auto"/>
          <w:spacing w:val="0"/>
          <w:sz w:val="24"/>
          <w:szCs w:val="24"/>
          <w:highlight w:val="none"/>
          <w:lang w:val="zh-CN"/>
        </w:rPr>
      </w:pPr>
      <w:bookmarkStart w:id="476" w:name="_Toc1161"/>
      <w:bookmarkStart w:id="477" w:name="_Toc589"/>
      <w:r>
        <w:rPr>
          <w:rFonts w:hint="eastAsia" w:ascii="Times New Roman" w:hAnsi="Times New Roman" w:eastAsia="宋体" w:cs="Times New Roman"/>
          <w:color w:val="auto"/>
          <w:spacing w:val="0"/>
          <w:sz w:val="24"/>
          <w:szCs w:val="24"/>
          <w:highlight w:val="none"/>
          <w:lang w:val="zh-CN"/>
        </w:rPr>
        <w:br w:type="page"/>
      </w:r>
    </w:p>
    <w:p>
      <w:pPr>
        <w:pStyle w:val="2"/>
        <w:keepNext w:val="0"/>
        <w:keepLines w:val="0"/>
        <w:pageBreakBefore w:val="0"/>
        <w:kinsoku/>
        <w:wordWrap/>
        <w:overflowPunct/>
        <w:topLinePunct w:val="0"/>
        <w:autoSpaceDE/>
        <w:autoSpaceDN/>
        <w:bidi w:val="0"/>
        <w:adjustRightInd/>
        <w:ind w:left="0" w:leftChars="0" w:firstLine="0" w:firstLineChars="0"/>
        <w:textAlignment w:val="baseline"/>
        <w:outlineLvl w:val="9"/>
        <w:rPr>
          <w:rFonts w:hint="eastAsia"/>
          <w:color w:val="auto"/>
          <w:lang w:val="zh-CN"/>
        </w:rPr>
      </w:pPr>
    </w:p>
    <w:p>
      <w:pPr>
        <w:pStyle w:val="100"/>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baseline"/>
        <w:outlineLvl w:val="9"/>
        <w:rPr>
          <w:rStyle w:val="63"/>
          <w:rFonts w:hint="eastAsia" w:ascii="宋体" w:hAnsi="宋体" w:eastAsia="宋体" w:cs="Times New Roman"/>
          <w:color w:val="auto"/>
          <w:spacing w:val="0"/>
          <w:sz w:val="32"/>
          <w:szCs w:val="20"/>
          <w:highlight w:val="none"/>
          <w:lang w:val="en-US" w:eastAsia="zh-CN"/>
        </w:rPr>
      </w:pPr>
      <w:bookmarkStart w:id="478" w:name="_Toc9537"/>
      <w:bookmarkStart w:id="479" w:name="_Toc17051"/>
      <w:r>
        <w:rPr>
          <w:rStyle w:val="63"/>
          <w:rFonts w:hint="eastAsia" w:ascii="宋体" w:hAnsi="宋体" w:eastAsia="宋体" w:cs="Times New Roman"/>
          <w:color w:val="auto"/>
          <w:spacing w:val="0"/>
          <w:sz w:val="32"/>
          <w:szCs w:val="20"/>
          <w:highlight w:val="none"/>
          <w:lang w:val="en-US" w:eastAsia="zh-CN"/>
        </w:rPr>
        <w:t>四、资格审查资料</w:t>
      </w:r>
      <w:bookmarkEnd w:id="476"/>
      <w:bookmarkEnd w:id="477"/>
      <w:bookmarkEnd w:id="478"/>
      <w:bookmarkEnd w:id="479"/>
    </w:p>
    <w:p>
      <w:pPr>
        <w:keepNext w:val="0"/>
        <w:keepLines w:val="0"/>
        <w:pageBreakBefore w:val="0"/>
        <w:widowControl w:val="0"/>
        <w:kinsoku/>
        <w:wordWrap/>
        <w:overflowPunct/>
        <w:topLinePunct w:val="0"/>
        <w:autoSpaceDE/>
        <w:autoSpaceDN/>
        <w:bidi w:val="0"/>
        <w:adjustRightInd/>
        <w:textAlignment w:val="baseline"/>
        <w:outlineLvl w:val="9"/>
        <w:rPr>
          <w:rFonts w:hint="eastAsia" w:ascii="宋体" w:hAnsi="宋体" w:cs="宋体"/>
          <w:color w:val="auto"/>
          <w:spacing w:val="0"/>
          <w:sz w:val="30"/>
          <w:szCs w:val="30"/>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5344"/>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53" w:type="dxa"/>
            <w:noWrap w:val="0"/>
            <w:vAlign w:val="center"/>
          </w:tcPr>
          <w:p>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baseline"/>
              <w:outlineLvl w:val="9"/>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序号</w:t>
            </w:r>
          </w:p>
        </w:tc>
        <w:tc>
          <w:tcPr>
            <w:tcW w:w="5344" w:type="dxa"/>
            <w:noWrap w:val="0"/>
            <w:vAlign w:val="center"/>
          </w:tcPr>
          <w:p>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baseline"/>
              <w:outlineLvl w:val="9"/>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审查内容</w:t>
            </w:r>
          </w:p>
        </w:tc>
        <w:tc>
          <w:tcPr>
            <w:tcW w:w="2209" w:type="dxa"/>
            <w:noWrap w:val="0"/>
            <w:vAlign w:val="center"/>
          </w:tcPr>
          <w:p>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baseline"/>
              <w:outlineLvl w:val="9"/>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3" w:type="dxa"/>
            <w:noWrap w:val="0"/>
            <w:vAlign w:val="center"/>
          </w:tcPr>
          <w:p>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p>
        </w:tc>
        <w:tc>
          <w:tcPr>
            <w:tcW w:w="5344" w:type="dxa"/>
            <w:noWrap w:val="0"/>
            <w:vAlign w:val="center"/>
          </w:tcPr>
          <w:p>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营业执照</w:t>
            </w:r>
          </w:p>
        </w:tc>
        <w:tc>
          <w:tcPr>
            <w:tcW w:w="2209" w:type="dxa"/>
            <w:noWrap w:val="0"/>
            <w:vAlign w:val="center"/>
          </w:tcPr>
          <w:p>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baseline"/>
              <w:outlineLvl w:val="9"/>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53" w:type="dxa"/>
            <w:noWrap w:val="0"/>
            <w:vAlign w:val="center"/>
          </w:tcPr>
          <w:p>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p>
        </w:tc>
        <w:tc>
          <w:tcPr>
            <w:tcW w:w="5344" w:type="dxa"/>
            <w:noWrap w:val="0"/>
            <w:vAlign w:val="center"/>
          </w:tcPr>
          <w:p>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资质证书</w:t>
            </w:r>
          </w:p>
        </w:tc>
        <w:tc>
          <w:tcPr>
            <w:tcW w:w="2209" w:type="dxa"/>
            <w:noWrap w:val="0"/>
            <w:vAlign w:val="center"/>
          </w:tcPr>
          <w:p>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baseline"/>
              <w:outlineLvl w:val="9"/>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53" w:type="dxa"/>
            <w:noWrap w:val="0"/>
            <w:vAlign w:val="center"/>
          </w:tcPr>
          <w:p>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w:t>
            </w:r>
          </w:p>
        </w:tc>
        <w:tc>
          <w:tcPr>
            <w:tcW w:w="5344" w:type="dxa"/>
            <w:noWrap w:val="0"/>
            <w:vAlign w:val="center"/>
          </w:tcPr>
          <w:p>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拟派项目负责人资料</w:t>
            </w:r>
          </w:p>
        </w:tc>
        <w:tc>
          <w:tcPr>
            <w:tcW w:w="2209" w:type="dxa"/>
            <w:noWrap w:val="0"/>
            <w:vAlign w:val="center"/>
          </w:tcPr>
          <w:p>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baseline"/>
              <w:outlineLvl w:val="9"/>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53" w:type="dxa"/>
            <w:noWrap w:val="0"/>
            <w:vAlign w:val="center"/>
          </w:tcPr>
          <w:p>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w:t>
            </w:r>
          </w:p>
        </w:tc>
        <w:tc>
          <w:tcPr>
            <w:tcW w:w="5344" w:type="dxa"/>
            <w:noWrap w:val="0"/>
            <w:vAlign w:val="center"/>
          </w:tcPr>
          <w:p>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投标人声明（详见招标公告）</w:t>
            </w:r>
          </w:p>
        </w:tc>
        <w:tc>
          <w:tcPr>
            <w:tcW w:w="2209" w:type="dxa"/>
            <w:noWrap w:val="0"/>
            <w:vAlign w:val="center"/>
          </w:tcPr>
          <w:p>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baseline"/>
              <w:outlineLvl w:val="9"/>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53" w:type="dxa"/>
            <w:noWrap w:val="0"/>
            <w:vAlign w:val="center"/>
          </w:tcPr>
          <w:p>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baseline"/>
              <w:outlineLvl w:val="9"/>
              <w:rPr>
                <w:rFonts w:hint="eastAsia" w:ascii="宋体" w:hAnsi="宋体" w:eastAsia="宋体" w:cs="宋体"/>
                <w:color w:val="auto"/>
                <w:spacing w:val="0"/>
                <w:sz w:val="24"/>
                <w:szCs w:val="24"/>
                <w:highlight w:val="none"/>
              </w:rPr>
            </w:pPr>
          </w:p>
        </w:tc>
        <w:tc>
          <w:tcPr>
            <w:tcW w:w="5344" w:type="dxa"/>
            <w:noWrap w:val="0"/>
            <w:vAlign w:val="center"/>
          </w:tcPr>
          <w:p>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p>
        </w:tc>
        <w:tc>
          <w:tcPr>
            <w:tcW w:w="2209" w:type="dxa"/>
            <w:noWrap w:val="0"/>
            <w:vAlign w:val="center"/>
          </w:tcPr>
          <w:p>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baseline"/>
              <w:outlineLvl w:val="9"/>
              <w:rPr>
                <w:rFonts w:hint="eastAsia" w:ascii="宋体" w:hAnsi="宋体" w:eastAsia="宋体" w:cs="宋体"/>
                <w:color w:val="auto"/>
                <w:spacing w:val="0"/>
                <w:sz w:val="24"/>
                <w:szCs w:val="24"/>
                <w:highlight w:val="none"/>
              </w:rPr>
            </w:pPr>
          </w:p>
        </w:tc>
      </w:tr>
    </w:tbl>
    <w:p>
      <w:pPr>
        <w:keepNext w:val="0"/>
        <w:keepLines w:val="0"/>
        <w:pageBreakBefore w:val="0"/>
        <w:widowControl w:val="0"/>
        <w:kinsoku/>
        <w:wordWrap/>
        <w:overflowPunct/>
        <w:topLinePunct w:val="0"/>
        <w:autoSpaceDE/>
        <w:autoSpaceDN/>
        <w:bidi w:val="0"/>
        <w:adjustRightInd/>
        <w:textAlignment w:val="baseline"/>
        <w:outlineLvl w:val="9"/>
        <w:rPr>
          <w:rFonts w:hint="eastAsia" w:ascii="宋体" w:hAnsi="宋体" w:cs="宋体"/>
          <w:color w:val="auto"/>
          <w:spacing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eastAsia" w:ascii="宋体" w:hAnsi="宋体" w:cs="宋体"/>
          <w:color w:val="auto"/>
          <w:spacing w:val="0"/>
          <w:sz w:val="24"/>
          <w:szCs w:val="24"/>
          <w:highlight w:val="none"/>
        </w:rPr>
      </w:pPr>
      <w:r>
        <w:rPr>
          <w:rFonts w:hint="eastAsia" w:ascii="宋体" w:hAnsi="宋体" w:cs="宋体"/>
          <w:color w:val="auto"/>
          <w:spacing w:val="0"/>
          <w:sz w:val="24"/>
          <w:szCs w:val="24"/>
          <w:highlight w:val="none"/>
        </w:rPr>
        <w:t>注：</w:t>
      </w:r>
      <w:r>
        <w:rPr>
          <w:rFonts w:hint="eastAsia" w:ascii="宋体" w:hAnsi="宋体" w:cs="宋体"/>
          <w:color w:val="auto"/>
          <w:spacing w:val="0"/>
          <w:sz w:val="24"/>
          <w:szCs w:val="24"/>
          <w:highlight w:val="none"/>
          <w:lang w:val="en-US" w:eastAsia="zh-CN"/>
        </w:rPr>
        <w:t>本表可以根据投标单位实际情况自行编制，</w:t>
      </w:r>
      <w:r>
        <w:rPr>
          <w:rFonts w:hint="eastAsia" w:ascii="宋体" w:hAnsi="宋体" w:cs="宋体"/>
          <w:color w:val="auto"/>
          <w:spacing w:val="0"/>
          <w:sz w:val="24"/>
          <w:szCs w:val="24"/>
          <w:highlight w:val="none"/>
        </w:rPr>
        <w:t>资格审查详细资料附于本表后，并标明页码。</w:t>
      </w:r>
    </w:p>
    <w:p>
      <w:pPr>
        <w:pStyle w:val="17"/>
        <w:keepNext w:val="0"/>
        <w:keepLines w:val="0"/>
        <w:pageBreakBefore w:val="0"/>
        <w:widowControl w:val="0"/>
        <w:kinsoku/>
        <w:wordWrap/>
        <w:overflowPunct/>
        <w:topLinePunct w:val="0"/>
        <w:autoSpaceDE/>
        <w:autoSpaceDN/>
        <w:bidi w:val="0"/>
        <w:adjustRightInd/>
        <w:textAlignment w:val="baseline"/>
        <w:outlineLvl w:val="9"/>
        <w:rPr>
          <w:rFonts w:hint="eastAsia" w:hAnsi="宋体"/>
          <w:color w:val="auto"/>
          <w:spacing w:val="0"/>
          <w:highlight w:val="none"/>
        </w:rPr>
      </w:pPr>
    </w:p>
    <w:p>
      <w:pPr>
        <w:pStyle w:val="17"/>
        <w:keepNext w:val="0"/>
        <w:keepLines w:val="0"/>
        <w:pageBreakBefore w:val="0"/>
        <w:widowControl w:val="0"/>
        <w:kinsoku/>
        <w:wordWrap/>
        <w:overflowPunct/>
        <w:topLinePunct w:val="0"/>
        <w:autoSpaceDE/>
        <w:autoSpaceDN/>
        <w:bidi w:val="0"/>
        <w:adjustRightInd/>
        <w:textAlignment w:val="baseline"/>
        <w:outlineLvl w:val="9"/>
        <w:rPr>
          <w:rFonts w:hint="eastAsia" w:hAnsi="宋体"/>
          <w:color w:val="auto"/>
          <w:spacing w:val="0"/>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Fonts w:hint="eastAsia" w:ascii="Times New Roman" w:hAnsi="Times New Roman" w:eastAsia="宋体" w:cs="Times New Roman"/>
          <w:color w:val="auto"/>
          <w:spacing w:val="0"/>
          <w:sz w:val="24"/>
          <w:szCs w:val="24"/>
          <w:highlight w:val="none"/>
          <w:lang w:val="zh-CN"/>
        </w:rPr>
      </w:pPr>
      <w:r>
        <w:rPr>
          <w:rFonts w:hint="eastAsia" w:ascii="Times New Roman" w:hAnsi="Times New Roman" w:eastAsia="宋体" w:cs="Times New Roman"/>
          <w:color w:val="auto"/>
          <w:spacing w:val="0"/>
          <w:sz w:val="24"/>
          <w:szCs w:val="24"/>
          <w:highlight w:val="none"/>
          <w:lang w:val="zh-CN"/>
        </w:rPr>
        <w:br w:type="page"/>
      </w:r>
    </w:p>
    <w:p>
      <w:pPr>
        <w:pStyle w:val="2"/>
        <w:keepNext w:val="0"/>
        <w:keepLines w:val="0"/>
        <w:pageBreakBefore w:val="0"/>
        <w:kinsoku/>
        <w:wordWrap/>
        <w:overflowPunct/>
        <w:topLinePunct w:val="0"/>
        <w:autoSpaceDE/>
        <w:autoSpaceDN/>
        <w:bidi w:val="0"/>
        <w:adjustRightInd/>
        <w:snapToGrid/>
        <w:ind w:left="0" w:leftChars="0" w:firstLine="0" w:firstLineChars="0"/>
        <w:textAlignment w:val="baseline"/>
        <w:outlineLvl w:val="9"/>
        <w:rPr>
          <w:rFonts w:hint="eastAsia"/>
          <w:color w:val="auto"/>
          <w:lang w:val="zh-CN"/>
        </w:rPr>
      </w:pPr>
    </w:p>
    <w:p>
      <w:pPr>
        <w:pStyle w:val="100"/>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baseline"/>
        <w:outlineLvl w:val="9"/>
        <w:rPr>
          <w:rStyle w:val="63"/>
          <w:rFonts w:hint="eastAsia" w:ascii="宋体" w:hAnsi="宋体" w:eastAsia="宋体" w:cs="Times New Roman"/>
          <w:color w:val="auto"/>
          <w:spacing w:val="0"/>
          <w:sz w:val="32"/>
          <w:szCs w:val="20"/>
          <w:highlight w:val="none"/>
          <w:lang w:val="en-US" w:eastAsia="zh-CN"/>
        </w:rPr>
      </w:pPr>
      <w:bookmarkStart w:id="480" w:name="_Toc29057"/>
      <w:bookmarkStart w:id="481" w:name="_Toc4313"/>
      <w:bookmarkStart w:id="482" w:name="_Toc1540"/>
      <w:bookmarkStart w:id="483" w:name="_Toc4803"/>
      <w:r>
        <w:rPr>
          <w:rStyle w:val="63"/>
          <w:rFonts w:hint="eastAsia" w:ascii="宋体" w:hAnsi="宋体" w:eastAsia="宋体" w:cs="Times New Roman"/>
          <w:color w:val="auto"/>
          <w:spacing w:val="0"/>
          <w:sz w:val="32"/>
          <w:szCs w:val="20"/>
          <w:highlight w:val="none"/>
          <w:lang w:val="en-US" w:eastAsia="zh-CN"/>
        </w:rPr>
        <w:t>五、施工图审查服务方案</w:t>
      </w:r>
      <w:bookmarkEnd w:id="480"/>
      <w:bookmarkEnd w:id="481"/>
      <w:bookmarkEnd w:id="482"/>
      <w:bookmarkEnd w:id="483"/>
    </w:p>
    <w:p>
      <w:pPr>
        <w:keepNext w:val="0"/>
        <w:keepLines w:val="0"/>
        <w:pageBreakBefore w:val="0"/>
        <w:widowControl w:val="0"/>
        <w:kinsoku/>
        <w:wordWrap/>
        <w:overflowPunct/>
        <w:topLinePunct w:val="0"/>
        <w:autoSpaceDE/>
        <w:autoSpaceDN/>
        <w:bidi w:val="0"/>
        <w:adjustRightInd/>
        <w:snapToGrid/>
        <w:jc w:val="center"/>
        <w:textAlignment w:val="baseline"/>
        <w:outlineLvl w:val="9"/>
        <w:rPr>
          <w:rFonts w:hint="eastAsia" w:ascii="宋体" w:hAnsi="宋体" w:cs="宋体"/>
          <w:color w:val="auto"/>
          <w:spacing w:val="0"/>
          <w:sz w:val="30"/>
          <w:szCs w:val="30"/>
          <w:highlight w:val="none"/>
        </w:rPr>
      </w:pPr>
    </w:p>
    <w:p>
      <w:pPr>
        <w:keepNext w:val="0"/>
        <w:keepLines w:val="0"/>
        <w:pageBreakBefore w:val="0"/>
        <w:widowControl w:val="0"/>
        <w:kinsoku/>
        <w:wordWrap/>
        <w:overflowPunct/>
        <w:topLinePunct w:val="0"/>
        <w:autoSpaceDE/>
        <w:autoSpaceDN/>
        <w:bidi w:val="0"/>
        <w:adjustRightInd/>
        <w:snapToGrid/>
        <w:jc w:val="center"/>
        <w:textAlignment w:val="baseline"/>
        <w:outlineLvl w:val="9"/>
        <w:rPr>
          <w:rFonts w:hint="eastAsia" w:ascii="宋体" w:hAnsi="宋体" w:cs="宋体"/>
          <w:color w:val="auto"/>
          <w:spacing w:val="0"/>
          <w:sz w:val="30"/>
          <w:szCs w:val="30"/>
          <w:highlight w:val="none"/>
        </w:rPr>
      </w:pPr>
    </w:p>
    <w:p>
      <w:pPr>
        <w:keepNext w:val="0"/>
        <w:keepLines w:val="0"/>
        <w:pageBreakBefore w:val="0"/>
        <w:widowControl w:val="0"/>
        <w:kinsoku/>
        <w:wordWrap/>
        <w:overflowPunct/>
        <w:topLinePunct w:val="0"/>
        <w:autoSpaceDE/>
        <w:autoSpaceDN/>
        <w:bidi w:val="0"/>
        <w:adjustRightInd/>
        <w:snapToGrid/>
        <w:jc w:val="center"/>
        <w:textAlignment w:val="baseline"/>
        <w:outlineLvl w:val="9"/>
        <w:rPr>
          <w:rFonts w:hint="eastAsia" w:ascii="宋体" w:hAnsi="宋体" w:cs="宋体"/>
          <w:color w:val="auto"/>
          <w:spacing w:val="0"/>
          <w:sz w:val="30"/>
          <w:szCs w:val="30"/>
          <w:highlight w:val="none"/>
        </w:rPr>
      </w:pPr>
      <w:r>
        <w:rPr>
          <w:rFonts w:hint="eastAsia" w:ascii="宋体" w:hAnsi="宋体" w:cs="宋体"/>
          <w:color w:val="auto"/>
          <w:spacing w:val="0"/>
          <w:sz w:val="30"/>
          <w:szCs w:val="30"/>
          <w:highlight w:val="none"/>
        </w:rPr>
        <w:t>（格式自定）</w:t>
      </w:r>
    </w:p>
    <w:p>
      <w:pPr>
        <w:pStyle w:val="34"/>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baseline"/>
        <w:outlineLvl w:val="9"/>
        <w:rPr>
          <w:rStyle w:val="66"/>
          <w:rFonts w:hint="eastAsia" w:ascii="宋体" w:hAnsi="宋体"/>
          <w:b/>
          <w:color w:val="auto"/>
          <w:spacing w:val="0"/>
          <w:sz w:val="28"/>
          <w:szCs w:val="24"/>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Fonts w:hint="eastAsia" w:ascii="Times New Roman" w:hAnsi="Times New Roman" w:eastAsia="宋体" w:cs="Times New Roman"/>
          <w:color w:val="auto"/>
          <w:spacing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textAlignment w:val="baseline"/>
        <w:outlineLvl w:val="9"/>
        <w:rPr>
          <w:rFonts w:hint="eastAsia" w:ascii="Times New Roman" w:hAnsi="Times New Roman" w:eastAsia="宋体" w:cs="Times New Roman"/>
          <w:color w:val="auto"/>
          <w:spacing w:val="0"/>
          <w:sz w:val="24"/>
          <w:szCs w:val="24"/>
          <w:highlight w:val="none"/>
          <w:lang w:val="zh-CN"/>
        </w:rPr>
      </w:pPr>
      <w:bookmarkStart w:id="484" w:name="_Toc26961"/>
      <w:bookmarkStart w:id="485" w:name="_Toc30094"/>
      <w:r>
        <w:rPr>
          <w:rFonts w:hint="eastAsia" w:ascii="Times New Roman" w:hAnsi="Times New Roman" w:eastAsia="宋体" w:cs="Times New Roman"/>
          <w:color w:val="auto"/>
          <w:spacing w:val="0"/>
          <w:sz w:val="24"/>
          <w:szCs w:val="24"/>
          <w:highlight w:val="none"/>
          <w:lang w:val="zh-CN"/>
        </w:rPr>
        <w:br w:type="page"/>
      </w:r>
    </w:p>
    <w:p>
      <w:pPr>
        <w:pStyle w:val="2"/>
        <w:keepNext w:val="0"/>
        <w:keepLines w:val="0"/>
        <w:pageBreakBefore w:val="0"/>
        <w:kinsoku/>
        <w:wordWrap/>
        <w:overflowPunct/>
        <w:topLinePunct w:val="0"/>
        <w:autoSpaceDE/>
        <w:autoSpaceDN/>
        <w:bidi w:val="0"/>
        <w:adjustRightInd/>
        <w:snapToGrid/>
        <w:ind w:left="0" w:leftChars="0" w:firstLine="0" w:firstLineChars="0"/>
        <w:textAlignment w:val="baseline"/>
        <w:outlineLvl w:val="9"/>
        <w:rPr>
          <w:rFonts w:hint="eastAsia"/>
          <w:color w:val="auto"/>
          <w:lang w:val="zh-CN"/>
        </w:rPr>
      </w:pPr>
    </w:p>
    <w:p>
      <w:pPr>
        <w:pStyle w:val="100"/>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baseline"/>
        <w:outlineLvl w:val="9"/>
        <w:rPr>
          <w:rStyle w:val="63"/>
          <w:rFonts w:hint="eastAsia" w:ascii="宋体" w:hAnsi="宋体" w:eastAsia="宋体" w:cs="Times New Roman"/>
          <w:color w:val="auto"/>
          <w:spacing w:val="0"/>
          <w:sz w:val="32"/>
          <w:szCs w:val="20"/>
          <w:highlight w:val="none"/>
          <w:lang w:val="en-US" w:eastAsia="zh-CN"/>
        </w:rPr>
      </w:pPr>
      <w:bookmarkStart w:id="486" w:name="_Toc31169"/>
      <w:bookmarkStart w:id="487" w:name="_Toc14765"/>
      <w:r>
        <w:rPr>
          <w:rStyle w:val="63"/>
          <w:rFonts w:hint="eastAsia" w:ascii="宋体" w:hAnsi="宋体" w:eastAsia="宋体" w:cs="Times New Roman"/>
          <w:color w:val="auto"/>
          <w:spacing w:val="0"/>
          <w:sz w:val="32"/>
          <w:szCs w:val="20"/>
          <w:highlight w:val="none"/>
          <w:lang w:val="en-US" w:eastAsia="zh-CN"/>
        </w:rPr>
        <w:t>六、公司简介</w:t>
      </w:r>
      <w:bookmarkEnd w:id="484"/>
      <w:bookmarkEnd w:id="485"/>
      <w:bookmarkEnd w:id="486"/>
      <w:bookmarkEnd w:id="487"/>
    </w:p>
    <w:p>
      <w:pPr>
        <w:keepNext w:val="0"/>
        <w:keepLines w:val="0"/>
        <w:pageBreakBefore w:val="0"/>
        <w:widowControl w:val="0"/>
        <w:kinsoku/>
        <w:wordWrap/>
        <w:overflowPunct/>
        <w:topLinePunct w:val="0"/>
        <w:autoSpaceDE/>
        <w:autoSpaceDN/>
        <w:bidi w:val="0"/>
        <w:adjustRightInd/>
        <w:snapToGrid/>
        <w:jc w:val="center"/>
        <w:textAlignment w:val="baseline"/>
        <w:outlineLvl w:val="9"/>
        <w:rPr>
          <w:rFonts w:hint="eastAsia" w:ascii="宋体" w:hAnsi="宋体" w:cs="宋体"/>
          <w:color w:val="auto"/>
          <w:spacing w:val="0"/>
          <w:sz w:val="30"/>
          <w:szCs w:val="30"/>
          <w:highlight w:val="none"/>
        </w:rPr>
      </w:pPr>
      <w:bookmarkStart w:id="488" w:name="_Toc31689"/>
      <w:bookmarkStart w:id="489" w:name="_Toc3895"/>
    </w:p>
    <w:p>
      <w:pPr>
        <w:keepNext w:val="0"/>
        <w:keepLines w:val="0"/>
        <w:pageBreakBefore w:val="0"/>
        <w:widowControl w:val="0"/>
        <w:kinsoku/>
        <w:wordWrap/>
        <w:overflowPunct/>
        <w:topLinePunct w:val="0"/>
        <w:autoSpaceDE/>
        <w:autoSpaceDN/>
        <w:bidi w:val="0"/>
        <w:adjustRightInd/>
        <w:snapToGrid/>
        <w:jc w:val="center"/>
        <w:textAlignment w:val="baseline"/>
        <w:outlineLvl w:val="9"/>
        <w:rPr>
          <w:rFonts w:hint="eastAsia" w:ascii="宋体" w:hAnsi="宋体" w:cs="宋体"/>
          <w:color w:val="auto"/>
          <w:spacing w:val="0"/>
          <w:sz w:val="30"/>
          <w:szCs w:val="30"/>
          <w:highlight w:val="none"/>
        </w:rPr>
      </w:pPr>
    </w:p>
    <w:p>
      <w:pPr>
        <w:keepNext w:val="0"/>
        <w:keepLines w:val="0"/>
        <w:pageBreakBefore w:val="0"/>
        <w:widowControl w:val="0"/>
        <w:kinsoku/>
        <w:wordWrap/>
        <w:overflowPunct/>
        <w:topLinePunct w:val="0"/>
        <w:autoSpaceDE/>
        <w:autoSpaceDN/>
        <w:bidi w:val="0"/>
        <w:adjustRightInd/>
        <w:snapToGrid/>
        <w:jc w:val="center"/>
        <w:textAlignment w:val="baseline"/>
        <w:outlineLvl w:val="9"/>
        <w:rPr>
          <w:rFonts w:hint="eastAsia" w:ascii="宋体" w:hAnsi="宋体" w:cs="宋体"/>
          <w:color w:val="auto"/>
          <w:spacing w:val="0"/>
          <w:sz w:val="30"/>
          <w:szCs w:val="30"/>
          <w:highlight w:val="none"/>
        </w:rPr>
      </w:pPr>
      <w:bookmarkStart w:id="490" w:name="_Toc30322"/>
      <w:bookmarkStart w:id="491" w:name="_Toc27051"/>
      <w:r>
        <w:rPr>
          <w:rFonts w:hint="eastAsia" w:ascii="宋体" w:hAnsi="宋体" w:cs="宋体"/>
          <w:color w:val="auto"/>
          <w:spacing w:val="0"/>
          <w:sz w:val="30"/>
          <w:szCs w:val="30"/>
          <w:highlight w:val="none"/>
        </w:rPr>
        <w:t>（格式自定）</w:t>
      </w:r>
      <w:bookmarkEnd w:id="488"/>
      <w:bookmarkEnd w:id="489"/>
      <w:bookmarkEnd w:id="490"/>
      <w:bookmarkEnd w:id="491"/>
    </w:p>
    <w:p>
      <w:pPr>
        <w:keepNext w:val="0"/>
        <w:keepLines w:val="0"/>
        <w:pageBreakBefore w:val="0"/>
        <w:widowControl w:val="0"/>
        <w:kinsoku/>
        <w:wordWrap/>
        <w:overflowPunct/>
        <w:topLinePunct w:val="0"/>
        <w:autoSpaceDE/>
        <w:autoSpaceDN/>
        <w:bidi w:val="0"/>
        <w:adjustRightInd/>
        <w:snapToGrid/>
        <w:textAlignment w:val="baseline"/>
        <w:outlineLvl w:val="9"/>
        <w:rPr>
          <w:rFonts w:hint="eastAsia" w:ascii="宋体" w:hAnsi="宋体" w:cs="宋体"/>
          <w:color w:val="auto"/>
          <w:spacing w:val="0"/>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baseline"/>
        <w:outlineLvl w:val="9"/>
        <w:rPr>
          <w:rFonts w:hint="eastAsia" w:ascii="宋体" w:hAnsi="宋体" w:eastAsia="宋体" w:cs="宋体"/>
          <w:b/>
          <w:bCs/>
          <w:color w:val="auto"/>
          <w:spacing w:val="0"/>
          <w:sz w:val="24"/>
          <w:szCs w:val="24"/>
          <w:highlight w:val="none"/>
        </w:rPr>
      </w:pPr>
      <w:bookmarkStart w:id="492" w:name="_Toc1173"/>
      <w:bookmarkStart w:id="493" w:name="_Toc20732"/>
      <w:bookmarkStart w:id="494" w:name="_Toc14358"/>
      <w:bookmarkStart w:id="495" w:name="_Toc31953"/>
      <w:r>
        <w:rPr>
          <w:rFonts w:hint="eastAsia" w:ascii="宋体" w:hAnsi="宋体" w:eastAsia="宋体" w:cs="宋体"/>
          <w:color w:val="auto"/>
          <w:spacing w:val="0"/>
          <w:sz w:val="24"/>
          <w:szCs w:val="24"/>
          <w:highlight w:val="none"/>
        </w:rPr>
        <w:t>编制要求：</w:t>
      </w:r>
      <w:bookmarkEnd w:id="492"/>
      <w:bookmarkEnd w:id="493"/>
      <w:bookmarkEnd w:id="494"/>
      <w:bookmarkEnd w:id="495"/>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baseline"/>
        <w:outlineLvl w:val="9"/>
        <w:rPr>
          <w:rFonts w:hint="eastAsia" w:ascii="宋体" w:hAnsi="宋体" w:eastAsia="宋体" w:cs="宋体"/>
          <w:color w:val="auto"/>
          <w:spacing w:val="0"/>
          <w:sz w:val="24"/>
          <w:szCs w:val="24"/>
          <w:highlight w:val="none"/>
        </w:rPr>
      </w:pPr>
      <w:bookmarkStart w:id="496" w:name="_Toc4370"/>
      <w:bookmarkStart w:id="497" w:name="_Toc27077"/>
      <w:bookmarkStart w:id="498" w:name="_Toc17347"/>
      <w:bookmarkStart w:id="499" w:name="_Toc16945"/>
      <w:r>
        <w:rPr>
          <w:rFonts w:hint="eastAsia" w:ascii="宋体" w:hAnsi="宋体" w:eastAsia="宋体" w:cs="宋体"/>
          <w:color w:val="auto"/>
          <w:spacing w:val="0"/>
          <w:sz w:val="24"/>
          <w:szCs w:val="24"/>
          <w:highlight w:val="none"/>
        </w:rPr>
        <w:t>1）公司组织构架；</w:t>
      </w:r>
      <w:bookmarkEnd w:id="496"/>
      <w:bookmarkEnd w:id="497"/>
      <w:bookmarkEnd w:id="498"/>
      <w:bookmarkEnd w:id="499"/>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baseline"/>
        <w:outlineLvl w:val="9"/>
        <w:rPr>
          <w:rFonts w:hint="eastAsia" w:ascii="宋体" w:hAnsi="宋体" w:eastAsia="宋体" w:cs="宋体"/>
          <w:color w:val="auto"/>
          <w:spacing w:val="0"/>
          <w:sz w:val="24"/>
          <w:szCs w:val="24"/>
          <w:highlight w:val="none"/>
        </w:rPr>
      </w:pPr>
      <w:bookmarkStart w:id="500" w:name="_Toc19900"/>
      <w:bookmarkStart w:id="501" w:name="_Toc13469"/>
      <w:bookmarkStart w:id="502" w:name="_Toc23844"/>
      <w:bookmarkStart w:id="503" w:name="_Toc19433"/>
      <w:r>
        <w:rPr>
          <w:rFonts w:hint="eastAsia" w:ascii="宋体" w:hAnsi="宋体" w:eastAsia="宋体" w:cs="宋体"/>
          <w:color w:val="auto"/>
          <w:spacing w:val="0"/>
          <w:sz w:val="24"/>
          <w:szCs w:val="24"/>
          <w:highlight w:val="none"/>
        </w:rPr>
        <w:t>2）公司法人营业执照及资质证书扫描件；</w:t>
      </w:r>
      <w:bookmarkEnd w:id="500"/>
      <w:bookmarkEnd w:id="501"/>
      <w:bookmarkEnd w:id="502"/>
      <w:bookmarkEnd w:id="503"/>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baseline"/>
        <w:outlineLvl w:val="9"/>
        <w:rPr>
          <w:rFonts w:hint="eastAsia" w:ascii="宋体" w:hAnsi="宋体" w:eastAsia="宋体" w:cs="宋体"/>
          <w:color w:val="auto"/>
          <w:spacing w:val="0"/>
          <w:sz w:val="24"/>
          <w:szCs w:val="24"/>
          <w:highlight w:val="none"/>
        </w:rPr>
      </w:pPr>
      <w:bookmarkStart w:id="504" w:name="_Toc11042"/>
      <w:bookmarkStart w:id="505" w:name="_Toc18589"/>
      <w:bookmarkStart w:id="506" w:name="_Toc17796"/>
      <w:bookmarkStart w:id="507" w:name="_Toc10577"/>
      <w:r>
        <w:rPr>
          <w:rFonts w:hint="eastAsia" w:ascii="宋体" w:hAnsi="宋体" w:eastAsia="宋体" w:cs="宋体"/>
          <w:color w:val="auto"/>
          <w:spacing w:val="0"/>
          <w:sz w:val="24"/>
          <w:szCs w:val="24"/>
          <w:highlight w:val="none"/>
        </w:rPr>
        <w:t>3）公司类似项目的业绩（按本项目相关评审</w:t>
      </w:r>
      <w:r>
        <w:rPr>
          <w:rFonts w:hint="eastAsia" w:ascii="宋体" w:hAnsi="宋体" w:eastAsia="宋体" w:cs="宋体"/>
          <w:color w:val="auto"/>
          <w:spacing w:val="0"/>
          <w:sz w:val="24"/>
          <w:szCs w:val="24"/>
          <w:highlight w:val="none"/>
          <w:lang w:eastAsia="zh-CN"/>
        </w:rPr>
        <w:t>要求</w:t>
      </w:r>
      <w:r>
        <w:rPr>
          <w:rFonts w:hint="eastAsia" w:ascii="宋体" w:hAnsi="宋体" w:eastAsia="宋体" w:cs="宋体"/>
          <w:color w:val="auto"/>
          <w:spacing w:val="0"/>
          <w:sz w:val="24"/>
          <w:szCs w:val="24"/>
          <w:highlight w:val="none"/>
        </w:rPr>
        <w:t>提供证明文件）；</w:t>
      </w:r>
      <w:bookmarkEnd w:id="504"/>
      <w:bookmarkEnd w:id="505"/>
      <w:bookmarkEnd w:id="506"/>
      <w:bookmarkEnd w:id="507"/>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baseline"/>
        <w:outlineLvl w:val="9"/>
        <w:rPr>
          <w:rFonts w:hint="eastAsia" w:ascii="宋体" w:hAnsi="宋体" w:eastAsia="宋体" w:cs="宋体"/>
          <w:color w:val="auto"/>
          <w:spacing w:val="0"/>
          <w:sz w:val="24"/>
          <w:szCs w:val="24"/>
          <w:highlight w:val="none"/>
          <w:lang w:eastAsia="zh-CN"/>
        </w:rPr>
      </w:pPr>
      <w:bookmarkStart w:id="508" w:name="_Toc30995"/>
      <w:bookmarkStart w:id="509" w:name="_Toc31464"/>
      <w:bookmarkStart w:id="510" w:name="_Toc15919"/>
      <w:bookmarkStart w:id="511" w:name="_Toc18078"/>
      <w:r>
        <w:rPr>
          <w:rFonts w:hint="eastAsia" w:ascii="宋体" w:hAnsi="宋体" w:eastAsia="宋体" w:cs="宋体"/>
          <w:color w:val="auto"/>
          <w:spacing w:val="0"/>
          <w:sz w:val="24"/>
          <w:szCs w:val="24"/>
          <w:highlight w:val="none"/>
        </w:rPr>
        <w:t>4）其它证明公司现有实力的材料（如管理体系认证等）</w:t>
      </w:r>
      <w:bookmarkEnd w:id="508"/>
      <w:bookmarkEnd w:id="509"/>
      <w:bookmarkEnd w:id="510"/>
      <w:bookmarkEnd w:id="511"/>
      <w:r>
        <w:rPr>
          <w:rFonts w:hint="eastAsia" w:ascii="宋体" w:hAnsi="宋体" w:eastAsia="宋体" w:cs="宋体"/>
          <w:color w:val="auto"/>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baseline"/>
        <w:outlineLvl w:val="9"/>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5）投标人认为有必要的其他资料。</w:t>
      </w:r>
    </w:p>
    <w:p>
      <w:pPr>
        <w:pStyle w:val="17"/>
        <w:keepNext w:val="0"/>
        <w:keepLines w:val="0"/>
        <w:pageBreakBefore w:val="0"/>
        <w:widowControl w:val="0"/>
        <w:kinsoku/>
        <w:wordWrap/>
        <w:overflowPunct/>
        <w:topLinePunct w:val="0"/>
        <w:autoSpaceDE/>
        <w:autoSpaceDN/>
        <w:bidi w:val="0"/>
        <w:adjustRightInd/>
        <w:snapToGrid/>
        <w:textAlignment w:val="baseline"/>
        <w:outlineLvl w:val="9"/>
        <w:rPr>
          <w:rFonts w:hint="eastAsia"/>
          <w:color w:val="auto"/>
          <w:spacing w:val="0"/>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Fonts w:hint="eastAsia" w:ascii="Times New Roman" w:hAnsi="Times New Roman" w:eastAsia="宋体" w:cs="Times New Roman"/>
          <w:color w:val="auto"/>
          <w:spacing w:val="0"/>
          <w:sz w:val="24"/>
          <w:szCs w:val="24"/>
          <w:highlight w:val="none"/>
          <w:lang w:val="zh-CN"/>
        </w:rPr>
      </w:pPr>
      <w:bookmarkStart w:id="512" w:name="_Toc8942"/>
      <w:bookmarkStart w:id="513" w:name="_Toc1523"/>
    </w:p>
    <w:p>
      <w:pPr>
        <w:pStyle w:val="2"/>
        <w:keepNext w:val="0"/>
        <w:keepLines w:val="0"/>
        <w:pageBreakBefore w:val="0"/>
        <w:kinsoku/>
        <w:wordWrap/>
        <w:overflowPunct/>
        <w:topLinePunct w:val="0"/>
        <w:autoSpaceDE/>
        <w:autoSpaceDN/>
        <w:bidi w:val="0"/>
        <w:adjustRightInd/>
        <w:snapToGrid/>
        <w:ind w:left="0" w:leftChars="0" w:firstLine="0" w:firstLineChars="0"/>
        <w:textAlignment w:val="baseline"/>
        <w:outlineLvl w:val="9"/>
        <w:rPr>
          <w:rFonts w:hint="eastAsia" w:ascii="Times New Roman" w:hAnsi="Times New Roman" w:eastAsia="宋体" w:cs="Times New Roman"/>
          <w:color w:val="auto"/>
          <w:spacing w:val="0"/>
          <w:sz w:val="24"/>
          <w:szCs w:val="24"/>
          <w:highlight w:val="none"/>
          <w:lang w:val="zh-CN"/>
        </w:rPr>
      </w:pPr>
      <w:r>
        <w:rPr>
          <w:rFonts w:hint="eastAsia" w:ascii="Times New Roman" w:hAnsi="Times New Roman" w:eastAsia="宋体" w:cs="Times New Roman"/>
          <w:color w:val="auto"/>
          <w:spacing w:val="0"/>
          <w:sz w:val="24"/>
          <w:szCs w:val="24"/>
          <w:highlight w:val="none"/>
          <w:lang w:val="zh-CN"/>
        </w:rPr>
        <w:br w:type="page"/>
      </w:r>
    </w:p>
    <w:p>
      <w:pPr>
        <w:pStyle w:val="2"/>
        <w:keepNext w:val="0"/>
        <w:keepLines w:val="0"/>
        <w:pageBreakBefore w:val="0"/>
        <w:kinsoku/>
        <w:wordWrap/>
        <w:overflowPunct/>
        <w:topLinePunct w:val="0"/>
        <w:autoSpaceDE/>
        <w:autoSpaceDN/>
        <w:bidi w:val="0"/>
        <w:adjustRightInd/>
        <w:snapToGrid/>
        <w:ind w:left="0" w:leftChars="0" w:firstLine="0" w:firstLineChars="0"/>
        <w:textAlignment w:val="baseline"/>
        <w:outlineLvl w:val="9"/>
        <w:rPr>
          <w:rFonts w:hint="eastAsia" w:ascii="Times New Roman" w:hAnsi="Times New Roman" w:eastAsia="宋体" w:cs="Times New Roman"/>
          <w:color w:val="auto"/>
          <w:spacing w:val="0"/>
          <w:sz w:val="24"/>
          <w:szCs w:val="24"/>
          <w:highlight w:val="none"/>
          <w:lang w:val="zh-CN"/>
        </w:rPr>
      </w:pPr>
    </w:p>
    <w:p>
      <w:pPr>
        <w:pStyle w:val="100"/>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baseline"/>
        <w:outlineLvl w:val="9"/>
        <w:rPr>
          <w:rStyle w:val="63"/>
          <w:rFonts w:hint="eastAsia" w:ascii="宋体" w:hAnsi="宋体" w:eastAsia="宋体" w:cs="Times New Roman"/>
          <w:color w:val="auto"/>
          <w:spacing w:val="0"/>
          <w:sz w:val="32"/>
          <w:szCs w:val="20"/>
          <w:highlight w:val="none"/>
          <w:lang w:val="en-US" w:eastAsia="zh-CN"/>
        </w:rPr>
      </w:pPr>
      <w:bookmarkStart w:id="514" w:name="_Toc3736"/>
      <w:bookmarkStart w:id="515" w:name="_Toc10558"/>
      <w:r>
        <w:rPr>
          <w:rStyle w:val="63"/>
          <w:rFonts w:hint="eastAsia" w:ascii="宋体" w:hAnsi="宋体" w:eastAsia="宋体" w:cs="Times New Roman"/>
          <w:color w:val="auto"/>
          <w:spacing w:val="0"/>
          <w:sz w:val="32"/>
          <w:szCs w:val="20"/>
          <w:highlight w:val="none"/>
          <w:lang w:val="en-US" w:eastAsia="zh-CN"/>
        </w:rPr>
        <w:t>七、项目机构人员配备情况</w:t>
      </w:r>
      <w:bookmarkEnd w:id="512"/>
      <w:bookmarkEnd w:id="513"/>
      <w:bookmarkEnd w:id="514"/>
      <w:bookmarkEnd w:id="515"/>
    </w:p>
    <w:p>
      <w:pPr>
        <w:keepNext w:val="0"/>
        <w:keepLines w:val="0"/>
        <w:pageBreakBefore w:val="0"/>
        <w:widowControl w:val="0"/>
        <w:kinsoku/>
        <w:wordWrap/>
        <w:overflowPunct/>
        <w:topLinePunct w:val="0"/>
        <w:autoSpaceDE/>
        <w:autoSpaceDN/>
        <w:bidi w:val="0"/>
        <w:adjustRightInd/>
        <w:snapToGrid/>
        <w:textAlignment w:val="baseline"/>
        <w:outlineLvl w:val="9"/>
        <w:rPr>
          <w:rFonts w:hint="eastAsia"/>
          <w:color w:val="auto"/>
          <w:spacing w:val="0"/>
          <w:highlight w:val="none"/>
        </w:rPr>
      </w:pPr>
    </w:p>
    <w:p>
      <w:pPr>
        <w:pStyle w:val="2"/>
        <w:keepNext w:val="0"/>
        <w:keepLines w:val="0"/>
        <w:pageBreakBefore w:val="0"/>
        <w:kinsoku/>
        <w:wordWrap/>
        <w:overflowPunct/>
        <w:topLinePunct w:val="0"/>
        <w:autoSpaceDE/>
        <w:autoSpaceDN/>
        <w:bidi w:val="0"/>
        <w:adjustRightInd/>
        <w:snapToGrid/>
        <w:textAlignment w:val="baseline"/>
        <w:outlineLvl w:val="9"/>
        <w:rPr>
          <w:rFonts w:hint="eastAsia"/>
          <w:color w:val="auto"/>
        </w:rPr>
      </w:pP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1、项目机构人员配备情况表</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2、项目负责人简历表</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3、项目机构人员配备情况辅助说明资料</w:t>
      </w:r>
    </w:p>
    <w:p>
      <w:pPr>
        <w:keepNext w:val="0"/>
        <w:keepLines w:val="0"/>
        <w:pageBreakBefore w:val="0"/>
        <w:widowControl w:val="0"/>
        <w:kinsoku/>
        <w:wordWrap/>
        <w:overflowPunct/>
        <w:topLinePunct w:val="0"/>
        <w:autoSpaceDE/>
        <w:autoSpaceDN/>
        <w:bidi w:val="0"/>
        <w:adjustRightInd/>
        <w:snapToGrid/>
        <w:textAlignment w:val="baseline"/>
        <w:outlineLvl w:val="9"/>
        <w:rPr>
          <w:rFonts w:hint="eastAsia" w:ascii="Times New Roman" w:hAnsi="Times New Roman" w:eastAsia="宋体" w:cs="Times New Roman"/>
          <w:color w:val="auto"/>
          <w:spacing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textAlignment w:val="baseline"/>
        <w:rPr>
          <w:rFonts w:hint="eastAsia" w:ascii="Times New Roman" w:hAnsi="Times New Roman" w:eastAsia="宋体" w:cs="Times New Roman"/>
          <w:color w:val="auto"/>
          <w:spacing w:val="0"/>
          <w:sz w:val="24"/>
          <w:szCs w:val="24"/>
          <w:highlight w:val="none"/>
          <w:lang w:val="zh-CN"/>
        </w:rPr>
      </w:pPr>
      <w:bookmarkStart w:id="516" w:name="_Toc18025"/>
      <w:r>
        <w:rPr>
          <w:rFonts w:hint="eastAsia" w:ascii="Times New Roman" w:hAnsi="Times New Roman" w:eastAsia="宋体" w:cs="Times New Roman"/>
          <w:color w:val="auto"/>
          <w:spacing w:val="0"/>
          <w:sz w:val="24"/>
          <w:szCs w:val="24"/>
          <w:highlight w:val="none"/>
          <w:lang w:val="zh-CN"/>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firstLine="151" w:firstLineChars="50"/>
        <w:textAlignment w:val="baseline"/>
        <w:outlineLvl w:val="9"/>
        <w:rPr>
          <w:rFonts w:hint="eastAsia" w:ascii="宋体" w:hAnsi="宋体" w:eastAsia="宋体" w:cs="宋体"/>
          <w:b/>
          <w:bCs/>
          <w:color w:val="auto"/>
          <w:spacing w:val="0"/>
          <w:sz w:val="30"/>
          <w:szCs w:val="30"/>
          <w:highlight w:val="none"/>
        </w:rPr>
      </w:pPr>
      <w:r>
        <w:rPr>
          <w:rFonts w:hint="eastAsia" w:ascii="宋体" w:hAnsi="宋体" w:eastAsia="宋体" w:cs="宋体"/>
          <w:b/>
          <w:bCs/>
          <w:color w:val="auto"/>
          <w:spacing w:val="0"/>
          <w:sz w:val="30"/>
          <w:szCs w:val="30"/>
          <w:highlight w:val="none"/>
        </w:rPr>
        <w:t>1、项目机构人员配备情况表</w:t>
      </w:r>
      <w:bookmarkEnd w:id="516"/>
    </w:p>
    <w:tbl>
      <w:tblPr>
        <w:tblStyle w:val="36"/>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83"/>
        <w:gridCol w:w="992"/>
        <w:gridCol w:w="1134"/>
        <w:gridCol w:w="708"/>
        <w:gridCol w:w="851"/>
        <w:gridCol w:w="850"/>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highlight w:val="none"/>
              </w:rPr>
              <w:t>职务</w:t>
            </w:r>
          </w:p>
        </w:tc>
        <w:tc>
          <w:tcPr>
            <w:tcW w:w="11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highlight w:val="none"/>
              </w:rPr>
              <w:t>姓名</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highlight w:val="none"/>
              </w:rPr>
              <w:t>职称</w:t>
            </w:r>
          </w:p>
        </w:tc>
        <w:tc>
          <w:tcPr>
            <w:tcW w:w="354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highlight w:val="none"/>
              </w:rPr>
              <w:t>执业或职业资格证明</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已承接项目情况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eastAsia" w:ascii="宋体" w:hAnsi="宋体" w:eastAsia="宋体" w:cs="宋体"/>
                <w:color w:val="auto"/>
                <w:spacing w:val="0"/>
                <w:sz w:val="24"/>
                <w:szCs w:val="24"/>
                <w:highlight w:val="none"/>
              </w:rPr>
            </w:pPr>
          </w:p>
        </w:tc>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eastAsia" w:ascii="宋体" w:hAnsi="宋体" w:eastAsia="宋体" w:cs="宋体"/>
                <w:color w:val="auto"/>
                <w:spacing w:val="0"/>
                <w:sz w:val="24"/>
                <w:szCs w:val="24"/>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eastAsia" w:ascii="宋体" w:hAnsi="宋体" w:eastAsia="宋体" w:cs="宋体"/>
                <w:color w:val="auto"/>
                <w:spacing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highlight w:val="none"/>
              </w:rPr>
              <w:t>证书名称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highlight w:val="none"/>
              </w:rPr>
              <w:t>级别</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highlight w:val="none"/>
              </w:rPr>
              <w:t>证号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highlight w:val="none"/>
              </w:rPr>
              <w:t>专业</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highlight w:val="none"/>
              </w:rPr>
              <w:t>项目数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baseline"/>
              <w:rPr>
                <w:rFonts w:hint="eastAsia" w:ascii="宋体" w:hAnsi="宋体" w:eastAsia="宋体" w:cs="宋体"/>
                <w:color w:val="auto"/>
                <w:spacing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textAlignment w:val="baseline"/>
        <w:rPr>
          <w:rFonts w:hint="eastAsia" w:ascii="Times New Roman" w:hAnsi="Times New Roman" w:eastAsia="宋体" w:cs="Times New Roman"/>
          <w:color w:val="auto"/>
          <w:spacing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textAlignment w:val="baseline"/>
        <w:rPr>
          <w:rFonts w:hint="eastAsia" w:ascii="Times New Roman" w:hAnsi="Times New Roman" w:eastAsia="宋体" w:cs="Times New Roman"/>
          <w:color w:val="auto"/>
          <w:spacing w:val="0"/>
          <w:sz w:val="24"/>
          <w:szCs w:val="24"/>
          <w:highlight w:val="none"/>
          <w:lang w:val="zh-CN"/>
        </w:rPr>
      </w:pPr>
      <w:bookmarkStart w:id="517" w:name="_Toc10581"/>
      <w:r>
        <w:rPr>
          <w:rFonts w:hint="eastAsia" w:ascii="Times New Roman" w:hAnsi="Times New Roman" w:eastAsia="宋体" w:cs="Times New Roman"/>
          <w:color w:val="auto"/>
          <w:spacing w:val="0"/>
          <w:sz w:val="24"/>
          <w:szCs w:val="24"/>
          <w:highlight w:val="none"/>
          <w:lang w:val="zh-CN"/>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firstLine="151" w:firstLineChars="50"/>
        <w:textAlignment w:val="baseline"/>
        <w:outlineLvl w:val="9"/>
        <w:rPr>
          <w:rFonts w:hint="eastAsia" w:ascii="宋体" w:hAnsi="宋体" w:eastAsia="宋体" w:cs="宋体"/>
          <w:b/>
          <w:bCs/>
          <w:color w:val="auto"/>
          <w:spacing w:val="0"/>
          <w:sz w:val="30"/>
          <w:szCs w:val="30"/>
          <w:highlight w:val="none"/>
          <w:lang w:val="en-US" w:eastAsia="zh-CN"/>
        </w:rPr>
      </w:pPr>
      <w:r>
        <w:rPr>
          <w:rFonts w:hint="eastAsia" w:ascii="宋体" w:hAnsi="宋体" w:eastAsia="宋体" w:cs="宋体"/>
          <w:b/>
          <w:bCs/>
          <w:color w:val="auto"/>
          <w:spacing w:val="0"/>
          <w:sz w:val="30"/>
          <w:szCs w:val="30"/>
          <w:highlight w:val="none"/>
          <w:lang w:val="en-US" w:eastAsia="zh-CN"/>
        </w:rPr>
        <w:t>2、项目负责人简历表</w:t>
      </w:r>
      <w:bookmarkEnd w:id="517"/>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05"/>
        <w:gridCol w:w="920"/>
        <w:gridCol w:w="185"/>
        <w:gridCol w:w="695"/>
        <w:gridCol w:w="145"/>
        <w:gridCol w:w="1680"/>
        <w:gridCol w:w="435"/>
        <w:gridCol w:w="645"/>
        <w:gridCol w:w="40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r>
              <w:rPr>
                <w:rFonts w:hint="eastAsia" w:ascii="宋体" w:hAnsi="宋体" w:cs="Times New Roman"/>
                <w:color w:val="auto"/>
                <w:spacing w:val="0"/>
                <w:sz w:val="24"/>
                <w:highlight w:val="none"/>
              </w:rPr>
              <w:t>姓名</w:t>
            </w:r>
          </w:p>
        </w:tc>
        <w:tc>
          <w:tcPr>
            <w:tcW w:w="2610"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840" w:type="dxa"/>
            <w:gridSpan w:val="2"/>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r>
              <w:rPr>
                <w:rFonts w:hint="eastAsia" w:ascii="宋体" w:hAnsi="宋体" w:cs="Times New Roman"/>
                <w:color w:val="auto"/>
                <w:spacing w:val="0"/>
                <w:sz w:val="24"/>
                <w:highlight w:val="none"/>
              </w:rPr>
              <w:t>性别</w:t>
            </w:r>
          </w:p>
        </w:tc>
        <w:tc>
          <w:tcPr>
            <w:tcW w:w="1680" w:type="dxa"/>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1080" w:type="dxa"/>
            <w:gridSpan w:val="2"/>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r>
              <w:rPr>
                <w:rFonts w:hint="eastAsia" w:ascii="宋体" w:hAnsi="宋体" w:cs="Times New Roman"/>
                <w:color w:val="auto"/>
                <w:spacing w:val="0"/>
                <w:sz w:val="24"/>
                <w:highlight w:val="none"/>
              </w:rPr>
              <w:t>年龄</w:t>
            </w:r>
          </w:p>
        </w:tc>
        <w:tc>
          <w:tcPr>
            <w:tcW w:w="1800" w:type="dxa"/>
            <w:gridSpan w:val="2"/>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r>
              <w:rPr>
                <w:rFonts w:hint="eastAsia" w:ascii="宋体" w:hAnsi="宋体" w:cs="Times New Roman"/>
                <w:color w:val="auto"/>
                <w:spacing w:val="0"/>
                <w:sz w:val="24"/>
                <w:highlight w:val="none"/>
              </w:rPr>
              <w:t>职务</w:t>
            </w:r>
          </w:p>
        </w:tc>
        <w:tc>
          <w:tcPr>
            <w:tcW w:w="2610"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840" w:type="dxa"/>
            <w:gridSpan w:val="2"/>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r>
              <w:rPr>
                <w:rFonts w:hint="eastAsia" w:ascii="宋体" w:hAnsi="宋体" w:cs="Times New Roman"/>
                <w:color w:val="auto"/>
                <w:spacing w:val="0"/>
                <w:sz w:val="24"/>
                <w:highlight w:val="none"/>
              </w:rPr>
              <w:t>职称</w:t>
            </w:r>
          </w:p>
        </w:tc>
        <w:tc>
          <w:tcPr>
            <w:tcW w:w="1680" w:type="dxa"/>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1080" w:type="dxa"/>
            <w:gridSpan w:val="2"/>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r>
              <w:rPr>
                <w:rFonts w:hint="eastAsia" w:ascii="宋体" w:hAnsi="宋体" w:cs="Times New Roman"/>
                <w:color w:val="auto"/>
                <w:spacing w:val="0"/>
                <w:sz w:val="24"/>
                <w:highlight w:val="none"/>
              </w:rPr>
              <w:t>学历</w:t>
            </w:r>
          </w:p>
        </w:tc>
        <w:tc>
          <w:tcPr>
            <w:tcW w:w="1800" w:type="dxa"/>
            <w:gridSpan w:val="2"/>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40" w:type="dxa"/>
            <w:gridSpan w:val="2"/>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r>
              <w:rPr>
                <w:rFonts w:hint="eastAsia" w:ascii="宋体" w:hAnsi="宋体" w:cs="Times New Roman"/>
                <w:color w:val="auto"/>
                <w:spacing w:val="0"/>
                <w:sz w:val="24"/>
                <w:highlight w:val="none"/>
              </w:rPr>
              <w:t>参加工作时间</w:t>
            </w:r>
          </w:p>
        </w:tc>
        <w:tc>
          <w:tcPr>
            <w:tcW w:w="1800"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3310" w:type="dxa"/>
            <w:gridSpan w:val="5"/>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r>
              <w:rPr>
                <w:rFonts w:hint="eastAsia" w:ascii="宋体" w:hAnsi="宋体" w:cs="Times New Roman"/>
                <w:color w:val="auto"/>
                <w:spacing w:val="0"/>
                <w:sz w:val="24"/>
                <w:highlight w:val="none"/>
              </w:rPr>
              <w:t>执业或职业资格证书编号</w:t>
            </w:r>
          </w:p>
        </w:tc>
        <w:tc>
          <w:tcPr>
            <w:tcW w:w="1395" w:type="dxa"/>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1"/>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r>
              <w:rPr>
                <w:rFonts w:hint="eastAsia" w:ascii="宋体" w:hAnsi="宋体" w:cs="Times New Roman"/>
                <w:color w:val="auto"/>
                <w:spacing w:val="0"/>
                <w:sz w:val="24"/>
                <w:highlight w:val="none"/>
              </w:rPr>
              <w:t>参与工程项目情况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0"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r>
              <w:rPr>
                <w:rFonts w:hint="eastAsia" w:ascii="宋体" w:hAnsi="宋体" w:cs="Times New Roman"/>
                <w:color w:val="auto"/>
                <w:spacing w:val="0"/>
                <w:sz w:val="24"/>
                <w:highlight w:val="none"/>
              </w:rPr>
              <w:t>建设单位</w:t>
            </w:r>
          </w:p>
        </w:tc>
        <w:tc>
          <w:tcPr>
            <w:tcW w:w="3140" w:type="dxa"/>
            <w:gridSpan w:val="5"/>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r>
              <w:rPr>
                <w:rFonts w:hint="eastAsia" w:ascii="宋体" w:hAnsi="宋体" w:cs="Times New Roman"/>
                <w:color w:val="auto"/>
                <w:spacing w:val="0"/>
                <w:sz w:val="24"/>
                <w:highlight w:val="none"/>
              </w:rPr>
              <w:t>项目名称</w:t>
            </w:r>
          </w:p>
        </w:tc>
        <w:tc>
          <w:tcPr>
            <w:tcW w:w="2445"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r>
              <w:rPr>
                <w:rFonts w:hint="eastAsia" w:ascii="宋体" w:hAnsi="宋体" w:cs="Times New Roman"/>
                <w:color w:val="auto"/>
                <w:spacing w:val="0"/>
                <w:sz w:val="24"/>
                <w:highlight w:val="none"/>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60"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3140" w:type="dxa"/>
            <w:gridSpan w:val="5"/>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2445"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60"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3140" w:type="dxa"/>
            <w:gridSpan w:val="5"/>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2445"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60"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3140" w:type="dxa"/>
            <w:gridSpan w:val="5"/>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2445"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60"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3140" w:type="dxa"/>
            <w:gridSpan w:val="5"/>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2445"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60"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3140" w:type="dxa"/>
            <w:gridSpan w:val="5"/>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2445"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60"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3140" w:type="dxa"/>
            <w:gridSpan w:val="5"/>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2445"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60"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3140" w:type="dxa"/>
            <w:gridSpan w:val="5"/>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2445"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60"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3140" w:type="dxa"/>
            <w:gridSpan w:val="5"/>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2445"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60"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3140" w:type="dxa"/>
            <w:gridSpan w:val="5"/>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2445"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60"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3140" w:type="dxa"/>
            <w:gridSpan w:val="5"/>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2445"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60"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3140" w:type="dxa"/>
            <w:gridSpan w:val="5"/>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2445"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60"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3140" w:type="dxa"/>
            <w:gridSpan w:val="5"/>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2445"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60"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3140" w:type="dxa"/>
            <w:gridSpan w:val="5"/>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c>
          <w:tcPr>
            <w:tcW w:w="2445" w:type="dxa"/>
            <w:gridSpan w:val="3"/>
            <w:noWrap w:val="0"/>
            <w:vAlign w:val="center"/>
          </w:tcPr>
          <w:p>
            <w:pPr>
              <w:keepNext w:val="0"/>
              <w:keepLines w:val="0"/>
              <w:pageBreakBefore w:val="0"/>
              <w:widowControl w:val="0"/>
              <w:suppressLineNumbers w:val="0"/>
              <w:kinsoku/>
              <w:overflowPunct/>
              <w:bidi w:val="0"/>
              <w:spacing w:before="0" w:beforeAutospacing="0" w:after="0" w:afterAutospacing="0"/>
              <w:ind w:left="0" w:right="0"/>
              <w:jc w:val="center"/>
              <w:rPr>
                <w:rFonts w:hint="eastAsia" w:ascii="宋体" w:hAnsi="宋体" w:cs="Times New Roman"/>
                <w:color w:val="auto"/>
                <w:spacing w:val="0"/>
                <w:sz w:val="24"/>
                <w:highlight w:val="none"/>
              </w:rPr>
            </w:pPr>
          </w:p>
        </w:tc>
      </w:tr>
    </w:tbl>
    <w:p>
      <w:pPr>
        <w:keepNext w:val="0"/>
        <w:keepLines w:val="0"/>
        <w:pageBreakBefore w:val="0"/>
        <w:widowControl w:val="0"/>
        <w:kinsoku/>
        <w:wordWrap/>
        <w:overflowPunct/>
        <w:topLinePunct w:val="0"/>
        <w:autoSpaceDE/>
        <w:autoSpaceDN/>
        <w:bidi w:val="0"/>
        <w:adjustRightInd/>
        <w:snapToGrid/>
        <w:textAlignment w:val="baseline"/>
        <w:rPr>
          <w:rFonts w:hint="eastAsia" w:ascii="Times New Roman" w:hAnsi="Times New Roman" w:eastAsia="宋体" w:cs="Times New Roman"/>
          <w:color w:val="auto"/>
          <w:spacing w:val="0"/>
          <w:sz w:val="24"/>
          <w:szCs w:val="24"/>
          <w:highlight w:val="none"/>
          <w:lang w:val="zh-CN"/>
        </w:rPr>
      </w:pPr>
      <w:r>
        <w:rPr>
          <w:rFonts w:hint="eastAsia" w:ascii="Times New Roman" w:hAnsi="Times New Roman" w:eastAsia="宋体" w:cs="Times New Roman"/>
          <w:color w:val="auto"/>
          <w:spacing w:val="0"/>
          <w:sz w:val="24"/>
          <w:szCs w:val="24"/>
          <w:highlight w:val="none"/>
          <w:lang w:val="zh-CN"/>
        </w:rPr>
        <w:t>注：投标人应根据《综合评分表》的要求在本表后附相关证明材料。</w:t>
      </w:r>
    </w:p>
    <w:p>
      <w:pPr>
        <w:keepNext w:val="0"/>
        <w:keepLines w:val="0"/>
        <w:pageBreakBefore w:val="0"/>
        <w:widowControl w:val="0"/>
        <w:kinsoku/>
        <w:wordWrap/>
        <w:overflowPunct/>
        <w:topLinePunct w:val="0"/>
        <w:autoSpaceDE/>
        <w:autoSpaceDN/>
        <w:bidi w:val="0"/>
        <w:adjustRightInd/>
        <w:snapToGrid/>
        <w:textAlignment w:val="baseline"/>
        <w:outlineLvl w:val="9"/>
        <w:rPr>
          <w:rFonts w:hint="eastAsia" w:ascii="Times New Roman" w:hAnsi="Times New Roman" w:eastAsia="宋体" w:cs="Times New Roman"/>
          <w:color w:val="auto"/>
          <w:spacing w:val="0"/>
          <w:sz w:val="24"/>
          <w:szCs w:val="24"/>
          <w:highlight w:val="none"/>
          <w:lang w:val="zh-CN"/>
        </w:rPr>
      </w:pPr>
      <w:bookmarkStart w:id="518" w:name="_Toc30398"/>
      <w:r>
        <w:rPr>
          <w:rFonts w:hint="eastAsia" w:ascii="Times New Roman" w:hAnsi="Times New Roman" w:eastAsia="宋体" w:cs="Times New Roman"/>
          <w:color w:val="auto"/>
          <w:spacing w:val="0"/>
          <w:sz w:val="24"/>
          <w:szCs w:val="24"/>
          <w:highlight w:val="none"/>
          <w:lang w:val="zh-CN"/>
        </w:rPr>
        <w:br w:type="page"/>
      </w:r>
    </w:p>
    <w:p>
      <w:pPr>
        <w:pStyle w:val="2"/>
        <w:keepNext w:val="0"/>
        <w:keepLines w:val="0"/>
        <w:pageBreakBefore w:val="0"/>
        <w:kinsoku/>
        <w:wordWrap/>
        <w:overflowPunct/>
        <w:topLinePunct w:val="0"/>
        <w:autoSpaceDE/>
        <w:autoSpaceDN/>
        <w:bidi w:val="0"/>
        <w:adjustRightInd/>
        <w:snapToGrid/>
        <w:ind w:left="0" w:leftChars="0" w:firstLine="0" w:firstLineChars="0"/>
        <w:textAlignment w:val="baseline"/>
        <w:outlineLvl w:val="9"/>
        <w:rPr>
          <w:rFonts w:hint="eastAsia"/>
          <w:color w:val="auto"/>
          <w:lang w:val="zh-CN"/>
        </w:rPr>
      </w:pPr>
    </w:p>
    <w:p>
      <w:pPr>
        <w:keepNext w:val="0"/>
        <w:keepLines w:val="0"/>
        <w:pageBreakBefore w:val="0"/>
        <w:widowControl w:val="0"/>
        <w:kinsoku/>
        <w:wordWrap/>
        <w:overflowPunct/>
        <w:topLinePunct w:val="0"/>
        <w:autoSpaceDE/>
        <w:autoSpaceDN/>
        <w:bidi w:val="0"/>
        <w:adjustRightInd/>
        <w:snapToGrid/>
        <w:spacing w:before="0" w:after="0" w:line="360" w:lineRule="auto"/>
        <w:ind w:firstLine="151" w:firstLineChars="50"/>
        <w:textAlignment w:val="baseline"/>
        <w:outlineLvl w:val="9"/>
        <w:rPr>
          <w:rFonts w:hint="eastAsia" w:ascii="宋体" w:hAnsi="宋体" w:eastAsia="宋体" w:cs="宋体"/>
          <w:b/>
          <w:bCs/>
          <w:color w:val="auto"/>
          <w:spacing w:val="0"/>
          <w:sz w:val="30"/>
          <w:szCs w:val="30"/>
          <w:highlight w:val="none"/>
          <w:lang w:val="en-US" w:eastAsia="zh-CN"/>
        </w:rPr>
      </w:pPr>
      <w:r>
        <w:rPr>
          <w:rFonts w:hint="eastAsia" w:ascii="宋体" w:hAnsi="宋体" w:eastAsia="宋体" w:cs="宋体"/>
          <w:b/>
          <w:bCs/>
          <w:color w:val="auto"/>
          <w:spacing w:val="0"/>
          <w:sz w:val="30"/>
          <w:szCs w:val="30"/>
          <w:highlight w:val="none"/>
          <w:lang w:val="en-US" w:eastAsia="zh-CN"/>
        </w:rPr>
        <w:t>3、项目机构人员配备情况辅助说明资料</w:t>
      </w:r>
      <w:bookmarkEnd w:id="518"/>
    </w:p>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eastAsia"/>
          <w:color w:val="auto"/>
          <w:spacing w:val="0"/>
          <w:highlight w:val="none"/>
        </w:rPr>
      </w:pP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baseline"/>
        <w:outlineLvl w:val="9"/>
        <w:rPr>
          <w:rFonts w:hint="eastAsia"/>
          <w:color w:val="auto"/>
        </w:rPr>
      </w:pPr>
    </w:p>
    <w:p>
      <w:pPr>
        <w:keepNext w:val="0"/>
        <w:keepLines w:val="0"/>
        <w:pageBreakBefore w:val="0"/>
        <w:widowControl w:val="0"/>
        <w:kinsoku/>
        <w:wordWrap/>
        <w:overflowPunct/>
        <w:topLinePunct w:val="0"/>
        <w:autoSpaceDE/>
        <w:autoSpaceDN/>
        <w:bidi w:val="0"/>
        <w:adjustRightInd/>
        <w:snapToGrid/>
        <w:jc w:val="center"/>
        <w:textAlignment w:val="baseline"/>
        <w:outlineLvl w:val="9"/>
        <w:rPr>
          <w:rFonts w:hint="eastAsia" w:ascii="宋体" w:hAnsi="宋体" w:cs="宋体"/>
          <w:color w:val="auto"/>
          <w:spacing w:val="0"/>
          <w:sz w:val="30"/>
          <w:szCs w:val="30"/>
          <w:highlight w:val="none"/>
        </w:rPr>
      </w:pPr>
      <w:r>
        <w:rPr>
          <w:rFonts w:hint="eastAsia" w:ascii="宋体" w:hAnsi="宋体" w:cs="宋体"/>
          <w:color w:val="auto"/>
          <w:spacing w:val="0"/>
          <w:sz w:val="30"/>
          <w:szCs w:val="30"/>
          <w:highlight w:val="none"/>
        </w:rPr>
        <w:t>（格式自定）</w:t>
      </w:r>
    </w:p>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eastAsia" w:ascii="Times New Roman" w:hAnsi="Times New Roman" w:eastAsia="宋体" w:cs="Times New Roman"/>
          <w:color w:val="auto"/>
          <w:spacing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eastAsia" w:ascii="Times New Roman" w:hAnsi="Times New Roman" w:eastAsia="宋体" w:cs="Times New Roman"/>
          <w:color w:val="auto"/>
          <w:spacing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eastAsia" w:ascii="Times New Roman" w:hAnsi="Times New Roman" w:eastAsia="宋体" w:cs="Times New Roman"/>
          <w:color w:val="auto"/>
          <w:spacing w:val="0"/>
          <w:sz w:val="24"/>
          <w:szCs w:val="24"/>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9"/>
        <w:rPr>
          <w:rFonts w:hint="eastAsia" w:ascii="Times New Roman" w:hAnsi="Times New Roman" w:eastAsia="宋体" w:cs="Times New Roman"/>
          <w:color w:val="auto"/>
          <w:spacing w:val="0"/>
          <w:sz w:val="24"/>
          <w:szCs w:val="24"/>
          <w:highlight w:val="none"/>
        </w:rPr>
      </w:pPr>
      <w:r>
        <w:rPr>
          <w:rFonts w:hint="eastAsia" w:ascii="Times New Roman" w:hAnsi="Times New Roman" w:eastAsia="宋体" w:cs="Times New Roman"/>
          <w:color w:val="auto"/>
          <w:spacing w:val="0"/>
          <w:sz w:val="24"/>
          <w:szCs w:val="24"/>
          <w:highlight w:val="none"/>
        </w:rPr>
        <w:br w:type="page"/>
      </w:r>
    </w:p>
    <w:p>
      <w:pPr>
        <w:keepNext w:val="0"/>
        <w:keepLines w:val="0"/>
        <w:pageBreakBefore w:val="0"/>
        <w:widowControl w:val="0"/>
        <w:kinsoku/>
        <w:wordWrap/>
        <w:overflowPunct/>
        <w:topLinePunct w:val="0"/>
        <w:autoSpaceDE/>
        <w:autoSpaceDN/>
        <w:bidi w:val="0"/>
        <w:adjustRightInd/>
        <w:snapToGrid/>
        <w:textAlignment w:val="baseline"/>
        <w:outlineLvl w:val="9"/>
        <w:rPr>
          <w:rFonts w:hint="eastAsia" w:ascii="Times New Roman" w:hAnsi="Times New Roman" w:eastAsia="宋体" w:cs="Times New Roman"/>
          <w:color w:val="auto"/>
          <w:spacing w:val="0"/>
          <w:highlight w:val="none"/>
          <w:lang w:val="zh-CN"/>
        </w:rPr>
      </w:pPr>
      <w:bookmarkStart w:id="519" w:name="_Toc25691"/>
      <w:bookmarkStart w:id="520" w:name="_Toc28075"/>
    </w:p>
    <w:p>
      <w:pPr>
        <w:pStyle w:val="100"/>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baseline"/>
        <w:outlineLvl w:val="9"/>
        <w:rPr>
          <w:rStyle w:val="63"/>
          <w:rFonts w:hint="eastAsia" w:ascii="宋体" w:hAnsi="宋体" w:eastAsia="宋体" w:cs="Times New Roman"/>
          <w:color w:val="auto"/>
          <w:spacing w:val="0"/>
          <w:sz w:val="32"/>
          <w:szCs w:val="20"/>
          <w:highlight w:val="none"/>
          <w:lang w:val="en-US" w:eastAsia="zh-CN"/>
        </w:rPr>
      </w:pPr>
      <w:bookmarkStart w:id="521" w:name="_Toc30848"/>
      <w:bookmarkStart w:id="522" w:name="_Toc17798"/>
      <w:r>
        <w:rPr>
          <w:rStyle w:val="63"/>
          <w:rFonts w:hint="eastAsia" w:ascii="宋体" w:hAnsi="宋体" w:eastAsia="宋体" w:cs="Times New Roman"/>
          <w:color w:val="auto"/>
          <w:spacing w:val="0"/>
          <w:sz w:val="32"/>
          <w:szCs w:val="20"/>
          <w:highlight w:val="none"/>
          <w:lang w:val="en-US" w:eastAsia="zh-CN"/>
        </w:rPr>
        <w:t>八、其他资料</w:t>
      </w:r>
      <w:bookmarkEnd w:id="519"/>
      <w:bookmarkEnd w:id="520"/>
      <w:bookmarkEnd w:id="521"/>
      <w:bookmarkEnd w:id="522"/>
    </w:p>
    <w:p>
      <w:pPr>
        <w:keepNext w:val="0"/>
        <w:keepLines w:val="0"/>
        <w:pageBreakBefore w:val="0"/>
        <w:widowControl w:val="0"/>
        <w:kinsoku/>
        <w:wordWrap/>
        <w:overflowPunct/>
        <w:topLinePunct w:val="0"/>
        <w:autoSpaceDE/>
        <w:autoSpaceDN/>
        <w:bidi w:val="0"/>
        <w:adjustRightInd/>
        <w:snapToGrid/>
        <w:spacing w:line="360" w:lineRule="auto"/>
        <w:jc w:val="both"/>
        <w:textAlignment w:val="baseline"/>
        <w:outlineLvl w:val="9"/>
        <w:rPr>
          <w:rStyle w:val="63"/>
          <w:rFonts w:ascii="宋体" w:hAnsi="宋体" w:eastAsia="宋体" w:cs="Times New Roman"/>
          <w:color w:val="auto"/>
          <w:spacing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baseline"/>
        <w:outlineLvl w:val="9"/>
        <w:rPr>
          <w:rStyle w:val="63"/>
          <w:rFonts w:ascii="宋体" w:hAnsi="宋体" w:eastAsia="宋体" w:cs="Times New Roman"/>
          <w:color w:val="auto"/>
          <w:spacing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outlineLvl w:val="9"/>
        <w:rPr>
          <w:rStyle w:val="63"/>
          <w:rFonts w:ascii="宋体" w:hAnsi="宋体"/>
          <w:color w:val="auto"/>
          <w:spacing w:val="0"/>
          <w:sz w:val="24"/>
          <w:szCs w:val="24"/>
          <w:highlight w:val="none"/>
        </w:rPr>
      </w:pPr>
      <w:bookmarkStart w:id="523" w:name="_Toc20685"/>
      <w:bookmarkStart w:id="524" w:name="_Toc22024"/>
      <w:r>
        <w:rPr>
          <w:rStyle w:val="63"/>
          <w:rFonts w:ascii="宋体" w:hAnsi="宋体"/>
          <w:color w:val="auto"/>
          <w:spacing w:val="0"/>
          <w:sz w:val="24"/>
          <w:szCs w:val="24"/>
          <w:highlight w:val="none"/>
        </w:rPr>
        <w:t>投标人认为有必要提交的其他资料，格式自定。</w:t>
      </w:r>
      <w:bookmarkEnd w:id="523"/>
      <w:bookmarkEnd w:id="524"/>
    </w:p>
    <w:p>
      <w:pPr>
        <w:keepNext w:val="0"/>
        <w:keepLines w:val="0"/>
        <w:pageBreakBefore w:val="0"/>
        <w:widowControl w:val="0"/>
        <w:kinsoku/>
        <w:wordWrap/>
        <w:overflowPunct/>
        <w:topLinePunct w:val="0"/>
        <w:autoSpaceDE/>
        <w:autoSpaceDN/>
        <w:bidi w:val="0"/>
        <w:adjustRightInd/>
        <w:snapToGrid/>
        <w:spacing w:line="360" w:lineRule="auto"/>
        <w:jc w:val="both"/>
        <w:textAlignment w:val="baseline"/>
        <w:outlineLvl w:val="9"/>
        <w:rPr>
          <w:rStyle w:val="63"/>
          <w:rFonts w:ascii="宋体" w:hAnsi="宋体" w:eastAsia="宋体" w:cs="Times New Roman"/>
          <w:color w:val="auto"/>
          <w:spacing w:val="0"/>
          <w:sz w:val="24"/>
          <w:szCs w:val="24"/>
          <w:highlight w:val="none"/>
        </w:rPr>
      </w:pPr>
    </w:p>
    <w:sectPr>
      <w:pgSz w:w="11907" w:h="16839"/>
      <w:pgMar w:top="1361" w:right="1587" w:bottom="1361" w:left="1587" w:header="720" w:footer="890" w:gutter="0"/>
      <w:pgBorders>
        <w:top w:val="none" w:sz="0" w:space="0"/>
        <w:left w:val="none" w:sz="0" w:space="0"/>
        <w:bottom w:val="none" w:sz="0" w:space="0"/>
        <w:right w:val="none" w:sz="0" w:space="0"/>
      </w:pgBorders>
      <w:cols w:space="72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Style w:val="63"/>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Style w:val="63"/>
        <w:sz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before="120" w:beforeLines="50" w:after="120" w:afterLines="50"/>
      <w:jc w:val="left"/>
      <w:rPr>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8C1E68"/>
    <w:multiLevelType w:val="singleLevel"/>
    <w:tmpl w:val="5F8C1E6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NTUwNzA5ODY2MjBjMTY3NWYxNDhkNDliZjQ3NjYifQ=="/>
  </w:docVars>
  <w:rsids>
    <w:rsidRoot w:val="00172A27"/>
    <w:rsid w:val="00007332"/>
    <w:rsid w:val="00027F32"/>
    <w:rsid w:val="00091A53"/>
    <w:rsid w:val="00117FB8"/>
    <w:rsid w:val="0014343B"/>
    <w:rsid w:val="00150C0D"/>
    <w:rsid w:val="0019061F"/>
    <w:rsid w:val="001970BF"/>
    <w:rsid w:val="001B6180"/>
    <w:rsid w:val="001C4444"/>
    <w:rsid w:val="001D364F"/>
    <w:rsid w:val="00242A0D"/>
    <w:rsid w:val="00266F22"/>
    <w:rsid w:val="002A309C"/>
    <w:rsid w:val="002B6C05"/>
    <w:rsid w:val="002D163E"/>
    <w:rsid w:val="002D65B1"/>
    <w:rsid w:val="0031456F"/>
    <w:rsid w:val="003316C6"/>
    <w:rsid w:val="00374FDE"/>
    <w:rsid w:val="00392233"/>
    <w:rsid w:val="003C0433"/>
    <w:rsid w:val="003D1180"/>
    <w:rsid w:val="003F4564"/>
    <w:rsid w:val="00411A0D"/>
    <w:rsid w:val="00426766"/>
    <w:rsid w:val="00433E22"/>
    <w:rsid w:val="00445738"/>
    <w:rsid w:val="004530D3"/>
    <w:rsid w:val="00495E4E"/>
    <w:rsid w:val="004C4D39"/>
    <w:rsid w:val="004C5D5E"/>
    <w:rsid w:val="004C6244"/>
    <w:rsid w:val="004D2342"/>
    <w:rsid w:val="004F442E"/>
    <w:rsid w:val="005175E0"/>
    <w:rsid w:val="00522953"/>
    <w:rsid w:val="00525BCD"/>
    <w:rsid w:val="005269FB"/>
    <w:rsid w:val="0053526F"/>
    <w:rsid w:val="00561DBB"/>
    <w:rsid w:val="0057130F"/>
    <w:rsid w:val="0059083D"/>
    <w:rsid w:val="005C585D"/>
    <w:rsid w:val="005D75BC"/>
    <w:rsid w:val="00630BC7"/>
    <w:rsid w:val="00686FA6"/>
    <w:rsid w:val="006A0A68"/>
    <w:rsid w:val="006C086D"/>
    <w:rsid w:val="006C43EF"/>
    <w:rsid w:val="00726227"/>
    <w:rsid w:val="007769CB"/>
    <w:rsid w:val="007D1C46"/>
    <w:rsid w:val="008151BE"/>
    <w:rsid w:val="008666CE"/>
    <w:rsid w:val="00893D6C"/>
    <w:rsid w:val="008F1044"/>
    <w:rsid w:val="00904D96"/>
    <w:rsid w:val="009069B0"/>
    <w:rsid w:val="009141F9"/>
    <w:rsid w:val="00926AE9"/>
    <w:rsid w:val="00946545"/>
    <w:rsid w:val="009603C2"/>
    <w:rsid w:val="009654B5"/>
    <w:rsid w:val="00974294"/>
    <w:rsid w:val="009D6CD1"/>
    <w:rsid w:val="00A10F4D"/>
    <w:rsid w:val="00A14076"/>
    <w:rsid w:val="00A54725"/>
    <w:rsid w:val="00A567EB"/>
    <w:rsid w:val="00A67382"/>
    <w:rsid w:val="00A83C71"/>
    <w:rsid w:val="00AA2CE0"/>
    <w:rsid w:val="00AB7EE1"/>
    <w:rsid w:val="00AF33CD"/>
    <w:rsid w:val="00B07D0A"/>
    <w:rsid w:val="00B20998"/>
    <w:rsid w:val="00B35F13"/>
    <w:rsid w:val="00B54998"/>
    <w:rsid w:val="00B649AD"/>
    <w:rsid w:val="00B74F3B"/>
    <w:rsid w:val="00B77720"/>
    <w:rsid w:val="00BD0174"/>
    <w:rsid w:val="00BD76AC"/>
    <w:rsid w:val="00C108C2"/>
    <w:rsid w:val="00C26836"/>
    <w:rsid w:val="00C661C1"/>
    <w:rsid w:val="00C72788"/>
    <w:rsid w:val="00C764D2"/>
    <w:rsid w:val="00C82755"/>
    <w:rsid w:val="00C92D24"/>
    <w:rsid w:val="00CA6625"/>
    <w:rsid w:val="00CD35A1"/>
    <w:rsid w:val="00D37EEC"/>
    <w:rsid w:val="00D51729"/>
    <w:rsid w:val="00D628F4"/>
    <w:rsid w:val="00D85576"/>
    <w:rsid w:val="00DA26CE"/>
    <w:rsid w:val="00DD33BF"/>
    <w:rsid w:val="00E37739"/>
    <w:rsid w:val="00E54321"/>
    <w:rsid w:val="00E66C90"/>
    <w:rsid w:val="00EB1FA5"/>
    <w:rsid w:val="00FA2F52"/>
    <w:rsid w:val="00FA6299"/>
    <w:rsid w:val="00FD1A03"/>
    <w:rsid w:val="00FD5289"/>
    <w:rsid w:val="00FE21D9"/>
    <w:rsid w:val="00FF0948"/>
    <w:rsid w:val="01364F5E"/>
    <w:rsid w:val="01400AD8"/>
    <w:rsid w:val="014933F4"/>
    <w:rsid w:val="01721323"/>
    <w:rsid w:val="01A614BE"/>
    <w:rsid w:val="01D57CF6"/>
    <w:rsid w:val="01F55FF7"/>
    <w:rsid w:val="01FF2189"/>
    <w:rsid w:val="02111E25"/>
    <w:rsid w:val="022724D2"/>
    <w:rsid w:val="02546877"/>
    <w:rsid w:val="02C74553"/>
    <w:rsid w:val="033F28F7"/>
    <w:rsid w:val="03512DDF"/>
    <w:rsid w:val="0371281F"/>
    <w:rsid w:val="03911A05"/>
    <w:rsid w:val="03967080"/>
    <w:rsid w:val="03AF206E"/>
    <w:rsid w:val="04B24EC3"/>
    <w:rsid w:val="050A0DD5"/>
    <w:rsid w:val="053463E9"/>
    <w:rsid w:val="05381302"/>
    <w:rsid w:val="05713983"/>
    <w:rsid w:val="059913C0"/>
    <w:rsid w:val="059D4127"/>
    <w:rsid w:val="05FA3B0A"/>
    <w:rsid w:val="05FF3530"/>
    <w:rsid w:val="0629290D"/>
    <w:rsid w:val="069955C5"/>
    <w:rsid w:val="06BA5D5D"/>
    <w:rsid w:val="071F7384"/>
    <w:rsid w:val="07355C02"/>
    <w:rsid w:val="074F100F"/>
    <w:rsid w:val="076F00F2"/>
    <w:rsid w:val="07B924A3"/>
    <w:rsid w:val="07ED7ACB"/>
    <w:rsid w:val="082534C4"/>
    <w:rsid w:val="08967BF5"/>
    <w:rsid w:val="08CA0D4B"/>
    <w:rsid w:val="08E3235F"/>
    <w:rsid w:val="0915082E"/>
    <w:rsid w:val="09352C0E"/>
    <w:rsid w:val="096F7727"/>
    <w:rsid w:val="09AA1BC0"/>
    <w:rsid w:val="09D84A54"/>
    <w:rsid w:val="09FA2B15"/>
    <w:rsid w:val="0A015239"/>
    <w:rsid w:val="0A0F50A7"/>
    <w:rsid w:val="0A406970"/>
    <w:rsid w:val="0A4353D8"/>
    <w:rsid w:val="0A492288"/>
    <w:rsid w:val="0A494716"/>
    <w:rsid w:val="0A546E6A"/>
    <w:rsid w:val="0A550391"/>
    <w:rsid w:val="0A7D7455"/>
    <w:rsid w:val="0ABE5997"/>
    <w:rsid w:val="0AD21A94"/>
    <w:rsid w:val="0ADB7D53"/>
    <w:rsid w:val="0AFC55BB"/>
    <w:rsid w:val="0B1316BA"/>
    <w:rsid w:val="0B1C253F"/>
    <w:rsid w:val="0B3421C4"/>
    <w:rsid w:val="0B40288E"/>
    <w:rsid w:val="0B4849EF"/>
    <w:rsid w:val="0B501F71"/>
    <w:rsid w:val="0B8B472A"/>
    <w:rsid w:val="0BBF41AC"/>
    <w:rsid w:val="0C0444C5"/>
    <w:rsid w:val="0C0A1324"/>
    <w:rsid w:val="0C1A570D"/>
    <w:rsid w:val="0C4949F7"/>
    <w:rsid w:val="0C522033"/>
    <w:rsid w:val="0C782D6C"/>
    <w:rsid w:val="0C7D2D27"/>
    <w:rsid w:val="0D4203DD"/>
    <w:rsid w:val="0D9261CE"/>
    <w:rsid w:val="0DB22A4B"/>
    <w:rsid w:val="0DF3681D"/>
    <w:rsid w:val="0DFD0BFC"/>
    <w:rsid w:val="0E123B09"/>
    <w:rsid w:val="0EAA2CC8"/>
    <w:rsid w:val="0EB54CFF"/>
    <w:rsid w:val="0ECD11F2"/>
    <w:rsid w:val="0EF21EFF"/>
    <w:rsid w:val="0F7A00CD"/>
    <w:rsid w:val="0F8861EF"/>
    <w:rsid w:val="0FA231BE"/>
    <w:rsid w:val="0FA7233A"/>
    <w:rsid w:val="0FA73B25"/>
    <w:rsid w:val="0FB80B36"/>
    <w:rsid w:val="10132717"/>
    <w:rsid w:val="104457BF"/>
    <w:rsid w:val="1064689A"/>
    <w:rsid w:val="10AD004F"/>
    <w:rsid w:val="11183F28"/>
    <w:rsid w:val="11236772"/>
    <w:rsid w:val="117978C3"/>
    <w:rsid w:val="11827661"/>
    <w:rsid w:val="11942AA4"/>
    <w:rsid w:val="11C4112A"/>
    <w:rsid w:val="11C90B92"/>
    <w:rsid w:val="125A2836"/>
    <w:rsid w:val="12F8317D"/>
    <w:rsid w:val="130455C7"/>
    <w:rsid w:val="131455FB"/>
    <w:rsid w:val="13660438"/>
    <w:rsid w:val="13F06513"/>
    <w:rsid w:val="13F16198"/>
    <w:rsid w:val="13F555FE"/>
    <w:rsid w:val="141F77C1"/>
    <w:rsid w:val="14220083"/>
    <w:rsid w:val="146F05E0"/>
    <w:rsid w:val="147A61A9"/>
    <w:rsid w:val="14CF5C00"/>
    <w:rsid w:val="153D19C0"/>
    <w:rsid w:val="15576F4E"/>
    <w:rsid w:val="15593602"/>
    <w:rsid w:val="157D4D3E"/>
    <w:rsid w:val="15800F0C"/>
    <w:rsid w:val="15810F64"/>
    <w:rsid w:val="160B007A"/>
    <w:rsid w:val="162716E7"/>
    <w:rsid w:val="167D6111"/>
    <w:rsid w:val="169C7F7D"/>
    <w:rsid w:val="16C8346F"/>
    <w:rsid w:val="16D5191C"/>
    <w:rsid w:val="16E24FA6"/>
    <w:rsid w:val="16F2574B"/>
    <w:rsid w:val="171833A6"/>
    <w:rsid w:val="176064A2"/>
    <w:rsid w:val="176E7010"/>
    <w:rsid w:val="17B92418"/>
    <w:rsid w:val="17DE6CF9"/>
    <w:rsid w:val="18014140"/>
    <w:rsid w:val="183E64EE"/>
    <w:rsid w:val="1859427A"/>
    <w:rsid w:val="186F7DC1"/>
    <w:rsid w:val="187B6CCB"/>
    <w:rsid w:val="18AE45FE"/>
    <w:rsid w:val="18D20916"/>
    <w:rsid w:val="18DF0CB0"/>
    <w:rsid w:val="18F11B7B"/>
    <w:rsid w:val="18F121F9"/>
    <w:rsid w:val="1938661F"/>
    <w:rsid w:val="199D17EA"/>
    <w:rsid w:val="19AB72FE"/>
    <w:rsid w:val="19DA31B0"/>
    <w:rsid w:val="1A12156C"/>
    <w:rsid w:val="1A865934"/>
    <w:rsid w:val="1AB4778D"/>
    <w:rsid w:val="1AF301A0"/>
    <w:rsid w:val="1B0E01D5"/>
    <w:rsid w:val="1B1B5EF9"/>
    <w:rsid w:val="1B2E29CF"/>
    <w:rsid w:val="1B59670C"/>
    <w:rsid w:val="1B762245"/>
    <w:rsid w:val="1B776F9B"/>
    <w:rsid w:val="1B7F4FE1"/>
    <w:rsid w:val="1B8F0BFE"/>
    <w:rsid w:val="1BEE0B16"/>
    <w:rsid w:val="1C270752"/>
    <w:rsid w:val="1C511068"/>
    <w:rsid w:val="1CB031B2"/>
    <w:rsid w:val="1CB06329"/>
    <w:rsid w:val="1CC34A3E"/>
    <w:rsid w:val="1CD71CD1"/>
    <w:rsid w:val="1D295CD5"/>
    <w:rsid w:val="1DA25B73"/>
    <w:rsid w:val="1DBB4563"/>
    <w:rsid w:val="1DD6498D"/>
    <w:rsid w:val="1DFA2951"/>
    <w:rsid w:val="1E0E72B5"/>
    <w:rsid w:val="1E1D48B5"/>
    <w:rsid w:val="1E245842"/>
    <w:rsid w:val="1E412D2D"/>
    <w:rsid w:val="1E594F0C"/>
    <w:rsid w:val="1E957950"/>
    <w:rsid w:val="1E9823D6"/>
    <w:rsid w:val="1EBD4478"/>
    <w:rsid w:val="1ED576DA"/>
    <w:rsid w:val="1ED8700F"/>
    <w:rsid w:val="1EE649DB"/>
    <w:rsid w:val="1F556B01"/>
    <w:rsid w:val="1F675CB6"/>
    <w:rsid w:val="1F7E26B9"/>
    <w:rsid w:val="1FDA178F"/>
    <w:rsid w:val="1FDE6B45"/>
    <w:rsid w:val="20025598"/>
    <w:rsid w:val="2058589F"/>
    <w:rsid w:val="20600F21"/>
    <w:rsid w:val="207C609F"/>
    <w:rsid w:val="20B000F1"/>
    <w:rsid w:val="20CE7DE1"/>
    <w:rsid w:val="20DC1D3B"/>
    <w:rsid w:val="20F76666"/>
    <w:rsid w:val="2221328A"/>
    <w:rsid w:val="22A1441A"/>
    <w:rsid w:val="22BA5486"/>
    <w:rsid w:val="22D84106"/>
    <w:rsid w:val="22E4044C"/>
    <w:rsid w:val="23167E6C"/>
    <w:rsid w:val="234B7F36"/>
    <w:rsid w:val="236D60C4"/>
    <w:rsid w:val="23841230"/>
    <w:rsid w:val="23DC1FDA"/>
    <w:rsid w:val="23ED0ACF"/>
    <w:rsid w:val="245A12B2"/>
    <w:rsid w:val="2467784A"/>
    <w:rsid w:val="24B32340"/>
    <w:rsid w:val="24D8748C"/>
    <w:rsid w:val="24F14CA9"/>
    <w:rsid w:val="25A26925"/>
    <w:rsid w:val="25A91774"/>
    <w:rsid w:val="25CD2937"/>
    <w:rsid w:val="25EA2CC2"/>
    <w:rsid w:val="26031625"/>
    <w:rsid w:val="262B7DA0"/>
    <w:rsid w:val="26656E6E"/>
    <w:rsid w:val="26720CDC"/>
    <w:rsid w:val="268164D1"/>
    <w:rsid w:val="269178DF"/>
    <w:rsid w:val="270451E7"/>
    <w:rsid w:val="27237E16"/>
    <w:rsid w:val="273D00F1"/>
    <w:rsid w:val="27C70C64"/>
    <w:rsid w:val="27FA6213"/>
    <w:rsid w:val="28385D8A"/>
    <w:rsid w:val="283873F1"/>
    <w:rsid w:val="289566A3"/>
    <w:rsid w:val="28D01566"/>
    <w:rsid w:val="294F113A"/>
    <w:rsid w:val="29524897"/>
    <w:rsid w:val="29622D86"/>
    <w:rsid w:val="29652F79"/>
    <w:rsid w:val="297E1D27"/>
    <w:rsid w:val="29C24F21"/>
    <w:rsid w:val="29F91233"/>
    <w:rsid w:val="2A3D3D06"/>
    <w:rsid w:val="2A873C46"/>
    <w:rsid w:val="2AB2373B"/>
    <w:rsid w:val="2B1B7B9A"/>
    <w:rsid w:val="2B2B7DB9"/>
    <w:rsid w:val="2B417007"/>
    <w:rsid w:val="2B7A2E26"/>
    <w:rsid w:val="2B882990"/>
    <w:rsid w:val="2BAC261D"/>
    <w:rsid w:val="2C2B6CF1"/>
    <w:rsid w:val="2C4109CF"/>
    <w:rsid w:val="2C7072E8"/>
    <w:rsid w:val="2C8716C8"/>
    <w:rsid w:val="2CB252D6"/>
    <w:rsid w:val="2CBE3A23"/>
    <w:rsid w:val="2CC20316"/>
    <w:rsid w:val="2CC37EF1"/>
    <w:rsid w:val="2CE67747"/>
    <w:rsid w:val="2CEA6767"/>
    <w:rsid w:val="2CF12301"/>
    <w:rsid w:val="2CF16F49"/>
    <w:rsid w:val="2CF77329"/>
    <w:rsid w:val="2CF940FB"/>
    <w:rsid w:val="2D0427A7"/>
    <w:rsid w:val="2D0C544B"/>
    <w:rsid w:val="2D892AD1"/>
    <w:rsid w:val="2DB92E63"/>
    <w:rsid w:val="2DE30386"/>
    <w:rsid w:val="2DED66D2"/>
    <w:rsid w:val="2DEE174A"/>
    <w:rsid w:val="2E0E404D"/>
    <w:rsid w:val="2E173033"/>
    <w:rsid w:val="2E896DCD"/>
    <w:rsid w:val="2E976870"/>
    <w:rsid w:val="2EB63408"/>
    <w:rsid w:val="2EE56AD8"/>
    <w:rsid w:val="2F3D0B11"/>
    <w:rsid w:val="2F5C16AA"/>
    <w:rsid w:val="30222CB1"/>
    <w:rsid w:val="303F7CAF"/>
    <w:rsid w:val="304A3EEA"/>
    <w:rsid w:val="305417E4"/>
    <w:rsid w:val="306972BC"/>
    <w:rsid w:val="30827EB2"/>
    <w:rsid w:val="308F28B5"/>
    <w:rsid w:val="30A45AD9"/>
    <w:rsid w:val="30C7013A"/>
    <w:rsid w:val="313015F9"/>
    <w:rsid w:val="315D3F4C"/>
    <w:rsid w:val="315D692C"/>
    <w:rsid w:val="31757185"/>
    <w:rsid w:val="32000F15"/>
    <w:rsid w:val="322D5BF2"/>
    <w:rsid w:val="3260205E"/>
    <w:rsid w:val="326953F5"/>
    <w:rsid w:val="329F2C5B"/>
    <w:rsid w:val="32A16FB2"/>
    <w:rsid w:val="32DA5C92"/>
    <w:rsid w:val="32DA6D7E"/>
    <w:rsid w:val="32FB3F0A"/>
    <w:rsid w:val="33135BA2"/>
    <w:rsid w:val="3340682C"/>
    <w:rsid w:val="338B4463"/>
    <w:rsid w:val="33C15E44"/>
    <w:rsid w:val="33CC293E"/>
    <w:rsid w:val="33D00590"/>
    <w:rsid w:val="343C50CA"/>
    <w:rsid w:val="34796ADD"/>
    <w:rsid w:val="34AF2977"/>
    <w:rsid w:val="34EB675E"/>
    <w:rsid w:val="34F222F1"/>
    <w:rsid w:val="35082903"/>
    <w:rsid w:val="35817288"/>
    <w:rsid w:val="358C30E8"/>
    <w:rsid w:val="35A111CC"/>
    <w:rsid w:val="35DA596A"/>
    <w:rsid w:val="3620273F"/>
    <w:rsid w:val="3629304E"/>
    <w:rsid w:val="36454F45"/>
    <w:rsid w:val="36645DE8"/>
    <w:rsid w:val="369658AB"/>
    <w:rsid w:val="36A428B1"/>
    <w:rsid w:val="36E10357"/>
    <w:rsid w:val="377479CC"/>
    <w:rsid w:val="3796135D"/>
    <w:rsid w:val="37965442"/>
    <w:rsid w:val="37E52266"/>
    <w:rsid w:val="37E93596"/>
    <w:rsid w:val="3866016C"/>
    <w:rsid w:val="386F2AB1"/>
    <w:rsid w:val="38777FB4"/>
    <w:rsid w:val="38A15DBE"/>
    <w:rsid w:val="398572CF"/>
    <w:rsid w:val="399565FB"/>
    <w:rsid w:val="39B46F38"/>
    <w:rsid w:val="39C1745B"/>
    <w:rsid w:val="39E16E14"/>
    <w:rsid w:val="39FA5A49"/>
    <w:rsid w:val="3A0F3A1D"/>
    <w:rsid w:val="3A116A50"/>
    <w:rsid w:val="3A197646"/>
    <w:rsid w:val="3A1E4AE1"/>
    <w:rsid w:val="3A3537BB"/>
    <w:rsid w:val="3A3B0117"/>
    <w:rsid w:val="3A464F97"/>
    <w:rsid w:val="3A9C6482"/>
    <w:rsid w:val="3ABD6F31"/>
    <w:rsid w:val="3AD5271B"/>
    <w:rsid w:val="3AE05D6A"/>
    <w:rsid w:val="3AFF32F2"/>
    <w:rsid w:val="3B07602C"/>
    <w:rsid w:val="3B0D00F5"/>
    <w:rsid w:val="3B324CB6"/>
    <w:rsid w:val="3B666F9D"/>
    <w:rsid w:val="3B96392A"/>
    <w:rsid w:val="3BAC4882"/>
    <w:rsid w:val="3BCE2F27"/>
    <w:rsid w:val="3BDE68A2"/>
    <w:rsid w:val="3BF267EF"/>
    <w:rsid w:val="3C161A57"/>
    <w:rsid w:val="3C2F6785"/>
    <w:rsid w:val="3C6075AB"/>
    <w:rsid w:val="3D05443C"/>
    <w:rsid w:val="3D6664B2"/>
    <w:rsid w:val="3DB6669C"/>
    <w:rsid w:val="3E0A0DD5"/>
    <w:rsid w:val="3EAD3D17"/>
    <w:rsid w:val="3ED07C70"/>
    <w:rsid w:val="3EE04F86"/>
    <w:rsid w:val="3EEF60CE"/>
    <w:rsid w:val="3F200275"/>
    <w:rsid w:val="3F307EC1"/>
    <w:rsid w:val="3F3B47A2"/>
    <w:rsid w:val="3F894F48"/>
    <w:rsid w:val="3FBB4E17"/>
    <w:rsid w:val="3FE42B34"/>
    <w:rsid w:val="3FF82D7C"/>
    <w:rsid w:val="40074A2D"/>
    <w:rsid w:val="403B5553"/>
    <w:rsid w:val="40514EEA"/>
    <w:rsid w:val="40945419"/>
    <w:rsid w:val="40B73457"/>
    <w:rsid w:val="40B80006"/>
    <w:rsid w:val="40D804CB"/>
    <w:rsid w:val="40E070BB"/>
    <w:rsid w:val="41102EC0"/>
    <w:rsid w:val="411B1AE9"/>
    <w:rsid w:val="414236FD"/>
    <w:rsid w:val="415646B9"/>
    <w:rsid w:val="418119B2"/>
    <w:rsid w:val="41B140BA"/>
    <w:rsid w:val="41C359F2"/>
    <w:rsid w:val="41E70E7F"/>
    <w:rsid w:val="420F40C5"/>
    <w:rsid w:val="427D4F47"/>
    <w:rsid w:val="42F20A70"/>
    <w:rsid w:val="43271AD8"/>
    <w:rsid w:val="43552086"/>
    <w:rsid w:val="43A53B0F"/>
    <w:rsid w:val="43CA749C"/>
    <w:rsid w:val="440B51ED"/>
    <w:rsid w:val="44195020"/>
    <w:rsid w:val="444B22CA"/>
    <w:rsid w:val="44A70139"/>
    <w:rsid w:val="45227CD6"/>
    <w:rsid w:val="4551114A"/>
    <w:rsid w:val="45905B18"/>
    <w:rsid w:val="463F645C"/>
    <w:rsid w:val="464D55E6"/>
    <w:rsid w:val="46742E6C"/>
    <w:rsid w:val="46861956"/>
    <w:rsid w:val="46891319"/>
    <w:rsid w:val="46B96047"/>
    <w:rsid w:val="46DE1878"/>
    <w:rsid w:val="470D0A32"/>
    <w:rsid w:val="47B02881"/>
    <w:rsid w:val="47BF1C45"/>
    <w:rsid w:val="47E12615"/>
    <w:rsid w:val="47E23F3A"/>
    <w:rsid w:val="47F70FAE"/>
    <w:rsid w:val="487E52A1"/>
    <w:rsid w:val="48991694"/>
    <w:rsid w:val="48A51B84"/>
    <w:rsid w:val="48BC18FA"/>
    <w:rsid w:val="49161CE5"/>
    <w:rsid w:val="49434BB8"/>
    <w:rsid w:val="4A410C17"/>
    <w:rsid w:val="4A480F11"/>
    <w:rsid w:val="4A5C1492"/>
    <w:rsid w:val="4A7412F9"/>
    <w:rsid w:val="4A8023C2"/>
    <w:rsid w:val="4A934629"/>
    <w:rsid w:val="4AA53086"/>
    <w:rsid w:val="4AEE3FB7"/>
    <w:rsid w:val="4B292DFB"/>
    <w:rsid w:val="4BC32CBE"/>
    <w:rsid w:val="4BC36FE2"/>
    <w:rsid w:val="4C2F16EC"/>
    <w:rsid w:val="4C765DFD"/>
    <w:rsid w:val="4CC11AB9"/>
    <w:rsid w:val="4CD55FAE"/>
    <w:rsid w:val="4D095594"/>
    <w:rsid w:val="4D170322"/>
    <w:rsid w:val="4D1B14B5"/>
    <w:rsid w:val="4D1B7121"/>
    <w:rsid w:val="4D7D2300"/>
    <w:rsid w:val="4D945864"/>
    <w:rsid w:val="4DE30436"/>
    <w:rsid w:val="4E416FE0"/>
    <w:rsid w:val="4E4F5988"/>
    <w:rsid w:val="4E6667A1"/>
    <w:rsid w:val="4E7B55D6"/>
    <w:rsid w:val="4ED30B8D"/>
    <w:rsid w:val="4EF8069D"/>
    <w:rsid w:val="4F404F48"/>
    <w:rsid w:val="4F90752C"/>
    <w:rsid w:val="4FA96321"/>
    <w:rsid w:val="5017665C"/>
    <w:rsid w:val="50216957"/>
    <w:rsid w:val="504F0C4F"/>
    <w:rsid w:val="5068291A"/>
    <w:rsid w:val="506C0DF7"/>
    <w:rsid w:val="510A6EB1"/>
    <w:rsid w:val="51170698"/>
    <w:rsid w:val="512168D5"/>
    <w:rsid w:val="51680A77"/>
    <w:rsid w:val="51A069F0"/>
    <w:rsid w:val="51F177C5"/>
    <w:rsid w:val="51FB03F0"/>
    <w:rsid w:val="52240ED7"/>
    <w:rsid w:val="523F1387"/>
    <w:rsid w:val="52636E23"/>
    <w:rsid w:val="526D3037"/>
    <w:rsid w:val="529726BD"/>
    <w:rsid w:val="529C3B91"/>
    <w:rsid w:val="52C95B9B"/>
    <w:rsid w:val="52EE3EC2"/>
    <w:rsid w:val="52FB382C"/>
    <w:rsid w:val="532F2DF9"/>
    <w:rsid w:val="534D53DE"/>
    <w:rsid w:val="541F451D"/>
    <w:rsid w:val="5433414F"/>
    <w:rsid w:val="54492C23"/>
    <w:rsid w:val="546D0DAE"/>
    <w:rsid w:val="54811F48"/>
    <w:rsid w:val="548F18B9"/>
    <w:rsid w:val="54B41297"/>
    <w:rsid w:val="55513A3C"/>
    <w:rsid w:val="556C131F"/>
    <w:rsid w:val="55A745FE"/>
    <w:rsid w:val="5609160E"/>
    <w:rsid w:val="563C2FCF"/>
    <w:rsid w:val="56595DFB"/>
    <w:rsid w:val="566F60F0"/>
    <w:rsid w:val="56B82124"/>
    <w:rsid w:val="57047A38"/>
    <w:rsid w:val="572F4EEA"/>
    <w:rsid w:val="573A1137"/>
    <w:rsid w:val="576977A7"/>
    <w:rsid w:val="57A924C2"/>
    <w:rsid w:val="57CE1914"/>
    <w:rsid w:val="57F20E95"/>
    <w:rsid w:val="58264E8D"/>
    <w:rsid w:val="58313506"/>
    <w:rsid w:val="58476F88"/>
    <w:rsid w:val="589163A2"/>
    <w:rsid w:val="58A05D8F"/>
    <w:rsid w:val="58AA4307"/>
    <w:rsid w:val="58DB6645"/>
    <w:rsid w:val="58DE3773"/>
    <w:rsid w:val="593D7B1F"/>
    <w:rsid w:val="597A6D33"/>
    <w:rsid w:val="59AD1775"/>
    <w:rsid w:val="59AE2A20"/>
    <w:rsid w:val="59CF09A9"/>
    <w:rsid w:val="59F640E3"/>
    <w:rsid w:val="5A2367EF"/>
    <w:rsid w:val="5A3C521A"/>
    <w:rsid w:val="5A771C72"/>
    <w:rsid w:val="5A820602"/>
    <w:rsid w:val="5AAB5EDE"/>
    <w:rsid w:val="5ACA2C83"/>
    <w:rsid w:val="5B13347C"/>
    <w:rsid w:val="5B3E37FC"/>
    <w:rsid w:val="5B4F7DCD"/>
    <w:rsid w:val="5BAA0B93"/>
    <w:rsid w:val="5C0E347F"/>
    <w:rsid w:val="5C447332"/>
    <w:rsid w:val="5C727A0E"/>
    <w:rsid w:val="5C9047A6"/>
    <w:rsid w:val="5C9E096B"/>
    <w:rsid w:val="5CC34C48"/>
    <w:rsid w:val="5D044E7E"/>
    <w:rsid w:val="5D063481"/>
    <w:rsid w:val="5D401B2C"/>
    <w:rsid w:val="5D69399B"/>
    <w:rsid w:val="5D7418B5"/>
    <w:rsid w:val="5D96194A"/>
    <w:rsid w:val="5DDF6E12"/>
    <w:rsid w:val="5DEF53CD"/>
    <w:rsid w:val="5E0F7193"/>
    <w:rsid w:val="5E36138F"/>
    <w:rsid w:val="5E725EF4"/>
    <w:rsid w:val="5E8917CB"/>
    <w:rsid w:val="5F4E7FF0"/>
    <w:rsid w:val="5F5256FD"/>
    <w:rsid w:val="5F943AAB"/>
    <w:rsid w:val="5F984D27"/>
    <w:rsid w:val="5F9F54DB"/>
    <w:rsid w:val="5FB05121"/>
    <w:rsid w:val="60232C9B"/>
    <w:rsid w:val="603B33EE"/>
    <w:rsid w:val="607F2EDA"/>
    <w:rsid w:val="6093187E"/>
    <w:rsid w:val="609E6A11"/>
    <w:rsid w:val="60D0129E"/>
    <w:rsid w:val="61283C09"/>
    <w:rsid w:val="61625500"/>
    <w:rsid w:val="61AD7812"/>
    <w:rsid w:val="61D03B91"/>
    <w:rsid w:val="62022D5A"/>
    <w:rsid w:val="620C21FB"/>
    <w:rsid w:val="62AD62B3"/>
    <w:rsid w:val="62EB5771"/>
    <w:rsid w:val="63250508"/>
    <w:rsid w:val="638E6E06"/>
    <w:rsid w:val="63984424"/>
    <w:rsid w:val="63A77566"/>
    <w:rsid w:val="63F26A5B"/>
    <w:rsid w:val="64426C11"/>
    <w:rsid w:val="64AD4A35"/>
    <w:rsid w:val="64E26A51"/>
    <w:rsid w:val="64F70FDF"/>
    <w:rsid w:val="65520E6B"/>
    <w:rsid w:val="65540C55"/>
    <w:rsid w:val="65B23EF2"/>
    <w:rsid w:val="65D8741A"/>
    <w:rsid w:val="65F01CCB"/>
    <w:rsid w:val="66053ABD"/>
    <w:rsid w:val="664B6DD6"/>
    <w:rsid w:val="667E01CD"/>
    <w:rsid w:val="66886E3C"/>
    <w:rsid w:val="668D2F03"/>
    <w:rsid w:val="66C36A91"/>
    <w:rsid w:val="66C61DE5"/>
    <w:rsid w:val="67590915"/>
    <w:rsid w:val="68017A2E"/>
    <w:rsid w:val="68222246"/>
    <w:rsid w:val="683C0F81"/>
    <w:rsid w:val="68706867"/>
    <w:rsid w:val="68924A79"/>
    <w:rsid w:val="68B51559"/>
    <w:rsid w:val="68C25CE3"/>
    <w:rsid w:val="68F12692"/>
    <w:rsid w:val="69BB2825"/>
    <w:rsid w:val="69E3717E"/>
    <w:rsid w:val="69E77CAB"/>
    <w:rsid w:val="6A65267A"/>
    <w:rsid w:val="6ACB3AE1"/>
    <w:rsid w:val="6B126371"/>
    <w:rsid w:val="6B4D6C40"/>
    <w:rsid w:val="6B737302"/>
    <w:rsid w:val="6C7A37A2"/>
    <w:rsid w:val="6CAD7B50"/>
    <w:rsid w:val="6CE90F96"/>
    <w:rsid w:val="6D085D23"/>
    <w:rsid w:val="6D0C1067"/>
    <w:rsid w:val="6D0E224E"/>
    <w:rsid w:val="6D722314"/>
    <w:rsid w:val="6DEB3D0B"/>
    <w:rsid w:val="6E4063F9"/>
    <w:rsid w:val="6E4D4D05"/>
    <w:rsid w:val="6E6528F2"/>
    <w:rsid w:val="6F2F6E04"/>
    <w:rsid w:val="6F3C0D5A"/>
    <w:rsid w:val="6F5B5063"/>
    <w:rsid w:val="6F614F2A"/>
    <w:rsid w:val="6F634546"/>
    <w:rsid w:val="6F645E91"/>
    <w:rsid w:val="6F6B325C"/>
    <w:rsid w:val="6FA00764"/>
    <w:rsid w:val="6FCB457A"/>
    <w:rsid w:val="6FCF5F88"/>
    <w:rsid w:val="6FDB3510"/>
    <w:rsid w:val="6FDE06BA"/>
    <w:rsid w:val="700B35EA"/>
    <w:rsid w:val="701727D2"/>
    <w:rsid w:val="70172F56"/>
    <w:rsid w:val="703A626B"/>
    <w:rsid w:val="705263E0"/>
    <w:rsid w:val="70822FBD"/>
    <w:rsid w:val="70B27E01"/>
    <w:rsid w:val="70C62D35"/>
    <w:rsid w:val="710C54AA"/>
    <w:rsid w:val="715F108B"/>
    <w:rsid w:val="71620DE8"/>
    <w:rsid w:val="718D39A6"/>
    <w:rsid w:val="71BD6F28"/>
    <w:rsid w:val="72035CE8"/>
    <w:rsid w:val="726E59BF"/>
    <w:rsid w:val="72A927A0"/>
    <w:rsid w:val="73173AFD"/>
    <w:rsid w:val="731D6338"/>
    <w:rsid w:val="73460DF1"/>
    <w:rsid w:val="734B6563"/>
    <w:rsid w:val="74076B48"/>
    <w:rsid w:val="7417330C"/>
    <w:rsid w:val="74404DD4"/>
    <w:rsid w:val="74815E41"/>
    <w:rsid w:val="748602CF"/>
    <w:rsid w:val="74A964C0"/>
    <w:rsid w:val="74CB6266"/>
    <w:rsid w:val="74D91B38"/>
    <w:rsid w:val="74E666AB"/>
    <w:rsid w:val="750656C7"/>
    <w:rsid w:val="752A1B10"/>
    <w:rsid w:val="754045EC"/>
    <w:rsid w:val="75981DDC"/>
    <w:rsid w:val="75EC3940"/>
    <w:rsid w:val="76517CAC"/>
    <w:rsid w:val="76A36431"/>
    <w:rsid w:val="770D58C0"/>
    <w:rsid w:val="77130569"/>
    <w:rsid w:val="772A7FFC"/>
    <w:rsid w:val="77502358"/>
    <w:rsid w:val="7751784F"/>
    <w:rsid w:val="783B56EB"/>
    <w:rsid w:val="78454781"/>
    <w:rsid w:val="78611AC0"/>
    <w:rsid w:val="786361FD"/>
    <w:rsid w:val="78DF3D2F"/>
    <w:rsid w:val="78E02DDB"/>
    <w:rsid w:val="79415885"/>
    <w:rsid w:val="79875291"/>
    <w:rsid w:val="79880F08"/>
    <w:rsid w:val="79A04880"/>
    <w:rsid w:val="79C350D5"/>
    <w:rsid w:val="79D143EB"/>
    <w:rsid w:val="7A3E478D"/>
    <w:rsid w:val="7ABB0800"/>
    <w:rsid w:val="7B010490"/>
    <w:rsid w:val="7B095895"/>
    <w:rsid w:val="7B3B2244"/>
    <w:rsid w:val="7B8B6267"/>
    <w:rsid w:val="7B9F398B"/>
    <w:rsid w:val="7BD07B63"/>
    <w:rsid w:val="7C285030"/>
    <w:rsid w:val="7C2B0102"/>
    <w:rsid w:val="7C334086"/>
    <w:rsid w:val="7C671A9E"/>
    <w:rsid w:val="7CDD191F"/>
    <w:rsid w:val="7CFE4B1F"/>
    <w:rsid w:val="7D1A6BD6"/>
    <w:rsid w:val="7D1F08E2"/>
    <w:rsid w:val="7D507824"/>
    <w:rsid w:val="7D93136D"/>
    <w:rsid w:val="7DB145DF"/>
    <w:rsid w:val="7DF56F66"/>
    <w:rsid w:val="7E0427CB"/>
    <w:rsid w:val="7E6870F2"/>
    <w:rsid w:val="7E697706"/>
    <w:rsid w:val="7EF42181"/>
    <w:rsid w:val="7F0E0876"/>
    <w:rsid w:val="7F3C7EC7"/>
    <w:rsid w:val="7F411576"/>
    <w:rsid w:val="7F762D10"/>
    <w:rsid w:val="7FD01D2C"/>
    <w:rsid w:val="7FDA1D9D"/>
    <w:rsid w:val="7FE753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Lines="50" w:afterLines="50" w:line="360" w:lineRule="auto"/>
      <w:outlineLvl w:val="0"/>
    </w:pPr>
    <w:rPr>
      <w:b/>
      <w:bCs/>
      <w:kern w:val="44"/>
      <w:sz w:val="28"/>
      <w:szCs w:val="44"/>
    </w:rPr>
  </w:style>
  <w:style w:type="paragraph" w:styleId="4">
    <w:name w:val="heading 2"/>
    <w:basedOn w:val="1"/>
    <w:next w:val="2"/>
    <w:qFormat/>
    <w:uiPriority w:val="0"/>
    <w:pPr>
      <w:keepNext/>
      <w:keepLines/>
      <w:spacing w:line="360" w:lineRule="auto"/>
      <w:jc w:val="left"/>
      <w:outlineLvl w:val="1"/>
    </w:pPr>
    <w:rPr>
      <w:rFonts w:ascii="Arial" w:hAnsi="Arial"/>
      <w:b/>
      <w:bCs/>
      <w:sz w:val="24"/>
      <w:szCs w:val="32"/>
    </w:rPr>
  </w:style>
  <w:style w:type="paragraph" w:styleId="5">
    <w:name w:val="heading 3"/>
    <w:basedOn w:val="1"/>
    <w:next w:val="1"/>
    <w:link w:val="49"/>
    <w:qFormat/>
    <w:uiPriority w:val="9"/>
    <w:pPr>
      <w:keepNext/>
      <w:keepLines/>
      <w:outlineLvl w:val="2"/>
    </w:pPr>
    <w:rPr>
      <w:b/>
      <w:bCs/>
      <w:sz w:val="24"/>
      <w:szCs w:val="32"/>
    </w:rPr>
  </w:style>
  <w:style w:type="paragraph" w:styleId="6">
    <w:name w:val="heading 4"/>
    <w:basedOn w:val="1"/>
    <w:next w:val="1"/>
    <w:link w:val="50"/>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7">
    <w:name w:val="heading 5"/>
    <w:basedOn w:val="1"/>
    <w:next w:val="1"/>
    <w:link w:val="51"/>
    <w:qFormat/>
    <w:uiPriority w:val="0"/>
    <w:pPr>
      <w:keepNext/>
      <w:keepLines/>
      <w:widowControl w:val="0"/>
      <w:spacing w:before="280" w:after="290" w:line="376" w:lineRule="auto"/>
      <w:textAlignment w:val="auto"/>
      <w:outlineLvl w:val="4"/>
    </w:pPr>
    <w:rPr>
      <w:rFonts w:eastAsia="仿宋_GB2312"/>
      <w:b/>
      <w:bCs/>
      <w:sz w:val="28"/>
      <w:szCs w:val="28"/>
    </w:rPr>
  </w:style>
  <w:style w:type="character" w:default="1" w:styleId="38">
    <w:name w:val="Default Paragraph Font"/>
    <w:unhideWhenUsed/>
    <w:qFormat/>
    <w:uiPriority w:val="1"/>
  </w:style>
  <w:style w:type="table" w:default="1" w:styleId="3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8">
    <w:name w:val="toc 7"/>
    <w:basedOn w:val="1"/>
    <w:next w:val="1"/>
    <w:qFormat/>
    <w:uiPriority w:val="0"/>
    <w:pPr>
      <w:widowControl w:val="0"/>
      <w:ind w:left="2520" w:leftChars="1200"/>
      <w:textAlignment w:val="auto"/>
    </w:pPr>
    <w:rPr>
      <w:szCs w:val="24"/>
    </w:rPr>
  </w:style>
  <w:style w:type="paragraph" w:styleId="9">
    <w:name w:val="Document Map"/>
    <w:basedOn w:val="1"/>
    <w:link w:val="52"/>
    <w:qFormat/>
    <w:uiPriority w:val="0"/>
    <w:pPr>
      <w:widowControl w:val="0"/>
      <w:shd w:val="clear" w:color="auto" w:fill="000080"/>
      <w:textAlignment w:val="auto"/>
    </w:pPr>
    <w:rPr>
      <w:szCs w:val="24"/>
    </w:rPr>
  </w:style>
  <w:style w:type="paragraph" w:styleId="10">
    <w:name w:val="annotation text"/>
    <w:basedOn w:val="1"/>
    <w:link w:val="48"/>
    <w:qFormat/>
    <w:uiPriority w:val="0"/>
    <w:pPr>
      <w:jc w:val="left"/>
    </w:pPr>
  </w:style>
  <w:style w:type="paragraph" w:styleId="11">
    <w:name w:val="Body Text 3"/>
    <w:basedOn w:val="1"/>
    <w:link w:val="53"/>
    <w:qFormat/>
    <w:uiPriority w:val="0"/>
    <w:pPr>
      <w:widowControl w:val="0"/>
      <w:adjustRightInd w:val="0"/>
      <w:snapToGrid w:val="0"/>
      <w:textAlignment w:val="auto"/>
    </w:pPr>
    <w:rPr>
      <w:rFonts w:ascii="宋体" w:hAnsi="宋体"/>
      <w:color w:val="339966"/>
      <w:sz w:val="24"/>
      <w:szCs w:val="24"/>
    </w:rPr>
  </w:style>
  <w:style w:type="paragraph" w:styleId="12">
    <w:name w:val="Body Text"/>
    <w:basedOn w:val="1"/>
    <w:next w:val="1"/>
    <w:qFormat/>
    <w:uiPriority w:val="0"/>
    <w:pPr>
      <w:spacing w:after="120"/>
    </w:pPr>
    <w:rPr>
      <w:szCs w:val="20"/>
    </w:rPr>
  </w:style>
  <w:style w:type="paragraph" w:styleId="13">
    <w:name w:val="Body Text Indent"/>
    <w:basedOn w:val="1"/>
    <w:next w:val="14"/>
    <w:link w:val="54"/>
    <w:qFormat/>
    <w:uiPriority w:val="0"/>
    <w:pPr>
      <w:spacing w:after="120"/>
      <w:ind w:left="420" w:leftChars="200"/>
    </w:pPr>
  </w:style>
  <w:style w:type="paragraph" w:styleId="14">
    <w:name w:val="envelope return"/>
    <w:basedOn w:val="1"/>
    <w:qFormat/>
    <w:uiPriority w:val="0"/>
    <w:pPr>
      <w:snapToGrid w:val="0"/>
    </w:pPr>
    <w:rPr>
      <w:rFonts w:ascii="Arial" w:hAnsi="Arial"/>
    </w:rPr>
  </w:style>
  <w:style w:type="paragraph" w:styleId="15">
    <w:name w:val="toc 5"/>
    <w:basedOn w:val="1"/>
    <w:next w:val="1"/>
    <w:qFormat/>
    <w:uiPriority w:val="0"/>
    <w:pPr>
      <w:widowControl w:val="0"/>
      <w:ind w:left="1680" w:leftChars="800"/>
      <w:textAlignment w:val="auto"/>
    </w:pPr>
    <w:rPr>
      <w:szCs w:val="24"/>
    </w:rPr>
  </w:style>
  <w:style w:type="paragraph" w:styleId="16">
    <w:name w:val="toc 3"/>
    <w:basedOn w:val="1"/>
    <w:next w:val="1"/>
    <w:qFormat/>
    <w:uiPriority w:val="0"/>
    <w:pPr>
      <w:widowControl w:val="0"/>
      <w:ind w:left="840" w:leftChars="400"/>
      <w:textAlignment w:val="auto"/>
    </w:pPr>
    <w:rPr>
      <w:szCs w:val="24"/>
    </w:rPr>
  </w:style>
  <w:style w:type="paragraph" w:styleId="17">
    <w:name w:val="Plain Text"/>
    <w:basedOn w:val="1"/>
    <w:link w:val="55"/>
    <w:qFormat/>
    <w:uiPriority w:val="0"/>
    <w:rPr>
      <w:rFonts w:ascii="宋体" w:hAnsi="Courier New"/>
      <w:szCs w:val="21"/>
    </w:rPr>
  </w:style>
  <w:style w:type="paragraph" w:styleId="18">
    <w:name w:val="toc 8"/>
    <w:basedOn w:val="1"/>
    <w:next w:val="1"/>
    <w:qFormat/>
    <w:uiPriority w:val="0"/>
    <w:pPr>
      <w:widowControl w:val="0"/>
      <w:ind w:left="2940" w:leftChars="1400"/>
      <w:textAlignment w:val="auto"/>
    </w:pPr>
    <w:rPr>
      <w:szCs w:val="24"/>
    </w:rPr>
  </w:style>
  <w:style w:type="paragraph" w:styleId="19">
    <w:name w:val="Date"/>
    <w:basedOn w:val="1"/>
    <w:next w:val="1"/>
    <w:link w:val="56"/>
    <w:qFormat/>
    <w:uiPriority w:val="0"/>
    <w:pPr>
      <w:widowControl w:val="0"/>
      <w:ind w:left="100" w:leftChars="2500"/>
      <w:textAlignment w:val="auto"/>
    </w:pPr>
    <w:rPr>
      <w:szCs w:val="24"/>
    </w:rPr>
  </w:style>
  <w:style w:type="paragraph" w:styleId="20">
    <w:name w:val="Body Text Indent 2"/>
    <w:basedOn w:val="1"/>
    <w:link w:val="57"/>
    <w:qFormat/>
    <w:uiPriority w:val="0"/>
    <w:pPr>
      <w:widowControl w:val="0"/>
      <w:spacing w:after="120" w:line="480" w:lineRule="auto"/>
      <w:ind w:left="420" w:leftChars="200"/>
      <w:textAlignment w:val="auto"/>
    </w:pPr>
    <w:rPr>
      <w:szCs w:val="24"/>
    </w:rPr>
  </w:style>
  <w:style w:type="paragraph" w:styleId="21">
    <w:name w:val="Balloon Text"/>
    <w:basedOn w:val="1"/>
    <w:link w:val="58"/>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rPr>
  </w:style>
  <w:style w:type="paragraph" w:styleId="2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toc 1"/>
    <w:basedOn w:val="1"/>
    <w:next w:val="1"/>
    <w:unhideWhenUsed/>
    <w:qFormat/>
    <w:uiPriority w:val="0"/>
    <w:pPr>
      <w:spacing w:after="100" w:line="259" w:lineRule="auto"/>
      <w:jc w:val="left"/>
      <w:textAlignment w:val="auto"/>
    </w:pPr>
    <w:rPr>
      <w:rFonts w:ascii="等线" w:hAnsi="等线" w:eastAsia="等线"/>
      <w:kern w:val="0"/>
      <w:sz w:val="22"/>
    </w:rPr>
  </w:style>
  <w:style w:type="paragraph" w:styleId="25">
    <w:name w:val="toc 4"/>
    <w:basedOn w:val="1"/>
    <w:next w:val="1"/>
    <w:qFormat/>
    <w:uiPriority w:val="0"/>
    <w:pPr>
      <w:widowControl w:val="0"/>
      <w:ind w:left="1260" w:leftChars="600"/>
      <w:textAlignment w:val="auto"/>
    </w:pPr>
    <w:rPr>
      <w:szCs w:val="24"/>
    </w:rPr>
  </w:style>
  <w:style w:type="paragraph" w:styleId="26">
    <w:name w:val="toc 6"/>
    <w:basedOn w:val="1"/>
    <w:next w:val="1"/>
    <w:qFormat/>
    <w:uiPriority w:val="0"/>
    <w:pPr>
      <w:widowControl w:val="0"/>
      <w:ind w:left="2100" w:leftChars="1000"/>
      <w:textAlignment w:val="auto"/>
    </w:pPr>
    <w:rPr>
      <w:szCs w:val="24"/>
    </w:rPr>
  </w:style>
  <w:style w:type="paragraph" w:styleId="27">
    <w:name w:val="Body Text Indent 3"/>
    <w:basedOn w:val="1"/>
    <w:link w:val="59"/>
    <w:qFormat/>
    <w:uiPriority w:val="0"/>
    <w:pPr>
      <w:spacing w:after="120"/>
      <w:ind w:left="420" w:leftChars="200"/>
    </w:pPr>
    <w:rPr>
      <w:sz w:val="16"/>
      <w:szCs w:val="16"/>
    </w:rPr>
  </w:style>
  <w:style w:type="paragraph" w:styleId="28">
    <w:name w:val="toc 2"/>
    <w:basedOn w:val="1"/>
    <w:next w:val="1"/>
    <w:unhideWhenUsed/>
    <w:qFormat/>
    <w:uiPriority w:val="0"/>
    <w:pPr>
      <w:spacing w:after="100" w:line="259" w:lineRule="auto"/>
      <w:ind w:left="220"/>
      <w:jc w:val="left"/>
      <w:textAlignment w:val="auto"/>
    </w:pPr>
    <w:rPr>
      <w:rFonts w:ascii="等线" w:hAnsi="等线" w:eastAsia="等线"/>
      <w:kern w:val="0"/>
      <w:sz w:val="22"/>
    </w:rPr>
  </w:style>
  <w:style w:type="paragraph" w:styleId="29">
    <w:name w:val="toc 9"/>
    <w:basedOn w:val="1"/>
    <w:next w:val="1"/>
    <w:qFormat/>
    <w:uiPriority w:val="0"/>
    <w:pPr>
      <w:widowControl w:val="0"/>
      <w:ind w:left="3360" w:leftChars="1600"/>
      <w:textAlignment w:val="auto"/>
    </w:pPr>
    <w:rPr>
      <w:szCs w:val="24"/>
    </w:rPr>
  </w:style>
  <w:style w:type="paragraph" w:styleId="30">
    <w:name w:val="Body Text 2"/>
    <w:basedOn w:val="1"/>
    <w:link w:val="60"/>
    <w:qFormat/>
    <w:uiPriority w:val="0"/>
    <w:pPr>
      <w:widowControl w:val="0"/>
      <w:adjustRightInd w:val="0"/>
      <w:snapToGrid w:val="0"/>
      <w:textAlignment w:val="auto"/>
    </w:pPr>
    <w:rPr>
      <w:rFonts w:ascii="宋体" w:hAnsi="宋体"/>
      <w:sz w:val="24"/>
      <w:szCs w:val="24"/>
    </w:rPr>
  </w:style>
  <w:style w:type="paragraph" w:styleId="3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32">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 w:type="paragraph" w:styleId="33">
    <w:name w:val="annotation subject"/>
    <w:basedOn w:val="10"/>
    <w:next w:val="10"/>
    <w:link w:val="61"/>
    <w:qFormat/>
    <w:uiPriority w:val="0"/>
    <w:rPr>
      <w:b/>
      <w:bCs/>
    </w:rPr>
  </w:style>
  <w:style w:type="paragraph" w:styleId="34">
    <w:name w:val="Body Text First Indent"/>
    <w:basedOn w:val="12"/>
    <w:link w:val="62"/>
    <w:qFormat/>
    <w:uiPriority w:val="0"/>
    <w:pPr>
      <w:ind w:firstLine="420"/>
    </w:pPr>
  </w:style>
  <w:style w:type="paragraph" w:styleId="35">
    <w:name w:val="Body Text First Indent 2"/>
    <w:basedOn w:val="13"/>
    <w:qFormat/>
    <w:uiPriority w:val="0"/>
    <w:pPr>
      <w:spacing w:after="120"/>
      <w:ind w:left="420" w:leftChars="200" w:firstLine="420"/>
    </w:pPr>
    <w:rPr>
      <w:rFonts w:ascii="Calibri"/>
      <w:kern w:val="0"/>
      <w:sz w:val="20"/>
      <w:szCs w:val="24"/>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bCs/>
    </w:rPr>
  </w:style>
  <w:style w:type="character" w:styleId="40">
    <w:name w:val="page number"/>
    <w:qFormat/>
    <w:uiPriority w:val="0"/>
  </w:style>
  <w:style w:type="character" w:styleId="41">
    <w:name w:val="FollowedHyperlink"/>
    <w:basedOn w:val="38"/>
    <w:qFormat/>
    <w:uiPriority w:val="0"/>
    <w:rPr>
      <w:rFonts w:hint="eastAsia" w:ascii="微软雅黑" w:hAnsi="微软雅黑" w:eastAsia="微软雅黑" w:cs="微软雅黑"/>
      <w:color w:val="337AB7"/>
      <w:u w:val="none"/>
    </w:rPr>
  </w:style>
  <w:style w:type="character" w:styleId="42">
    <w:name w:val="HTML Definition"/>
    <w:basedOn w:val="38"/>
    <w:qFormat/>
    <w:uiPriority w:val="0"/>
    <w:rPr>
      <w:i/>
      <w:iCs/>
    </w:rPr>
  </w:style>
  <w:style w:type="character" w:styleId="43">
    <w:name w:val="Hyperlink"/>
    <w:basedOn w:val="38"/>
    <w:qFormat/>
    <w:uiPriority w:val="0"/>
    <w:rPr>
      <w:rFonts w:hint="eastAsia" w:ascii="微软雅黑" w:hAnsi="微软雅黑" w:eastAsia="微软雅黑" w:cs="微软雅黑"/>
      <w:color w:val="337AB7"/>
      <w:u w:val="none"/>
    </w:rPr>
  </w:style>
  <w:style w:type="character" w:styleId="44">
    <w:name w:val="HTML Code"/>
    <w:basedOn w:val="38"/>
    <w:qFormat/>
    <w:uiPriority w:val="0"/>
    <w:rPr>
      <w:rFonts w:ascii="Consolas" w:hAnsi="Consolas" w:eastAsia="Consolas" w:cs="Consolas"/>
      <w:color w:val="C7254E"/>
      <w:sz w:val="21"/>
      <w:szCs w:val="21"/>
      <w:bdr w:val="single" w:color="E1E1E1" w:sz="6" w:space="0"/>
      <w:shd w:val="clear" w:color="auto" w:fill="F9F2F4"/>
    </w:rPr>
  </w:style>
  <w:style w:type="character" w:styleId="45">
    <w:name w:val="annotation reference"/>
    <w:qFormat/>
    <w:uiPriority w:val="0"/>
    <w:rPr>
      <w:sz w:val="21"/>
      <w:szCs w:val="21"/>
    </w:rPr>
  </w:style>
  <w:style w:type="character" w:styleId="46">
    <w:name w:val="HTML Keyboard"/>
    <w:basedOn w:val="38"/>
    <w:qFormat/>
    <w:uiPriority w:val="0"/>
    <w:rPr>
      <w:rFonts w:hint="default" w:ascii="Consolas" w:hAnsi="Consolas" w:eastAsia="Consolas" w:cs="Consolas"/>
      <w:color w:val="FFFFFF"/>
      <w:sz w:val="21"/>
      <w:szCs w:val="21"/>
      <w:shd w:val="clear" w:color="auto" w:fill="333333"/>
    </w:rPr>
  </w:style>
  <w:style w:type="character" w:styleId="47">
    <w:name w:val="HTML Sample"/>
    <w:basedOn w:val="38"/>
    <w:qFormat/>
    <w:uiPriority w:val="0"/>
    <w:rPr>
      <w:rFonts w:hint="default" w:ascii="Consolas" w:hAnsi="Consolas" w:eastAsia="Consolas" w:cs="Consolas"/>
      <w:sz w:val="21"/>
      <w:szCs w:val="21"/>
    </w:rPr>
  </w:style>
  <w:style w:type="character" w:customStyle="1" w:styleId="48">
    <w:name w:val="批注文字 Char"/>
    <w:link w:val="10"/>
    <w:qFormat/>
    <w:uiPriority w:val="0"/>
    <w:rPr>
      <w:rFonts w:ascii="Calibri" w:hAnsi="Calibri"/>
      <w:kern w:val="2"/>
      <w:sz w:val="21"/>
      <w:szCs w:val="22"/>
    </w:rPr>
  </w:style>
  <w:style w:type="character" w:customStyle="1" w:styleId="49">
    <w:name w:val="标题 3 Char"/>
    <w:link w:val="5"/>
    <w:qFormat/>
    <w:uiPriority w:val="0"/>
    <w:rPr>
      <w:rFonts w:cs="Times New Roman"/>
      <w:b/>
      <w:bCs/>
      <w:kern w:val="2"/>
      <w:sz w:val="24"/>
      <w:szCs w:val="32"/>
    </w:rPr>
  </w:style>
  <w:style w:type="character" w:customStyle="1" w:styleId="50">
    <w:name w:val="标题 4 Char"/>
    <w:link w:val="6"/>
    <w:semiHidden/>
    <w:qFormat/>
    <w:uiPriority w:val="0"/>
    <w:rPr>
      <w:rFonts w:ascii="Cambria" w:hAnsi="Cambria" w:eastAsia="宋体" w:cs="Times New Roman"/>
      <w:b/>
      <w:bCs/>
      <w:kern w:val="2"/>
      <w:sz w:val="28"/>
      <w:szCs w:val="28"/>
    </w:rPr>
  </w:style>
  <w:style w:type="character" w:customStyle="1" w:styleId="51">
    <w:name w:val="标题 5 Char"/>
    <w:link w:val="7"/>
    <w:qFormat/>
    <w:uiPriority w:val="0"/>
    <w:rPr>
      <w:rFonts w:eastAsia="仿宋_GB2312"/>
      <w:b/>
      <w:bCs/>
      <w:kern w:val="2"/>
      <w:sz w:val="28"/>
      <w:szCs w:val="28"/>
    </w:rPr>
  </w:style>
  <w:style w:type="character" w:customStyle="1" w:styleId="52">
    <w:name w:val="文档结构图 Char"/>
    <w:link w:val="9"/>
    <w:qFormat/>
    <w:uiPriority w:val="0"/>
    <w:rPr>
      <w:kern w:val="2"/>
      <w:sz w:val="21"/>
      <w:szCs w:val="24"/>
      <w:shd w:val="clear" w:color="auto" w:fill="000080"/>
    </w:rPr>
  </w:style>
  <w:style w:type="character" w:customStyle="1" w:styleId="53">
    <w:name w:val="正文文本 3 Char"/>
    <w:link w:val="11"/>
    <w:qFormat/>
    <w:uiPriority w:val="0"/>
    <w:rPr>
      <w:rFonts w:ascii="宋体" w:hAnsi="宋体"/>
      <w:color w:val="339966"/>
      <w:kern w:val="2"/>
      <w:sz w:val="24"/>
      <w:szCs w:val="24"/>
    </w:rPr>
  </w:style>
  <w:style w:type="character" w:customStyle="1" w:styleId="54">
    <w:name w:val="正文文本缩进 Char"/>
    <w:link w:val="13"/>
    <w:qFormat/>
    <w:uiPriority w:val="0"/>
    <w:rPr>
      <w:kern w:val="2"/>
      <w:sz w:val="21"/>
      <w:szCs w:val="22"/>
    </w:rPr>
  </w:style>
  <w:style w:type="character" w:customStyle="1" w:styleId="55">
    <w:name w:val="纯文本 Char1"/>
    <w:link w:val="17"/>
    <w:qFormat/>
    <w:uiPriority w:val="0"/>
    <w:rPr>
      <w:rFonts w:hint="eastAsia" w:ascii="宋体" w:hAnsi="Courier New" w:eastAsia="宋体" w:cs="Courier New"/>
      <w:szCs w:val="21"/>
    </w:rPr>
  </w:style>
  <w:style w:type="character" w:customStyle="1" w:styleId="56">
    <w:name w:val="日期 Char"/>
    <w:link w:val="19"/>
    <w:qFormat/>
    <w:uiPriority w:val="0"/>
    <w:rPr>
      <w:kern w:val="2"/>
      <w:sz w:val="21"/>
      <w:szCs w:val="24"/>
    </w:rPr>
  </w:style>
  <w:style w:type="character" w:customStyle="1" w:styleId="57">
    <w:name w:val="正文文本缩进 2 Char"/>
    <w:link w:val="20"/>
    <w:qFormat/>
    <w:uiPriority w:val="0"/>
    <w:rPr>
      <w:kern w:val="2"/>
      <w:sz w:val="21"/>
      <w:szCs w:val="24"/>
    </w:rPr>
  </w:style>
  <w:style w:type="character" w:customStyle="1" w:styleId="58">
    <w:name w:val="批注框文本 Char"/>
    <w:link w:val="21"/>
    <w:qFormat/>
    <w:uiPriority w:val="0"/>
    <w:rPr>
      <w:rFonts w:ascii="Calibri" w:hAnsi="Calibri"/>
      <w:kern w:val="2"/>
      <w:sz w:val="18"/>
      <w:szCs w:val="18"/>
    </w:rPr>
  </w:style>
  <w:style w:type="character" w:customStyle="1" w:styleId="59">
    <w:name w:val="正文文本缩进 3 Char"/>
    <w:link w:val="27"/>
    <w:qFormat/>
    <w:uiPriority w:val="0"/>
    <w:rPr>
      <w:kern w:val="2"/>
      <w:sz w:val="16"/>
      <w:szCs w:val="16"/>
    </w:rPr>
  </w:style>
  <w:style w:type="character" w:customStyle="1" w:styleId="60">
    <w:name w:val="正文文本 2 Char"/>
    <w:link w:val="30"/>
    <w:qFormat/>
    <w:uiPriority w:val="0"/>
    <w:rPr>
      <w:rFonts w:ascii="宋体" w:hAnsi="宋体"/>
      <w:kern w:val="2"/>
      <w:sz w:val="24"/>
      <w:szCs w:val="24"/>
    </w:rPr>
  </w:style>
  <w:style w:type="character" w:customStyle="1" w:styleId="61">
    <w:name w:val="批注主题 Char"/>
    <w:link w:val="33"/>
    <w:qFormat/>
    <w:uiPriority w:val="0"/>
    <w:rPr>
      <w:rFonts w:ascii="Calibri" w:hAnsi="Calibri"/>
      <w:b/>
      <w:bCs/>
      <w:kern w:val="2"/>
      <w:sz w:val="21"/>
      <w:szCs w:val="22"/>
    </w:rPr>
  </w:style>
  <w:style w:type="character" w:customStyle="1" w:styleId="62">
    <w:name w:val="正文首行缩进 Char"/>
    <w:link w:val="34"/>
    <w:qFormat/>
    <w:uiPriority w:val="0"/>
    <w:rPr>
      <w:rFonts w:cs="Times New Roman"/>
      <w:kern w:val="2"/>
      <w:sz w:val="21"/>
    </w:rPr>
  </w:style>
  <w:style w:type="character" w:customStyle="1" w:styleId="63">
    <w:name w:val="UserStyle_12"/>
    <w:qFormat/>
    <w:uiPriority w:val="0"/>
    <w:rPr>
      <w:rFonts w:ascii="Calibri" w:hAnsi="Calibri" w:eastAsia="宋体" w:cs="Times New Roman"/>
      <w:kern w:val="2"/>
      <w:sz w:val="21"/>
      <w:szCs w:val="22"/>
      <w:lang w:val="en-US" w:eastAsia="zh-CN" w:bidi="ar-SA"/>
    </w:rPr>
  </w:style>
  <w:style w:type="character" w:customStyle="1" w:styleId="64">
    <w:name w:val="列出段落 Char"/>
    <w:link w:val="65"/>
    <w:qFormat/>
    <w:uiPriority w:val="0"/>
    <w:rPr>
      <w:rFonts w:cs="Times New Roman"/>
      <w:kern w:val="2"/>
      <w:sz w:val="21"/>
      <w:szCs w:val="22"/>
    </w:rPr>
  </w:style>
  <w:style w:type="paragraph" w:styleId="65">
    <w:name w:val="List Paragraph"/>
    <w:basedOn w:val="1"/>
    <w:link w:val="64"/>
    <w:qFormat/>
    <w:uiPriority w:val="0"/>
    <w:pPr>
      <w:ind w:firstLine="420" w:firstLineChars="200"/>
    </w:pPr>
  </w:style>
  <w:style w:type="character" w:customStyle="1" w:styleId="66">
    <w:name w:val="NormalCharacter"/>
    <w:semiHidden/>
    <w:qFormat/>
    <w:uiPriority w:val="0"/>
  </w:style>
  <w:style w:type="character" w:customStyle="1" w:styleId="67">
    <w:name w:val="纯文本 Char"/>
    <w:qFormat/>
    <w:uiPriority w:val="0"/>
    <w:rPr>
      <w:rFonts w:ascii="宋体" w:hAnsi="Courier New" w:cs="Times New Roman"/>
      <w:kern w:val="2"/>
      <w:sz w:val="21"/>
      <w:szCs w:val="21"/>
    </w:rPr>
  </w:style>
  <w:style w:type="paragraph" w:customStyle="1" w:styleId="68">
    <w:name w:val="Table Paragraph"/>
    <w:basedOn w:val="1"/>
    <w:qFormat/>
    <w:uiPriority w:val="1"/>
    <w:rPr>
      <w:szCs w:val="20"/>
    </w:rPr>
  </w:style>
  <w:style w:type="paragraph" w:customStyle="1" w:styleId="6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UserStyle_78"/>
    <w:basedOn w:val="1"/>
    <w:qFormat/>
    <w:uiPriority w:val="0"/>
    <w:pPr>
      <w:spacing w:line="440" w:lineRule="exact"/>
      <w:ind w:left="-540" w:leftChars="-257" w:right="-334" w:rightChars="-159" w:firstLine="1140"/>
    </w:pPr>
    <w:rPr>
      <w:rFonts w:ascii="Times New Roman" w:hAnsi="Times New Roman"/>
      <w:sz w:val="24"/>
      <w:szCs w:val="20"/>
    </w:rPr>
  </w:style>
  <w:style w:type="paragraph" w:customStyle="1" w:styleId="72">
    <w:name w:val="BodyText"/>
    <w:basedOn w:val="1"/>
    <w:qFormat/>
    <w:uiPriority w:val="0"/>
    <w:pPr>
      <w:spacing w:after="120"/>
    </w:pPr>
    <w:rPr>
      <w:szCs w:val="20"/>
    </w:rPr>
  </w:style>
  <w:style w:type="paragraph" w:customStyle="1" w:styleId="7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UserStyle_40"/>
    <w:basedOn w:val="1"/>
    <w:next w:val="1"/>
    <w:qFormat/>
    <w:uiPriority w:val="0"/>
    <w:pPr>
      <w:keepNext/>
      <w:keepLines/>
      <w:spacing w:before="340" w:after="330" w:line="576" w:lineRule="auto"/>
    </w:pPr>
    <w:rPr>
      <w:b/>
      <w:kern w:val="44"/>
      <w:sz w:val="44"/>
      <w:szCs w:val="20"/>
    </w:rPr>
  </w:style>
  <w:style w:type="paragraph" w:customStyle="1" w:styleId="75">
    <w:name w:val="页脚 New"/>
    <w:basedOn w:val="76"/>
    <w:qFormat/>
    <w:uiPriority w:val="0"/>
    <w:pPr>
      <w:tabs>
        <w:tab w:val="center" w:pos="4153"/>
        <w:tab w:val="right" w:pos="8306"/>
      </w:tabs>
      <w:snapToGrid w:val="0"/>
    </w:pPr>
    <w:rPr>
      <w:sz w:val="18"/>
      <w:szCs w:val="18"/>
    </w:rPr>
  </w:style>
  <w:style w:type="paragraph" w:customStyle="1" w:styleId="76">
    <w:name w:val="正文 New New New"/>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customStyle="1" w:styleId="77">
    <w:name w:val="UserStyle_46"/>
    <w:basedOn w:val="78"/>
    <w:qFormat/>
    <w:uiPriority w:val="0"/>
    <w:pPr>
      <w:spacing w:line="312" w:lineRule="auto"/>
      <w:ind w:firstLine="420"/>
    </w:pPr>
    <w:rPr>
      <w:szCs w:val="24"/>
    </w:rPr>
  </w:style>
  <w:style w:type="paragraph" w:customStyle="1" w:styleId="78">
    <w:name w:val="UserStyle_33"/>
    <w:basedOn w:val="1"/>
    <w:qFormat/>
    <w:uiPriority w:val="0"/>
    <w:pPr>
      <w:spacing w:after="120"/>
    </w:pPr>
    <w:rPr>
      <w:szCs w:val="20"/>
    </w:rPr>
  </w:style>
  <w:style w:type="paragraph" w:customStyle="1" w:styleId="7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正文文本缩进 New"/>
    <w:basedOn w:val="1"/>
    <w:qFormat/>
    <w:uiPriority w:val="0"/>
    <w:pPr>
      <w:widowControl w:val="0"/>
      <w:spacing w:line="460" w:lineRule="exact"/>
      <w:ind w:left="1271" w:leftChars="269" w:hanging="706" w:hangingChars="294"/>
      <w:textAlignment w:val="auto"/>
    </w:pPr>
    <w:rPr>
      <w:rFonts w:ascii="宋体" w:hAnsi="宋体"/>
      <w:sz w:val="24"/>
      <w:szCs w:val="24"/>
    </w:rPr>
  </w:style>
  <w:style w:type="paragraph" w:customStyle="1" w:styleId="82">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
    <w:name w:val="Heading1"/>
    <w:basedOn w:val="1"/>
    <w:next w:val="1"/>
    <w:qFormat/>
    <w:uiPriority w:val="0"/>
    <w:pPr>
      <w:keepNext/>
      <w:keepLines/>
      <w:spacing w:before="340" w:after="330" w:line="576" w:lineRule="auto"/>
    </w:pPr>
    <w:rPr>
      <w:b/>
      <w:kern w:val="44"/>
      <w:sz w:val="44"/>
      <w:szCs w:val="20"/>
    </w:rPr>
  </w:style>
  <w:style w:type="paragraph" w:customStyle="1" w:styleId="84">
    <w:name w:val="BodyText1I"/>
    <w:basedOn w:val="72"/>
    <w:qFormat/>
    <w:uiPriority w:val="0"/>
    <w:pPr>
      <w:ind w:firstLine="420"/>
    </w:pPr>
  </w:style>
  <w:style w:type="paragraph" w:customStyle="1" w:styleId="85">
    <w:name w:val="表格"/>
    <w:basedOn w:val="1"/>
    <w:qFormat/>
    <w:uiPriority w:val="0"/>
    <w:pPr>
      <w:widowControl w:val="0"/>
      <w:adjustRightInd w:val="0"/>
      <w:snapToGrid w:val="0"/>
      <w:spacing w:line="300" w:lineRule="exact"/>
      <w:jc w:val="center"/>
      <w:textAlignment w:val="auto"/>
    </w:pPr>
    <w:rPr>
      <w:rFonts w:ascii="宋体" w:hAnsi="宋体"/>
      <w:color w:val="000000"/>
      <w:szCs w:val="24"/>
    </w:rPr>
  </w:style>
  <w:style w:type="paragraph" w:customStyle="1" w:styleId="86">
    <w:name w:val="NormalIndent"/>
    <w:basedOn w:val="1"/>
    <w:qFormat/>
    <w:uiPriority w:val="0"/>
    <w:pPr>
      <w:ind w:firstLine="420"/>
    </w:pPr>
    <w:rPr>
      <w:rFonts w:ascii="Times New Roman" w:hAnsi="Times New Roman"/>
      <w:szCs w:val="20"/>
    </w:rPr>
  </w:style>
  <w:style w:type="paragraph" w:customStyle="1" w:styleId="87">
    <w:name w:val="标题 2 New"/>
    <w:basedOn w:val="88"/>
    <w:next w:val="88"/>
    <w:qFormat/>
    <w:uiPriority w:val="0"/>
    <w:pPr>
      <w:keepNext/>
      <w:keepLines/>
      <w:spacing w:before="260" w:after="260" w:line="416" w:lineRule="auto"/>
      <w:outlineLvl w:val="1"/>
    </w:pPr>
    <w:rPr>
      <w:rFonts w:ascii="Arial" w:hAnsi="Arial" w:eastAsia="仿宋_GB2312"/>
      <w:b/>
      <w:bCs/>
      <w:sz w:val="32"/>
    </w:rPr>
  </w:style>
  <w:style w:type="paragraph" w:customStyle="1" w:styleId="88">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89">
    <w:name w:val="Body Text Indent"/>
    <w:basedOn w:val="1"/>
    <w:qFormat/>
    <w:uiPriority w:val="0"/>
    <w:pPr>
      <w:widowControl w:val="0"/>
      <w:ind w:firstLine="480"/>
      <w:textAlignment w:val="auto"/>
    </w:pPr>
    <w:rPr>
      <w:sz w:val="24"/>
      <w:szCs w:val="20"/>
    </w:rPr>
  </w:style>
  <w:style w:type="paragraph" w:customStyle="1" w:styleId="90">
    <w:name w:val="正文 New New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91">
    <w:name w:val="UserStyle_110"/>
    <w:basedOn w:val="1"/>
    <w:qFormat/>
    <w:uiPriority w:val="0"/>
    <w:pPr>
      <w:jc w:val="left"/>
    </w:pPr>
    <w:rPr>
      <w:rFonts w:ascii="宋体" w:hAnsi="宋体"/>
      <w:kern w:val="0"/>
      <w:sz w:val="22"/>
      <w:lang w:val="zh-CN" w:bidi="zh-CN"/>
    </w:rPr>
  </w:style>
  <w:style w:type="paragraph" w:customStyle="1" w:styleId="92">
    <w:name w:val="UserStyle_75"/>
    <w:basedOn w:val="1"/>
    <w:next w:val="1"/>
    <w:qFormat/>
    <w:uiPriority w:val="0"/>
    <w:pPr>
      <w:ind w:left="200" w:leftChars="200"/>
    </w:pPr>
  </w:style>
  <w:style w:type="paragraph" w:customStyle="1" w:styleId="93">
    <w:name w:val="UserStyle_14"/>
    <w:basedOn w:val="1"/>
    <w:next w:val="1"/>
    <w:qFormat/>
    <w:uiPriority w:val="0"/>
    <w:pPr>
      <w:keepNext/>
      <w:keepLines/>
      <w:spacing w:before="260" w:after="260" w:line="412" w:lineRule="auto"/>
      <w:ind w:firstLine="49" w:firstLineChars="49"/>
    </w:pPr>
    <w:rPr>
      <w:rFonts w:ascii="黑体" w:eastAsia="黑体"/>
      <w:sz w:val="28"/>
      <w:szCs w:val="20"/>
    </w:rPr>
  </w:style>
  <w:style w:type="paragraph" w:customStyle="1" w:styleId="94">
    <w:name w:val="正文缩进 New"/>
    <w:basedOn w:val="88"/>
    <w:qFormat/>
    <w:uiPriority w:val="0"/>
    <w:pPr>
      <w:ind w:firstLine="420"/>
    </w:pPr>
    <w:rPr>
      <w:rFonts w:ascii="Times New Roman" w:hAnsi="Times New Roman" w:cs="Times New Roman"/>
      <w:snapToGrid/>
      <w:kern w:val="2"/>
      <w:szCs w:val="20"/>
    </w:rPr>
  </w:style>
  <w:style w:type="paragraph" w:customStyle="1" w:styleId="95">
    <w:name w:val="TOC 标题1"/>
    <w:basedOn w:val="3"/>
    <w:next w:val="1"/>
    <w:unhideWhenUsed/>
    <w:qFormat/>
    <w:uiPriority w:val="39"/>
    <w:pPr>
      <w:spacing w:before="240" w:line="259" w:lineRule="auto"/>
      <w:jc w:val="left"/>
      <w:outlineLvl w:val="9"/>
    </w:pPr>
    <w:rPr>
      <w:rFonts w:ascii="Calibri Light" w:hAnsi="Calibri Light" w:eastAsia="宋体" w:cs="Times New Roman"/>
      <w:b w:val="0"/>
      <w:bCs w:val="0"/>
      <w:color w:val="2E75B5"/>
      <w:kern w:val="0"/>
      <w:sz w:val="32"/>
      <w:szCs w:val="32"/>
    </w:rPr>
  </w:style>
  <w:style w:type="paragraph" w:customStyle="1" w:styleId="96">
    <w:name w:val="正文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97">
    <w:name w:val="TOC1"/>
    <w:basedOn w:val="1"/>
    <w:next w:val="1"/>
    <w:qFormat/>
    <w:uiPriority w:val="0"/>
    <w:pPr>
      <w:spacing w:after="100" w:line="259" w:lineRule="auto"/>
      <w:jc w:val="left"/>
      <w:textAlignment w:val="auto"/>
    </w:pPr>
    <w:rPr>
      <w:rFonts w:ascii="等线" w:hAnsi="等线" w:eastAsia="等线"/>
      <w:kern w:val="0"/>
      <w:sz w:val="22"/>
    </w:rPr>
  </w:style>
  <w:style w:type="paragraph" w:customStyle="1" w:styleId="98">
    <w:name w:val="页眉 New"/>
    <w:basedOn w:val="96"/>
    <w:qFormat/>
    <w:uiPriority w:val="0"/>
    <w:pPr>
      <w:pBdr>
        <w:bottom w:val="single" w:color="auto" w:sz="6" w:space="1"/>
      </w:pBdr>
      <w:tabs>
        <w:tab w:val="center" w:pos="4153"/>
        <w:tab w:val="right" w:pos="8306"/>
      </w:tabs>
      <w:snapToGrid w:val="0"/>
      <w:jc w:val="center"/>
    </w:pPr>
    <w:rPr>
      <w:sz w:val="18"/>
      <w:szCs w:val="18"/>
    </w:rPr>
  </w:style>
  <w:style w:type="paragraph" w:customStyle="1" w:styleId="99">
    <w:name w:val="_Style 98"/>
    <w:qFormat/>
    <w:uiPriority w:val="0"/>
    <w:rPr>
      <w:rFonts w:ascii="Times New Roman" w:hAnsi="Times New Roman" w:eastAsia="宋体" w:cs="Times New Roman"/>
      <w:kern w:val="2"/>
      <w:sz w:val="21"/>
      <w:szCs w:val="24"/>
      <w:lang w:val="en-US" w:eastAsia="zh-CN" w:bidi="ar-SA"/>
    </w:rPr>
  </w:style>
  <w:style w:type="paragraph" w:customStyle="1" w:styleId="100">
    <w:name w:val="UserStyle_58"/>
    <w:basedOn w:val="1"/>
    <w:next w:val="1"/>
    <w:qFormat/>
    <w:uiPriority w:val="0"/>
    <w:pPr>
      <w:keepNext/>
      <w:keepLines/>
      <w:spacing w:before="260" w:after="260" w:line="412" w:lineRule="auto"/>
    </w:pPr>
    <w:rPr>
      <w:rFonts w:ascii="Arial" w:hAnsi="Arial" w:eastAsia="黑体"/>
      <w:b/>
      <w:sz w:val="32"/>
      <w:szCs w:val="20"/>
    </w:rPr>
  </w:style>
  <w:style w:type="paragraph" w:customStyle="1" w:styleId="101">
    <w:name w:val="文一"/>
    <w:basedOn w:val="1"/>
    <w:qFormat/>
    <w:uiPriority w:val="0"/>
    <w:pPr>
      <w:topLinePunct/>
      <w:adjustRightInd w:val="0"/>
      <w:snapToGrid w:val="0"/>
      <w:spacing w:line="360" w:lineRule="auto"/>
      <w:ind w:firstLine="200" w:firstLineChars="200"/>
    </w:pPr>
    <w:rPr>
      <w:spacing w:val="4"/>
      <w:kern w:val="0"/>
      <w:sz w:val="24"/>
    </w:rPr>
  </w:style>
  <w:style w:type="paragraph" w:customStyle="1" w:styleId="102">
    <w:name w:val="TOC2"/>
    <w:basedOn w:val="1"/>
    <w:next w:val="1"/>
    <w:qFormat/>
    <w:uiPriority w:val="0"/>
    <w:pPr>
      <w:spacing w:after="100" w:line="259" w:lineRule="auto"/>
      <w:ind w:left="220"/>
      <w:jc w:val="left"/>
      <w:textAlignment w:val="auto"/>
    </w:pPr>
    <w:rPr>
      <w:rFonts w:ascii="等线" w:hAnsi="等线" w:eastAsia="等线"/>
      <w:kern w:val="0"/>
      <w:sz w:val="22"/>
    </w:rPr>
  </w:style>
  <w:style w:type="paragraph" w:customStyle="1" w:styleId="103">
    <w:name w:val="UserStyle_83"/>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104">
    <w:name w:val="Char Char Char Char Char Char2 Char"/>
    <w:basedOn w:val="1"/>
    <w:qFormat/>
    <w:uiPriority w:val="0"/>
    <w:pPr>
      <w:widowControl w:val="0"/>
      <w:spacing w:line="360" w:lineRule="auto"/>
      <w:ind w:firstLine="200" w:firstLineChars="200"/>
      <w:textAlignment w:val="auto"/>
    </w:pPr>
    <w:rPr>
      <w:rFonts w:ascii="宋体" w:hAnsi="宋体" w:cs="宋体"/>
      <w:sz w:val="24"/>
      <w:szCs w:val="24"/>
    </w:rPr>
  </w:style>
  <w:style w:type="paragraph" w:customStyle="1" w:styleId="105">
    <w:name w:val="列表段落1"/>
    <w:basedOn w:val="1"/>
    <w:qFormat/>
    <w:uiPriority w:val="0"/>
    <w:pPr>
      <w:widowControl w:val="0"/>
      <w:ind w:firstLine="420" w:firstLineChars="200"/>
      <w:textAlignment w:val="auto"/>
    </w:pPr>
  </w:style>
  <w:style w:type="paragraph" w:customStyle="1" w:styleId="106">
    <w:name w:val="UserStyle_54"/>
    <w:basedOn w:val="1"/>
    <w:qFormat/>
    <w:uiPriority w:val="0"/>
    <w:rPr>
      <w:rFonts w:ascii="宋体"/>
      <w:sz w:val="24"/>
      <w:szCs w:val="20"/>
    </w:rPr>
  </w:style>
  <w:style w:type="paragraph" w:customStyle="1" w:styleId="107">
    <w:name w:val="UserStyle_92"/>
    <w:qFormat/>
    <w:uiPriority w:val="0"/>
    <w:pPr>
      <w:spacing w:line="360" w:lineRule="auto"/>
      <w:ind w:firstLine="629"/>
      <w:jc w:val="both"/>
      <w:textAlignment w:val="baseline"/>
    </w:pPr>
    <w:rPr>
      <w:rFonts w:ascii="仿宋_GB2312" w:hAnsi="Calisto MT" w:eastAsia="仿宋_GB2312" w:cs="Times New Roman"/>
      <w:color w:val="000000"/>
      <w:sz w:val="32"/>
      <w:lang w:val="en-US" w:eastAsia="zh-CN" w:bidi="ar-SA"/>
    </w:rPr>
  </w:style>
  <w:style w:type="paragraph" w:customStyle="1" w:styleId="108">
    <w:name w:val="正文文本缩进 23"/>
    <w:basedOn w:val="1"/>
    <w:qFormat/>
    <w:uiPriority w:val="0"/>
    <w:pPr>
      <w:widowControl w:val="0"/>
      <w:spacing w:after="120" w:line="480" w:lineRule="auto"/>
      <w:ind w:left="420" w:leftChars="200"/>
      <w:textAlignment w:val="auto"/>
    </w:pPr>
    <w:rPr>
      <w:rFonts w:ascii="Times New Roman" w:hAnsi="Times New Roman"/>
      <w:szCs w:val="24"/>
    </w:rPr>
  </w:style>
  <w:style w:type="paragraph" w:customStyle="1" w:styleId="10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0">
    <w:name w:val="title24"/>
    <w:basedOn w:val="38"/>
    <w:qFormat/>
    <w:uiPriority w:val="0"/>
  </w:style>
  <w:style w:type="character" w:customStyle="1" w:styleId="111">
    <w:name w:val="username"/>
    <w:basedOn w:val="38"/>
    <w:qFormat/>
    <w:uiPriority w:val="0"/>
  </w:style>
  <w:style w:type="paragraph" w:customStyle="1" w:styleId="112">
    <w:name w:val="WPSOffice手动目录 2"/>
    <w:qFormat/>
    <w:uiPriority w:val="0"/>
    <w:pPr>
      <w:ind w:leftChars="200"/>
    </w:pPr>
    <w:rPr>
      <w:rFonts w:ascii="Times New Roman" w:hAnsi="Times New Roman" w:eastAsia="宋体" w:cs="Times New Roman"/>
      <w:sz w:val="20"/>
      <w:szCs w:val="20"/>
    </w:rPr>
  </w:style>
  <w:style w:type="paragraph" w:customStyle="1" w:styleId="113">
    <w:name w:val="WPSOffice手动目录 1"/>
    <w:qFormat/>
    <w:uiPriority w:val="0"/>
    <w:pPr>
      <w:ind w:leftChars="0"/>
    </w:pPr>
    <w:rPr>
      <w:rFonts w:ascii="Times New Roman" w:hAnsi="Times New Roman" w:eastAsia="宋体" w:cs="Times New Roman"/>
      <w:sz w:val="20"/>
      <w:szCs w:val="20"/>
    </w:rPr>
  </w:style>
  <w:style w:type="paragraph" w:customStyle="1" w:styleId="114">
    <w:name w:val="WPSOffice手动目录 3"/>
    <w:qFormat/>
    <w:uiPriority w:val="0"/>
    <w:pPr>
      <w:ind w:leftChars="400"/>
    </w:pPr>
    <w:rPr>
      <w:rFonts w:ascii="Times New Roman" w:hAnsi="Times New Roman" w:eastAsia="宋体" w:cs="Times New Roman"/>
      <w:sz w:val="20"/>
      <w:szCs w:val="20"/>
    </w:rPr>
  </w:style>
  <w:style w:type="paragraph" w:customStyle="1" w:styleId="11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15856</Words>
  <Characters>16838</Characters>
  <Lines>339</Lines>
  <Paragraphs>95</Paragraphs>
  <TotalTime>30</TotalTime>
  <ScaleCrop>false</ScaleCrop>
  <LinksUpToDate>false</LinksUpToDate>
  <CharactersWithSpaces>17355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2021-07-01T10:11:00Z</dcterms:created>
  <dc:creator>NTKO</dc:creator>
  <cp:lastModifiedBy>彬</cp:lastModifiedBy>
  <cp:lastPrinted>2023-03-15T09:07:00Z</cp:lastPrinted>
  <dcterms:modified xsi:type="dcterms:W3CDTF">2025-04-29T04:39:01Z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B39F2CB6E2C74F108559138B520E5814</vt:lpwstr>
  </property>
  <property fmtid="{D5CDD505-2E9C-101B-9397-08002B2CF9AE}" pid="4" name="KSOTemplateDocerSaveRecord">
    <vt:lpwstr>eyJoZGlkIjoiYmEzMWU4ZGI0ZWU5ZjFjNzlkMmMxNjM5N2FmZDY2NGQiLCJ1c2VySWQiOiI0MTI1Nzg0NTAifQ==</vt:lpwstr>
  </property>
</Properties>
</file>