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A6362">
      <w:pPr>
        <w:jc w:val="both"/>
        <w:rPr>
          <w:rFonts w:ascii="宋体" w:hAnsi="宋体"/>
          <w:b/>
          <w:bCs/>
          <w:color w:val="auto"/>
          <w:sz w:val="60"/>
          <w:szCs w:val="60"/>
          <w:highlight w:val="none"/>
        </w:rPr>
      </w:pPr>
    </w:p>
    <w:p w14:paraId="536C9700">
      <w:pPr>
        <w:spacing w:line="360" w:lineRule="auto"/>
        <w:jc w:val="center"/>
        <w:rPr>
          <w:rFonts w:hint="eastAsia" w:ascii="宋体" w:hAnsi="宋体" w:cs="宋体"/>
          <w:color w:val="auto"/>
          <w:highlight w:val="none"/>
        </w:rPr>
      </w:pPr>
      <w:r>
        <w:rPr>
          <w:rFonts w:hint="eastAsia" w:cs="宋体"/>
          <w:b/>
          <w:color w:val="auto"/>
          <w:sz w:val="52"/>
          <w:szCs w:val="40"/>
          <w:highlight w:val="none"/>
        </w:rPr>
        <w:t>罗定市城区老旧居住区宜居改造项目勘察</w:t>
      </w:r>
      <w:r>
        <w:rPr>
          <w:rFonts w:hint="eastAsia" w:cs="宋体"/>
          <w:b/>
          <w:color w:val="auto"/>
          <w:sz w:val="52"/>
          <w:szCs w:val="40"/>
          <w:highlight w:val="none"/>
          <w:lang w:eastAsia="zh-CN"/>
        </w:rPr>
        <w:t>、</w:t>
      </w:r>
      <w:r>
        <w:rPr>
          <w:rFonts w:hint="eastAsia" w:cs="宋体"/>
          <w:b/>
          <w:color w:val="auto"/>
          <w:sz w:val="52"/>
          <w:szCs w:val="40"/>
          <w:highlight w:val="none"/>
        </w:rPr>
        <w:t>初步设计</w:t>
      </w:r>
    </w:p>
    <w:p w14:paraId="0A19B090">
      <w:pPr>
        <w:jc w:val="center"/>
        <w:rPr>
          <w:rFonts w:ascii="宋体" w:hAnsi="宋体"/>
          <w:b/>
          <w:bCs/>
          <w:color w:val="auto"/>
          <w:sz w:val="32"/>
          <w:szCs w:val="32"/>
          <w:highlight w:val="none"/>
        </w:rPr>
      </w:pPr>
      <w:r>
        <w:rPr>
          <w:rFonts w:hint="eastAsia" w:ascii="宋体" w:hAnsi="宋体"/>
          <w:b/>
          <w:bCs/>
          <w:color w:val="auto"/>
          <w:sz w:val="32"/>
          <w:szCs w:val="32"/>
          <w:highlight w:val="none"/>
        </w:rPr>
        <w:t>（项目代码：</w:t>
      </w:r>
      <w:r>
        <w:rPr>
          <w:rFonts w:hint="eastAsia" w:ascii="华文宋体" w:hAnsi="华文宋体" w:eastAsia="华文宋体" w:cs="华文宋体"/>
          <w:b/>
          <w:bCs/>
          <w:color w:val="auto"/>
          <w:sz w:val="32"/>
          <w:szCs w:val="32"/>
          <w:highlight w:val="none"/>
          <w:lang w:val="en-US" w:eastAsia="zh-CN"/>
        </w:rPr>
        <w:t>2412-445381-04-01-210476</w:t>
      </w:r>
      <w:r>
        <w:rPr>
          <w:rFonts w:hint="eastAsia" w:ascii="宋体" w:hAnsi="宋体"/>
          <w:b/>
          <w:bCs/>
          <w:color w:val="auto"/>
          <w:sz w:val="32"/>
          <w:szCs w:val="32"/>
          <w:highlight w:val="none"/>
        </w:rPr>
        <w:t>）</w:t>
      </w:r>
    </w:p>
    <w:p w14:paraId="397A2E48">
      <w:pPr>
        <w:pStyle w:val="61"/>
        <w:ind w:left="0" w:leftChars="0" w:firstLine="0" w:firstLineChars="0"/>
        <w:rPr>
          <w:color w:val="auto"/>
          <w:highlight w:val="none"/>
        </w:rPr>
      </w:pPr>
    </w:p>
    <w:p w14:paraId="28B2674F">
      <w:pPr>
        <w:pStyle w:val="38"/>
        <w:rPr>
          <w:color w:val="auto"/>
          <w:highlight w:val="none"/>
        </w:rPr>
      </w:pPr>
    </w:p>
    <w:p w14:paraId="66E7F28A">
      <w:pPr>
        <w:jc w:val="center"/>
        <w:rPr>
          <w:rFonts w:ascii="宋体" w:hAnsi="宋体"/>
          <w:b/>
          <w:color w:val="auto"/>
          <w:sz w:val="72"/>
          <w:szCs w:val="64"/>
          <w:highlight w:val="none"/>
        </w:rPr>
      </w:pPr>
      <w:r>
        <w:rPr>
          <w:rFonts w:hint="eastAsia" w:ascii="宋体" w:hAnsi="宋体"/>
          <w:b/>
          <w:color w:val="auto"/>
          <w:sz w:val="72"/>
          <w:szCs w:val="64"/>
          <w:highlight w:val="none"/>
        </w:rPr>
        <w:t>招标文件</w:t>
      </w:r>
    </w:p>
    <w:p w14:paraId="086E6444">
      <w:pPr>
        <w:spacing w:line="400" w:lineRule="exact"/>
        <w:rPr>
          <w:rFonts w:ascii="宋体" w:hAnsi="宋体"/>
          <w:color w:val="auto"/>
          <w:highlight w:val="none"/>
        </w:rPr>
      </w:pPr>
    </w:p>
    <w:p w14:paraId="5F9C8B61">
      <w:pPr>
        <w:spacing w:line="600" w:lineRule="auto"/>
        <w:jc w:val="left"/>
        <w:rPr>
          <w:rFonts w:ascii="宋体" w:hAnsi="宋体"/>
          <w:color w:val="auto"/>
          <w:sz w:val="28"/>
          <w:szCs w:val="28"/>
          <w:highlight w:val="none"/>
        </w:rPr>
      </w:pPr>
    </w:p>
    <w:p w14:paraId="5D6141ED">
      <w:pPr>
        <w:pStyle w:val="47"/>
        <w:ind w:firstLine="240"/>
        <w:rPr>
          <w:rFonts w:ascii="宋体" w:hAnsi="宋体"/>
          <w:color w:val="auto"/>
          <w:highlight w:val="none"/>
          <w:lang w:eastAsia="zh-CN"/>
        </w:rPr>
      </w:pPr>
    </w:p>
    <w:p w14:paraId="5C88A4B5">
      <w:pPr>
        <w:spacing w:line="600" w:lineRule="auto"/>
        <w:ind w:firstLine="1134" w:firstLineChars="405"/>
        <w:jc w:val="left"/>
        <w:rPr>
          <w:rFonts w:ascii="宋体" w:hAnsi="宋体"/>
          <w:color w:val="auto"/>
          <w:sz w:val="28"/>
          <w:szCs w:val="28"/>
          <w:highlight w:val="none"/>
        </w:rPr>
      </w:pPr>
      <w:r>
        <w:rPr>
          <w:rFonts w:hint="eastAsia" w:ascii="宋体" w:hAnsi="宋体"/>
          <w:color w:val="auto"/>
          <w:sz w:val="28"/>
          <w:szCs w:val="28"/>
          <w:highlight w:val="none"/>
        </w:rPr>
        <w:t>招标人：</w:t>
      </w:r>
      <w:r>
        <w:rPr>
          <w:rFonts w:hint="eastAsia" w:ascii="宋体" w:hAnsi="宋体"/>
          <w:color w:val="auto"/>
          <w:sz w:val="28"/>
          <w:szCs w:val="28"/>
          <w:highlight w:val="none"/>
          <w:u w:val="single"/>
        </w:rPr>
        <w:t xml:space="preserve">   </w:t>
      </w:r>
      <w:r>
        <w:rPr>
          <w:rFonts w:hint="eastAsia" w:cs="宋体"/>
          <w:b/>
          <w:color w:val="auto"/>
          <w:sz w:val="28"/>
          <w:szCs w:val="28"/>
          <w:highlight w:val="none"/>
          <w:u w:val="single"/>
        </w:rPr>
        <w:t>罗定市建昊工程管理有限公司</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（盖公章）</w:t>
      </w:r>
    </w:p>
    <w:p w14:paraId="68D3FFAF">
      <w:pPr>
        <w:spacing w:line="600" w:lineRule="auto"/>
        <w:ind w:left="46" w:firstLine="1134" w:firstLineChars="405"/>
        <w:jc w:val="left"/>
        <w:rPr>
          <w:rFonts w:ascii="宋体" w:hAnsi="宋体"/>
          <w:color w:val="auto"/>
          <w:sz w:val="28"/>
          <w:szCs w:val="28"/>
          <w:highlight w:val="none"/>
        </w:rPr>
      </w:pPr>
      <w:r>
        <w:rPr>
          <w:rFonts w:hint="eastAsia" w:ascii="宋体" w:hAnsi="宋体"/>
          <w:color w:val="auto"/>
          <w:sz w:val="28"/>
          <w:szCs w:val="28"/>
          <w:highlight w:val="none"/>
        </w:rPr>
        <w:t>法定代表人或授权委托人：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14:paraId="3074FF2F">
      <w:pPr>
        <w:spacing w:line="600" w:lineRule="auto"/>
        <w:ind w:firstLine="1134" w:firstLineChars="405"/>
        <w:jc w:val="left"/>
        <w:rPr>
          <w:rFonts w:ascii="宋体" w:hAnsi="宋体"/>
          <w:color w:val="auto"/>
          <w:sz w:val="28"/>
          <w:szCs w:val="28"/>
          <w:highlight w:val="none"/>
        </w:rPr>
      </w:pPr>
      <w:r>
        <w:rPr>
          <w:rFonts w:hint="eastAsia" w:ascii="宋体" w:hAnsi="宋体"/>
          <w:color w:val="auto"/>
          <w:sz w:val="28"/>
          <w:szCs w:val="28"/>
          <w:highlight w:val="none"/>
        </w:rPr>
        <w:t>招标代理机构:</w:t>
      </w:r>
      <w:r>
        <w:rPr>
          <w:rFonts w:hint="eastAsia" w:ascii="宋体" w:hAnsi="宋体"/>
          <w:color w:val="auto"/>
          <w:sz w:val="28"/>
          <w:szCs w:val="28"/>
          <w:highlight w:val="none"/>
          <w:u w:val="single"/>
        </w:rPr>
        <w:t xml:space="preserve">   </w:t>
      </w:r>
      <w:r>
        <w:rPr>
          <w:rFonts w:hint="eastAsia" w:cs="宋体"/>
          <w:b/>
          <w:color w:val="auto"/>
          <w:sz w:val="28"/>
          <w:szCs w:val="28"/>
          <w:highlight w:val="none"/>
          <w:u w:val="single"/>
        </w:rPr>
        <w:t>广州万安建设监理有限公司</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（盖公章）</w:t>
      </w:r>
    </w:p>
    <w:p w14:paraId="4B9B6C49">
      <w:pPr>
        <w:spacing w:line="600" w:lineRule="auto"/>
        <w:ind w:left="46" w:firstLine="1134" w:firstLineChars="405"/>
        <w:jc w:val="left"/>
        <w:rPr>
          <w:rFonts w:ascii="宋体" w:hAnsi="宋体"/>
          <w:color w:val="auto"/>
          <w:sz w:val="28"/>
          <w:szCs w:val="28"/>
          <w:highlight w:val="none"/>
        </w:rPr>
      </w:pPr>
      <w:r>
        <w:rPr>
          <w:rFonts w:hint="eastAsia" w:ascii="宋体" w:hAnsi="宋体"/>
          <w:color w:val="auto"/>
          <w:sz w:val="28"/>
          <w:szCs w:val="28"/>
          <w:highlight w:val="none"/>
        </w:rPr>
        <w:t>编制人：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14:paraId="65557D03">
      <w:pPr>
        <w:spacing w:line="600" w:lineRule="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p>
    <w:p w14:paraId="3C4FAFB7">
      <w:pPr>
        <w:spacing w:line="360" w:lineRule="auto"/>
        <w:ind w:firstLine="800" w:firstLineChars="200"/>
        <w:jc w:val="center"/>
        <w:rPr>
          <w:rFonts w:ascii="宋体" w:hAnsi="宋体"/>
          <w:b/>
          <w:color w:val="auto"/>
          <w:sz w:val="40"/>
          <w:szCs w:val="40"/>
          <w:highlight w:val="none"/>
        </w:rPr>
        <w:sectPr>
          <w:footerReference r:id="rId3" w:type="first"/>
          <w:type w:val="nextColumn"/>
          <w:pgSz w:w="11906" w:h="16838"/>
          <w:pgMar w:top="1134" w:right="1191" w:bottom="1134" w:left="1191" w:header="851" w:footer="851" w:gutter="0"/>
          <w:pgNumType w:start="1"/>
          <w:cols w:space="720" w:num="1"/>
          <w:docGrid w:linePitch="435" w:charSpace="0"/>
        </w:sectPr>
      </w:pPr>
    </w:p>
    <w:p w14:paraId="2E369F9A">
      <w:pPr>
        <w:spacing w:line="360" w:lineRule="auto"/>
        <w:jc w:val="center"/>
        <w:rPr>
          <w:rFonts w:ascii="宋体" w:hAnsi="宋体"/>
          <w:b/>
          <w:color w:val="auto"/>
          <w:sz w:val="40"/>
          <w:szCs w:val="40"/>
          <w:highlight w:val="none"/>
        </w:rPr>
      </w:pPr>
      <w:r>
        <w:rPr>
          <w:rFonts w:hint="eastAsia" w:ascii="宋体" w:hAnsi="宋体"/>
          <w:b/>
          <w:color w:val="auto"/>
          <w:sz w:val="40"/>
          <w:szCs w:val="40"/>
          <w:highlight w:val="none"/>
        </w:rPr>
        <w:t>目  录</w:t>
      </w:r>
    </w:p>
    <w:p w14:paraId="23FD50DF">
      <w:pPr>
        <w:pStyle w:val="33"/>
        <w:tabs>
          <w:tab w:val="right" w:leader="middleDot" w:pos="9515"/>
        </w:tabs>
        <w:rPr>
          <w:rFonts w:hint="eastAsia" w:ascii="仿宋" w:hAnsi="仿宋" w:eastAsia="仿宋" w:cs="仿宋"/>
          <w:b w:val="0"/>
          <w:bCs w:val="0"/>
          <w:color w:val="auto"/>
          <w:sz w:val="21"/>
          <w:szCs w:val="22"/>
          <w:highlight w:val="none"/>
        </w:rPr>
      </w:pPr>
      <w:bookmarkStart w:id="0" w:name="_Toc5971"/>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TOC \o "1-2" \h \z \u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"_Toc162002570" </w:instrText>
      </w:r>
      <w:r>
        <w:rPr>
          <w:rFonts w:hint="eastAsia" w:ascii="仿宋" w:hAnsi="仿宋" w:eastAsia="仿宋" w:cs="仿宋"/>
          <w:color w:val="auto"/>
          <w:highlight w:val="none"/>
        </w:rPr>
        <w:fldChar w:fldCharType="separate"/>
      </w:r>
      <w:r>
        <w:rPr>
          <w:rStyle w:val="57"/>
          <w:rFonts w:hint="eastAsia" w:ascii="仿宋" w:hAnsi="仿宋" w:eastAsia="仿宋" w:cs="仿宋"/>
          <w:color w:val="auto"/>
          <w:highlight w:val="none"/>
        </w:rPr>
        <w:t>第一章 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_Toc162002570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4EEEAE">
      <w:pPr>
        <w:pStyle w:val="33"/>
        <w:tabs>
          <w:tab w:val="right" w:leader="middleDot" w:pos="9515"/>
        </w:tabs>
        <w:rPr>
          <w:rFonts w:hint="eastAsia" w:ascii="仿宋" w:hAnsi="仿宋" w:eastAsia="仿宋" w:cs="仿宋"/>
          <w:b w:val="0"/>
          <w:bCs w:val="0"/>
          <w:color w:val="auto"/>
          <w:sz w:val="21"/>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"_Toc162002571" </w:instrText>
      </w:r>
      <w:r>
        <w:rPr>
          <w:rFonts w:hint="eastAsia" w:ascii="仿宋" w:hAnsi="仿宋" w:eastAsia="仿宋" w:cs="仿宋"/>
          <w:color w:val="auto"/>
          <w:highlight w:val="none"/>
        </w:rPr>
        <w:fldChar w:fldCharType="separate"/>
      </w:r>
      <w:r>
        <w:rPr>
          <w:rStyle w:val="57"/>
          <w:rFonts w:hint="eastAsia" w:ascii="仿宋" w:hAnsi="仿宋" w:eastAsia="仿宋" w:cs="仿宋"/>
          <w:color w:val="auto"/>
          <w:highlight w:val="none"/>
        </w:rPr>
        <w:t>第二章 投标人须知</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fldChar w:fldCharType="end"/>
      </w:r>
    </w:p>
    <w:p w14:paraId="5CA22E1D">
      <w:pPr>
        <w:pStyle w:val="33"/>
        <w:tabs>
          <w:tab w:val="right" w:leader="middleDot" w:pos="9515"/>
        </w:tabs>
        <w:rPr>
          <w:rFonts w:hint="eastAsia" w:ascii="仿宋" w:hAnsi="仿宋" w:eastAsia="仿宋" w:cs="仿宋"/>
          <w:b w:val="0"/>
          <w:bCs w:val="0"/>
          <w:color w:val="auto"/>
          <w:sz w:val="21"/>
          <w:szCs w:val="22"/>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"_Toc162002572" </w:instrText>
      </w:r>
      <w:r>
        <w:rPr>
          <w:rFonts w:hint="eastAsia" w:ascii="仿宋" w:hAnsi="仿宋" w:eastAsia="仿宋" w:cs="仿宋"/>
          <w:color w:val="auto"/>
          <w:highlight w:val="none"/>
        </w:rPr>
        <w:fldChar w:fldCharType="separate"/>
      </w:r>
      <w:r>
        <w:rPr>
          <w:rStyle w:val="57"/>
          <w:rFonts w:hint="eastAsia" w:ascii="仿宋" w:hAnsi="仿宋" w:eastAsia="仿宋" w:cs="仿宋"/>
          <w:color w:val="auto"/>
          <w:highlight w:val="none"/>
        </w:rPr>
        <w:t>第三章 评标办法（综合评估法）</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2</w:t>
      </w:r>
    </w:p>
    <w:p w14:paraId="3669A0C6">
      <w:pPr>
        <w:pStyle w:val="33"/>
        <w:tabs>
          <w:tab w:val="right" w:leader="middleDot" w:pos="9515"/>
        </w:tabs>
        <w:rPr>
          <w:rFonts w:hint="eastAsia" w:ascii="仿宋" w:hAnsi="仿宋" w:eastAsia="仿宋" w:cs="仿宋"/>
          <w:b w:val="0"/>
          <w:bCs w:val="0"/>
          <w:color w:val="auto"/>
          <w:sz w:val="21"/>
          <w:szCs w:val="22"/>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"_Toc162002573" </w:instrText>
      </w:r>
      <w:r>
        <w:rPr>
          <w:rFonts w:hint="eastAsia" w:ascii="仿宋" w:hAnsi="仿宋" w:eastAsia="仿宋" w:cs="仿宋"/>
          <w:color w:val="auto"/>
          <w:highlight w:val="none"/>
        </w:rPr>
        <w:fldChar w:fldCharType="separate"/>
      </w:r>
      <w:r>
        <w:rPr>
          <w:rStyle w:val="57"/>
          <w:rFonts w:hint="eastAsia" w:ascii="仿宋" w:hAnsi="仿宋" w:eastAsia="仿宋" w:cs="仿宋"/>
          <w:color w:val="auto"/>
          <w:highlight w:val="none"/>
        </w:rPr>
        <w:t>第四章 合同条款及格式</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2</w:t>
      </w:r>
    </w:p>
    <w:p w14:paraId="40DB1635">
      <w:pPr>
        <w:pStyle w:val="33"/>
        <w:tabs>
          <w:tab w:val="right" w:leader="middleDot" w:pos="9515"/>
        </w:tabs>
        <w:rPr>
          <w:rFonts w:hint="eastAsia" w:ascii="仿宋" w:hAnsi="仿宋" w:eastAsia="仿宋" w:cs="仿宋"/>
          <w:b w:val="0"/>
          <w:bCs w:val="0"/>
          <w:color w:val="auto"/>
          <w:sz w:val="21"/>
          <w:szCs w:val="22"/>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"_Toc162002574" </w:instrText>
      </w:r>
      <w:r>
        <w:rPr>
          <w:rFonts w:hint="eastAsia" w:ascii="仿宋" w:hAnsi="仿宋" w:eastAsia="仿宋" w:cs="仿宋"/>
          <w:color w:val="auto"/>
          <w:highlight w:val="none"/>
        </w:rPr>
        <w:fldChar w:fldCharType="separate"/>
      </w:r>
      <w:r>
        <w:rPr>
          <w:rStyle w:val="57"/>
          <w:rFonts w:hint="eastAsia" w:ascii="仿宋" w:hAnsi="仿宋" w:eastAsia="仿宋" w:cs="仿宋"/>
          <w:color w:val="auto"/>
          <w:highlight w:val="none"/>
        </w:rPr>
        <w:t>第五章 委托人要求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100</w:t>
      </w:r>
    </w:p>
    <w:p w14:paraId="16C6EECE">
      <w:pPr>
        <w:pStyle w:val="33"/>
        <w:tabs>
          <w:tab w:val="right" w:leader="middleDot" w:pos="9515"/>
        </w:tabs>
        <w:rPr>
          <w:rFonts w:hint="eastAsia" w:ascii="仿宋" w:hAnsi="仿宋" w:eastAsia="仿宋" w:cs="仿宋"/>
          <w:b w:val="0"/>
          <w:bCs w:val="0"/>
          <w:color w:val="auto"/>
          <w:sz w:val="21"/>
          <w:szCs w:val="22"/>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"_Toc162002575" </w:instrText>
      </w:r>
      <w:r>
        <w:rPr>
          <w:rFonts w:hint="eastAsia" w:ascii="仿宋" w:hAnsi="仿宋" w:eastAsia="仿宋" w:cs="仿宋"/>
          <w:color w:val="auto"/>
          <w:highlight w:val="none"/>
        </w:rPr>
        <w:fldChar w:fldCharType="separate"/>
      </w:r>
      <w:r>
        <w:rPr>
          <w:rStyle w:val="57"/>
          <w:rFonts w:hint="eastAsia" w:ascii="仿宋" w:hAnsi="仿宋" w:eastAsia="仿宋" w:cs="仿宋"/>
          <w:color w:val="auto"/>
          <w:highlight w:val="none"/>
        </w:rPr>
        <w:t>第六章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103</w:t>
      </w:r>
    </w:p>
    <w:p w14:paraId="0008E83A">
      <w:pPr>
        <w:spacing w:line="720" w:lineRule="auto"/>
        <w:rPr>
          <w:rFonts w:hint="eastAsia" w:ascii="仿宋" w:hAnsi="仿宋" w:eastAsia="仿宋" w:cs="仿宋"/>
          <w:color w:val="auto"/>
          <w:highlight w:val="none"/>
        </w:rPr>
      </w:pPr>
      <w:r>
        <w:rPr>
          <w:rFonts w:hint="eastAsia" w:ascii="仿宋" w:hAnsi="仿宋" w:eastAsia="仿宋" w:cs="仿宋"/>
          <w:b/>
          <w:bCs/>
          <w:color w:val="auto"/>
          <w:sz w:val="24"/>
          <w:highlight w:val="none"/>
        </w:rPr>
        <w:fldChar w:fldCharType="end"/>
      </w:r>
    </w:p>
    <w:p w14:paraId="1C7AB75E">
      <w:pPr>
        <w:pStyle w:val="47"/>
        <w:ind w:firstLine="240"/>
        <w:rPr>
          <w:rFonts w:ascii="宋体" w:hAnsi="宋体"/>
          <w:color w:val="auto"/>
          <w:highlight w:val="none"/>
          <w:lang w:val="en-US" w:eastAsia="zh-CN"/>
        </w:rPr>
      </w:pPr>
    </w:p>
    <w:p w14:paraId="01EACDB1">
      <w:pPr>
        <w:pStyle w:val="47"/>
        <w:ind w:firstLine="240"/>
        <w:rPr>
          <w:rFonts w:ascii="宋体" w:hAnsi="宋体"/>
          <w:color w:val="auto"/>
          <w:highlight w:val="none"/>
          <w:lang w:val="en-US" w:eastAsia="zh-CN"/>
        </w:rPr>
      </w:pPr>
    </w:p>
    <w:p w14:paraId="4444E47F">
      <w:pPr>
        <w:pStyle w:val="47"/>
        <w:ind w:firstLine="240"/>
        <w:rPr>
          <w:rFonts w:ascii="宋体" w:hAnsi="宋体"/>
          <w:color w:val="auto"/>
          <w:highlight w:val="none"/>
          <w:lang w:val="en-US" w:eastAsia="zh-CN"/>
        </w:rPr>
      </w:pPr>
    </w:p>
    <w:p w14:paraId="7A0678C2">
      <w:pPr>
        <w:pStyle w:val="2"/>
        <w:rPr>
          <w:rFonts w:ascii="宋体" w:hAnsi="宋体"/>
          <w:color w:val="auto"/>
          <w:highlight w:val="none"/>
        </w:rPr>
      </w:pPr>
      <w:r>
        <w:rPr>
          <w:rFonts w:ascii="宋体" w:hAnsi="宋体"/>
          <w:color w:val="auto"/>
          <w:highlight w:val="none"/>
        </w:rPr>
        <w:br w:type="page"/>
      </w:r>
      <w:bookmarkEnd w:id="0"/>
      <w:bookmarkStart w:id="1" w:name="_Toc162002570"/>
      <w:bookmarkStart w:id="2" w:name="_Toc271416708"/>
      <w:r>
        <w:rPr>
          <w:rFonts w:hint="eastAsia" w:ascii="宋体" w:hAnsi="宋体"/>
          <w:color w:val="auto"/>
          <w:highlight w:val="none"/>
        </w:rPr>
        <w:t>第一章  招标公告</w:t>
      </w:r>
      <w:bookmarkEnd w:id="1"/>
    </w:p>
    <w:p w14:paraId="1F3A7158">
      <w:pPr>
        <w:spacing w:line="380" w:lineRule="exact"/>
        <w:jc w:val="center"/>
        <w:rPr>
          <w:rFonts w:ascii="宋体" w:hAnsi="宋体"/>
          <w:b/>
          <w:color w:val="auto"/>
          <w:sz w:val="24"/>
          <w:highlight w:val="none"/>
        </w:rPr>
      </w:pPr>
    </w:p>
    <w:tbl>
      <w:tblPr>
        <w:tblStyle w:val="49"/>
        <w:tblW w:w="9531" w:type="dxa"/>
        <w:jc w:val="center"/>
        <w:tblLayout w:type="fixed"/>
        <w:tblCellMar>
          <w:top w:w="0" w:type="dxa"/>
          <w:left w:w="108" w:type="dxa"/>
          <w:bottom w:w="0" w:type="dxa"/>
          <w:right w:w="108" w:type="dxa"/>
        </w:tblCellMar>
      </w:tblPr>
      <w:tblGrid>
        <w:gridCol w:w="1593"/>
        <w:gridCol w:w="985"/>
        <w:gridCol w:w="1559"/>
        <w:gridCol w:w="318"/>
        <w:gridCol w:w="65"/>
        <w:gridCol w:w="644"/>
        <w:gridCol w:w="249"/>
        <w:gridCol w:w="761"/>
        <w:gridCol w:w="266"/>
        <w:gridCol w:w="3091"/>
      </w:tblGrid>
      <w:tr w14:paraId="61B7714F">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14:paraId="55D9C28B">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投资项目代码</w:t>
            </w:r>
          </w:p>
        </w:tc>
        <w:tc>
          <w:tcPr>
            <w:tcW w:w="7938" w:type="dxa"/>
            <w:gridSpan w:val="9"/>
            <w:tcBorders>
              <w:top w:val="single" w:color="auto" w:sz="4" w:space="0"/>
              <w:left w:val="single" w:color="auto" w:sz="4" w:space="0"/>
              <w:bottom w:val="single" w:color="auto" w:sz="4" w:space="0"/>
              <w:right w:val="single" w:color="auto" w:sz="4" w:space="0"/>
            </w:tcBorders>
            <w:vAlign w:val="center"/>
          </w:tcPr>
          <w:p w14:paraId="140DCA2D">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2412-445381-04-01-210476</w:t>
            </w:r>
          </w:p>
        </w:tc>
      </w:tr>
      <w:tr w14:paraId="244C7832">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14:paraId="2B87978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投资项目名称</w:t>
            </w:r>
          </w:p>
        </w:tc>
        <w:tc>
          <w:tcPr>
            <w:tcW w:w="7938" w:type="dxa"/>
            <w:gridSpan w:val="9"/>
            <w:tcBorders>
              <w:top w:val="single" w:color="auto" w:sz="4" w:space="0"/>
              <w:left w:val="single" w:color="auto" w:sz="4" w:space="0"/>
              <w:bottom w:val="single" w:color="auto" w:sz="4" w:space="0"/>
              <w:right w:val="single" w:color="auto" w:sz="4" w:space="0"/>
            </w:tcBorders>
            <w:vAlign w:val="center"/>
          </w:tcPr>
          <w:p w14:paraId="7B805CDA">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罗定市城区老旧居住区宜居改造项目</w:t>
            </w:r>
          </w:p>
        </w:tc>
      </w:tr>
      <w:tr w14:paraId="1AF77259">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14:paraId="2DEBC17E">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招标项目名称</w:t>
            </w:r>
          </w:p>
        </w:tc>
        <w:tc>
          <w:tcPr>
            <w:tcW w:w="7938" w:type="dxa"/>
            <w:gridSpan w:val="9"/>
            <w:tcBorders>
              <w:top w:val="single" w:color="auto" w:sz="4" w:space="0"/>
              <w:left w:val="single" w:color="auto" w:sz="4" w:space="0"/>
              <w:bottom w:val="single" w:color="auto" w:sz="4" w:space="0"/>
              <w:right w:val="single" w:color="auto" w:sz="4" w:space="0"/>
            </w:tcBorders>
            <w:vAlign w:val="center"/>
          </w:tcPr>
          <w:p w14:paraId="5F4F5827">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罗定市城区老旧居住区宜居改造项目勘察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初步设计</w:t>
            </w:r>
          </w:p>
        </w:tc>
      </w:tr>
      <w:tr w14:paraId="41171E52">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000000" w:sz="4" w:space="0"/>
              <w:bottom w:val="single" w:color="000000" w:sz="4" w:space="0"/>
              <w:right w:val="single" w:color="000000" w:sz="4" w:space="0"/>
            </w:tcBorders>
            <w:vAlign w:val="center"/>
          </w:tcPr>
          <w:p w14:paraId="7BB23986">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标段（包）名称</w:t>
            </w:r>
          </w:p>
        </w:tc>
        <w:tc>
          <w:tcPr>
            <w:tcW w:w="2927" w:type="dxa"/>
            <w:gridSpan w:val="4"/>
            <w:tcBorders>
              <w:top w:val="single" w:color="auto" w:sz="4" w:space="0"/>
              <w:left w:val="single" w:color="000000" w:sz="4" w:space="0"/>
              <w:bottom w:val="single" w:color="000000" w:sz="4" w:space="0"/>
              <w:right w:val="single" w:color="000000" w:sz="4" w:space="0"/>
            </w:tcBorders>
            <w:vAlign w:val="center"/>
          </w:tcPr>
          <w:p w14:paraId="5A698952">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罗定市城区老旧居住区宜居改造项目勘察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初步设计</w:t>
            </w:r>
          </w:p>
        </w:tc>
        <w:tc>
          <w:tcPr>
            <w:tcW w:w="1654" w:type="dxa"/>
            <w:gridSpan w:val="3"/>
            <w:tcBorders>
              <w:top w:val="single" w:color="auto" w:sz="4" w:space="0"/>
              <w:left w:val="single" w:color="000000" w:sz="4" w:space="0"/>
              <w:bottom w:val="single" w:color="000000" w:sz="4" w:space="0"/>
              <w:right w:val="single" w:color="000000" w:sz="4" w:space="0"/>
            </w:tcBorders>
            <w:vAlign w:val="center"/>
          </w:tcPr>
          <w:p w14:paraId="4D747E33">
            <w:pPr>
              <w:widowControl/>
              <w:spacing w:line="380" w:lineRule="exact"/>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公告性质</w:t>
            </w:r>
          </w:p>
        </w:tc>
        <w:tc>
          <w:tcPr>
            <w:tcW w:w="3357" w:type="dxa"/>
            <w:gridSpan w:val="2"/>
            <w:tcBorders>
              <w:top w:val="single" w:color="auto" w:sz="4" w:space="0"/>
              <w:left w:val="single" w:color="000000" w:sz="4" w:space="0"/>
              <w:bottom w:val="single" w:color="000000" w:sz="4" w:space="0"/>
              <w:right w:val="single" w:color="000000" w:sz="4" w:space="0"/>
            </w:tcBorders>
            <w:vAlign w:val="center"/>
          </w:tcPr>
          <w:p w14:paraId="737254CB">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正常</w:t>
            </w:r>
          </w:p>
        </w:tc>
      </w:tr>
      <w:tr w14:paraId="5EA0FF63">
        <w:tblPrEx>
          <w:tblCellMar>
            <w:top w:w="0" w:type="dxa"/>
            <w:left w:w="108" w:type="dxa"/>
            <w:bottom w:w="0" w:type="dxa"/>
            <w:right w:w="108" w:type="dxa"/>
          </w:tblCellMar>
        </w:tblPrEx>
        <w:trPr>
          <w:trHeight w:val="560" w:hRule="atLeast"/>
          <w:jc w:val="center"/>
        </w:trPr>
        <w:tc>
          <w:tcPr>
            <w:tcW w:w="1593" w:type="dxa"/>
            <w:tcBorders>
              <w:top w:val="single" w:color="auto" w:sz="4" w:space="0"/>
              <w:left w:val="single" w:color="000000" w:sz="4" w:space="0"/>
              <w:bottom w:val="single" w:color="000000" w:sz="4" w:space="0"/>
              <w:right w:val="single" w:color="000000" w:sz="4" w:space="0"/>
            </w:tcBorders>
            <w:vAlign w:val="center"/>
          </w:tcPr>
          <w:p w14:paraId="35FA4C07">
            <w:pPr>
              <w:widowControl/>
              <w:spacing w:line="380" w:lineRule="exact"/>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资格审查方式</w:t>
            </w:r>
          </w:p>
        </w:tc>
        <w:tc>
          <w:tcPr>
            <w:tcW w:w="7938" w:type="dxa"/>
            <w:gridSpan w:val="9"/>
            <w:tcBorders>
              <w:top w:val="single" w:color="auto" w:sz="4" w:space="0"/>
              <w:left w:val="single" w:color="000000" w:sz="4" w:space="0"/>
              <w:bottom w:val="single" w:color="000000" w:sz="4" w:space="0"/>
              <w:right w:val="single" w:color="000000" w:sz="4" w:space="0"/>
            </w:tcBorders>
            <w:vAlign w:val="center"/>
          </w:tcPr>
          <w:p w14:paraId="52A242EE">
            <w:pPr>
              <w:widowControl/>
              <w:spacing w:line="38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资格后审</w:t>
            </w:r>
          </w:p>
        </w:tc>
      </w:tr>
      <w:tr w14:paraId="341FFE17">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BD7EE9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招标项目实施地点</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085CD970">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广东省云浮市罗定市罗城街道。</w:t>
            </w:r>
          </w:p>
        </w:tc>
      </w:tr>
      <w:tr w14:paraId="4EA5FB2A">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5A4BE06F">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资金来源</w:t>
            </w:r>
          </w:p>
        </w:tc>
        <w:tc>
          <w:tcPr>
            <w:tcW w:w="2862" w:type="dxa"/>
            <w:gridSpan w:val="3"/>
            <w:tcBorders>
              <w:top w:val="single" w:color="000000" w:sz="4" w:space="0"/>
              <w:left w:val="single" w:color="000000" w:sz="4" w:space="0"/>
              <w:bottom w:val="single" w:color="000000" w:sz="4" w:space="0"/>
              <w:right w:val="nil"/>
            </w:tcBorders>
            <w:vAlign w:val="center"/>
          </w:tcPr>
          <w:p w14:paraId="0E991E83">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上级资金和市财政统筹解决</w:t>
            </w:r>
          </w:p>
        </w:tc>
        <w:tc>
          <w:tcPr>
            <w:tcW w:w="1719" w:type="dxa"/>
            <w:gridSpan w:val="4"/>
            <w:tcBorders>
              <w:top w:val="single" w:color="000000" w:sz="4" w:space="0"/>
              <w:left w:val="single" w:color="000000" w:sz="4" w:space="0"/>
              <w:bottom w:val="single" w:color="000000" w:sz="4" w:space="0"/>
              <w:right w:val="single" w:color="000000" w:sz="4" w:space="0"/>
            </w:tcBorders>
            <w:vAlign w:val="center"/>
          </w:tcPr>
          <w:p w14:paraId="7456EC5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资金来源构成</w:t>
            </w:r>
          </w:p>
        </w:tc>
        <w:tc>
          <w:tcPr>
            <w:tcW w:w="3357" w:type="dxa"/>
            <w:gridSpan w:val="2"/>
            <w:tcBorders>
              <w:top w:val="single" w:color="000000" w:sz="4" w:space="0"/>
              <w:left w:val="nil"/>
              <w:bottom w:val="single" w:color="000000" w:sz="4" w:space="0"/>
              <w:right w:val="single" w:color="000000" w:sz="4" w:space="0"/>
            </w:tcBorders>
            <w:vAlign w:val="center"/>
          </w:tcPr>
          <w:p w14:paraId="55AEED28">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通过争取上级专项资金和地方自筹解决。</w:t>
            </w:r>
          </w:p>
        </w:tc>
      </w:tr>
      <w:tr w14:paraId="590D2A26">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0F02297">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招标范围及规模</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427029E7">
            <w:pPr>
              <w:pStyle w:val="61"/>
              <w:spacing w:line="380" w:lineRule="exact"/>
              <w:ind w:firstLine="420" w:firstLineChars="200"/>
              <w:rPr>
                <w:rFonts w:hint="eastAsia" w:ascii="仿宋" w:hAnsi="仿宋" w:eastAsia="仿宋" w:cs="仿宋"/>
                <w:iCs w:val="0"/>
                <w:color w:val="auto"/>
                <w:kern w:val="0"/>
                <w:sz w:val="21"/>
                <w:szCs w:val="21"/>
                <w:highlight w:val="none"/>
                <w:u w:val="none"/>
              </w:rPr>
            </w:pPr>
            <w:r>
              <w:rPr>
                <w:rFonts w:hint="eastAsia" w:ascii="仿宋" w:hAnsi="仿宋" w:eastAsia="仿宋" w:cs="仿宋"/>
                <w:iCs w:val="0"/>
                <w:color w:val="auto"/>
                <w:kern w:val="0"/>
                <w:sz w:val="21"/>
                <w:szCs w:val="21"/>
                <w:highlight w:val="none"/>
                <w:u w:val="none"/>
                <w:lang w:eastAsia="zh-CN"/>
              </w:rPr>
              <w:t>完成罗定市城区老旧居住区宜居改造项目勘察、初步设计等工作。其中：</w:t>
            </w:r>
            <w:r>
              <w:rPr>
                <w:rFonts w:hint="eastAsia" w:ascii="仿宋" w:hAnsi="仿宋" w:eastAsia="仿宋" w:cs="仿宋"/>
                <w:iCs w:val="0"/>
                <w:color w:val="auto"/>
                <w:kern w:val="0"/>
                <w:sz w:val="21"/>
                <w:szCs w:val="21"/>
                <w:highlight w:val="none"/>
                <w:u w:val="none"/>
              </w:rPr>
              <w:t>（1）勘察：勘察过程中，根据工程现场地形地貌、工程水文地质条件及相关技术规范要求，完成本项目的勘察工作，负责本项目范围内，在满足法律法规及设计的前提下，不限于以下内容：包括地形测量、初步勘察、详细勘察、工程测量、管线物探、氡气检测及必要时的施工勘察工作等，以及上述勘察成果文件。密切配合设计单位解决本项目实施过程中的一切岩土工程问题。（备注：勘察单位在满足法律法规及设计的前提下，须按发包人的要求无条件调整勘察、测量、物探等工作，调整不增加勘察费。若勘察方按发包人要求提供已完成的勘察成果后，因不可抗拒原因造成设计方案调整出现勘察变更的，需由勘察方与发包人另行协商并签订补充协议。）</w:t>
            </w:r>
          </w:p>
          <w:p w14:paraId="4C7017E8">
            <w:pPr>
              <w:pStyle w:val="61"/>
              <w:spacing w:line="380" w:lineRule="exact"/>
              <w:ind w:firstLine="420" w:firstLineChars="200"/>
              <w:rPr>
                <w:rFonts w:hint="eastAsia" w:ascii="仿宋" w:hAnsi="仿宋" w:eastAsia="仿宋" w:cs="仿宋"/>
                <w:iCs w:val="0"/>
                <w:color w:val="auto"/>
                <w:kern w:val="0"/>
                <w:sz w:val="21"/>
                <w:szCs w:val="21"/>
                <w:highlight w:val="none"/>
                <w:u w:val="none"/>
              </w:rPr>
            </w:pPr>
            <w:r>
              <w:rPr>
                <w:rFonts w:hint="eastAsia" w:ascii="仿宋" w:hAnsi="仿宋" w:eastAsia="仿宋" w:cs="仿宋"/>
                <w:iCs w:val="0"/>
                <w:color w:val="auto"/>
                <w:kern w:val="0"/>
                <w:sz w:val="21"/>
                <w:szCs w:val="21"/>
                <w:highlight w:val="none"/>
                <w:u w:val="none"/>
              </w:rPr>
              <w:t>（2）设计：包括但不限于方案设计、初步设计概算（有造价咨询资质）及初设审查、专业设计（包括但不限于智能化、绿色建筑、基坑支护等）等阶段的设计服务工作。（备注：设计图纸、文件等资料须按发包人的要求无条件进行优化设计、变更设计等，优化设计、变更设计不增加设计费。若设计方按发包人要求提供已完成的设计成果后，因不可抗拒原因造成设计方案调整出现重大变更的，需由设计方与发包人另行协商并签订补充协议。）</w:t>
            </w:r>
          </w:p>
        </w:tc>
      </w:tr>
      <w:tr w14:paraId="0F444555">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6962B11">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招标内容</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3F43147E">
            <w:pPr>
              <w:pStyle w:val="61"/>
              <w:spacing w:line="380" w:lineRule="exact"/>
              <w:ind w:firstLine="420" w:firstLineChars="200"/>
              <w:rPr>
                <w:rFonts w:hint="eastAsia" w:ascii="仿宋" w:hAnsi="仿宋" w:eastAsia="仿宋" w:cs="仿宋"/>
                <w:iCs w:val="0"/>
                <w:color w:val="auto"/>
                <w:kern w:val="0"/>
                <w:sz w:val="21"/>
                <w:szCs w:val="21"/>
                <w:highlight w:val="none"/>
                <w:u w:val="none"/>
              </w:rPr>
            </w:pPr>
            <w:r>
              <w:rPr>
                <w:rFonts w:hint="eastAsia" w:ascii="仿宋" w:hAnsi="仿宋" w:eastAsia="仿宋" w:cs="仿宋"/>
                <w:iCs w:val="0"/>
                <w:color w:val="auto"/>
                <w:kern w:val="0"/>
                <w:sz w:val="21"/>
                <w:szCs w:val="21"/>
                <w:highlight w:val="none"/>
                <w:u w:val="none"/>
              </w:rPr>
              <w:t>项目共分三个子项，包括：1、城中北片老旧居住区改造工程(含北区、区屋、中区、东区)；2、城东南片老旧居住区改造工程(含细坑、城东、柑园)；3、城西片老旧居住区改造工程(含西区、南区、石围)。主要内容包含改造及新建道路面积约100500平方米；改造污水管约86000米、排水管道约 98000米；建设安装路灯约7200盏；电力线、通信线、有线电视线等三线整理；人居环境整治约20000平方米；建设社区综合服务、文化体育设施、消防设施、自行车棚等。</w:t>
            </w:r>
          </w:p>
        </w:tc>
      </w:tr>
      <w:tr w14:paraId="00F9DCA6">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6BCB2A64">
            <w:pPr>
              <w:widowControl/>
              <w:spacing w:line="380" w:lineRule="exact"/>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服务期限</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3145B895">
            <w:pPr>
              <w:spacing w:line="380" w:lineRule="exact"/>
              <w:ind w:left="34" w:leftChars="16" w:firstLine="315" w:firstLineChars="15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合同工期总日历天数 </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0 天</w:t>
            </w:r>
            <w:r>
              <w:rPr>
                <w:rFonts w:hint="eastAsia" w:ascii="仿宋" w:hAnsi="仿宋" w:eastAsia="仿宋" w:cs="仿宋"/>
                <w:color w:val="auto"/>
                <w:szCs w:val="21"/>
                <w:highlight w:val="none"/>
                <w:lang w:eastAsia="zh-CN"/>
              </w:rPr>
              <w:t>，其中：</w:t>
            </w:r>
            <w:r>
              <w:rPr>
                <w:rFonts w:hint="eastAsia" w:ascii="仿宋" w:hAnsi="仿宋" w:eastAsia="仿宋" w:cs="仿宋"/>
                <w:color w:val="auto"/>
                <w:szCs w:val="21"/>
                <w:highlight w:val="none"/>
                <w:lang w:val="en-US" w:eastAsia="zh-CN"/>
              </w:rPr>
              <w:t>勘察工期15个日历天，设计工期35个日历天。</w:t>
            </w:r>
          </w:p>
          <w:p w14:paraId="484DF258">
            <w:pPr>
              <w:spacing w:line="380" w:lineRule="exact"/>
              <w:ind w:left="34" w:leftChars="16" w:firstLine="315" w:firstLineChars="1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招标人在合同约定的限期按实际工程进度通知中标人进行工程勘察设计。中标人应在工程勘察设计合同签订后 </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日内完成工程勘察、初步设计；工程勘察、初步设计文件经审查发现问题后5日内完成补充、修改。</w:t>
            </w:r>
          </w:p>
        </w:tc>
      </w:tr>
      <w:tr w14:paraId="7BF98B94">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5C696339">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最高投标限价</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1BECF8DD">
            <w:pPr>
              <w:widowControl/>
              <w:spacing w:line="38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900.00万元（其中勘察费600.00万元，初步设计费300.00万元）</w:t>
            </w:r>
          </w:p>
        </w:tc>
      </w:tr>
      <w:tr w14:paraId="506D8967">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557056B">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是否接受联合体投标</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5F280011">
            <w:pPr>
              <w:widowControl/>
              <w:spacing w:line="380" w:lineRule="exact"/>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lang w:val="en-US" w:eastAsia="zh-CN" w:bidi="ar"/>
              </w:rPr>
              <w:t>是</w:t>
            </w:r>
          </w:p>
        </w:tc>
      </w:tr>
      <w:tr w14:paraId="73F8FAC0">
        <w:tblPrEx>
          <w:tblCellMar>
            <w:top w:w="0" w:type="dxa"/>
            <w:left w:w="108" w:type="dxa"/>
            <w:bottom w:w="0" w:type="dxa"/>
            <w:right w:w="108" w:type="dxa"/>
          </w:tblCellMar>
        </w:tblPrEx>
        <w:trPr>
          <w:trHeight w:val="775" w:hRule="atLeast"/>
          <w:jc w:val="center"/>
        </w:trPr>
        <w:tc>
          <w:tcPr>
            <w:tcW w:w="1593" w:type="dxa"/>
            <w:vMerge w:val="restart"/>
            <w:tcBorders>
              <w:top w:val="single" w:color="000000" w:sz="4" w:space="0"/>
              <w:left w:val="single" w:color="000000" w:sz="4" w:space="0"/>
              <w:right w:val="single" w:color="000000" w:sz="4" w:space="0"/>
            </w:tcBorders>
            <w:vAlign w:val="center"/>
          </w:tcPr>
          <w:p w14:paraId="4A43E7EC">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投标资格能力要求（包括但不限于资质人员、业绩等要求）</w:t>
            </w:r>
          </w:p>
        </w:tc>
        <w:tc>
          <w:tcPr>
            <w:tcW w:w="985" w:type="dxa"/>
            <w:tcBorders>
              <w:top w:val="single" w:color="000000" w:sz="4" w:space="0"/>
              <w:left w:val="single" w:color="000000" w:sz="4" w:space="0"/>
              <w:bottom w:val="single" w:color="000000" w:sz="4" w:space="0"/>
              <w:right w:val="single" w:color="000000" w:sz="4" w:space="0"/>
            </w:tcBorders>
            <w:vAlign w:val="center"/>
          </w:tcPr>
          <w:p w14:paraId="0BFB8488">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投标人资格要求</w:t>
            </w:r>
          </w:p>
        </w:tc>
        <w:tc>
          <w:tcPr>
            <w:tcW w:w="6953" w:type="dxa"/>
            <w:gridSpan w:val="8"/>
            <w:tcBorders>
              <w:top w:val="single" w:color="000000" w:sz="4" w:space="0"/>
              <w:left w:val="single" w:color="000000" w:sz="4" w:space="0"/>
              <w:bottom w:val="single" w:color="000000" w:sz="4" w:space="0"/>
              <w:right w:val="single" w:color="000000" w:sz="4" w:space="0"/>
            </w:tcBorders>
            <w:vAlign w:val="center"/>
          </w:tcPr>
          <w:p w14:paraId="5C8B88C3">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b/>
                <w:bCs/>
                <w:color w:val="auto"/>
                <w:sz w:val="21"/>
                <w:szCs w:val="21"/>
                <w:highlight w:val="none"/>
                <w:lang w:bidi="ar"/>
              </w:rPr>
              <w:t>（1）资质条件：</w:t>
            </w:r>
          </w:p>
          <w:p w14:paraId="1DA8D188">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①勘察资质：具备建设行政主管部门颁发的工程勘察综合甲级资质，或工程勘察专业(岩土工程)</w:t>
            </w:r>
            <w:r>
              <w:rPr>
                <w:rFonts w:hint="eastAsia" w:ascii="仿宋" w:hAnsi="仿宋" w:eastAsia="仿宋" w:cs="仿宋"/>
                <w:color w:val="auto"/>
                <w:sz w:val="21"/>
                <w:szCs w:val="21"/>
                <w:highlight w:val="none"/>
                <w:lang w:val="en-US" w:eastAsia="zh-CN"/>
              </w:rPr>
              <w:t>乙级</w:t>
            </w:r>
            <w:r>
              <w:rPr>
                <w:rFonts w:hint="eastAsia" w:ascii="仿宋" w:hAnsi="仿宋" w:eastAsia="仿宋" w:cs="仿宋"/>
                <w:color w:val="auto"/>
                <w:sz w:val="21"/>
                <w:szCs w:val="21"/>
                <w:highlight w:val="none"/>
                <w:lang w:eastAsia="zh-CN"/>
              </w:rPr>
              <w:t>或以上资质。(联合体投标时为勘察方具备)。</w:t>
            </w:r>
            <w:r>
              <w:rPr>
                <w:rFonts w:hint="eastAsia" w:ascii="仿宋" w:hAnsi="仿宋" w:eastAsia="仿宋" w:cs="仿宋"/>
                <w:color w:val="auto"/>
                <w:sz w:val="21"/>
                <w:szCs w:val="21"/>
                <w:highlight w:val="none"/>
                <w:lang w:val="en-US" w:eastAsia="zh-CN"/>
              </w:rPr>
              <w:t xml:space="preserve">     </w:t>
            </w:r>
          </w:p>
          <w:p w14:paraId="43770D7C">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lang w:val="en-US" w:eastAsia="zh-CN"/>
              </w:rPr>
              <w:t>设计</w:t>
            </w:r>
            <w:r>
              <w:rPr>
                <w:rFonts w:hint="eastAsia" w:ascii="仿宋" w:hAnsi="仿宋" w:eastAsia="仿宋" w:cs="仿宋"/>
                <w:color w:val="auto"/>
                <w:sz w:val="21"/>
                <w:szCs w:val="21"/>
                <w:highlight w:val="none"/>
              </w:rPr>
              <w:t>资质条件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具备建设行政主管部门颁发的工程设计综合资质甲级；或具备工程设计市政行业</w:t>
            </w:r>
            <w:r>
              <w:rPr>
                <w:rFonts w:hint="eastAsia" w:ascii="仿宋" w:hAnsi="仿宋" w:eastAsia="仿宋" w:cs="仿宋"/>
                <w:color w:val="auto"/>
                <w:sz w:val="21"/>
                <w:szCs w:val="21"/>
                <w:highlight w:val="none"/>
                <w:lang w:val="en-US" w:eastAsia="zh-CN"/>
              </w:rPr>
              <w:t>乙级或以上</w:t>
            </w:r>
            <w:r>
              <w:rPr>
                <w:rFonts w:hint="eastAsia" w:ascii="仿宋" w:hAnsi="仿宋" w:eastAsia="仿宋" w:cs="仿宋"/>
                <w:color w:val="auto"/>
                <w:sz w:val="21"/>
                <w:szCs w:val="21"/>
                <w:highlight w:val="none"/>
              </w:rPr>
              <w:t>资质</w:t>
            </w:r>
            <w:r>
              <w:rPr>
                <w:rFonts w:hint="eastAsia" w:ascii="仿宋" w:hAnsi="仿宋" w:eastAsia="仿宋" w:cs="仿宋"/>
                <w:color w:val="auto"/>
                <w:sz w:val="21"/>
                <w:szCs w:val="21"/>
                <w:highlight w:val="none"/>
                <w:lang w:eastAsia="zh-CN"/>
              </w:rPr>
              <w:t>。(联合体投标时为</w:t>
            </w:r>
            <w:r>
              <w:rPr>
                <w:rFonts w:hint="eastAsia" w:ascii="仿宋" w:hAnsi="仿宋" w:eastAsia="仿宋" w:cs="仿宋"/>
                <w:color w:val="auto"/>
                <w:sz w:val="21"/>
                <w:szCs w:val="21"/>
                <w:highlight w:val="none"/>
                <w:lang w:val="en-US" w:eastAsia="zh-CN"/>
              </w:rPr>
              <w:t>设计</w:t>
            </w:r>
            <w:r>
              <w:rPr>
                <w:rFonts w:hint="eastAsia" w:ascii="仿宋" w:hAnsi="仿宋" w:eastAsia="仿宋" w:cs="仿宋"/>
                <w:color w:val="auto"/>
                <w:sz w:val="21"/>
                <w:szCs w:val="21"/>
                <w:highlight w:val="none"/>
                <w:lang w:eastAsia="zh-CN"/>
              </w:rPr>
              <w:t xml:space="preserve">方具备)。     </w:t>
            </w:r>
          </w:p>
          <w:p w14:paraId="0B31052F">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auto"/>
                <w:sz w:val="21"/>
                <w:szCs w:val="21"/>
                <w:highlight w:val="none"/>
                <w:lang w:val="en-US" w:eastAsia="zh-CN" w:bidi="ar"/>
              </w:rPr>
              <w:t>2</w:t>
            </w: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auto"/>
                <w:sz w:val="21"/>
                <w:szCs w:val="21"/>
                <w:highlight w:val="none"/>
                <w:lang w:val="en-US" w:eastAsia="zh-CN" w:bidi="ar"/>
              </w:rPr>
              <w:t>财务</w:t>
            </w:r>
            <w:r>
              <w:rPr>
                <w:rFonts w:hint="eastAsia" w:ascii="仿宋" w:hAnsi="仿宋" w:eastAsia="仿宋" w:cs="仿宋"/>
                <w:b/>
                <w:bCs/>
                <w:color w:val="auto"/>
                <w:sz w:val="21"/>
                <w:szCs w:val="21"/>
                <w:highlight w:val="none"/>
                <w:lang w:bidi="ar"/>
              </w:rPr>
              <w:t>要求：/</w:t>
            </w:r>
          </w:p>
          <w:p w14:paraId="2FED66CE">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（3）业绩要求：/</w:t>
            </w:r>
          </w:p>
          <w:p w14:paraId="45C9A527">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（4）信誉要求（若组成联合体，则联合体各方均需具备）：</w:t>
            </w:r>
          </w:p>
          <w:p w14:paraId="791A48FA">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b w:val="0"/>
                <w:bCs w:val="0"/>
                <w:color w:val="auto"/>
                <w:sz w:val="21"/>
                <w:szCs w:val="21"/>
                <w:highlight w:val="none"/>
                <w:lang w:bidi="ar"/>
              </w:rPr>
            </w:pPr>
            <w:r>
              <w:rPr>
                <w:rFonts w:hint="eastAsia" w:ascii="仿宋" w:hAnsi="仿宋" w:eastAsia="仿宋" w:cs="仿宋"/>
                <w:b w:val="0"/>
                <w:bCs w:val="0"/>
                <w:color w:val="auto"/>
                <w:sz w:val="21"/>
                <w:szCs w:val="21"/>
                <w:highlight w:val="none"/>
                <w:lang w:bidi="ar"/>
              </w:rPr>
              <w:t>1.投标人（或联合体各成员）没有处于责令停业，财产被接管、冻结、查封，破产或债务重组等状况等；具有相应的项目管理体系和项目管理能力、财务和风险承担能力。</w:t>
            </w:r>
          </w:p>
          <w:p w14:paraId="5CA1F222">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b w:val="0"/>
                <w:bCs w:val="0"/>
                <w:color w:val="auto"/>
                <w:sz w:val="21"/>
                <w:szCs w:val="21"/>
                <w:highlight w:val="none"/>
                <w:lang w:bidi="ar"/>
              </w:rPr>
            </w:pPr>
            <w:r>
              <w:rPr>
                <w:rFonts w:hint="eastAsia" w:ascii="仿宋" w:hAnsi="仿宋" w:eastAsia="仿宋" w:cs="仿宋"/>
                <w:b w:val="0"/>
                <w:bCs w:val="0"/>
                <w:color w:val="auto"/>
                <w:sz w:val="21"/>
                <w:szCs w:val="21"/>
                <w:highlight w:val="none"/>
                <w:lang w:bidi="ar"/>
              </w:rPr>
              <w:t>2.投标人（或联合体各成员）没有被列入失信被执行人黑名单，须提供在“中国执行信息公开网”（http://zxgk.court.gov.cn/shixin/）的网页截图。</w:t>
            </w:r>
          </w:p>
          <w:p w14:paraId="21991ACE">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val="0"/>
                <w:bCs w:val="0"/>
                <w:color w:val="auto"/>
                <w:sz w:val="21"/>
                <w:szCs w:val="21"/>
                <w:highlight w:val="none"/>
                <w:lang w:bidi="ar"/>
              </w:rPr>
              <w:t>3.投标人（或联合体各成员）近3年内（从发布招标公告当日往前顺推三年）不得有以下情况：①重大工程质量问题或重大安全事故，或围标串标，或骗取中标，或提供虚假投标材料（重大工程质量问题均以司法、仲裁机构或行政主管部门等出具的文件为准）；②被建设行政主管部门明令取消、暂停、禁止参与投标。</w:t>
            </w:r>
          </w:p>
          <w:p w14:paraId="4BFF5000">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（5）项目负责人的资格要求：</w:t>
            </w:r>
          </w:p>
          <w:p w14:paraId="3C7734FB">
            <w:pPr>
              <w:spacing w:line="288" w:lineRule="auto"/>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①勘察负责人:须具备注册土木工程师(岩土)注册执业证书。(联合体投标时，须为联合体中勘察单位的人员)。</w:t>
            </w:r>
          </w:p>
          <w:p w14:paraId="3405C7B3">
            <w:pPr>
              <w:spacing w:line="288" w:lineRule="auto"/>
              <w:ind w:firstLine="422" w:firstLineChars="200"/>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②设计</w:t>
            </w:r>
            <w:r>
              <w:rPr>
                <w:rFonts w:hint="eastAsia" w:ascii="仿宋" w:hAnsi="仿宋" w:eastAsia="仿宋" w:cs="仿宋"/>
                <w:b/>
                <w:bCs/>
                <w:color w:val="auto"/>
                <w:sz w:val="21"/>
                <w:szCs w:val="21"/>
                <w:highlight w:val="none"/>
              </w:rPr>
              <w:t>负责人：</w:t>
            </w:r>
            <w:r>
              <w:rPr>
                <w:rFonts w:hint="eastAsia" w:ascii="仿宋" w:hAnsi="仿宋" w:eastAsia="仿宋" w:cs="仿宋"/>
                <w:b w:val="0"/>
                <w:bCs w:val="0"/>
                <w:color w:val="auto"/>
                <w:sz w:val="21"/>
                <w:szCs w:val="21"/>
                <w:highlight w:val="none"/>
              </w:rPr>
              <w:t>具备市政工程类相关专业中级或以上职称证书</w:t>
            </w:r>
            <w:r>
              <w:rPr>
                <w:rFonts w:hint="eastAsia" w:ascii="仿宋" w:hAnsi="仿宋" w:eastAsia="仿宋" w:cs="仿宋"/>
                <w:b w:val="0"/>
                <w:bCs w:val="0"/>
                <w:color w:val="auto"/>
                <w:sz w:val="21"/>
                <w:szCs w:val="21"/>
                <w:highlight w:val="none"/>
                <w:lang w:eastAsia="zh-CN"/>
              </w:rPr>
              <w:t>。(联合体投标时，须为联合体中设计单位的人员)</w:t>
            </w:r>
          </w:p>
          <w:p w14:paraId="1493BE7B">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（6）其他主要人员要求：</w:t>
            </w:r>
            <w:r>
              <w:rPr>
                <w:rFonts w:hint="eastAsia" w:ascii="仿宋" w:hAnsi="仿宋" w:eastAsia="仿宋" w:cs="仿宋"/>
                <w:b/>
                <w:bCs/>
                <w:color w:val="auto"/>
                <w:sz w:val="21"/>
                <w:szCs w:val="21"/>
                <w:highlight w:val="none"/>
                <w:u w:val="single"/>
                <w:lang w:bidi="ar"/>
              </w:rPr>
              <w:t xml:space="preserve"> / </w:t>
            </w:r>
          </w:p>
          <w:p w14:paraId="09EC23FB">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b/>
                <w:bCs/>
                <w:color w:val="auto"/>
                <w:sz w:val="21"/>
                <w:szCs w:val="21"/>
                <w:highlight w:val="none"/>
                <w:lang w:bidi="ar"/>
              </w:rPr>
              <w:t>说明：</w:t>
            </w:r>
            <w:r>
              <w:rPr>
                <w:rFonts w:hint="eastAsia" w:ascii="仿宋" w:hAnsi="仿宋" w:eastAsia="仿宋" w:cs="仿宋"/>
                <w:color w:val="auto"/>
                <w:sz w:val="21"/>
                <w:szCs w:val="21"/>
                <w:highlight w:val="none"/>
                <w:lang w:bidi="ar"/>
              </w:rPr>
              <w:t>本项目其他主要专业技术人员在投标阶段可不提供，具体人选由招标人和中标人在合同谈判阶段确定，在投标文件未提供其他主要专业人员，不作否决投标条件，评审不予加分，上述人员的投标文件提供拟投入本项目专业技术人员名录的，经评审中标后作为派驻本项目的机构主要人员，不允许更换，否则，招标人取消其中标资格。</w:t>
            </w:r>
          </w:p>
          <w:p w14:paraId="1BE27AA5">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（7）其他要求：</w:t>
            </w:r>
          </w:p>
          <w:p w14:paraId="3F25800C">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1.投标人（或联合体各成员）须为在中华人民共和国境内注册、具有独立法人资格并依法取得营业执照，且证照处于有效期内（需提供营业执照等证明材料）。</w:t>
            </w:r>
          </w:p>
          <w:p w14:paraId="1882C55F">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投标人（或联合体各成员）须是未被有关部门明令取消投标资格或暂停承接业务，须按云建通〔2021〕15号文和云建市[2021]18号等有关规定办理好登记手续，企业参加工程投标、勘察、设计、施工、监理、项目管理等建筑活动的各类注册人员和相关从业人员，应当在“云浮市智慧建筑管理服务信息平台”登记；并持有“云浮市智慧建筑管理服务信息平台”最新月度企业信用评价等级的网页截图（其有效范围为信用等级B级或以上的，新登记备案的还没评级可不持有）。广东省以外的投标人（或联合体各成员）须按广东省住房和城乡建设厅（粤建市〔2015〕52号文）的规定，持有在广东建设信息网“进粤企业和人员诚信信息登记平台”专栏关于投标人进粤企业及人员信息录入的网页截图。</w:t>
            </w:r>
          </w:p>
          <w:p w14:paraId="175219B6">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14:paraId="0DE56D75">
            <w:pPr>
              <w:spacing w:line="380" w:lineRule="exact"/>
              <w:rPr>
                <w:rFonts w:hint="eastAsia" w:ascii="仿宋" w:hAnsi="仿宋" w:eastAsia="仿宋" w:cs="仿宋"/>
                <w:b/>
                <w:color w:val="auto"/>
                <w:szCs w:val="21"/>
                <w:highlight w:val="none"/>
              </w:rPr>
            </w:pPr>
            <w:r>
              <w:rPr>
                <w:rFonts w:hint="eastAsia" w:ascii="仿宋" w:hAnsi="仿宋" w:eastAsia="仿宋" w:cs="仿宋"/>
                <w:color w:val="auto"/>
                <w:sz w:val="21"/>
                <w:szCs w:val="21"/>
                <w:highlight w:val="none"/>
                <w:lang w:bidi="ar"/>
              </w:rPr>
              <w:t>4.投标人提供对参与本次建设工程项目招标投标活动中提交的证明资料（包括但不限于营业执照、资质、业绩（如有）、获奖（如有）、人员、财务（如有）、社保（如有）、纳税（如有）、各类证书等）的真实性、有效性签署的投标人承诺（详见投标文件格式中的投标人承诺书）。</w:t>
            </w:r>
          </w:p>
        </w:tc>
      </w:tr>
      <w:tr w14:paraId="5C0D226B">
        <w:tblPrEx>
          <w:tblCellMar>
            <w:top w:w="0" w:type="dxa"/>
            <w:left w:w="108" w:type="dxa"/>
            <w:bottom w:w="0" w:type="dxa"/>
            <w:right w:w="108" w:type="dxa"/>
          </w:tblCellMar>
        </w:tblPrEx>
        <w:trPr>
          <w:trHeight w:val="585" w:hRule="atLeast"/>
          <w:jc w:val="center"/>
        </w:trPr>
        <w:tc>
          <w:tcPr>
            <w:tcW w:w="1593" w:type="dxa"/>
            <w:vMerge w:val="continue"/>
            <w:tcBorders>
              <w:left w:val="single" w:color="000000" w:sz="4" w:space="0"/>
              <w:bottom w:val="single" w:color="000000" w:sz="4" w:space="0"/>
              <w:right w:val="single" w:color="000000" w:sz="4" w:space="0"/>
            </w:tcBorders>
            <w:vAlign w:val="center"/>
          </w:tcPr>
          <w:p w14:paraId="0610E5BD">
            <w:pPr>
              <w:widowControl/>
              <w:spacing w:line="380" w:lineRule="exact"/>
              <w:jc w:val="center"/>
              <w:textAlignment w:val="center"/>
              <w:rPr>
                <w:rFonts w:hint="eastAsia" w:ascii="仿宋" w:hAnsi="仿宋" w:eastAsia="仿宋" w:cs="仿宋"/>
                <w:b/>
                <w:bCs/>
                <w:color w:val="auto"/>
                <w:szCs w:val="21"/>
                <w:highlight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14:paraId="26981FA8">
            <w:pPr>
              <w:widowControl/>
              <w:spacing w:line="38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投标人业绩要求</w:t>
            </w:r>
          </w:p>
        </w:tc>
        <w:tc>
          <w:tcPr>
            <w:tcW w:w="6953" w:type="dxa"/>
            <w:gridSpan w:val="8"/>
            <w:tcBorders>
              <w:top w:val="single" w:color="000000" w:sz="4" w:space="0"/>
              <w:left w:val="single" w:color="000000" w:sz="4" w:space="0"/>
              <w:bottom w:val="single" w:color="000000" w:sz="4" w:space="0"/>
              <w:right w:val="single" w:color="000000" w:sz="4" w:space="0"/>
            </w:tcBorders>
            <w:vAlign w:val="center"/>
          </w:tcPr>
          <w:p w14:paraId="4951D88F">
            <w:pPr>
              <w:widowControl/>
              <w:spacing w:line="380" w:lineRule="exac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val="en-US" w:eastAsia="zh-CN"/>
              </w:rPr>
              <w:t>/</w:t>
            </w:r>
          </w:p>
        </w:tc>
      </w:tr>
      <w:tr w14:paraId="58C9885C">
        <w:tblPrEx>
          <w:tblCellMar>
            <w:top w:w="0" w:type="dxa"/>
            <w:left w:w="108" w:type="dxa"/>
            <w:bottom w:w="0" w:type="dxa"/>
            <w:right w:w="108" w:type="dxa"/>
          </w:tblCellMar>
        </w:tblPrEx>
        <w:trPr>
          <w:trHeight w:val="1408" w:hRule="atLeast"/>
          <w:jc w:val="center"/>
        </w:trPr>
        <w:tc>
          <w:tcPr>
            <w:tcW w:w="1593" w:type="dxa"/>
            <w:vMerge w:val="restart"/>
            <w:tcBorders>
              <w:top w:val="single" w:color="000000" w:sz="4" w:space="0"/>
              <w:left w:val="single" w:color="000000" w:sz="4" w:space="0"/>
              <w:right w:val="single" w:color="000000" w:sz="4" w:space="0"/>
            </w:tcBorders>
            <w:vAlign w:val="center"/>
          </w:tcPr>
          <w:p w14:paraId="2DED889F">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是否采用电子招标投标方式</w:t>
            </w:r>
          </w:p>
        </w:tc>
        <w:tc>
          <w:tcPr>
            <w:tcW w:w="2544" w:type="dxa"/>
            <w:gridSpan w:val="2"/>
            <w:vMerge w:val="restart"/>
            <w:tcBorders>
              <w:top w:val="single" w:color="000000" w:sz="4" w:space="0"/>
              <w:left w:val="single" w:color="000000" w:sz="4" w:space="0"/>
              <w:right w:val="single" w:color="000000" w:sz="4" w:space="0"/>
            </w:tcBorders>
            <w:vAlign w:val="center"/>
          </w:tcPr>
          <w:p w14:paraId="20092AF0">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是</w:t>
            </w:r>
          </w:p>
        </w:tc>
        <w:tc>
          <w:tcPr>
            <w:tcW w:w="1027" w:type="dxa"/>
            <w:gridSpan w:val="3"/>
            <w:vMerge w:val="restart"/>
            <w:tcBorders>
              <w:top w:val="single" w:color="000000" w:sz="4" w:space="0"/>
              <w:left w:val="single" w:color="000000" w:sz="4" w:space="0"/>
              <w:right w:val="single" w:color="000000" w:sz="4" w:space="0"/>
            </w:tcBorders>
            <w:vAlign w:val="center"/>
          </w:tcPr>
          <w:p w14:paraId="0BF85D22">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lang w:bidi="ar"/>
              </w:rPr>
              <w:t>获取招标文件的方式</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5008C81F">
            <w:pPr>
              <w:widowControl/>
              <w:spacing w:line="380" w:lineRule="exac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下载招标文件的网络地址</w:t>
            </w:r>
          </w:p>
        </w:tc>
        <w:tc>
          <w:tcPr>
            <w:tcW w:w="3091" w:type="dxa"/>
            <w:tcBorders>
              <w:top w:val="single" w:color="000000" w:sz="4" w:space="0"/>
              <w:left w:val="single" w:color="000000" w:sz="4" w:space="0"/>
              <w:bottom w:val="single" w:color="000000" w:sz="4" w:space="0"/>
              <w:right w:val="single" w:color="000000" w:sz="4" w:space="0"/>
            </w:tcBorders>
            <w:vAlign w:val="center"/>
          </w:tcPr>
          <w:p w14:paraId="381A82E7">
            <w:pPr>
              <w:widowControl/>
              <w:spacing w:line="320" w:lineRule="exact"/>
              <w:ind w:firstLine="420" w:firstLineChars="20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rPr>
              <w:t>凡有意参加投标的投标人，请于招标公告发布之日起至投标截止时间前在广东省招标投标监管网（网址：http://zbtb.gd.gov.cn/login）、广东省公共资源交易平台（网址https://ygp.gdzwfw.gov.cn/ggzy-portal/index.html#/445300/index）、广州交易集团有限公司（广州公共资源交易中心）平台（网址：http://www.gzggzy.cn）。</w:t>
            </w:r>
          </w:p>
        </w:tc>
      </w:tr>
      <w:tr w14:paraId="7C8334FA">
        <w:tblPrEx>
          <w:tblCellMar>
            <w:top w:w="0" w:type="dxa"/>
            <w:left w:w="108" w:type="dxa"/>
            <w:bottom w:w="0" w:type="dxa"/>
            <w:right w:w="108" w:type="dxa"/>
          </w:tblCellMar>
        </w:tblPrEx>
        <w:trPr>
          <w:trHeight w:val="745" w:hRule="atLeast"/>
          <w:jc w:val="center"/>
        </w:trPr>
        <w:tc>
          <w:tcPr>
            <w:tcW w:w="1593" w:type="dxa"/>
            <w:vMerge w:val="continue"/>
            <w:tcBorders>
              <w:left w:val="single" w:color="000000" w:sz="4" w:space="0"/>
              <w:bottom w:val="single" w:color="000000" w:sz="4" w:space="0"/>
              <w:right w:val="single" w:color="000000" w:sz="4" w:space="0"/>
            </w:tcBorders>
            <w:vAlign w:val="center"/>
          </w:tcPr>
          <w:p w14:paraId="3B6E4AE5">
            <w:pPr>
              <w:widowControl/>
              <w:spacing w:line="380" w:lineRule="exact"/>
              <w:textAlignment w:val="center"/>
              <w:rPr>
                <w:rFonts w:hint="eastAsia" w:ascii="仿宋" w:hAnsi="仿宋" w:eastAsia="仿宋" w:cs="仿宋"/>
                <w:b/>
                <w:bCs/>
                <w:color w:val="auto"/>
                <w:szCs w:val="21"/>
                <w:highlight w:val="none"/>
              </w:rPr>
            </w:pPr>
          </w:p>
        </w:tc>
        <w:tc>
          <w:tcPr>
            <w:tcW w:w="2544" w:type="dxa"/>
            <w:gridSpan w:val="2"/>
            <w:vMerge w:val="continue"/>
            <w:tcBorders>
              <w:left w:val="single" w:color="000000" w:sz="4" w:space="0"/>
              <w:bottom w:val="single" w:color="000000" w:sz="4" w:space="0"/>
              <w:right w:val="single" w:color="000000" w:sz="4" w:space="0"/>
            </w:tcBorders>
            <w:vAlign w:val="center"/>
          </w:tcPr>
          <w:p w14:paraId="2FD933C7">
            <w:pPr>
              <w:widowControl/>
              <w:spacing w:line="380" w:lineRule="exact"/>
              <w:textAlignment w:val="center"/>
              <w:rPr>
                <w:rFonts w:hint="eastAsia" w:ascii="仿宋" w:hAnsi="仿宋" w:eastAsia="仿宋" w:cs="仿宋"/>
                <w:color w:val="auto"/>
                <w:szCs w:val="21"/>
                <w:highlight w:val="none"/>
              </w:rPr>
            </w:pPr>
          </w:p>
        </w:tc>
        <w:tc>
          <w:tcPr>
            <w:tcW w:w="1027" w:type="dxa"/>
            <w:gridSpan w:val="3"/>
            <w:vMerge w:val="continue"/>
            <w:tcBorders>
              <w:left w:val="single" w:color="000000" w:sz="4" w:space="0"/>
              <w:bottom w:val="single" w:color="000000" w:sz="4" w:space="0"/>
              <w:right w:val="single" w:color="000000" w:sz="4" w:space="0"/>
            </w:tcBorders>
            <w:vAlign w:val="center"/>
          </w:tcPr>
          <w:p w14:paraId="16103CCC">
            <w:pPr>
              <w:widowControl/>
              <w:spacing w:line="380" w:lineRule="exact"/>
              <w:textAlignment w:val="center"/>
              <w:rPr>
                <w:rFonts w:hint="eastAsia" w:ascii="仿宋" w:hAnsi="仿宋" w:eastAsia="仿宋" w:cs="仿宋"/>
                <w:color w:val="auto"/>
                <w:szCs w:val="21"/>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31242939">
            <w:pPr>
              <w:widowControl/>
              <w:spacing w:line="380" w:lineRule="exac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获取招标文件的方式</w:t>
            </w:r>
          </w:p>
        </w:tc>
        <w:tc>
          <w:tcPr>
            <w:tcW w:w="3091" w:type="dxa"/>
            <w:tcBorders>
              <w:top w:val="single" w:color="000000" w:sz="4" w:space="0"/>
              <w:left w:val="single" w:color="000000" w:sz="4" w:space="0"/>
              <w:bottom w:val="single" w:color="000000" w:sz="4" w:space="0"/>
              <w:right w:val="single" w:color="000000" w:sz="4" w:space="0"/>
            </w:tcBorders>
            <w:vAlign w:val="center"/>
          </w:tcPr>
          <w:p w14:paraId="32DF2E97">
            <w:pPr>
              <w:widowControl/>
              <w:spacing w:line="38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14:paraId="4B839590">
        <w:tblPrEx>
          <w:tblCellMar>
            <w:top w:w="0" w:type="dxa"/>
            <w:left w:w="108" w:type="dxa"/>
            <w:bottom w:w="0" w:type="dxa"/>
            <w:right w:w="108" w:type="dxa"/>
          </w:tblCellMar>
        </w:tblPrEx>
        <w:trPr>
          <w:trHeight w:val="77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63F8A64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获取招标文件开始时间</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64BDE276">
            <w:pPr>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r>
              <w:rPr>
                <w:rFonts w:hint="eastAsia" w:ascii="仿宋" w:hAnsi="仿宋" w:eastAsia="仿宋" w:cs="仿宋"/>
                <w:b w:val="0"/>
                <w:bCs/>
                <w:color w:val="auto"/>
                <w:szCs w:val="21"/>
                <w:highlight w:val="none"/>
                <w:u w:val="single"/>
              </w:rPr>
              <w:t>2025年　月　日　时　分</w:t>
            </w:r>
            <w:r>
              <w:rPr>
                <w:rFonts w:hint="eastAsia" w:ascii="仿宋" w:hAnsi="仿宋" w:eastAsia="仿宋" w:cs="仿宋"/>
                <w:b w:val="0"/>
                <w:bCs/>
                <w:color w:val="auto"/>
                <w:szCs w:val="21"/>
                <w:highlight w:val="none"/>
              </w:rPr>
              <w:t>，本项目日程安排及地点信息可在广州公共资源交易中心网站进行查询。</w:t>
            </w:r>
          </w:p>
        </w:tc>
        <w:tc>
          <w:tcPr>
            <w:tcW w:w="1027" w:type="dxa"/>
            <w:gridSpan w:val="3"/>
            <w:tcBorders>
              <w:top w:val="single" w:color="000000" w:sz="4" w:space="0"/>
              <w:left w:val="single" w:color="000000" w:sz="4" w:space="0"/>
              <w:bottom w:val="single" w:color="000000" w:sz="4" w:space="0"/>
              <w:right w:val="single" w:color="000000" w:sz="4" w:space="0"/>
            </w:tcBorders>
            <w:vAlign w:val="center"/>
          </w:tcPr>
          <w:p w14:paraId="5F6630F4">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lang w:bidi="ar"/>
              </w:rPr>
              <w:t>获取招标文件截止时间</w:t>
            </w:r>
          </w:p>
        </w:tc>
        <w:tc>
          <w:tcPr>
            <w:tcW w:w="4367" w:type="dxa"/>
            <w:gridSpan w:val="4"/>
            <w:tcBorders>
              <w:top w:val="single" w:color="000000" w:sz="4" w:space="0"/>
              <w:left w:val="single" w:color="000000" w:sz="4" w:space="0"/>
              <w:bottom w:val="single" w:color="000000" w:sz="4" w:space="0"/>
              <w:right w:val="single" w:color="000000" w:sz="4" w:space="0"/>
            </w:tcBorders>
            <w:vAlign w:val="center"/>
          </w:tcPr>
          <w:p w14:paraId="376319B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2025年　月　日　时　分</w:t>
            </w:r>
            <w:r>
              <w:rPr>
                <w:rFonts w:hint="eastAsia" w:ascii="仿宋" w:hAnsi="仿宋" w:eastAsia="仿宋" w:cs="仿宋"/>
                <w:color w:val="auto"/>
                <w:szCs w:val="21"/>
                <w:highlight w:val="none"/>
              </w:rPr>
              <w:t>，本项目日程安排及地点信息可在广州公共资源交易中心网站进行查询。</w:t>
            </w:r>
          </w:p>
        </w:tc>
      </w:tr>
      <w:tr w14:paraId="0B791791">
        <w:tblPrEx>
          <w:tblCellMar>
            <w:top w:w="0" w:type="dxa"/>
            <w:left w:w="108" w:type="dxa"/>
            <w:bottom w:w="0" w:type="dxa"/>
            <w:right w:w="108" w:type="dxa"/>
          </w:tblCellMar>
        </w:tblPrEx>
        <w:trPr>
          <w:trHeight w:val="841"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6BB65F41">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递交投标文件截止时间</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213A924F">
            <w:pPr>
              <w:spacing w:line="38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r>
              <w:rPr>
                <w:rFonts w:hint="eastAsia" w:ascii="仿宋" w:hAnsi="仿宋" w:eastAsia="仿宋" w:cs="仿宋"/>
                <w:b w:val="0"/>
                <w:bCs/>
                <w:color w:val="auto"/>
                <w:szCs w:val="21"/>
                <w:highlight w:val="none"/>
                <w:u w:val="single"/>
              </w:rPr>
              <w:t>2025年　月　日　时　分</w:t>
            </w:r>
            <w:r>
              <w:rPr>
                <w:rFonts w:hint="eastAsia" w:ascii="仿宋" w:hAnsi="仿宋" w:eastAsia="仿宋" w:cs="仿宋"/>
                <w:b w:val="0"/>
                <w:bCs/>
                <w:color w:val="auto"/>
                <w:szCs w:val="21"/>
                <w:highlight w:val="none"/>
              </w:rPr>
              <w:t>，本项目日程安排及地点信息可在广州公共资源交易中心网站进行查询。</w:t>
            </w:r>
          </w:p>
        </w:tc>
        <w:tc>
          <w:tcPr>
            <w:tcW w:w="1027" w:type="dxa"/>
            <w:gridSpan w:val="3"/>
            <w:tcBorders>
              <w:top w:val="single" w:color="000000" w:sz="4" w:space="0"/>
              <w:left w:val="single" w:color="000000" w:sz="4" w:space="0"/>
              <w:bottom w:val="single" w:color="000000" w:sz="4" w:space="0"/>
              <w:right w:val="single" w:color="000000" w:sz="4" w:space="0"/>
            </w:tcBorders>
            <w:vAlign w:val="center"/>
          </w:tcPr>
          <w:p w14:paraId="6E1F9D4B">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lang w:bidi="ar"/>
              </w:rPr>
              <w:t>投标文件递交方式</w:t>
            </w:r>
          </w:p>
        </w:tc>
        <w:tc>
          <w:tcPr>
            <w:tcW w:w="4367" w:type="dxa"/>
            <w:gridSpan w:val="4"/>
            <w:tcBorders>
              <w:top w:val="single" w:color="000000" w:sz="4" w:space="0"/>
              <w:left w:val="single" w:color="000000" w:sz="4" w:space="0"/>
              <w:bottom w:val="single" w:color="000000" w:sz="4" w:space="0"/>
              <w:right w:val="single" w:color="000000" w:sz="4" w:space="0"/>
            </w:tcBorders>
            <w:vAlign w:val="center"/>
          </w:tcPr>
          <w:p w14:paraId="37AD2B3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应在截止时间前通过广州交易集团有限公司（广州公共资源交易中心）平台（网址：http://www.gzggzy.cn）递交电子投标文件。按照广州交易集团有限公司（广州公共资源交易中心）平台关于全流程电子化项目的相关指南进行操作。详见广州交易集团有限公司（广州公共资源交易中心）平台（网址：http://www.gzggzy.cn）操作指引。投标截止时间前未完成投标文件传输的，视为未递交投标文件。</w:t>
            </w:r>
          </w:p>
        </w:tc>
      </w:tr>
      <w:tr w14:paraId="0DBD2162">
        <w:tblPrEx>
          <w:tblCellMar>
            <w:top w:w="0" w:type="dxa"/>
            <w:left w:w="108" w:type="dxa"/>
            <w:bottom w:w="0" w:type="dxa"/>
            <w:right w:w="108" w:type="dxa"/>
          </w:tblCellMar>
        </w:tblPrEx>
        <w:trPr>
          <w:trHeight w:val="114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0B0B8B42">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开标时间</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6B18ACD2">
            <w:pPr>
              <w:spacing w:line="38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r>
              <w:rPr>
                <w:rFonts w:hint="eastAsia" w:ascii="仿宋" w:hAnsi="仿宋" w:eastAsia="仿宋" w:cs="仿宋"/>
                <w:b w:val="0"/>
                <w:bCs/>
                <w:color w:val="auto"/>
                <w:szCs w:val="21"/>
                <w:highlight w:val="none"/>
                <w:u w:val="single"/>
              </w:rPr>
              <w:t>2025年　月　日　时　分</w:t>
            </w:r>
            <w:r>
              <w:rPr>
                <w:rFonts w:hint="eastAsia" w:ascii="仿宋" w:hAnsi="仿宋" w:eastAsia="仿宋" w:cs="仿宋"/>
                <w:b w:val="0"/>
                <w:bCs/>
                <w:color w:val="auto"/>
                <w:szCs w:val="21"/>
                <w:highlight w:val="none"/>
              </w:rPr>
              <w:t>，本项目日程安排及地点信息可在广州公共资源交易中心网站进行查询。</w:t>
            </w:r>
          </w:p>
        </w:tc>
        <w:tc>
          <w:tcPr>
            <w:tcW w:w="1027" w:type="dxa"/>
            <w:gridSpan w:val="3"/>
            <w:tcBorders>
              <w:top w:val="single" w:color="000000" w:sz="4" w:space="0"/>
              <w:left w:val="single" w:color="000000" w:sz="4" w:space="0"/>
              <w:bottom w:val="single" w:color="000000" w:sz="4" w:space="0"/>
              <w:right w:val="single" w:color="000000" w:sz="4" w:space="0"/>
            </w:tcBorders>
            <w:vAlign w:val="center"/>
          </w:tcPr>
          <w:p w14:paraId="6C475E92">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lang w:bidi="ar"/>
              </w:rPr>
              <w:t>开标地点</w:t>
            </w:r>
          </w:p>
        </w:tc>
        <w:tc>
          <w:tcPr>
            <w:tcW w:w="4367" w:type="dxa"/>
            <w:gridSpan w:val="4"/>
            <w:tcBorders>
              <w:top w:val="single" w:color="000000" w:sz="4" w:space="0"/>
              <w:left w:val="single" w:color="000000" w:sz="4" w:space="0"/>
              <w:bottom w:val="single" w:color="000000" w:sz="4" w:space="0"/>
              <w:right w:val="single" w:color="000000" w:sz="4" w:space="0"/>
            </w:tcBorders>
            <w:vAlign w:val="center"/>
          </w:tcPr>
          <w:p w14:paraId="71801D8C">
            <w:pPr>
              <w:widowControl/>
              <w:spacing w:line="380" w:lineRule="exac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开标室（天润路333号），本项目日程安排及地点信息可在广州公共资源交易中心网站进行查询。</w:t>
            </w:r>
          </w:p>
        </w:tc>
      </w:tr>
      <w:tr w14:paraId="29ADCE2F">
        <w:tblPrEx>
          <w:tblCellMar>
            <w:top w:w="0" w:type="dxa"/>
            <w:left w:w="108" w:type="dxa"/>
            <w:bottom w:w="0" w:type="dxa"/>
            <w:right w:w="108" w:type="dxa"/>
          </w:tblCellMar>
        </w:tblPrEx>
        <w:trPr>
          <w:trHeight w:val="794"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46D301C1">
            <w:pPr>
              <w:widowControl/>
              <w:spacing w:line="380" w:lineRule="exact"/>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发布公告媒介</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0C68DEE3">
            <w:pPr>
              <w:widowControl/>
              <w:spacing w:line="380" w:lineRule="exac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广东省招标投标监管网、广东省公共资源交易平台、广州交易集团有限公司（广州公共资源交易中心）平台</w:t>
            </w:r>
          </w:p>
        </w:tc>
      </w:tr>
      <w:tr w14:paraId="102CEBF7">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314E59A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招标人</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560468E1">
            <w:pPr>
              <w:widowControl/>
              <w:spacing w:line="38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罗定市建昊工程管理有限公司</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08402319">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联系地址</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2120276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罗定市罗城街道龙华东路251号内之一一楼</w:t>
            </w:r>
          </w:p>
        </w:tc>
      </w:tr>
      <w:tr w14:paraId="706BF6C2">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58543634">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招标人联系人</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57BAF04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何先生</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57564763">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7A2BF10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0766-3839338</w:t>
            </w:r>
          </w:p>
        </w:tc>
      </w:tr>
      <w:tr w14:paraId="69570731">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28BCD6B3">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招标代理机构</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5D6BDB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广州万安建设监理有限公司</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0E6063AA">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联系地址</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1DC9A23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广州市天河区建中路64、号66号西501-1</w:t>
            </w:r>
          </w:p>
        </w:tc>
      </w:tr>
      <w:tr w14:paraId="23497925">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26720E8E">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招标代理联系人</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57CFF78D">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张</w:t>
            </w:r>
            <w:r>
              <w:rPr>
                <w:rFonts w:hint="eastAsia" w:ascii="仿宋" w:hAnsi="仿宋" w:eastAsia="仿宋" w:cs="仿宋"/>
                <w:color w:val="auto"/>
                <w:sz w:val="21"/>
                <w:szCs w:val="21"/>
                <w:highlight w:val="none"/>
              </w:rPr>
              <w:t>先生</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6DE04B0E">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46E433D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020-85573161</w:t>
            </w:r>
          </w:p>
        </w:tc>
      </w:tr>
      <w:tr w14:paraId="57853D4A">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770D42A3">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招标监督机构</w:t>
            </w:r>
          </w:p>
        </w:tc>
        <w:tc>
          <w:tcPr>
            <w:tcW w:w="2544" w:type="dxa"/>
            <w:gridSpan w:val="2"/>
            <w:tcBorders>
              <w:top w:val="single" w:color="000000" w:sz="4" w:space="0"/>
              <w:left w:val="single" w:color="000000" w:sz="4" w:space="0"/>
              <w:bottom w:val="single" w:color="000000" w:sz="4" w:space="0"/>
              <w:right w:val="single" w:color="000000" w:sz="4" w:space="0"/>
            </w:tcBorders>
            <w:vAlign w:val="center"/>
          </w:tcPr>
          <w:p w14:paraId="740979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罗定市住房和城乡建设局</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14:paraId="6D4E32D9">
            <w:pPr>
              <w:widowControl/>
              <w:spacing w:line="3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c>
          <w:tcPr>
            <w:tcW w:w="4118" w:type="dxa"/>
            <w:gridSpan w:val="3"/>
            <w:tcBorders>
              <w:top w:val="single" w:color="000000" w:sz="4" w:space="0"/>
              <w:left w:val="single" w:color="000000" w:sz="4" w:space="0"/>
              <w:bottom w:val="single" w:color="000000" w:sz="4" w:space="0"/>
              <w:right w:val="single" w:color="000000" w:sz="4" w:space="0"/>
            </w:tcBorders>
            <w:vAlign w:val="center"/>
          </w:tcPr>
          <w:p w14:paraId="4DFB7B5C">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0766-3882762</w:t>
            </w:r>
          </w:p>
        </w:tc>
      </w:tr>
      <w:tr w14:paraId="4BBED96A">
        <w:tblPrEx>
          <w:tblCellMar>
            <w:top w:w="0" w:type="dxa"/>
            <w:left w:w="108" w:type="dxa"/>
            <w:bottom w:w="0" w:type="dxa"/>
            <w:right w:w="108" w:type="dxa"/>
          </w:tblCellMar>
        </w:tblPrEx>
        <w:trPr>
          <w:trHeight w:val="560"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14:paraId="53DC3F59">
            <w:pPr>
              <w:widowControl/>
              <w:spacing w:line="380" w:lineRule="exact"/>
              <w:jc w:val="center"/>
              <w:textAlignment w:val="center"/>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其他依法应当载明的内容</w:t>
            </w:r>
          </w:p>
        </w:tc>
        <w:tc>
          <w:tcPr>
            <w:tcW w:w="7938" w:type="dxa"/>
            <w:gridSpan w:val="9"/>
            <w:tcBorders>
              <w:top w:val="single" w:color="000000" w:sz="4" w:space="0"/>
              <w:left w:val="single" w:color="000000" w:sz="4" w:space="0"/>
              <w:bottom w:val="single" w:color="000000" w:sz="4" w:space="0"/>
              <w:right w:val="single" w:color="000000" w:sz="4" w:space="0"/>
            </w:tcBorders>
            <w:vAlign w:val="center"/>
          </w:tcPr>
          <w:p w14:paraId="7052302E">
            <w:pPr>
              <w:spacing w:line="3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、本招标项目</w:t>
            </w:r>
            <w:r>
              <w:rPr>
                <w:rFonts w:hint="eastAsia" w:ascii="仿宋" w:hAnsi="仿宋" w:eastAsia="仿宋" w:cs="仿宋"/>
                <w:color w:val="auto"/>
                <w:szCs w:val="21"/>
                <w:highlight w:val="none"/>
                <w:u w:val="single"/>
                <w:lang w:val="en-US" w:eastAsia="zh-CN"/>
              </w:rPr>
              <w:t>罗定市城区老旧居住区宜居改造项目勘察、初步设计</w:t>
            </w:r>
            <w:r>
              <w:rPr>
                <w:rFonts w:hint="eastAsia" w:ascii="仿宋" w:hAnsi="仿宋" w:eastAsia="仿宋" w:cs="仿宋"/>
                <w:color w:val="auto"/>
                <w:szCs w:val="21"/>
                <w:highlight w:val="none"/>
              </w:rPr>
              <w:t>由</w:t>
            </w:r>
            <w:r>
              <w:rPr>
                <w:rFonts w:hint="eastAsia" w:ascii="仿宋" w:hAnsi="仿宋" w:eastAsia="仿宋" w:cs="仿宋"/>
                <w:color w:val="auto"/>
                <w:szCs w:val="21"/>
                <w:highlight w:val="none"/>
                <w:u w:val="single"/>
                <w:lang w:val="en-US" w:eastAsia="zh-CN"/>
              </w:rPr>
              <w:t>罗定市发展和改革局</w:t>
            </w:r>
            <w:r>
              <w:rPr>
                <w:rFonts w:hint="eastAsia" w:ascii="仿宋" w:hAnsi="仿宋" w:eastAsia="仿宋" w:cs="仿宋"/>
                <w:color w:val="auto"/>
                <w:szCs w:val="21"/>
                <w:highlight w:val="none"/>
              </w:rPr>
              <w:t>以</w:t>
            </w:r>
            <w:r>
              <w:rPr>
                <w:rFonts w:hint="eastAsia" w:ascii="仿宋" w:hAnsi="仿宋" w:eastAsia="仿宋" w:cs="仿宋"/>
                <w:color w:val="auto"/>
                <w:szCs w:val="21"/>
                <w:highlight w:val="none"/>
                <w:u w:val="single"/>
              </w:rPr>
              <w:t>罗发改投审〔2025〕35号</w:t>
            </w:r>
            <w:r>
              <w:rPr>
                <w:rFonts w:hint="eastAsia" w:ascii="仿宋" w:hAnsi="仿宋" w:eastAsia="仿宋" w:cs="仿宋"/>
                <w:color w:val="auto"/>
                <w:szCs w:val="21"/>
                <w:highlight w:val="none"/>
              </w:rPr>
              <w:t>号文批准建设，项目已具备招标条件，招标计划已于</w:t>
            </w:r>
            <w:r>
              <w:rPr>
                <w:rFonts w:hint="eastAsia" w:ascii="仿宋" w:hAnsi="仿宋" w:eastAsia="仿宋" w:cs="仿宋"/>
                <w:color w:val="auto"/>
                <w:szCs w:val="21"/>
                <w:highlight w:val="none"/>
                <w:u w:val="single"/>
                <w:lang w:val="en-US" w:eastAsia="zh-CN"/>
              </w:rPr>
              <w:t>2025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 xml:space="preserve"> 3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lang w:val="en-US" w:eastAsia="zh-CN"/>
              </w:rPr>
              <w:t xml:space="preserve">  14 </w:t>
            </w:r>
            <w:r>
              <w:rPr>
                <w:rFonts w:hint="eastAsia" w:ascii="仿宋" w:hAnsi="仿宋" w:eastAsia="仿宋" w:cs="仿宋"/>
                <w:color w:val="auto"/>
                <w:szCs w:val="21"/>
                <w:highlight w:val="none"/>
              </w:rPr>
              <w:t>日在广东省招标投标监管网发布。</w:t>
            </w:r>
          </w:p>
          <w:p w14:paraId="7BB397F2">
            <w:pPr>
              <w:spacing w:line="3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2、注意事项（按最新法律法规文件自行更新）</w:t>
            </w:r>
          </w:p>
          <w:p w14:paraId="1240DBA2">
            <w:pPr>
              <w:pStyle w:val="314"/>
              <w:spacing w:line="400" w:lineRule="exact"/>
              <w:ind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1</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根据《电子招标投标办法》（2013年2月4日国家发展改革委、工业和信息化部、监察部、住房城乡建设部、交通运输部、铁道部、水利部、商务部令第20号发布）、国家发展改革委等13部门印发的《关于严格执行招标投标法规制度进一步规范招标投标主体行为的若干意见》（发改法规规〔2022〕1117号）、广东省发展改革委等7部门《关于加快推进招标投标全流程电子化工作的通知》（粤发改法规函〔2022〕1484号）、云浮市农业农村局等6个部门印发的《关于深入推进招标投标全流程电子化的通知》（云发改体改函〔2023〕26号）、云浮市住房和城乡建设局《关于转发《关于严格执行招标投标法规制度进一步规范招标投标主体行为的若干意见》的通知》（云建市〔2022〕26号）、广东省发展和改革委员会等8部门《关于印发广东省工程建设项目电子招标投标交易规则的通知》（粤发改规〔2023〕1号）、《关于全面推进招标投标全流程电子化工作的通知》（云政数公资函〔2023〕1号）等相关文件要求，该项目实行全流程电子化交易（即线上开标、评标），投标人需于投标截止时间前在广州交易集团有限公司（广州公共资源交易中心）平台、广东省公共资源交易平台填写投标信息，下载招标文件，并于投标截止时间前将制作完成的电子投标文件上传到广州交易集团有限公司（广州公共资源交易中心）平台（无须提交纸质投标文件）。电子版投标文件制作过程中，如有技术问题请于投标截止时间前的每天工作时间，联系广州交易集团有限公司（广州公共资源交易中心），联系电话：020-28866000。</w:t>
            </w:r>
          </w:p>
          <w:p w14:paraId="153A1181">
            <w:pPr>
              <w:pStyle w:val="314"/>
              <w:spacing w:line="400" w:lineRule="exact"/>
              <w:ind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2</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投标人需用单位的CA锁对电子投标文件进行电子签章并在投标截止时间前成功上传到广州交易集团有限公司（广州公共资源交易中心）平台。</w:t>
            </w:r>
          </w:p>
          <w:p w14:paraId="73EFADC3">
            <w:pPr>
              <w:pStyle w:val="314"/>
              <w:spacing w:line="400" w:lineRule="exact"/>
              <w:ind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3</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电子开标按照招标文件确定的时间进行开标，在广州交易集团有限公司（广州公共资源交易中心）平台公开进行，所有投标人均应当准时参加线上开标。不参加线上开标会议的，致使其投标文件无法有效解密（包括按【投标文件解密失败的补救方案和约定】有效提交的投标文件）的，视为投标人撤销其投标文件和放弃投标文件解密失败补救权利。</w:t>
            </w:r>
          </w:p>
          <w:p w14:paraId="231AB4B5">
            <w:pPr>
              <w:pStyle w:val="314"/>
              <w:spacing w:line="400" w:lineRule="exact"/>
              <w:ind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4</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参与电子投标，可能会出现未知的风险，存在的一切问题由投标人自行承担。</w:t>
            </w:r>
          </w:p>
        </w:tc>
      </w:tr>
    </w:tbl>
    <w:p w14:paraId="73B1C5D2">
      <w:pPr>
        <w:pStyle w:val="2"/>
        <w:rPr>
          <w:rFonts w:ascii="宋体" w:hAnsi="宋体"/>
          <w:color w:val="auto"/>
          <w:highlight w:val="none"/>
        </w:rPr>
      </w:pPr>
      <w:r>
        <w:rPr>
          <w:rFonts w:ascii="宋体" w:hAnsi="宋体"/>
          <w:color w:val="auto"/>
          <w:highlight w:val="none"/>
        </w:rPr>
        <w:br w:type="page"/>
      </w:r>
      <w:bookmarkStart w:id="3" w:name="_Toc11494"/>
    </w:p>
    <w:p w14:paraId="7FCC53C0">
      <w:pPr>
        <w:spacing w:line="380" w:lineRule="exact"/>
        <w:jc w:val="center"/>
        <w:rPr>
          <w:rFonts w:ascii="宋体" w:hAnsi="宋体"/>
          <w:b/>
          <w:color w:val="auto"/>
          <w:sz w:val="24"/>
          <w:highlight w:val="none"/>
        </w:rPr>
      </w:pPr>
      <w:r>
        <w:rPr>
          <w:rFonts w:hint="eastAsia" w:ascii="宋体" w:hAnsi="宋体"/>
          <w:b/>
          <w:color w:val="auto"/>
          <w:sz w:val="24"/>
          <w:highlight w:val="none"/>
        </w:rPr>
        <w:t>否决投标条款一览表</w:t>
      </w:r>
    </w:p>
    <w:p w14:paraId="52DAC0AE">
      <w:pPr>
        <w:spacing w:line="380" w:lineRule="exact"/>
        <w:ind w:firstLine="480" w:firstLineChars="200"/>
        <w:jc w:val="left"/>
        <w:rPr>
          <w:rFonts w:ascii="宋体" w:hAnsi="宋体"/>
          <w:b/>
          <w:color w:val="auto"/>
          <w:sz w:val="24"/>
          <w:highlight w:val="none"/>
        </w:rPr>
      </w:pPr>
      <w:r>
        <w:rPr>
          <w:rFonts w:hint="eastAsia" w:ascii="宋体" w:hAnsi="宋体"/>
          <w:b/>
          <w:color w:val="auto"/>
          <w:sz w:val="24"/>
          <w:highlight w:val="none"/>
        </w:rPr>
        <w:t>声明：以下所列条款为本招标文件的否决投标条款一览表，投标人应自行仔细阅读，自行查阅对应条款，否则责任自负。</w:t>
      </w:r>
    </w:p>
    <w:tbl>
      <w:tblPr>
        <w:tblStyle w:val="49"/>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5953"/>
      </w:tblGrid>
      <w:tr w14:paraId="6433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3DF70C4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1701" w:type="dxa"/>
            <w:vAlign w:val="center"/>
          </w:tcPr>
          <w:p w14:paraId="2A83FB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条款名称</w:t>
            </w:r>
          </w:p>
        </w:tc>
        <w:tc>
          <w:tcPr>
            <w:tcW w:w="5953" w:type="dxa"/>
            <w:vAlign w:val="center"/>
          </w:tcPr>
          <w:p w14:paraId="7FAC39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7BB2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3633A69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w:t>
            </w:r>
          </w:p>
        </w:tc>
        <w:tc>
          <w:tcPr>
            <w:tcW w:w="1701" w:type="dxa"/>
            <w:vAlign w:val="center"/>
          </w:tcPr>
          <w:p w14:paraId="7DEFF5B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最高投标限价</w:t>
            </w:r>
          </w:p>
        </w:tc>
        <w:tc>
          <w:tcPr>
            <w:tcW w:w="5953" w:type="dxa"/>
            <w:vAlign w:val="center"/>
          </w:tcPr>
          <w:p w14:paraId="455D5DD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highlight w:val="none"/>
              </w:rPr>
              <w:t>第二章投标人须知</w:t>
            </w:r>
            <w:r>
              <w:rPr>
                <w:rFonts w:hint="eastAsia" w:ascii="仿宋" w:hAnsi="仿宋" w:eastAsia="仿宋" w:cs="仿宋"/>
                <w:color w:val="auto"/>
                <w:szCs w:val="21"/>
                <w:highlight w:val="none"/>
              </w:rPr>
              <w:t>”中“</w:t>
            </w:r>
            <w:r>
              <w:rPr>
                <w:rFonts w:hint="eastAsia" w:ascii="仿宋" w:hAnsi="仿宋" w:eastAsia="仿宋" w:cs="仿宋"/>
                <w:color w:val="auto"/>
                <w:highlight w:val="none"/>
              </w:rPr>
              <w:t>投标人须知前附表</w:t>
            </w:r>
            <w:r>
              <w:rPr>
                <w:rFonts w:hint="eastAsia" w:ascii="仿宋" w:hAnsi="仿宋" w:eastAsia="仿宋" w:cs="仿宋"/>
                <w:color w:val="auto"/>
                <w:szCs w:val="21"/>
                <w:highlight w:val="none"/>
              </w:rPr>
              <w:t>”3.2.4的要求</w:t>
            </w:r>
          </w:p>
        </w:tc>
      </w:tr>
      <w:tr w14:paraId="4EA6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408F6C1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3.7.2</w:t>
            </w:r>
          </w:p>
        </w:tc>
        <w:tc>
          <w:tcPr>
            <w:tcW w:w="1701" w:type="dxa"/>
            <w:vAlign w:val="center"/>
          </w:tcPr>
          <w:p w14:paraId="158F97B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投标文件签字或盖章要求</w:t>
            </w:r>
          </w:p>
        </w:tc>
        <w:tc>
          <w:tcPr>
            <w:tcW w:w="5953" w:type="dxa"/>
            <w:vAlign w:val="center"/>
          </w:tcPr>
          <w:p w14:paraId="5CE7076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详见“第二章投标人须知”中“投标人须知前附表”3.7.2的要求</w:t>
            </w:r>
          </w:p>
        </w:tc>
      </w:tr>
      <w:tr w14:paraId="52A4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0C40528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1701" w:type="dxa"/>
            <w:vAlign w:val="center"/>
          </w:tcPr>
          <w:p w14:paraId="2487678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重新招标和不再招标</w:t>
            </w:r>
          </w:p>
        </w:tc>
        <w:tc>
          <w:tcPr>
            <w:tcW w:w="5953" w:type="dxa"/>
            <w:vAlign w:val="center"/>
          </w:tcPr>
          <w:p w14:paraId="658568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highlight w:val="none"/>
              </w:rPr>
              <w:t>第二章投标人须知</w:t>
            </w:r>
            <w:r>
              <w:rPr>
                <w:rFonts w:hint="eastAsia" w:ascii="仿宋" w:hAnsi="仿宋" w:eastAsia="仿宋" w:cs="仿宋"/>
                <w:color w:val="auto"/>
                <w:szCs w:val="21"/>
                <w:highlight w:val="none"/>
              </w:rPr>
              <w:t>”中“</w:t>
            </w:r>
            <w:r>
              <w:rPr>
                <w:rFonts w:hint="eastAsia" w:ascii="仿宋" w:hAnsi="仿宋" w:eastAsia="仿宋" w:cs="仿宋"/>
                <w:color w:val="auto"/>
                <w:highlight w:val="none"/>
              </w:rPr>
              <w:t>投标人须知前附表</w:t>
            </w:r>
            <w:r>
              <w:rPr>
                <w:rFonts w:hint="eastAsia" w:ascii="仿宋" w:hAnsi="仿宋" w:eastAsia="仿宋" w:cs="仿宋"/>
                <w:color w:val="auto"/>
                <w:szCs w:val="21"/>
                <w:highlight w:val="none"/>
              </w:rPr>
              <w:t>”10.2的要求</w:t>
            </w:r>
          </w:p>
        </w:tc>
      </w:tr>
      <w:tr w14:paraId="04FB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65D67E3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1.12.1</w:t>
            </w:r>
          </w:p>
        </w:tc>
        <w:tc>
          <w:tcPr>
            <w:tcW w:w="1701" w:type="dxa"/>
            <w:vAlign w:val="center"/>
          </w:tcPr>
          <w:p w14:paraId="0BB9B6A6">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实质性要求和条件</w:t>
            </w:r>
          </w:p>
        </w:tc>
        <w:tc>
          <w:tcPr>
            <w:tcW w:w="5953" w:type="dxa"/>
            <w:vAlign w:val="center"/>
          </w:tcPr>
          <w:p w14:paraId="51BCD4BE">
            <w:pPr>
              <w:jc w:val="center"/>
              <w:rPr>
                <w:rFonts w:hint="eastAsia" w:ascii="仿宋" w:hAnsi="仿宋" w:eastAsia="仿宋" w:cs="仿宋"/>
                <w:color w:val="auto"/>
                <w:szCs w:val="21"/>
                <w:highlight w:val="none"/>
                <w:lang w:val="en"/>
              </w:rPr>
            </w:pPr>
            <w:r>
              <w:rPr>
                <w:rFonts w:hint="eastAsia" w:ascii="仿宋" w:hAnsi="仿宋" w:eastAsia="仿宋" w:cs="仿宋"/>
                <w:color w:val="auto"/>
                <w:szCs w:val="21"/>
                <w:highlight w:val="none"/>
              </w:rPr>
              <w:t>详见“</w:t>
            </w:r>
            <w:r>
              <w:rPr>
                <w:rFonts w:hint="eastAsia" w:ascii="仿宋" w:hAnsi="仿宋" w:eastAsia="仿宋" w:cs="仿宋"/>
                <w:color w:val="auto"/>
                <w:highlight w:val="none"/>
              </w:rPr>
              <w:t>第二章投标人须知</w:t>
            </w:r>
            <w:r>
              <w:rPr>
                <w:rFonts w:hint="eastAsia" w:ascii="仿宋" w:hAnsi="仿宋" w:eastAsia="仿宋" w:cs="仿宋"/>
                <w:color w:val="auto"/>
                <w:szCs w:val="21"/>
                <w:highlight w:val="none"/>
              </w:rPr>
              <w:t>”1.12.1的要求。</w:t>
            </w:r>
          </w:p>
        </w:tc>
      </w:tr>
      <w:tr w14:paraId="537F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3F847C9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w:t>
            </w:r>
          </w:p>
        </w:tc>
        <w:tc>
          <w:tcPr>
            <w:tcW w:w="1701" w:type="dxa"/>
            <w:vAlign w:val="center"/>
          </w:tcPr>
          <w:p w14:paraId="64228AB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w:t>
            </w:r>
          </w:p>
        </w:tc>
        <w:tc>
          <w:tcPr>
            <w:tcW w:w="5953" w:type="dxa"/>
            <w:vAlign w:val="center"/>
          </w:tcPr>
          <w:p w14:paraId="0488CF6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highlight w:val="none"/>
              </w:rPr>
              <w:t>第二章投标人须知</w:t>
            </w:r>
            <w:r>
              <w:rPr>
                <w:rFonts w:hint="eastAsia" w:ascii="仿宋" w:hAnsi="仿宋" w:eastAsia="仿宋" w:cs="仿宋"/>
                <w:color w:val="auto"/>
                <w:szCs w:val="21"/>
                <w:highlight w:val="none"/>
              </w:rPr>
              <w:t>”3.4.2的要求</w:t>
            </w:r>
          </w:p>
        </w:tc>
      </w:tr>
      <w:tr w14:paraId="03C2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681A62D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3.6.1</w:t>
            </w:r>
          </w:p>
        </w:tc>
        <w:tc>
          <w:tcPr>
            <w:tcW w:w="1701" w:type="dxa"/>
            <w:vAlign w:val="center"/>
          </w:tcPr>
          <w:p w14:paraId="6ECB52BF">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备选投标方案</w:t>
            </w:r>
          </w:p>
        </w:tc>
        <w:tc>
          <w:tcPr>
            <w:tcW w:w="5953" w:type="dxa"/>
            <w:vAlign w:val="center"/>
          </w:tcPr>
          <w:p w14:paraId="643681F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highlight w:val="none"/>
              </w:rPr>
              <w:t>第二章投标人须知前附表</w:t>
            </w:r>
            <w:r>
              <w:rPr>
                <w:rFonts w:hint="eastAsia" w:ascii="仿宋" w:hAnsi="仿宋" w:eastAsia="仿宋" w:cs="仿宋"/>
                <w:color w:val="auto"/>
                <w:szCs w:val="21"/>
                <w:highlight w:val="none"/>
              </w:rPr>
              <w:t>”3.6.1的要求</w:t>
            </w:r>
          </w:p>
        </w:tc>
      </w:tr>
      <w:tr w14:paraId="3128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4B37455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1701" w:type="dxa"/>
            <w:vAlign w:val="center"/>
          </w:tcPr>
          <w:p w14:paraId="00D25A7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响应性评审标准</w:t>
            </w:r>
          </w:p>
        </w:tc>
        <w:tc>
          <w:tcPr>
            <w:tcW w:w="5953" w:type="dxa"/>
            <w:vAlign w:val="center"/>
          </w:tcPr>
          <w:p w14:paraId="593DACA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highlight w:val="none"/>
              </w:rPr>
              <w:t>第三章评标办法</w:t>
            </w:r>
            <w:r>
              <w:rPr>
                <w:rFonts w:hint="eastAsia" w:ascii="仿宋" w:hAnsi="仿宋" w:eastAsia="仿宋" w:cs="仿宋"/>
                <w:color w:val="auto"/>
                <w:szCs w:val="21"/>
                <w:highlight w:val="none"/>
              </w:rPr>
              <w:t>”中“</w:t>
            </w:r>
            <w:r>
              <w:rPr>
                <w:rFonts w:hint="eastAsia" w:ascii="仿宋" w:hAnsi="仿宋" w:eastAsia="仿宋" w:cs="仿宋"/>
                <w:color w:val="auto"/>
                <w:highlight w:val="none"/>
              </w:rPr>
              <w:t>评标办法前附表</w:t>
            </w:r>
            <w:r>
              <w:rPr>
                <w:rFonts w:hint="eastAsia" w:ascii="仿宋" w:hAnsi="仿宋" w:eastAsia="仿宋" w:cs="仿宋"/>
                <w:color w:val="auto"/>
                <w:szCs w:val="21"/>
                <w:highlight w:val="none"/>
              </w:rPr>
              <w:t>”2.1.3的要求</w:t>
            </w:r>
          </w:p>
        </w:tc>
      </w:tr>
      <w:tr w14:paraId="7417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1B5DD26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1701" w:type="dxa"/>
            <w:vAlign w:val="center"/>
          </w:tcPr>
          <w:p w14:paraId="1507341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评标基准价计算方法</w:t>
            </w:r>
          </w:p>
        </w:tc>
        <w:tc>
          <w:tcPr>
            <w:tcW w:w="5953" w:type="dxa"/>
            <w:vAlign w:val="center"/>
          </w:tcPr>
          <w:p w14:paraId="7600644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highlight w:val="none"/>
              </w:rPr>
              <w:t>第三章评标办法</w:t>
            </w:r>
            <w:r>
              <w:rPr>
                <w:rFonts w:hint="eastAsia" w:ascii="仿宋" w:hAnsi="仿宋" w:eastAsia="仿宋" w:cs="仿宋"/>
                <w:color w:val="auto"/>
                <w:szCs w:val="21"/>
                <w:highlight w:val="none"/>
              </w:rPr>
              <w:t>”中“</w:t>
            </w:r>
            <w:r>
              <w:rPr>
                <w:rFonts w:hint="eastAsia" w:ascii="仿宋" w:hAnsi="仿宋" w:eastAsia="仿宋" w:cs="仿宋"/>
                <w:color w:val="auto"/>
                <w:highlight w:val="none"/>
              </w:rPr>
              <w:t>评标办法前附表</w:t>
            </w:r>
            <w:r>
              <w:rPr>
                <w:rFonts w:hint="eastAsia" w:ascii="仿宋" w:hAnsi="仿宋" w:eastAsia="仿宋" w:cs="仿宋"/>
                <w:color w:val="auto"/>
                <w:szCs w:val="21"/>
                <w:highlight w:val="none"/>
              </w:rPr>
              <w:t>”2.2.2的要求</w:t>
            </w:r>
          </w:p>
        </w:tc>
      </w:tr>
      <w:tr w14:paraId="6E63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76" w:type="dxa"/>
            <w:vAlign w:val="center"/>
          </w:tcPr>
          <w:p w14:paraId="68D9E48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w:t>
            </w:r>
          </w:p>
        </w:tc>
        <w:tc>
          <w:tcPr>
            <w:tcW w:w="1701" w:type="dxa"/>
            <w:vAlign w:val="center"/>
          </w:tcPr>
          <w:p w14:paraId="1B4F96E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初步评审相关条款要求</w:t>
            </w:r>
          </w:p>
        </w:tc>
        <w:tc>
          <w:tcPr>
            <w:tcW w:w="5953" w:type="dxa"/>
            <w:vAlign w:val="center"/>
          </w:tcPr>
          <w:p w14:paraId="16596BB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详见“第三章评标办法”正文3.1.1的要求</w:t>
            </w:r>
          </w:p>
        </w:tc>
      </w:tr>
      <w:tr w14:paraId="7CBA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7FB1454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1701" w:type="dxa"/>
            <w:vAlign w:val="center"/>
          </w:tcPr>
          <w:p w14:paraId="635EEC3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初步评审相关条款要求</w:t>
            </w:r>
          </w:p>
        </w:tc>
        <w:tc>
          <w:tcPr>
            <w:tcW w:w="5953" w:type="dxa"/>
            <w:vAlign w:val="center"/>
          </w:tcPr>
          <w:p w14:paraId="6E09879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详见“第三章评标办法”正文3.1.2的要求</w:t>
            </w:r>
          </w:p>
        </w:tc>
      </w:tr>
      <w:tr w14:paraId="1BDE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25576E0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3.1.3</w:t>
            </w:r>
          </w:p>
        </w:tc>
        <w:tc>
          <w:tcPr>
            <w:tcW w:w="1701" w:type="dxa"/>
            <w:vAlign w:val="center"/>
          </w:tcPr>
          <w:p w14:paraId="263F1E9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初步评审相关条款要求</w:t>
            </w:r>
          </w:p>
        </w:tc>
        <w:tc>
          <w:tcPr>
            <w:tcW w:w="5953" w:type="dxa"/>
            <w:vAlign w:val="center"/>
          </w:tcPr>
          <w:p w14:paraId="69D85DB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详见“第三章评标办法”正文3.1.3的要求</w:t>
            </w:r>
          </w:p>
        </w:tc>
      </w:tr>
      <w:tr w14:paraId="58F9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6" w:type="dxa"/>
            <w:vAlign w:val="center"/>
          </w:tcPr>
          <w:p w14:paraId="5E63519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w:t>
            </w:r>
          </w:p>
        </w:tc>
        <w:tc>
          <w:tcPr>
            <w:tcW w:w="1701" w:type="dxa"/>
            <w:vAlign w:val="center"/>
          </w:tcPr>
          <w:p w14:paraId="2132EE9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详细评审相关条款要求</w:t>
            </w:r>
          </w:p>
        </w:tc>
        <w:tc>
          <w:tcPr>
            <w:tcW w:w="5953" w:type="dxa"/>
            <w:vAlign w:val="center"/>
          </w:tcPr>
          <w:p w14:paraId="3D87E95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详见“第三章评标办法”正文3.2.4的要求</w:t>
            </w:r>
          </w:p>
        </w:tc>
      </w:tr>
      <w:tr w14:paraId="4CB6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7" w:type="dxa"/>
            <w:gridSpan w:val="2"/>
            <w:vAlign w:val="center"/>
          </w:tcPr>
          <w:p w14:paraId="3D89D51D">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5953" w:type="dxa"/>
            <w:vAlign w:val="center"/>
          </w:tcPr>
          <w:p w14:paraId="1CA18093">
            <w:pPr>
              <w:spacing w:line="360" w:lineRule="auto"/>
              <w:jc w:val="left"/>
              <w:rPr>
                <w:rFonts w:hint="eastAsia" w:ascii="仿宋" w:hAnsi="仿宋" w:eastAsia="仿宋" w:cs="仿宋"/>
                <w:color w:val="auto"/>
                <w:szCs w:val="21"/>
                <w:highlight w:val="none"/>
                <w:lang w:eastAsia="zh-CN"/>
              </w:rPr>
            </w:pPr>
            <w:r>
              <w:rPr>
                <w:rFonts w:hint="eastAsia" w:ascii="仿宋" w:hAnsi="仿宋" w:eastAsia="仿宋" w:cs="仿宋"/>
                <w:b/>
                <w:color w:val="auto"/>
                <w:highlight w:val="none"/>
                <w:lang w:val="en-US" w:eastAsia="zh-CN"/>
              </w:rPr>
              <w:t>/</w:t>
            </w:r>
          </w:p>
        </w:tc>
      </w:tr>
    </w:tbl>
    <w:p w14:paraId="7C7F95A8">
      <w:pPr>
        <w:widowControl/>
        <w:jc w:val="left"/>
        <w:rPr>
          <w:rFonts w:ascii="宋体" w:hAnsi="宋体"/>
          <w:color w:val="auto"/>
          <w:highlight w:val="none"/>
        </w:rPr>
      </w:pPr>
      <w:r>
        <w:rPr>
          <w:rFonts w:ascii="宋体" w:hAnsi="宋体"/>
          <w:color w:val="auto"/>
          <w:highlight w:val="none"/>
        </w:rPr>
        <w:br w:type="page"/>
      </w:r>
    </w:p>
    <w:p w14:paraId="513AE6EE">
      <w:pPr>
        <w:pStyle w:val="2"/>
        <w:rPr>
          <w:rFonts w:ascii="宋体" w:hAnsi="宋体"/>
          <w:color w:val="auto"/>
          <w:highlight w:val="none"/>
        </w:rPr>
      </w:pPr>
      <w:bookmarkStart w:id="4" w:name="_Toc162002571"/>
      <w:r>
        <w:rPr>
          <w:rFonts w:hint="eastAsia" w:ascii="宋体" w:hAnsi="宋体"/>
          <w:color w:val="auto"/>
          <w:highlight w:val="none"/>
        </w:rPr>
        <w:t>第二章  投标人须知</w:t>
      </w:r>
      <w:bookmarkEnd w:id="2"/>
      <w:bookmarkEnd w:id="3"/>
      <w:bookmarkEnd w:id="4"/>
    </w:p>
    <w:p w14:paraId="58A0AB97">
      <w:pPr>
        <w:spacing w:line="380" w:lineRule="exact"/>
        <w:jc w:val="left"/>
        <w:rPr>
          <w:rFonts w:ascii="宋体" w:hAnsi="宋体"/>
          <w:b/>
          <w:color w:val="auto"/>
          <w:highlight w:val="none"/>
        </w:rPr>
      </w:pPr>
      <w:bookmarkStart w:id="5" w:name="_Toc271416709"/>
      <w:r>
        <w:rPr>
          <w:rFonts w:hint="eastAsia" w:ascii="宋体" w:hAnsi="宋体"/>
          <w:b/>
          <w:color w:val="auto"/>
          <w:highlight w:val="none"/>
        </w:rPr>
        <w:t>投标人须知前附表</w:t>
      </w:r>
      <w:bookmarkEnd w:id="5"/>
    </w:p>
    <w:p w14:paraId="31738EE9">
      <w:pPr>
        <w:pStyle w:val="61"/>
        <w:spacing w:line="380" w:lineRule="exact"/>
        <w:ind w:firstLine="0" w:firstLineChars="0"/>
        <w:rPr>
          <w:b/>
          <w:color w:val="auto"/>
          <w:sz w:val="21"/>
          <w:szCs w:val="21"/>
          <w:highlight w:val="none"/>
          <w:u w:val="none"/>
        </w:rPr>
      </w:pPr>
      <w:r>
        <w:rPr>
          <w:rFonts w:hint="eastAsia"/>
          <w:b/>
          <w:color w:val="auto"/>
          <w:sz w:val="21"/>
          <w:szCs w:val="21"/>
          <w:highlight w:val="none"/>
          <w:u w:val="none"/>
        </w:rPr>
        <w:t>注：本《投标人须知前附表》是招标文件重要内容的摘录、补充或细化，如有与招标文件正文内容不一致，应以本表内容为准；特别是补充或细化条款，投标人应仔细阅读，否则责任自负。</w:t>
      </w:r>
    </w:p>
    <w:tbl>
      <w:tblPr>
        <w:tblStyle w:val="49"/>
        <w:tblpPr w:leftFromText="180" w:rightFromText="180" w:vertAnchor="text" w:tblpXSpec="right" w:tblpY="1"/>
        <w:tblOverlap w:val="never"/>
        <w:tblW w:w="9606" w:type="dxa"/>
        <w:tblInd w:w="0" w:type="dxa"/>
        <w:tblLayout w:type="autofit"/>
        <w:tblCellMar>
          <w:top w:w="0" w:type="dxa"/>
          <w:left w:w="108" w:type="dxa"/>
          <w:bottom w:w="0" w:type="dxa"/>
          <w:right w:w="108" w:type="dxa"/>
        </w:tblCellMar>
      </w:tblPr>
      <w:tblGrid>
        <w:gridCol w:w="959"/>
        <w:gridCol w:w="1559"/>
        <w:gridCol w:w="992"/>
        <w:gridCol w:w="6096"/>
      </w:tblGrid>
      <w:tr w14:paraId="5A0411F6">
        <w:tblPrEx>
          <w:tblCellMar>
            <w:top w:w="0" w:type="dxa"/>
            <w:left w:w="108" w:type="dxa"/>
            <w:bottom w:w="0" w:type="dxa"/>
            <w:right w:w="108" w:type="dxa"/>
          </w:tblCellMar>
        </w:tblPrEx>
        <w:trPr>
          <w:tblHeader/>
        </w:trPr>
        <w:tc>
          <w:tcPr>
            <w:tcW w:w="959" w:type="dxa"/>
            <w:tcBorders>
              <w:top w:val="single" w:color="auto" w:sz="4" w:space="0"/>
              <w:left w:val="single" w:color="auto" w:sz="4" w:space="0"/>
              <w:bottom w:val="single" w:color="auto" w:sz="4" w:space="0"/>
              <w:right w:val="single" w:color="auto" w:sz="4" w:space="0"/>
            </w:tcBorders>
            <w:vAlign w:val="center"/>
          </w:tcPr>
          <w:p w14:paraId="7CEC2536">
            <w:pPr>
              <w:spacing w:line="380" w:lineRule="exact"/>
              <w:jc w:val="center"/>
              <w:rPr>
                <w:rFonts w:hint="eastAsia" w:ascii="仿宋" w:hAnsi="仿宋" w:eastAsia="仿宋" w:cs="仿宋"/>
                <w:b/>
                <w:color w:val="auto"/>
                <w:szCs w:val="21"/>
                <w:highlight w:val="none"/>
              </w:rPr>
            </w:pPr>
            <w:bookmarkStart w:id="6" w:name="_Toc271416710"/>
            <w:r>
              <w:rPr>
                <w:rFonts w:hint="eastAsia" w:ascii="仿宋" w:hAnsi="仿宋" w:eastAsia="仿宋" w:cs="仿宋"/>
                <w:b/>
                <w:color w:val="auto"/>
                <w:szCs w:val="21"/>
                <w:highlight w:val="none"/>
              </w:rPr>
              <w:t>条款号</w:t>
            </w:r>
          </w:p>
        </w:tc>
        <w:tc>
          <w:tcPr>
            <w:tcW w:w="1559" w:type="dxa"/>
            <w:tcBorders>
              <w:top w:val="single" w:color="auto" w:sz="4" w:space="0"/>
              <w:left w:val="single" w:color="auto" w:sz="4" w:space="0"/>
              <w:bottom w:val="single" w:color="auto" w:sz="4" w:space="0"/>
              <w:right w:val="single" w:color="auto" w:sz="4" w:space="0"/>
            </w:tcBorders>
            <w:vAlign w:val="center"/>
          </w:tcPr>
          <w:p w14:paraId="327CA55E">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条款名称</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F6235EE">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编列内容</w:t>
            </w:r>
          </w:p>
        </w:tc>
      </w:tr>
      <w:tr w14:paraId="1535211F">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E98314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1559" w:type="dxa"/>
            <w:tcBorders>
              <w:top w:val="single" w:color="auto" w:sz="4" w:space="0"/>
              <w:left w:val="single" w:color="auto" w:sz="4" w:space="0"/>
              <w:bottom w:val="single" w:color="auto" w:sz="4" w:space="0"/>
              <w:right w:val="single" w:color="auto" w:sz="4" w:space="0"/>
            </w:tcBorders>
            <w:vAlign w:val="center"/>
          </w:tcPr>
          <w:p w14:paraId="064A27E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45144401">
            <w:pPr>
              <w:spacing w:line="420" w:lineRule="exact"/>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名称：罗定市建昊工程管理有限公司</w:t>
            </w:r>
          </w:p>
          <w:p w14:paraId="56F91AD5">
            <w:pPr>
              <w:autoSpaceDE w:val="0"/>
              <w:autoSpaceDN w:val="0"/>
              <w:adjustRightInd w:val="0"/>
              <w:spacing w:line="420" w:lineRule="exact"/>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地址：罗定市罗城街道龙华东路251号内之一一楼</w:t>
            </w:r>
          </w:p>
          <w:p w14:paraId="6E988F9A">
            <w:pPr>
              <w:autoSpaceDE w:val="0"/>
              <w:autoSpaceDN w:val="0"/>
              <w:adjustRightInd w:val="0"/>
              <w:spacing w:line="420" w:lineRule="exact"/>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联系人：</w:t>
            </w:r>
            <w:r>
              <w:rPr>
                <w:rStyle w:val="435"/>
                <w:rFonts w:hint="eastAsia" w:ascii="仿宋" w:hAnsi="仿宋" w:eastAsia="仿宋" w:cs="仿宋"/>
                <w:color w:val="auto"/>
                <w:sz w:val="21"/>
                <w:szCs w:val="21"/>
                <w:highlight w:val="none"/>
                <w:lang w:val="en-US" w:eastAsia="zh-CN"/>
              </w:rPr>
              <w:t>何先生</w:t>
            </w:r>
          </w:p>
          <w:p w14:paraId="2FAB75E9">
            <w:pPr>
              <w:spacing w:line="420" w:lineRule="exact"/>
              <w:jc w:val="left"/>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电话：0766-3839338</w:t>
            </w:r>
          </w:p>
        </w:tc>
      </w:tr>
      <w:tr w14:paraId="491A9E21">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E37254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1559" w:type="dxa"/>
            <w:tcBorders>
              <w:top w:val="single" w:color="auto" w:sz="4" w:space="0"/>
              <w:left w:val="single" w:color="auto" w:sz="4" w:space="0"/>
              <w:bottom w:val="single" w:color="auto" w:sz="4" w:space="0"/>
              <w:right w:val="single" w:color="auto" w:sz="4" w:space="0"/>
            </w:tcBorders>
            <w:vAlign w:val="center"/>
          </w:tcPr>
          <w:p w14:paraId="1729D5AD">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招标代理机构</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5BE7B6BD">
            <w:pPr>
              <w:spacing w:line="4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名称：广州万安建设监理有限公司</w:t>
            </w:r>
          </w:p>
          <w:p w14:paraId="014C4081">
            <w:pPr>
              <w:spacing w:line="4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地址：广州市天河区建中路64、号66号西501-1</w:t>
            </w:r>
          </w:p>
          <w:p w14:paraId="28FEA9B3">
            <w:pPr>
              <w:spacing w:line="4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联系人：张先生</w:t>
            </w:r>
          </w:p>
          <w:p w14:paraId="6B9E97E9">
            <w:pPr>
              <w:spacing w:line="4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电话：020-85573161</w:t>
            </w:r>
          </w:p>
        </w:tc>
      </w:tr>
      <w:tr w14:paraId="2136B944">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C73D68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1559" w:type="dxa"/>
            <w:tcBorders>
              <w:top w:val="single" w:color="auto" w:sz="4" w:space="0"/>
              <w:left w:val="single" w:color="auto" w:sz="4" w:space="0"/>
              <w:bottom w:val="single" w:color="auto" w:sz="4" w:space="0"/>
              <w:right w:val="single" w:color="auto" w:sz="4" w:space="0"/>
            </w:tcBorders>
            <w:vAlign w:val="center"/>
          </w:tcPr>
          <w:p w14:paraId="0029FDDF">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招标项目名称</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BB38313">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罗定市城区老旧居住区宜居改造项目勘察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初步设计</w:t>
            </w:r>
          </w:p>
        </w:tc>
      </w:tr>
      <w:tr w14:paraId="74F45AAE">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043FEAA">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1559" w:type="dxa"/>
            <w:tcBorders>
              <w:top w:val="single" w:color="auto" w:sz="4" w:space="0"/>
              <w:left w:val="single" w:color="auto" w:sz="4" w:space="0"/>
              <w:bottom w:val="single" w:color="auto" w:sz="4" w:space="0"/>
              <w:right w:val="single" w:color="auto" w:sz="4" w:space="0"/>
            </w:tcBorders>
            <w:vAlign w:val="center"/>
          </w:tcPr>
          <w:p w14:paraId="0BA2B33C">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项目建设地点</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C7D0BA2">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广东省云浮市罗定市罗城街道。</w:t>
            </w:r>
          </w:p>
        </w:tc>
      </w:tr>
      <w:tr w14:paraId="2D04BB38">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CF8548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1.1.6</w:t>
            </w:r>
          </w:p>
        </w:tc>
        <w:tc>
          <w:tcPr>
            <w:tcW w:w="1559" w:type="dxa"/>
            <w:tcBorders>
              <w:top w:val="single" w:color="auto" w:sz="4" w:space="0"/>
              <w:left w:val="single" w:color="auto" w:sz="4" w:space="0"/>
              <w:bottom w:val="single" w:color="auto" w:sz="4" w:space="0"/>
              <w:right w:val="single" w:color="auto" w:sz="4" w:space="0"/>
            </w:tcBorders>
            <w:vAlign w:val="center"/>
          </w:tcPr>
          <w:p w14:paraId="532AC39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项目建设规模</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40B60700">
            <w:pPr>
              <w:widowControl/>
              <w:spacing w:line="400" w:lineRule="exact"/>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目共分三个子项，包括：1、城中北片老旧居住区改造工程(含北区、区屋、中区、东区)；2、城东南片老旧居住区改造工程(含细坑、城东、柑园)；3、城西片老旧居住区改造工程(含西区、南区、石围)。主要内容包含改造及新建道路面积约100500平方米；改造污水管约86000米、排水管道约 98000米；建设安装路灯约7200盏；电力线、通信线、有线电视线等三线整理；人居环境整治约20000平方米；建设社区综合服务、文化体育设施、消防设施、自行车棚等。</w:t>
            </w:r>
          </w:p>
        </w:tc>
      </w:tr>
      <w:tr w14:paraId="503473C9">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4DA96B2">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1559" w:type="dxa"/>
            <w:tcBorders>
              <w:top w:val="single" w:color="auto" w:sz="4" w:space="0"/>
              <w:left w:val="single" w:color="auto" w:sz="4" w:space="0"/>
              <w:bottom w:val="single" w:color="auto" w:sz="4" w:space="0"/>
              <w:right w:val="single" w:color="auto" w:sz="4" w:space="0"/>
            </w:tcBorders>
            <w:vAlign w:val="center"/>
          </w:tcPr>
          <w:p w14:paraId="3A905F2A">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资金来源及比例</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0F5D1E6">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资金来源：地方政府专项债券资金及通过争取上级专项资金和地方自筹解决。</w:t>
            </w:r>
          </w:p>
          <w:p w14:paraId="5993116A">
            <w:pPr>
              <w:spacing w:line="380" w:lineRule="exact"/>
              <w:jc w:val="left"/>
              <w:rPr>
                <w:rFonts w:hint="eastAsia" w:ascii="仿宋" w:hAnsi="仿宋" w:eastAsia="仿宋" w:cs="仿宋"/>
                <w:bCs/>
                <w:color w:val="auto"/>
                <w:szCs w:val="21"/>
                <w:highlight w:val="none"/>
              </w:rPr>
            </w:pPr>
            <w:r>
              <w:rPr>
                <w:rFonts w:hint="eastAsia" w:ascii="仿宋" w:hAnsi="仿宋" w:eastAsia="仿宋" w:cs="仿宋"/>
                <w:iCs w:val="0"/>
                <w:color w:val="auto"/>
                <w:sz w:val="21"/>
                <w:szCs w:val="21"/>
                <w:highlight w:val="none"/>
                <w:u w:val="none"/>
              </w:rPr>
              <w:t>比例：</w:t>
            </w:r>
            <w:r>
              <w:rPr>
                <w:rFonts w:hint="eastAsia" w:ascii="仿宋" w:hAnsi="仿宋" w:eastAsia="仿宋" w:cs="仿宋"/>
                <w:iCs w:val="0"/>
                <w:color w:val="auto"/>
                <w:sz w:val="21"/>
                <w:szCs w:val="21"/>
                <w:highlight w:val="none"/>
                <w:u w:val="none"/>
                <w:lang w:val="en-US" w:eastAsia="zh-CN"/>
              </w:rPr>
              <w:t>100%</w:t>
            </w:r>
          </w:p>
        </w:tc>
      </w:tr>
      <w:tr w14:paraId="5E9CC7E2">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BD1F0B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1559" w:type="dxa"/>
            <w:tcBorders>
              <w:top w:val="single" w:color="auto" w:sz="4" w:space="0"/>
              <w:left w:val="single" w:color="auto" w:sz="4" w:space="0"/>
              <w:bottom w:val="single" w:color="auto" w:sz="4" w:space="0"/>
              <w:right w:val="single" w:color="auto" w:sz="4" w:space="0"/>
            </w:tcBorders>
            <w:vAlign w:val="center"/>
          </w:tcPr>
          <w:p w14:paraId="0118C58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资金落实情况</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77E58FC1">
            <w:pPr>
              <w:spacing w:line="38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已落实</w:t>
            </w:r>
          </w:p>
        </w:tc>
      </w:tr>
      <w:tr w14:paraId="58667F45">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820CAE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1559" w:type="dxa"/>
            <w:tcBorders>
              <w:top w:val="single" w:color="auto" w:sz="4" w:space="0"/>
              <w:left w:val="single" w:color="auto" w:sz="4" w:space="0"/>
              <w:bottom w:val="single" w:color="auto" w:sz="4" w:space="0"/>
              <w:right w:val="single" w:color="auto" w:sz="4" w:space="0"/>
            </w:tcBorders>
            <w:vAlign w:val="center"/>
          </w:tcPr>
          <w:p w14:paraId="1242D1C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招标范围</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7E48CF3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完成罗定市城区老旧居住区宜居改造项目勘察、初步设计等工作。其中：</w:t>
            </w:r>
            <w:r>
              <w:rPr>
                <w:rFonts w:hint="eastAsia" w:ascii="仿宋" w:hAnsi="仿宋" w:eastAsia="仿宋" w:cs="仿宋"/>
                <w:color w:val="auto"/>
                <w:szCs w:val="21"/>
                <w:highlight w:val="none"/>
              </w:rPr>
              <w:t>（1）勘察：勘察过程中，根据工程现场地形地貌、工程水文地质条件及相关技术规范要求，完成本项目的勘察工作，负责本项目范围内，在满足法律法规及设计的前提下，不限于以下内容：包括地形测量、初步勘察、详细勘察、工程测量、管线物探、氡气检测及必要时的施工勘察工作等，以及上述勘察成果文件。密切配合设计单位解决本项目实施过程中的一切岩土工程问题。（备注：勘察单位在满足法律法规及设计的前提下，须按发包人的要求无条件调整勘察、测量、物探等工作，调整不增加勘察费。若勘察方按发包人要求提供已完成的勘察成果后，因不可抗拒原因造成设计方案调整出现勘察变更的，需由勘察方与发包人另行协商并签订补充协议。）</w:t>
            </w:r>
          </w:p>
          <w:p w14:paraId="6AE79674">
            <w:pPr>
              <w:spacing w:line="38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设计：包括但不限于方案设计、初步设计概算（有造价咨询资质）及初设审查、专业设计（包括但不限于智能化、绿色建筑、基坑支护等）等阶段的设计服务工作。（备注：设计图纸、文件等资料须按发包人的要求无条件进行优化设计、变更设计等，优化设计、变更设计不增加设计费。若设计方按发包人要求提供已完成的设计成果后，因不可抗拒原因造成设计方案调整出现重大变更的，需由设计方与发包人另行协商并签订补充协议。）</w:t>
            </w:r>
          </w:p>
        </w:tc>
      </w:tr>
      <w:tr w14:paraId="0D6AD75E">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A1BA3ED">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1559" w:type="dxa"/>
            <w:tcBorders>
              <w:top w:val="single" w:color="auto" w:sz="4" w:space="0"/>
              <w:left w:val="single" w:color="auto" w:sz="4" w:space="0"/>
              <w:bottom w:val="single" w:color="auto" w:sz="4" w:space="0"/>
              <w:right w:val="single" w:color="auto" w:sz="4" w:space="0"/>
            </w:tcBorders>
            <w:vAlign w:val="center"/>
          </w:tcPr>
          <w:p w14:paraId="15EAA28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（勘察）</w:t>
            </w:r>
            <w:r>
              <w:rPr>
                <w:rFonts w:hint="eastAsia" w:ascii="仿宋" w:hAnsi="仿宋" w:eastAsia="仿宋" w:cs="仿宋"/>
                <w:color w:val="auto"/>
                <w:szCs w:val="21"/>
                <w:highlight w:val="none"/>
              </w:rPr>
              <w:t>设计服务期限</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0C3090C">
            <w:pPr>
              <w:widowControl/>
              <w:spacing w:line="400" w:lineRule="exact"/>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合同工期总日历天数 50 天</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其中：勘察工期15个日历天，设计工期35个日历天</w:t>
            </w:r>
            <w:r>
              <w:rPr>
                <w:rFonts w:hint="eastAsia" w:ascii="仿宋" w:hAnsi="仿宋" w:eastAsia="仿宋" w:cs="仿宋"/>
                <w:color w:val="auto"/>
                <w:kern w:val="0"/>
                <w:szCs w:val="21"/>
                <w:highlight w:val="none"/>
                <w:lang w:eastAsia="zh-CN" w:bidi="ar"/>
              </w:rPr>
              <w:t>。</w:t>
            </w:r>
          </w:p>
          <w:p w14:paraId="2454AC86">
            <w:pPr>
              <w:widowControl/>
              <w:spacing w:line="400" w:lineRule="exact"/>
              <w:jc w:val="left"/>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bidi="ar"/>
              </w:rPr>
              <w:t>招标人在合同约定的限期按实际工程进度 通知中标人进行工程勘察设计。中标人应在工程勘察设计合同签订后 45日内完成工程勘察、初步设计；工程勘察、初步设计文件经审查发现问题后5日内完成补充、修改。</w:t>
            </w:r>
          </w:p>
        </w:tc>
      </w:tr>
      <w:tr w14:paraId="087942D9">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01D4CF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1559" w:type="dxa"/>
            <w:tcBorders>
              <w:top w:val="single" w:color="auto" w:sz="4" w:space="0"/>
              <w:left w:val="single" w:color="auto" w:sz="4" w:space="0"/>
              <w:bottom w:val="single" w:color="auto" w:sz="4" w:space="0"/>
              <w:right w:val="single" w:color="auto" w:sz="4" w:space="0"/>
            </w:tcBorders>
            <w:vAlign w:val="center"/>
          </w:tcPr>
          <w:p w14:paraId="36F5697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质量标准</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30FBD98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勘察要求的质量标准：符合&lt;房屋建筑和市政基础设施工程勘察文件编制深度规定&gt;（2020年版）、国家及地方现行的勘察标准及规范，符合本项目的可研批复及规划方案批复的要求。</w:t>
            </w:r>
          </w:p>
          <w:p w14:paraId="39FF94F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设计要求的质量标准：符合建质函[2016]247号《建筑工程设计文件 编制深度规定》(2016年版)、建质[2013]57号《市政公用工程设计文件编制深度规定》(2013年版)、国家及地方现行的设计标准及规范，符合本项目的可研批复及规划方案批复的要求。</w:t>
            </w:r>
          </w:p>
        </w:tc>
      </w:tr>
      <w:tr w14:paraId="7DB12976">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E54ED0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1559" w:type="dxa"/>
            <w:tcBorders>
              <w:top w:val="single" w:color="auto" w:sz="4" w:space="0"/>
              <w:left w:val="single" w:color="auto" w:sz="4" w:space="0"/>
              <w:bottom w:val="single" w:color="auto" w:sz="4" w:space="0"/>
              <w:right w:val="single" w:color="auto" w:sz="4" w:space="0"/>
            </w:tcBorders>
            <w:vAlign w:val="center"/>
          </w:tcPr>
          <w:p w14:paraId="3C6AA86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投标人资质条件、能力、信誉</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5F927755">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b/>
                <w:bCs/>
                <w:color w:val="auto"/>
                <w:sz w:val="21"/>
                <w:szCs w:val="21"/>
                <w:highlight w:val="none"/>
                <w:lang w:bidi="ar"/>
              </w:rPr>
              <w:t>（1）资质条件：</w:t>
            </w:r>
          </w:p>
          <w:p w14:paraId="146F1FDE">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①勘察资质：具备建设行政主管部门颁发的工程勘察综合甲级资质，或工程勘察专业(岩土工程)</w:t>
            </w:r>
            <w:r>
              <w:rPr>
                <w:rFonts w:hint="eastAsia" w:ascii="仿宋" w:hAnsi="仿宋" w:eastAsia="仿宋" w:cs="仿宋"/>
                <w:color w:val="auto"/>
                <w:sz w:val="21"/>
                <w:szCs w:val="21"/>
                <w:highlight w:val="none"/>
                <w:lang w:val="en-US" w:eastAsia="zh-CN"/>
              </w:rPr>
              <w:t>乙级或以上</w:t>
            </w:r>
            <w:r>
              <w:rPr>
                <w:rFonts w:hint="eastAsia" w:ascii="仿宋" w:hAnsi="仿宋" w:eastAsia="仿宋" w:cs="仿宋"/>
                <w:color w:val="auto"/>
                <w:sz w:val="21"/>
                <w:szCs w:val="21"/>
                <w:highlight w:val="none"/>
                <w:lang w:eastAsia="zh-CN"/>
              </w:rPr>
              <w:t>资质。(联合体投标时为勘察方具备)</w:t>
            </w:r>
            <w:r>
              <w:rPr>
                <w:rFonts w:hint="eastAsia" w:ascii="仿宋" w:hAnsi="仿宋" w:eastAsia="仿宋" w:cs="仿宋"/>
                <w:color w:val="auto"/>
                <w:sz w:val="21"/>
                <w:szCs w:val="21"/>
                <w:highlight w:val="none"/>
                <w:lang w:val="en-US" w:eastAsia="zh-CN"/>
              </w:rPr>
              <w:t xml:space="preserve">     </w:t>
            </w:r>
          </w:p>
          <w:p w14:paraId="62D98F2A">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lang w:val="en-US" w:eastAsia="zh-CN"/>
              </w:rPr>
              <w:t>设计</w:t>
            </w:r>
            <w:r>
              <w:rPr>
                <w:rFonts w:hint="eastAsia" w:ascii="仿宋" w:hAnsi="仿宋" w:eastAsia="仿宋" w:cs="仿宋"/>
                <w:color w:val="auto"/>
                <w:sz w:val="21"/>
                <w:szCs w:val="21"/>
                <w:highlight w:val="none"/>
              </w:rPr>
              <w:t>资质条件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具备建设行政主管部门颁发的工程设计综合资质甲级；或具备工程设计市政行业</w:t>
            </w:r>
            <w:r>
              <w:rPr>
                <w:rFonts w:hint="eastAsia" w:ascii="仿宋" w:hAnsi="仿宋" w:eastAsia="仿宋" w:cs="仿宋"/>
                <w:color w:val="auto"/>
                <w:sz w:val="21"/>
                <w:szCs w:val="21"/>
                <w:highlight w:val="none"/>
                <w:lang w:val="en-US" w:eastAsia="zh-CN"/>
              </w:rPr>
              <w:t>乙级或以上</w:t>
            </w:r>
            <w:r>
              <w:rPr>
                <w:rFonts w:hint="eastAsia" w:ascii="仿宋" w:hAnsi="仿宋" w:eastAsia="仿宋" w:cs="仿宋"/>
                <w:color w:val="auto"/>
                <w:sz w:val="21"/>
                <w:szCs w:val="21"/>
                <w:highlight w:val="none"/>
              </w:rPr>
              <w:t>资质</w:t>
            </w:r>
            <w:r>
              <w:rPr>
                <w:rFonts w:hint="eastAsia" w:ascii="仿宋" w:hAnsi="仿宋" w:eastAsia="仿宋" w:cs="仿宋"/>
                <w:color w:val="auto"/>
                <w:sz w:val="21"/>
                <w:szCs w:val="21"/>
                <w:highlight w:val="none"/>
                <w:lang w:eastAsia="zh-CN"/>
              </w:rPr>
              <w:t>。(联合体投标时为</w:t>
            </w:r>
            <w:r>
              <w:rPr>
                <w:rFonts w:hint="eastAsia" w:ascii="仿宋" w:hAnsi="仿宋" w:eastAsia="仿宋" w:cs="仿宋"/>
                <w:color w:val="auto"/>
                <w:sz w:val="21"/>
                <w:szCs w:val="21"/>
                <w:highlight w:val="none"/>
                <w:lang w:val="en-US" w:eastAsia="zh-CN"/>
              </w:rPr>
              <w:t>设计</w:t>
            </w:r>
            <w:r>
              <w:rPr>
                <w:rFonts w:hint="eastAsia" w:ascii="仿宋" w:hAnsi="仿宋" w:eastAsia="仿宋" w:cs="仿宋"/>
                <w:color w:val="auto"/>
                <w:sz w:val="21"/>
                <w:szCs w:val="21"/>
                <w:highlight w:val="none"/>
                <w:lang w:eastAsia="zh-CN"/>
              </w:rPr>
              <w:t>方具备)</w:t>
            </w:r>
          </w:p>
          <w:p w14:paraId="12D9C197">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auto"/>
                <w:sz w:val="21"/>
                <w:szCs w:val="21"/>
                <w:highlight w:val="none"/>
                <w:lang w:val="en-US" w:eastAsia="zh-CN" w:bidi="ar"/>
              </w:rPr>
              <w:t>2</w:t>
            </w: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auto"/>
                <w:sz w:val="21"/>
                <w:szCs w:val="21"/>
                <w:highlight w:val="none"/>
                <w:lang w:val="en-US" w:eastAsia="zh-CN" w:bidi="ar"/>
              </w:rPr>
              <w:t>财务</w:t>
            </w:r>
            <w:r>
              <w:rPr>
                <w:rFonts w:hint="eastAsia" w:ascii="仿宋" w:hAnsi="仿宋" w:eastAsia="仿宋" w:cs="仿宋"/>
                <w:b/>
                <w:bCs/>
                <w:color w:val="auto"/>
                <w:sz w:val="21"/>
                <w:szCs w:val="21"/>
                <w:highlight w:val="none"/>
                <w:lang w:bidi="ar"/>
              </w:rPr>
              <w:t>要求：/</w:t>
            </w:r>
          </w:p>
          <w:p w14:paraId="42491C9D">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（3）业绩要求：/</w:t>
            </w:r>
          </w:p>
          <w:p w14:paraId="1BB0B6DF">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（4）信誉要求（若组成联合体，则联合体各方均需具备）：</w:t>
            </w:r>
          </w:p>
          <w:p w14:paraId="71B63A90">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b w:val="0"/>
                <w:bCs w:val="0"/>
                <w:color w:val="auto"/>
                <w:sz w:val="21"/>
                <w:szCs w:val="21"/>
                <w:highlight w:val="none"/>
                <w:lang w:bidi="ar"/>
              </w:rPr>
            </w:pPr>
            <w:r>
              <w:rPr>
                <w:rFonts w:hint="eastAsia" w:ascii="仿宋" w:hAnsi="仿宋" w:eastAsia="仿宋" w:cs="仿宋"/>
                <w:b w:val="0"/>
                <w:bCs w:val="0"/>
                <w:color w:val="auto"/>
                <w:sz w:val="21"/>
                <w:szCs w:val="21"/>
                <w:highlight w:val="none"/>
                <w:lang w:bidi="ar"/>
              </w:rPr>
              <w:t>1.投标人（或联合体各成员）没有处于责令停业，财产被接管、冻结、查封，破产或债务重组等状况等；具有相应的项目管理体系和项目管理能力、财务和风险承担能力。</w:t>
            </w:r>
          </w:p>
          <w:p w14:paraId="18370E8A">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b w:val="0"/>
                <w:bCs w:val="0"/>
                <w:color w:val="auto"/>
                <w:sz w:val="21"/>
                <w:szCs w:val="21"/>
                <w:highlight w:val="none"/>
                <w:lang w:bidi="ar"/>
              </w:rPr>
            </w:pPr>
            <w:r>
              <w:rPr>
                <w:rFonts w:hint="eastAsia" w:ascii="仿宋" w:hAnsi="仿宋" w:eastAsia="仿宋" w:cs="仿宋"/>
                <w:b w:val="0"/>
                <w:bCs w:val="0"/>
                <w:color w:val="auto"/>
                <w:sz w:val="21"/>
                <w:szCs w:val="21"/>
                <w:highlight w:val="none"/>
                <w:lang w:bidi="ar"/>
              </w:rPr>
              <w:t>2.投标人（或联合体各成员）没有被列入失信被执行人黑名单，须提供在“中国执行信息公开网”（http://zxgk.court.gov.cn/shixin/）的网页截图。</w:t>
            </w:r>
          </w:p>
          <w:p w14:paraId="7652B4C9">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val="0"/>
                <w:bCs w:val="0"/>
                <w:color w:val="auto"/>
                <w:sz w:val="21"/>
                <w:szCs w:val="21"/>
                <w:highlight w:val="none"/>
                <w:lang w:bidi="ar"/>
              </w:rPr>
              <w:t>3.投标人（或联合体各成员）近3年内（从发布招标公告当日往前顺推三年）不得有以下情况：①重大工程质量问题或重大安全事故，或围标串标，或骗取中标，或提供虚假投标材料（重大工程质量问题均以司法、仲裁机构或行政主管部门等出具的文件为准）；②被建设行政主管部门明令取消、暂停、禁止参与投标。</w:t>
            </w:r>
          </w:p>
          <w:p w14:paraId="2C38DBAD">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（5）项目负责人的资格要求：</w:t>
            </w:r>
          </w:p>
          <w:p w14:paraId="78537BDC">
            <w:pPr>
              <w:spacing w:line="288" w:lineRule="auto"/>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①勘察负责人:须具备注册土木工程师(岩土)注册执业证书。(联合体投标时，须为联合体中勘察单位的人员)。</w:t>
            </w:r>
          </w:p>
          <w:p w14:paraId="287E0599">
            <w:pPr>
              <w:spacing w:line="288" w:lineRule="auto"/>
              <w:ind w:firstLine="422" w:firstLineChars="200"/>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②设计</w:t>
            </w:r>
            <w:r>
              <w:rPr>
                <w:rFonts w:hint="eastAsia" w:ascii="仿宋" w:hAnsi="仿宋" w:eastAsia="仿宋" w:cs="仿宋"/>
                <w:b/>
                <w:bCs/>
                <w:color w:val="auto"/>
                <w:sz w:val="21"/>
                <w:szCs w:val="21"/>
                <w:highlight w:val="none"/>
              </w:rPr>
              <w:t>负责人：</w:t>
            </w:r>
            <w:r>
              <w:rPr>
                <w:rFonts w:hint="eastAsia" w:ascii="仿宋" w:hAnsi="仿宋" w:eastAsia="仿宋" w:cs="仿宋"/>
                <w:b w:val="0"/>
                <w:bCs w:val="0"/>
                <w:color w:val="auto"/>
                <w:sz w:val="21"/>
                <w:szCs w:val="21"/>
                <w:highlight w:val="none"/>
              </w:rPr>
              <w:t>具备</w:t>
            </w:r>
            <w:r>
              <w:rPr>
                <w:rFonts w:hint="eastAsia" w:ascii="仿宋" w:hAnsi="仿宋" w:eastAsia="仿宋" w:cs="仿宋"/>
                <w:b w:val="0"/>
                <w:bCs w:val="0"/>
                <w:color w:val="auto"/>
                <w:sz w:val="21"/>
                <w:szCs w:val="21"/>
                <w:highlight w:val="none"/>
                <w:lang w:val="en-US" w:eastAsia="zh-CN"/>
              </w:rPr>
              <w:t>市政</w:t>
            </w:r>
            <w:r>
              <w:rPr>
                <w:rFonts w:hint="eastAsia" w:ascii="仿宋" w:hAnsi="仿宋" w:eastAsia="仿宋" w:cs="仿宋"/>
                <w:b w:val="0"/>
                <w:bCs w:val="0"/>
                <w:color w:val="auto"/>
                <w:sz w:val="21"/>
                <w:szCs w:val="21"/>
                <w:highlight w:val="none"/>
              </w:rPr>
              <w:t>工程类相关专业中级或以上职称证书</w:t>
            </w:r>
            <w:r>
              <w:rPr>
                <w:rFonts w:hint="eastAsia" w:ascii="仿宋" w:hAnsi="仿宋" w:eastAsia="仿宋" w:cs="仿宋"/>
                <w:b w:val="0"/>
                <w:bCs w:val="0"/>
                <w:color w:val="auto"/>
                <w:sz w:val="21"/>
                <w:szCs w:val="21"/>
                <w:highlight w:val="none"/>
                <w:lang w:eastAsia="zh-CN"/>
              </w:rPr>
              <w:t>。(联合体投标时，须为联合体中设计单位的人员)</w:t>
            </w:r>
          </w:p>
          <w:p w14:paraId="5AA46515">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（6）其他主要人员要求：</w:t>
            </w:r>
            <w:r>
              <w:rPr>
                <w:rFonts w:hint="eastAsia" w:ascii="仿宋" w:hAnsi="仿宋" w:eastAsia="仿宋" w:cs="仿宋"/>
                <w:b/>
                <w:bCs/>
                <w:color w:val="auto"/>
                <w:sz w:val="21"/>
                <w:szCs w:val="21"/>
                <w:highlight w:val="none"/>
                <w:u w:val="single"/>
                <w:lang w:bidi="ar"/>
              </w:rPr>
              <w:t xml:space="preserve"> / </w:t>
            </w:r>
          </w:p>
          <w:p w14:paraId="675F944A">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b/>
                <w:bCs/>
                <w:color w:val="auto"/>
                <w:sz w:val="21"/>
                <w:szCs w:val="21"/>
                <w:highlight w:val="none"/>
                <w:lang w:bidi="ar"/>
              </w:rPr>
              <w:t>说明：</w:t>
            </w:r>
            <w:r>
              <w:rPr>
                <w:rFonts w:hint="eastAsia" w:ascii="仿宋" w:hAnsi="仿宋" w:eastAsia="仿宋" w:cs="仿宋"/>
                <w:color w:val="auto"/>
                <w:sz w:val="21"/>
                <w:szCs w:val="21"/>
                <w:highlight w:val="none"/>
                <w:lang w:bidi="ar"/>
              </w:rPr>
              <w:t>本项目其他主要专业技术人员在投标阶段可不提供，具体人选由招标人和中标人在合同谈判阶段确定，在投标文件未提供其他主要专业人员，不作否决投标条件，评审不予加分，上述人员的投标文件提供拟投入本项目专业技术人员名录的，经评审中标后作为派驻本项目的机构主要人员，不允许更换，否则，招标人取消其中标资格。</w:t>
            </w:r>
          </w:p>
          <w:p w14:paraId="17F1E32A">
            <w:pPr>
              <w:overflowPunct w:val="0"/>
              <w:autoSpaceDE w:val="0"/>
              <w:autoSpaceDN w:val="0"/>
              <w:adjustRightInd w:val="0"/>
              <w:snapToGrid w:val="0"/>
              <w:spacing w:line="440" w:lineRule="exact"/>
              <w:ind w:firstLine="426" w:firstLineChars="202"/>
              <w:textAlignment w:val="bottom"/>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（7）其他要求：</w:t>
            </w:r>
          </w:p>
          <w:p w14:paraId="2D4E22B4">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1.投标人（或联合体各成员）须为在中华人民共和国境内注册、具有独立法人资格并依法取得营业执照，且证照处于有效期内（需提供营业执照等证明材料）。</w:t>
            </w:r>
          </w:p>
          <w:p w14:paraId="0F258DC3">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投标人（或联合体各成员）须是未被有关部门明令取消投标资格或暂停承接业务，须按云建通〔2021〕15号文和云建市[2021]18号等有关规定办理好登记手续，企业参加工程投标、勘察、设计、施工、监理、项目管理等建筑活动的各类注册人员和相关从业人员，应当在“云浮市智慧建筑管理服务信息平台”登记；并持有“云浮市智慧建筑管理服务信息平台”最新月度企业信用评价等级的网页截图（其有效范围为信用等级B级或以上的，新登记备案的还没评级可不持有）。广东省以外的投标人（或联合体各成员）须按广东省住房和城乡建设厅（粤建市〔2015〕52号文）的规定，持有在广东建设信息网“进粤企业和人员诚信信息登记平台”专栏关于投标人进粤企业及人员信息录入的网页截图。</w:t>
            </w:r>
          </w:p>
          <w:p w14:paraId="03DA3992">
            <w:pPr>
              <w:overflowPunct w:val="0"/>
              <w:autoSpaceDE w:val="0"/>
              <w:autoSpaceDN w:val="0"/>
              <w:adjustRightInd w:val="0"/>
              <w:snapToGrid w:val="0"/>
              <w:spacing w:line="440" w:lineRule="exact"/>
              <w:ind w:firstLine="424" w:firstLineChars="202"/>
              <w:textAlignment w:val="bottom"/>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14:paraId="75A448BC">
            <w:pPr>
              <w:spacing w:line="380" w:lineRule="exact"/>
              <w:rPr>
                <w:rFonts w:hint="eastAsia" w:ascii="仿宋" w:hAnsi="仿宋" w:eastAsia="仿宋" w:cs="仿宋"/>
                <w:b/>
                <w:color w:val="auto"/>
                <w:szCs w:val="21"/>
                <w:highlight w:val="none"/>
              </w:rPr>
            </w:pPr>
            <w:r>
              <w:rPr>
                <w:rFonts w:hint="eastAsia" w:ascii="仿宋" w:hAnsi="仿宋" w:eastAsia="仿宋" w:cs="仿宋"/>
                <w:color w:val="auto"/>
                <w:sz w:val="21"/>
                <w:szCs w:val="21"/>
                <w:highlight w:val="none"/>
                <w:lang w:bidi="ar"/>
              </w:rPr>
              <w:t>4.投标人提供对参与本次建设工程项目招标投标活动中提交的证明资料（包括但不限于营业执照、资质、业绩（如有）、获奖（如有）、人员、财务（如有）、社保（如有）、纳税（如有）、各类证书等）的真实性、有效性签署的投标人承诺（详见投标文件格式中的投标人承诺书）。</w:t>
            </w:r>
          </w:p>
        </w:tc>
      </w:tr>
      <w:tr w14:paraId="23CEDBCB">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AE86E4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1559" w:type="dxa"/>
            <w:tcBorders>
              <w:top w:val="single" w:color="auto" w:sz="4" w:space="0"/>
              <w:left w:val="single" w:color="auto" w:sz="4" w:space="0"/>
              <w:bottom w:val="single" w:color="auto" w:sz="4" w:space="0"/>
              <w:right w:val="single" w:color="auto" w:sz="4" w:space="0"/>
            </w:tcBorders>
            <w:vAlign w:val="center"/>
          </w:tcPr>
          <w:p w14:paraId="3DC0F14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是否接受联合体投标</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C486541">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不接受</w:t>
            </w:r>
          </w:p>
          <w:p w14:paraId="4B52740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接受，应满足下列要求：独立投标或联合体投标不限，组成联合体投标时，按招标文件要求。</w:t>
            </w:r>
          </w:p>
          <w:p w14:paraId="4DD5F288">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（1）组成联合体的单位数量不超过 2 家，以具备 设计     资质要求的一方作为联合体牵头人；</w:t>
            </w:r>
          </w:p>
          <w:p w14:paraId="7D9630BF">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（2）投标人的投标文件及中标后签署的合同协议书，对联合体各方均有法律约束力；</w:t>
            </w:r>
          </w:p>
          <w:p w14:paraId="06A8975B">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联合体各成员应按招标文件的格式签订联合体协议书，在该协议书中必须指定牵头人，授权其代表所有联合体成员负责投标、委派项目负责人和合同实施阶段的主办、协调工作，并约定各方拟承担的工作责任和权利义务。联合体协议书必须加盖所有联合体成员法人公章并由其法定代表人签字或盖章确认。</w:t>
            </w:r>
          </w:p>
          <w:p w14:paraId="3F49A3B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（4）联合体资质按联合体协议约定的专业分工确定，由同一专业的单位组成的联合体，按照资质等级较低的单位确定资质等级。</w:t>
            </w:r>
          </w:p>
          <w:p w14:paraId="02FD504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（5）联合体各成员签订联合体协议书后，不得再以自己名义单独投标或加入其他联合体在同一标段中进行投标，如有违反，其投标和与此有关的联合体的投标将被拒绝。</w:t>
            </w:r>
          </w:p>
          <w:p w14:paraId="3EB27734">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（6）联合体中标后，联合体各成员应当共同与招标人签订合同，为履行合同向招标人承担连带责任。联合体牵头人应被授权作为联合体各成员的代表，向招标人提交承担责任和接受指令。</w:t>
            </w:r>
          </w:p>
          <w:p w14:paraId="0E2BB0CE">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（7）除非另有规定和说明，本招标文件（含招标公告）中的“投标人”一词亦指联合体各成员。</w:t>
            </w:r>
          </w:p>
        </w:tc>
      </w:tr>
      <w:tr w14:paraId="1F1C0594">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82D883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1559" w:type="dxa"/>
            <w:tcBorders>
              <w:top w:val="single" w:color="auto" w:sz="4" w:space="0"/>
              <w:left w:val="single" w:color="auto" w:sz="4" w:space="0"/>
              <w:bottom w:val="single" w:color="auto" w:sz="4" w:space="0"/>
              <w:right w:val="single" w:color="auto" w:sz="4" w:space="0"/>
            </w:tcBorders>
            <w:vAlign w:val="center"/>
          </w:tcPr>
          <w:p w14:paraId="2EBF057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投标人不得存在的其他情形</w:t>
            </w:r>
          </w:p>
        </w:tc>
        <w:tc>
          <w:tcPr>
            <w:tcW w:w="7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EC88AA">
            <w:pPr>
              <w:spacing w:line="38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详见投标人须知1.4.3</w:t>
            </w:r>
          </w:p>
        </w:tc>
      </w:tr>
      <w:tr w14:paraId="1BF802EE">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AB447A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1.9.1</w:t>
            </w:r>
          </w:p>
        </w:tc>
        <w:tc>
          <w:tcPr>
            <w:tcW w:w="1559" w:type="dxa"/>
            <w:tcBorders>
              <w:top w:val="single" w:color="auto" w:sz="4" w:space="0"/>
              <w:left w:val="single" w:color="auto" w:sz="4" w:space="0"/>
              <w:bottom w:val="single" w:color="auto" w:sz="4" w:space="0"/>
              <w:right w:val="single" w:color="auto" w:sz="4" w:space="0"/>
            </w:tcBorders>
            <w:vAlign w:val="center"/>
          </w:tcPr>
          <w:p w14:paraId="5D07FB5C">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踏勘现场</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932AA9B">
            <w:pPr>
              <w:pStyle w:val="17"/>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rPr>
              <w:t>不组织</w:t>
            </w:r>
          </w:p>
          <w:p w14:paraId="71B38E09">
            <w:pPr>
              <w:pStyle w:val="17"/>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□组织，踏勘时间：</w:t>
            </w:r>
          </w:p>
          <w:p w14:paraId="23EA1341">
            <w:pPr>
              <w:pStyle w:val="17"/>
              <w:spacing w:line="380" w:lineRule="exact"/>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踏勘集中地点：</w:t>
            </w:r>
          </w:p>
        </w:tc>
      </w:tr>
      <w:tr w14:paraId="77BBA566">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6DA245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1.10.1</w:t>
            </w:r>
          </w:p>
        </w:tc>
        <w:tc>
          <w:tcPr>
            <w:tcW w:w="1559" w:type="dxa"/>
            <w:tcBorders>
              <w:top w:val="single" w:color="auto" w:sz="4" w:space="0"/>
              <w:left w:val="single" w:color="auto" w:sz="4" w:space="0"/>
              <w:bottom w:val="single" w:color="auto" w:sz="4" w:space="0"/>
              <w:right w:val="single" w:color="auto" w:sz="4" w:space="0"/>
            </w:tcBorders>
            <w:vAlign w:val="center"/>
          </w:tcPr>
          <w:p w14:paraId="4FE1EF6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投标预备会</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7542132">
            <w:pPr>
              <w:pStyle w:val="17"/>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rPr>
              <w:t>不召开</w:t>
            </w:r>
          </w:p>
          <w:p w14:paraId="37F388ED">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□召开，召开时间：</w:t>
            </w:r>
          </w:p>
          <w:p w14:paraId="17FCCB2D">
            <w:pPr>
              <w:spacing w:line="38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召开地点：</w:t>
            </w:r>
          </w:p>
        </w:tc>
      </w:tr>
      <w:tr w14:paraId="18101843">
        <w:tblPrEx>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14:paraId="72FA6FC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1.10.2</w:t>
            </w:r>
          </w:p>
        </w:tc>
        <w:tc>
          <w:tcPr>
            <w:tcW w:w="1559" w:type="dxa"/>
            <w:vMerge w:val="restart"/>
            <w:tcBorders>
              <w:top w:val="single" w:color="auto" w:sz="4" w:space="0"/>
              <w:left w:val="single" w:color="auto" w:sz="4" w:space="0"/>
              <w:right w:val="single" w:color="auto" w:sz="4" w:space="0"/>
            </w:tcBorders>
            <w:vAlign w:val="center"/>
          </w:tcPr>
          <w:p w14:paraId="4DF0298D">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投标人在投标预备会前提出问题</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A3457A1">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val="en-US" w:eastAsia="zh-CN"/>
              </w:rPr>
              <w:t>/</w:t>
            </w:r>
          </w:p>
        </w:tc>
      </w:tr>
      <w:tr w14:paraId="483E51BC">
        <w:tblPrEx>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14:paraId="5C2CE2AD">
            <w:pPr>
              <w:spacing w:line="380" w:lineRule="exact"/>
              <w:jc w:val="center"/>
              <w:rPr>
                <w:rFonts w:hint="eastAsia" w:ascii="仿宋" w:hAnsi="仿宋" w:eastAsia="仿宋" w:cs="仿宋"/>
                <w:color w:val="auto"/>
                <w:szCs w:val="21"/>
                <w:highlight w:val="none"/>
              </w:rPr>
            </w:pPr>
          </w:p>
        </w:tc>
        <w:tc>
          <w:tcPr>
            <w:tcW w:w="1559" w:type="dxa"/>
            <w:vMerge w:val="continue"/>
            <w:tcBorders>
              <w:left w:val="single" w:color="auto" w:sz="4" w:space="0"/>
              <w:bottom w:val="single" w:color="auto" w:sz="4" w:space="0"/>
              <w:right w:val="single" w:color="auto" w:sz="4" w:space="0"/>
            </w:tcBorders>
            <w:vAlign w:val="center"/>
          </w:tcPr>
          <w:p w14:paraId="3412DF6E">
            <w:pPr>
              <w:spacing w:line="380" w:lineRule="exact"/>
              <w:jc w:val="center"/>
              <w:rPr>
                <w:rFonts w:hint="eastAsia" w:ascii="仿宋" w:hAnsi="仿宋" w:eastAsia="仿宋" w:cs="仿宋"/>
                <w:color w:val="auto"/>
                <w:szCs w:val="21"/>
                <w:highlight w:val="none"/>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71C0F73F">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形式：</w:t>
            </w:r>
            <w:r>
              <w:rPr>
                <w:rFonts w:hint="eastAsia" w:ascii="仿宋" w:hAnsi="仿宋" w:eastAsia="仿宋" w:cs="仿宋"/>
                <w:color w:val="auto"/>
                <w:szCs w:val="21"/>
                <w:highlight w:val="none"/>
                <w:lang w:val="en-US" w:eastAsia="zh-CN"/>
              </w:rPr>
              <w:t>/</w:t>
            </w:r>
          </w:p>
        </w:tc>
      </w:tr>
      <w:tr w14:paraId="62EFEC89">
        <w:tblPrEx>
          <w:tblCellMar>
            <w:top w:w="0" w:type="dxa"/>
            <w:left w:w="108" w:type="dxa"/>
            <w:bottom w:w="0" w:type="dxa"/>
            <w:right w:w="108" w:type="dxa"/>
          </w:tblCellMar>
        </w:tblPrEx>
        <w:tc>
          <w:tcPr>
            <w:tcW w:w="959" w:type="dxa"/>
            <w:tcBorders>
              <w:left w:val="single" w:color="auto" w:sz="4" w:space="0"/>
              <w:bottom w:val="single" w:color="auto" w:sz="4" w:space="0"/>
              <w:right w:val="single" w:color="auto" w:sz="4" w:space="0"/>
            </w:tcBorders>
            <w:vAlign w:val="center"/>
          </w:tcPr>
          <w:p w14:paraId="207FB22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1.10.3</w:t>
            </w:r>
          </w:p>
        </w:tc>
        <w:tc>
          <w:tcPr>
            <w:tcW w:w="1559" w:type="dxa"/>
            <w:tcBorders>
              <w:left w:val="single" w:color="auto" w:sz="4" w:space="0"/>
              <w:bottom w:val="single" w:color="auto" w:sz="4" w:space="0"/>
              <w:right w:val="single" w:color="auto" w:sz="4" w:space="0"/>
            </w:tcBorders>
            <w:vAlign w:val="center"/>
          </w:tcPr>
          <w:p w14:paraId="5D30695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招标文件澄清发出的形式</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2A8780E">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在广州交易集团有限公司（广州公共资源交易中心）平台、广东省公共资源交易平台、广东省招标投标监管网发布</w:t>
            </w:r>
          </w:p>
        </w:tc>
      </w:tr>
      <w:tr w14:paraId="5EB2D8C6">
        <w:tblPrEx>
          <w:tblCellMar>
            <w:top w:w="0" w:type="dxa"/>
            <w:left w:w="108" w:type="dxa"/>
            <w:bottom w:w="0" w:type="dxa"/>
            <w:right w:w="108" w:type="dxa"/>
          </w:tblCellMar>
        </w:tblPrEx>
        <w:tc>
          <w:tcPr>
            <w:tcW w:w="959" w:type="dxa"/>
            <w:tcBorders>
              <w:left w:val="single" w:color="auto" w:sz="4" w:space="0"/>
              <w:bottom w:val="single" w:color="auto" w:sz="4" w:space="0"/>
              <w:right w:val="single" w:color="auto" w:sz="4" w:space="0"/>
            </w:tcBorders>
            <w:vAlign w:val="center"/>
          </w:tcPr>
          <w:p w14:paraId="60C031E2">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w:t>
            </w:r>
          </w:p>
        </w:tc>
        <w:tc>
          <w:tcPr>
            <w:tcW w:w="1559" w:type="dxa"/>
            <w:tcBorders>
              <w:left w:val="single" w:color="auto" w:sz="4" w:space="0"/>
              <w:bottom w:val="single" w:color="auto" w:sz="4" w:space="0"/>
              <w:right w:val="single" w:color="auto" w:sz="4" w:space="0"/>
            </w:tcBorders>
            <w:vAlign w:val="center"/>
          </w:tcPr>
          <w:p w14:paraId="411C280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分包</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2BAF10E">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不允许</w:t>
            </w:r>
          </w:p>
          <w:p w14:paraId="0CFB993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□允许，分包内容要求：</w:t>
            </w:r>
          </w:p>
          <w:p w14:paraId="75E79E89">
            <w:pPr>
              <w:spacing w:line="380" w:lineRule="exact"/>
              <w:ind w:left="882" w:leftChars="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分包金额要求：</w:t>
            </w:r>
          </w:p>
          <w:p w14:paraId="7F20DA21">
            <w:pPr>
              <w:spacing w:line="380" w:lineRule="exact"/>
              <w:ind w:left="882" w:leftChars="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对分包人的资质要求：</w:t>
            </w:r>
          </w:p>
        </w:tc>
      </w:tr>
      <w:tr w14:paraId="5B0EFD8A">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524B27A">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1.12.3</w:t>
            </w:r>
          </w:p>
        </w:tc>
        <w:tc>
          <w:tcPr>
            <w:tcW w:w="1559" w:type="dxa"/>
            <w:tcBorders>
              <w:top w:val="single" w:color="auto" w:sz="4" w:space="0"/>
              <w:left w:val="single" w:color="auto" w:sz="4" w:space="0"/>
              <w:bottom w:val="single" w:color="auto" w:sz="4" w:space="0"/>
              <w:right w:val="single" w:color="auto" w:sz="4" w:space="0"/>
            </w:tcBorders>
            <w:vAlign w:val="center"/>
          </w:tcPr>
          <w:p w14:paraId="762AF7D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偏差</w:t>
            </w:r>
          </w:p>
        </w:tc>
        <w:tc>
          <w:tcPr>
            <w:tcW w:w="7088" w:type="dxa"/>
            <w:gridSpan w:val="2"/>
            <w:tcBorders>
              <w:top w:val="single" w:color="auto" w:sz="4" w:space="0"/>
              <w:left w:val="single" w:color="auto" w:sz="4" w:space="0"/>
              <w:bottom w:val="single" w:color="auto" w:sz="4" w:space="0"/>
              <w:right w:val="single" w:color="auto" w:sz="4" w:space="0"/>
            </w:tcBorders>
          </w:tcPr>
          <w:p w14:paraId="6582167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不允许</w:t>
            </w:r>
          </w:p>
          <w:p w14:paraId="4B13E68E">
            <w:pPr>
              <w:pStyle w:val="17"/>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□允许，偏差范围：</w:t>
            </w:r>
          </w:p>
          <w:p w14:paraId="7F3DA75D">
            <w:pPr>
              <w:pStyle w:val="17"/>
              <w:spacing w:line="380" w:lineRule="exact"/>
              <w:ind w:firstLine="945" w:firstLineChars="4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偏差幅度：</w:t>
            </w:r>
          </w:p>
        </w:tc>
      </w:tr>
      <w:tr w14:paraId="4586838D">
        <w:tblPrEx>
          <w:tblCellMar>
            <w:top w:w="0" w:type="dxa"/>
            <w:left w:w="108" w:type="dxa"/>
            <w:bottom w:w="0" w:type="dxa"/>
            <w:right w:w="108" w:type="dxa"/>
          </w:tblCellMar>
        </w:tblPrEx>
        <w:trPr>
          <w:trHeight w:val="950" w:hRule="atLeast"/>
        </w:trPr>
        <w:tc>
          <w:tcPr>
            <w:tcW w:w="959" w:type="dxa"/>
            <w:tcBorders>
              <w:top w:val="single" w:color="auto" w:sz="4" w:space="0"/>
              <w:left w:val="single" w:color="auto" w:sz="4" w:space="0"/>
              <w:bottom w:val="single" w:color="auto" w:sz="4" w:space="0"/>
              <w:right w:val="single" w:color="auto" w:sz="4" w:space="0"/>
            </w:tcBorders>
            <w:vAlign w:val="center"/>
          </w:tcPr>
          <w:p w14:paraId="735D63F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559" w:type="dxa"/>
            <w:tcBorders>
              <w:top w:val="single" w:color="auto" w:sz="4" w:space="0"/>
              <w:left w:val="single" w:color="auto" w:sz="4" w:space="0"/>
              <w:bottom w:val="single" w:color="auto" w:sz="4" w:space="0"/>
              <w:right w:val="single" w:color="auto" w:sz="4" w:space="0"/>
            </w:tcBorders>
            <w:vAlign w:val="center"/>
          </w:tcPr>
          <w:p w14:paraId="59D2CDA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构成招标文件的其他资料</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5279234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在规定时间发出的澄清（答疑）、修改、补充通知等。</w:t>
            </w:r>
          </w:p>
        </w:tc>
      </w:tr>
      <w:tr w14:paraId="6741648C">
        <w:tblPrEx>
          <w:tblCellMar>
            <w:top w:w="0" w:type="dxa"/>
            <w:left w:w="108" w:type="dxa"/>
            <w:bottom w:w="0" w:type="dxa"/>
            <w:right w:w="108" w:type="dxa"/>
          </w:tblCellMar>
        </w:tblPrEx>
        <w:trPr>
          <w:trHeight w:val="493"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14:paraId="40D2EFDF">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4A0A8A4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投标人要求澄清招标文件</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71370EBF">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时间：投标截止时间前10天</w:t>
            </w:r>
          </w:p>
        </w:tc>
      </w:tr>
      <w:tr w14:paraId="05119ED6">
        <w:tblPrEx>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35048F7F">
            <w:pPr>
              <w:spacing w:line="380" w:lineRule="exact"/>
              <w:jc w:val="center"/>
              <w:rPr>
                <w:rFonts w:hint="eastAsia" w:ascii="仿宋" w:hAnsi="仿宋" w:eastAsia="仿宋" w:cs="仿宋"/>
                <w:color w:val="auto"/>
                <w:szCs w:val="21"/>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EC5F159">
            <w:pPr>
              <w:spacing w:line="380" w:lineRule="exact"/>
              <w:jc w:val="center"/>
              <w:rPr>
                <w:rFonts w:hint="eastAsia" w:ascii="仿宋" w:hAnsi="仿宋" w:eastAsia="仿宋" w:cs="仿宋"/>
                <w:color w:val="auto"/>
                <w:szCs w:val="21"/>
                <w:highlight w:val="none"/>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881975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形式：投标人疑问通过广州交易集团有限公司（广州公共资源交易中心）平台交易系统进入提问区域将问题提交给招标人/招标代理机构。提问一律不得署名。</w:t>
            </w:r>
          </w:p>
        </w:tc>
      </w:tr>
      <w:tr w14:paraId="4B83EA4C">
        <w:tblPrEx>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4C0DC9B1">
            <w:pPr>
              <w:spacing w:line="380" w:lineRule="exact"/>
              <w:jc w:val="center"/>
              <w:rPr>
                <w:rFonts w:hint="eastAsia" w:ascii="仿宋" w:hAnsi="仿宋" w:eastAsia="仿宋" w:cs="仿宋"/>
                <w:color w:val="auto"/>
                <w:szCs w:val="21"/>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6D1A30B">
            <w:pPr>
              <w:spacing w:line="380" w:lineRule="exact"/>
              <w:jc w:val="center"/>
              <w:rPr>
                <w:rFonts w:hint="eastAsia" w:ascii="仿宋" w:hAnsi="仿宋" w:eastAsia="仿宋" w:cs="仿宋"/>
                <w:color w:val="auto"/>
                <w:szCs w:val="21"/>
                <w:highlight w:val="none"/>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792F6C8">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答疑操作指南：投标人可登录业务系统，选择“我是投标人”-&gt;“新建设工程交易平台”-&gt;“招标答疑提问”查询项目并提问。详见网站上的操作指引。</w:t>
            </w:r>
          </w:p>
        </w:tc>
      </w:tr>
      <w:tr w14:paraId="2E633A72">
        <w:tblPrEx>
          <w:tblCellMar>
            <w:top w:w="0" w:type="dxa"/>
            <w:left w:w="108" w:type="dxa"/>
            <w:bottom w:w="0" w:type="dxa"/>
            <w:right w:w="108" w:type="dxa"/>
          </w:tblCellMar>
        </w:tblPrEx>
        <w:tc>
          <w:tcPr>
            <w:tcW w:w="959" w:type="dxa"/>
            <w:tcBorders>
              <w:left w:val="single" w:color="auto" w:sz="4" w:space="0"/>
              <w:bottom w:val="single" w:color="auto" w:sz="4" w:space="0"/>
              <w:right w:val="single" w:color="auto" w:sz="4" w:space="0"/>
            </w:tcBorders>
            <w:vAlign w:val="center"/>
          </w:tcPr>
          <w:p w14:paraId="4D9D18FF">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1559" w:type="dxa"/>
            <w:tcBorders>
              <w:left w:val="single" w:color="auto" w:sz="4" w:space="0"/>
              <w:bottom w:val="single" w:color="auto" w:sz="4" w:space="0"/>
              <w:right w:val="single" w:color="auto" w:sz="4" w:space="0"/>
            </w:tcBorders>
            <w:vAlign w:val="center"/>
          </w:tcPr>
          <w:p w14:paraId="73987A6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招标文件澄清发出的形式</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7F0EA265">
            <w:pPr>
              <w:spacing w:line="380" w:lineRule="exac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投标截止时间前15天，如果澄清发出的时间距投标截止时间不足15天，招标人可相应延长投标截止时间。</w:t>
            </w:r>
            <w:r>
              <w:rPr>
                <w:rFonts w:hint="eastAsia" w:ascii="仿宋" w:hAnsi="仿宋" w:eastAsia="仿宋" w:cs="仿宋"/>
                <w:color w:val="auto"/>
                <w:szCs w:val="21"/>
                <w:highlight w:val="none"/>
              </w:rPr>
              <w:t>在广州交易集团有限公司（广州公共资源交易中心）平台、广东省公共资源交易平台、广东省招标投标监管网发布。</w:t>
            </w:r>
          </w:p>
        </w:tc>
      </w:tr>
      <w:tr w14:paraId="31BCDEC5">
        <w:tblPrEx>
          <w:tblCellMar>
            <w:top w:w="0" w:type="dxa"/>
            <w:left w:w="108" w:type="dxa"/>
            <w:bottom w:w="0" w:type="dxa"/>
            <w:right w:w="108" w:type="dxa"/>
          </w:tblCellMar>
        </w:tblPrEx>
        <w:trPr>
          <w:trHeight w:val="489" w:hRule="atLeast"/>
        </w:trPr>
        <w:tc>
          <w:tcPr>
            <w:tcW w:w="959" w:type="dxa"/>
            <w:vMerge w:val="restart"/>
            <w:tcBorders>
              <w:top w:val="single" w:color="auto" w:sz="4" w:space="0"/>
              <w:left w:val="single" w:color="auto" w:sz="4" w:space="0"/>
              <w:right w:val="single" w:color="auto" w:sz="4" w:space="0"/>
            </w:tcBorders>
            <w:vAlign w:val="center"/>
          </w:tcPr>
          <w:p w14:paraId="7BF3C6AD">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w:t>
            </w:r>
          </w:p>
        </w:tc>
        <w:tc>
          <w:tcPr>
            <w:tcW w:w="1559" w:type="dxa"/>
            <w:vMerge w:val="restart"/>
            <w:tcBorders>
              <w:top w:val="single" w:color="auto" w:sz="4" w:space="0"/>
              <w:left w:val="single" w:color="auto" w:sz="4" w:space="0"/>
              <w:right w:val="single" w:color="auto" w:sz="4" w:space="0"/>
            </w:tcBorders>
            <w:vAlign w:val="center"/>
          </w:tcPr>
          <w:p w14:paraId="59C9DCF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投标人确认收到招标文件澄清</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383905C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时间：网站发布当日视为投标人确认收到</w:t>
            </w:r>
          </w:p>
        </w:tc>
      </w:tr>
      <w:tr w14:paraId="4AEBE78C">
        <w:tblPrEx>
          <w:tblCellMar>
            <w:top w:w="0" w:type="dxa"/>
            <w:left w:w="108" w:type="dxa"/>
            <w:bottom w:w="0" w:type="dxa"/>
            <w:right w:w="108" w:type="dxa"/>
          </w:tblCellMar>
        </w:tblPrEx>
        <w:trPr>
          <w:trHeight w:val="633" w:hRule="atLeast"/>
        </w:trPr>
        <w:tc>
          <w:tcPr>
            <w:tcW w:w="959" w:type="dxa"/>
            <w:vMerge w:val="continue"/>
            <w:tcBorders>
              <w:left w:val="single" w:color="auto" w:sz="4" w:space="0"/>
              <w:bottom w:val="single" w:color="auto" w:sz="4" w:space="0"/>
              <w:right w:val="single" w:color="auto" w:sz="4" w:space="0"/>
            </w:tcBorders>
            <w:vAlign w:val="center"/>
          </w:tcPr>
          <w:p w14:paraId="7D787DB4">
            <w:pPr>
              <w:spacing w:line="380" w:lineRule="exact"/>
              <w:jc w:val="center"/>
              <w:rPr>
                <w:rFonts w:hint="eastAsia" w:ascii="仿宋" w:hAnsi="仿宋" w:eastAsia="仿宋" w:cs="仿宋"/>
                <w:color w:val="auto"/>
                <w:szCs w:val="21"/>
                <w:highlight w:val="none"/>
              </w:rPr>
            </w:pPr>
          </w:p>
        </w:tc>
        <w:tc>
          <w:tcPr>
            <w:tcW w:w="1559" w:type="dxa"/>
            <w:vMerge w:val="continue"/>
            <w:tcBorders>
              <w:left w:val="single" w:color="auto" w:sz="4" w:space="0"/>
              <w:bottom w:val="single" w:color="auto" w:sz="4" w:space="0"/>
              <w:right w:val="single" w:color="auto" w:sz="4" w:space="0"/>
            </w:tcBorders>
            <w:vAlign w:val="center"/>
          </w:tcPr>
          <w:p w14:paraId="46D2F0C4">
            <w:pPr>
              <w:spacing w:line="380" w:lineRule="exact"/>
              <w:jc w:val="center"/>
              <w:rPr>
                <w:rFonts w:hint="eastAsia" w:ascii="仿宋" w:hAnsi="仿宋" w:eastAsia="仿宋" w:cs="仿宋"/>
                <w:color w:val="auto"/>
                <w:szCs w:val="21"/>
                <w:highlight w:val="none"/>
              </w:rPr>
            </w:pPr>
          </w:p>
        </w:tc>
        <w:tc>
          <w:tcPr>
            <w:tcW w:w="7088" w:type="dxa"/>
            <w:gridSpan w:val="2"/>
            <w:tcBorders>
              <w:top w:val="single" w:color="auto" w:sz="4" w:space="0"/>
              <w:left w:val="single" w:color="auto" w:sz="4" w:space="0"/>
              <w:right w:val="single" w:color="auto" w:sz="4" w:space="0"/>
            </w:tcBorders>
            <w:vAlign w:val="center"/>
          </w:tcPr>
          <w:p w14:paraId="77A908C1">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形式：投标人自行到广州交易集团有限公司（广州公共资源交易中心）平台、广东省公共资源交易平台、广东省招标投标监管网下载。</w:t>
            </w:r>
          </w:p>
        </w:tc>
      </w:tr>
      <w:tr w14:paraId="3590E189">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277CE0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w:t>
            </w:r>
          </w:p>
        </w:tc>
        <w:tc>
          <w:tcPr>
            <w:tcW w:w="1559" w:type="dxa"/>
            <w:tcBorders>
              <w:top w:val="single" w:color="auto" w:sz="4" w:space="0"/>
              <w:left w:val="single" w:color="auto" w:sz="4" w:space="0"/>
              <w:bottom w:val="single" w:color="auto" w:sz="4" w:space="0"/>
              <w:right w:val="single" w:color="auto" w:sz="4" w:space="0"/>
            </w:tcBorders>
            <w:vAlign w:val="center"/>
          </w:tcPr>
          <w:p w14:paraId="0D51F9B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招标文件修改发出的形式</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283F16E">
            <w:pPr>
              <w:spacing w:line="380" w:lineRule="exac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投标截止时间前15天，如果澄清发出的时间距投标截止时间不足15天，招标人可相应延长投标截止时间。</w:t>
            </w:r>
            <w:r>
              <w:rPr>
                <w:rFonts w:hint="eastAsia" w:ascii="仿宋" w:hAnsi="仿宋" w:eastAsia="仿宋" w:cs="仿宋"/>
                <w:color w:val="auto"/>
                <w:szCs w:val="21"/>
                <w:highlight w:val="none"/>
              </w:rPr>
              <w:t>在广州交易集团有限公司（广州公共资源交易中心）平台、广东省公共资源交易平台、广东省招标投标监管网发布。</w:t>
            </w:r>
          </w:p>
        </w:tc>
      </w:tr>
      <w:tr w14:paraId="4B4C8AB7">
        <w:tblPrEx>
          <w:tblCellMar>
            <w:top w:w="0" w:type="dxa"/>
            <w:left w:w="108" w:type="dxa"/>
            <w:bottom w:w="0" w:type="dxa"/>
            <w:right w:w="108" w:type="dxa"/>
          </w:tblCellMar>
        </w:tblPrEx>
        <w:trPr>
          <w:trHeight w:val="481" w:hRule="atLeast"/>
        </w:trPr>
        <w:tc>
          <w:tcPr>
            <w:tcW w:w="959" w:type="dxa"/>
            <w:vMerge w:val="restart"/>
            <w:tcBorders>
              <w:top w:val="single" w:color="auto" w:sz="4" w:space="0"/>
              <w:left w:val="single" w:color="auto" w:sz="4" w:space="0"/>
              <w:right w:val="single" w:color="auto" w:sz="4" w:space="0"/>
            </w:tcBorders>
            <w:vAlign w:val="center"/>
          </w:tcPr>
          <w:p w14:paraId="4FAB26C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1559" w:type="dxa"/>
            <w:vMerge w:val="restart"/>
            <w:tcBorders>
              <w:top w:val="single" w:color="auto" w:sz="4" w:space="0"/>
              <w:left w:val="single" w:color="auto" w:sz="4" w:space="0"/>
              <w:right w:val="single" w:color="auto" w:sz="4" w:space="0"/>
            </w:tcBorders>
            <w:vAlign w:val="center"/>
          </w:tcPr>
          <w:p w14:paraId="6526D44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投标人确认收到招标文件修改</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DF89186">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时间：网站发布当日视为投标人确认收到</w:t>
            </w:r>
          </w:p>
        </w:tc>
      </w:tr>
      <w:tr w14:paraId="7B550B2E">
        <w:tblPrEx>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14:paraId="762DB667">
            <w:pPr>
              <w:spacing w:line="380" w:lineRule="exact"/>
              <w:jc w:val="center"/>
              <w:rPr>
                <w:rFonts w:hint="eastAsia" w:ascii="仿宋" w:hAnsi="仿宋" w:eastAsia="仿宋" w:cs="仿宋"/>
                <w:color w:val="auto"/>
                <w:szCs w:val="21"/>
                <w:highlight w:val="none"/>
              </w:rPr>
            </w:pPr>
          </w:p>
        </w:tc>
        <w:tc>
          <w:tcPr>
            <w:tcW w:w="1559" w:type="dxa"/>
            <w:vMerge w:val="continue"/>
            <w:tcBorders>
              <w:left w:val="single" w:color="auto" w:sz="4" w:space="0"/>
              <w:bottom w:val="single" w:color="auto" w:sz="4" w:space="0"/>
              <w:right w:val="single" w:color="auto" w:sz="4" w:space="0"/>
            </w:tcBorders>
            <w:vAlign w:val="center"/>
          </w:tcPr>
          <w:p w14:paraId="561F6355">
            <w:pPr>
              <w:spacing w:line="380" w:lineRule="exact"/>
              <w:jc w:val="center"/>
              <w:rPr>
                <w:rFonts w:hint="eastAsia" w:ascii="仿宋" w:hAnsi="仿宋" w:eastAsia="仿宋" w:cs="仿宋"/>
                <w:color w:val="auto"/>
                <w:szCs w:val="21"/>
                <w:highlight w:val="none"/>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0AB31E6">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形式：投标人自行到云浮市公共资源交易服务平台、广东省公共资源交易平台、广东省招标投标监管网下载</w:t>
            </w:r>
          </w:p>
        </w:tc>
      </w:tr>
      <w:tr w14:paraId="1608FD66">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6C9A8F2">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w:t>
            </w:r>
          </w:p>
        </w:tc>
        <w:tc>
          <w:tcPr>
            <w:tcW w:w="1559" w:type="dxa"/>
            <w:tcBorders>
              <w:top w:val="single" w:color="auto" w:sz="4" w:space="0"/>
              <w:left w:val="single" w:color="auto" w:sz="4" w:space="0"/>
              <w:bottom w:val="single" w:color="auto" w:sz="4" w:space="0"/>
              <w:right w:val="single" w:color="auto" w:sz="4" w:space="0"/>
            </w:tcBorders>
            <w:vAlign w:val="center"/>
          </w:tcPr>
          <w:p w14:paraId="4CF9473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构成投标文件的其他资料</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3A9AB777">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在投标截止时间前提交的修改文件，按评标委员会要求提交的澄清文件。</w:t>
            </w:r>
          </w:p>
        </w:tc>
      </w:tr>
      <w:tr w14:paraId="58478213">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189427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1559" w:type="dxa"/>
            <w:tcBorders>
              <w:top w:val="single" w:color="auto" w:sz="4" w:space="0"/>
              <w:left w:val="single" w:color="auto" w:sz="4" w:space="0"/>
              <w:bottom w:val="single" w:color="auto" w:sz="4" w:space="0"/>
              <w:right w:val="single" w:color="auto" w:sz="4" w:space="0"/>
            </w:tcBorders>
            <w:vAlign w:val="center"/>
          </w:tcPr>
          <w:p w14:paraId="059B9F8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增值税税金的计算方法</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792F0E58">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按国家的相关法律法规执行。</w:t>
            </w:r>
          </w:p>
        </w:tc>
      </w:tr>
      <w:tr w14:paraId="72B231EE">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26F5F2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w:t>
            </w:r>
          </w:p>
        </w:tc>
        <w:tc>
          <w:tcPr>
            <w:tcW w:w="1559" w:type="dxa"/>
            <w:tcBorders>
              <w:top w:val="single" w:color="auto" w:sz="4" w:space="0"/>
              <w:left w:val="single" w:color="auto" w:sz="4" w:space="0"/>
              <w:bottom w:val="single" w:color="auto" w:sz="4" w:space="0"/>
              <w:right w:val="single" w:color="auto" w:sz="4" w:space="0"/>
            </w:tcBorders>
            <w:vAlign w:val="center"/>
          </w:tcPr>
          <w:p w14:paraId="41A9184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最高投标限价</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2396225">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w:t>
            </w:r>
          </w:p>
          <w:p w14:paraId="71E8D644">
            <w:pPr>
              <w:spacing w:line="380" w:lineRule="exact"/>
              <w:rPr>
                <w:rFonts w:hint="eastAsia" w:ascii="仿宋" w:hAnsi="仿宋" w:eastAsia="仿宋" w:cs="仿宋"/>
                <w:bCs/>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有，最高投标限价：</w:t>
            </w:r>
            <w:r>
              <w:rPr>
                <w:rFonts w:hint="eastAsia" w:ascii="仿宋" w:hAnsi="仿宋" w:eastAsia="仿宋" w:cs="仿宋"/>
                <w:color w:val="auto"/>
                <w:szCs w:val="21"/>
                <w:highlight w:val="none"/>
                <w:lang w:val="en-US" w:eastAsia="zh-CN"/>
              </w:rPr>
              <w:t>900.00万元。（其中勘察费600.00万元，初步设计费300.00万元）</w:t>
            </w:r>
          </w:p>
        </w:tc>
      </w:tr>
      <w:tr w14:paraId="488CA619">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F17E26F">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1559" w:type="dxa"/>
            <w:tcBorders>
              <w:top w:val="single" w:color="auto" w:sz="4" w:space="0"/>
              <w:left w:val="single" w:color="auto" w:sz="4" w:space="0"/>
              <w:bottom w:val="single" w:color="auto" w:sz="4" w:space="0"/>
              <w:right w:val="single" w:color="auto" w:sz="4" w:space="0"/>
            </w:tcBorders>
            <w:vAlign w:val="center"/>
          </w:tcPr>
          <w:p w14:paraId="4216A45A">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78336A8F">
            <w:pPr>
              <w:spacing w:line="380" w:lineRule="exact"/>
              <w:jc w:val="left"/>
              <w:rPr>
                <w:rFonts w:hint="eastAsia" w:ascii="仿宋" w:hAnsi="仿宋" w:eastAsia="仿宋" w:cs="仿宋"/>
                <w:color w:val="auto"/>
                <w:szCs w:val="21"/>
                <w:highlight w:val="none"/>
              </w:rPr>
            </w:pPr>
            <w:bookmarkStart w:id="7" w:name="_Toc384308207"/>
            <w:bookmarkStart w:id="8" w:name="_Toc352691470"/>
            <w:bookmarkStart w:id="9" w:name="_Toc1789"/>
            <w:bookmarkStart w:id="10" w:name="_Toc300834946"/>
            <w:bookmarkStart w:id="11" w:name="_Toc369531512"/>
            <w:bookmarkStart w:id="12" w:name="_Toc361508582"/>
            <w:r>
              <w:rPr>
                <w:rFonts w:hint="eastAsia" w:ascii="仿宋" w:hAnsi="仿宋" w:eastAsia="仿宋" w:cs="仿宋"/>
                <w:color w:val="auto"/>
                <w:szCs w:val="21"/>
                <w:highlight w:val="none"/>
              </w:rPr>
              <w:t>90日历天（从投标截止之日算起）</w:t>
            </w:r>
          </w:p>
        </w:tc>
      </w:tr>
      <w:bookmarkEnd w:id="7"/>
      <w:bookmarkEnd w:id="8"/>
      <w:bookmarkEnd w:id="9"/>
      <w:bookmarkEnd w:id="10"/>
      <w:bookmarkEnd w:id="11"/>
      <w:bookmarkEnd w:id="12"/>
      <w:tr w14:paraId="459A0DE8">
        <w:tblPrEx>
          <w:tblCellMar>
            <w:top w:w="0" w:type="dxa"/>
            <w:left w:w="108" w:type="dxa"/>
            <w:bottom w:w="0" w:type="dxa"/>
            <w:right w:w="108" w:type="dxa"/>
          </w:tblCellMar>
        </w:tblPrEx>
        <w:trPr>
          <w:trHeight w:val="906" w:hRule="atLeast"/>
        </w:trPr>
        <w:tc>
          <w:tcPr>
            <w:tcW w:w="959" w:type="dxa"/>
            <w:tcBorders>
              <w:top w:val="single" w:color="auto" w:sz="4" w:space="0"/>
              <w:left w:val="single" w:color="auto" w:sz="4" w:space="0"/>
              <w:bottom w:val="single" w:color="auto" w:sz="4" w:space="0"/>
              <w:right w:val="single" w:color="auto" w:sz="4" w:space="0"/>
            </w:tcBorders>
            <w:vAlign w:val="center"/>
          </w:tcPr>
          <w:p w14:paraId="46B9F758">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3.4.1</w:t>
            </w:r>
          </w:p>
        </w:tc>
        <w:tc>
          <w:tcPr>
            <w:tcW w:w="1559" w:type="dxa"/>
            <w:tcBorders>
              <w:top w:val="single" w:color="auto" w:sz="4" w:space="0"/>
              <w:left w:val="single" w:color="auto" w:sz="4" w:space="0"/>
              <w:bottom w:val="single" w:color="auto" w:sz="4" w:space="0"/>
              <w:right w:val="single" w:color="auto" w:sz="4" w:space="0"/>
            </w:tcBorders>
            <w:vAlign w:val="center"/>
          </w:tcPr>
          <w:p w14:paraId="1A862EA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E060B9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投标保证金缴纳形式及金额：</w:t>
            </w:r>
          </w:p>
          <w:p w14:paraId="3819AB6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1、投标担保金额：</w:t>
            </w:r>
            <w:r>
              <w:rPr>
                <w:rFonts w:hint="eastAsia" w:ascii="仿宋" w:hAnsi="仿宋" w:eastAsia="仿宋" w:cs="仿宋"/>
                <w:b/>
                <w:color w:val="auto"/>
                <w:szCs w:val="21"/>
                <w:highlight w:val="none"/>
              </w:rPr>
              <w:t>人民币</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u w:val="single"/>
                <w:lang w:val="en-US" w:eastAsia="zh-CN"/>
              </w:rPr>
              <w:t>100000.00</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元（大写：</w:t>
            </w:r>
            <w:r>
              <w:rPr>
                <w:rFonts w:hint="eastAsia" w:ascii="仿宋" w:hAnsi="仿宋" w:eastAsia="仿宋" w:cs="仿宋"/>
                <w:b/>
                <w:color w:val="auto"/>
                <w:szCs w:val="21"/>
                <w:highlight w:val="none"/>
                <w:u w:val="single"/>
                <w:lang w:val="en-US" w:eastAsia="zh-CN"/>
              </w:rPr>
              <w:t>拾万元整</w:t>
            </w: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w:t>
            </w:r>
          </w:p>
          <w:p w14:paraId="442E6236">
            <w:pPr>
              <w:spacing w:line="3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2、缴纳时间：</w:t>
            </w:r>
            <w:r>
              <w:rPr>
                <w:rFonts w:hint="eastAsia" w:ascii="仿宋" w:hAnsi="仿宋" w:eastAsia="仿宋" w:cs="仿宋"/>
                <w:b/>
                <w:color w:val="auto"/>
                <w:szCs w:val="21"/>
                <w:highlight w:val="none"/>
                <w:u w:val="single"/>
              </w:rPr>
              <w:t xml:space="preserve">     年   月   日   时   分前（以到账时间/出函时间为准）</w:t>
            </w:r>
            <w:r>
              <w:rPr>
                <w:rFonts w:hint="eastAsia" w:ascii="仿宋" w:hAnsi="仿宋" w:eastAsia="仿宋" w:cs="仿宋"/>
                <w:color w:val="auto"/>
                <w:szCs w:val="21"/>
                <w:highlight w:val="none"/>
              </w:rPr>
              <w:t>。</w:t>
            </w:r>
          </w:p>
          <w:p w14:paraId="7342E161">
            <w:pPr>
              <w:spacing w:line="380" w:lineRule="exact"/>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3.缴纳方式：</w:t>
            </w:r>
          </w:p>
          <w:p w14:paraId="51AF37F7">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投标保证金可采用现金、支票、投标保函、投标保证保险等符合政策规定的形式，须在递交投标文件截止时间前完成缴纳。</w:t>
            </w:r>
          </w:p>
          <w:p w14:paraId="323C1D2E">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如采用现金、支票、银行转账形式提交的，投标保证金从投标人基本账户递交，由中心代收。具体操作要求详见广州交易集团有限公司（广州公共资源交易中心）网站有关指引，递交事宜请自行咨询广州交易集团有限公司；请各投标人在投标文件递交截止时间前按上述金额递交至广州交易集团有限公司，到账情况以开标时广州交易集团有限公司（广州公共资源交易中心）数据库査询的信息为准。</w:t>
            </w:r>
          </w:p>
          <w:p w14:paraId="039E021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投标人需在交易系统中将汇入投标保证金与投标项目进行绑定，绑定成功后才能被认定为完成缴交投标保证金。</w:t>
            </w:r>
          </w:p>
          <w:p w14:paraId="4BAFCB1E">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如采用银行保函、专业工程担保公司担保或保证保险的形式提交投标保证金的，银行保函或保证保险或专业担保公司担保需开具给招标人（受益人也必须是招标人）。在开标前不强制要求提交纸质原件，由中标候选人在中标候选人公示前提交，但投标人应在投标文件中提交银行保函、专业工程担保公司担保或保证保险的扫描件并加盖投标人电子印章。如投标人选择在开标前提交纸质原件的，可在投标截止时间前15分钟单独密封递交至开标室。</w:t>
            </w:r>
          </w:p>
          <w:p w14:paraId="79A3C40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如采用电子形式的保函、担保或保证保险提交投标保证金，详见广州交易集团有限公司（广州公共资源交易中心）网站操作指引。到账情况以开标时广州交易集团有限公司（广州公共资源交易中心）网站数据库查询信息为准。</w:t>
            </w:r>
          </w:p>
          <w:p w14:paraId="39D0A63D">
            <w:pPr>
              <w:spacing w:line="38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 ：联合体参加投标的， 由牵头人缴纳投标保证金。</w:t>
            </w:r>
          </w:p>
          <w:p w14:paraId="306A2AFF">
            <w:pPr>
              <w:spacing w:line="38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rPr>
              <w:t>、根据《云浮市建筑市场信用管理办法》（云建通[2021]15号文）规定，投标人（联合体投标的为牵头人）获得云浮市建筑市场主体信用评价AAA级的不需缴纳投标保证金。</w:t>
            </w:r>
          </w:p>
        </w:tc>
      </w:tr>
      <w:tr w14:paraId="400D10DB">
        <w:tblPrEx>
          <w:tblCellMar>
            <w:top w:w="0" w:type="dxa"/>
            <w:left w:w="108" w:type="dxa"/>
            <w:bottom w:w="0" w:type="dxa"/>
            <w:right w:w="108" w:type="dxa"/>
          </w:tblCellMar>
        </w:tblPrEx>
        <w:trPr>
          <w:trHeight w:val="906" w:hRule="atLeast"/>
        </w:trPr>
        <w:tc>
          <w:tcPr>
            <w:tcW w:w="959" w:type="dxa"/>
            <w:tcBorders>
              <w:top w:val="single" w:color="auto" w:sz="4" w:space="0"/>
              <w:left w:val="single" w:color="auto" w:sz="4" w:space="0"/>
              <w:bottom w:val="single" w:color="auto" w:sz="4" w:space="0"/>
              <w:right w:val="single" w:color="auto" w:sz="4" w:space="0"/>
            </w:tcBorders>
            <w:vAlign w:val="center"/>
          </w:tcPr>
          <w:p w14:paraId="1649295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w:t>
            </w:r>
          </w:p>
        </w:tc>
        <w:tc>
          <w:tcPr>
            <w:tcW w:w="1559" w:type="dxa"/>
            <w:tcBorders>
              <w:top w:val="single" w:color="auto" w:sz="4" w:space="0"/>
              <w:left w:val="single" w:color="auto" w:sz="4" w:space="0"/>
              <w:bottom w:val="single" w:color="auto" w:sz="4" w:space="0"/>
              <w:right w:val="single" w:color="auto" w:sz="4" w:space="0"/>
            </w:tcBorders>
            <w:vAlign w:val="center"/>
          </w:tcPr>
          <w:p w14:paraId="4A687A7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其他可以不予退还投标保证金的情形</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11E8B68">
            <w:pPr>
              <w:spacing w:line="38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w:t>
            </w:r>
          </w:p>
        </w:tc>
      </w:tr>
      <w:tr w14:paraId="068416D4">
        <w:tblPrEx>
          <w:tblCellMar>
            <w:top w:w="0" w:type="dxa"/>
            <w:left w:w="108" w:type="dxa"/>
            <w:bottom w:w="0" w:type="dxa"/>
            <w:right w:w="108" w:type="dxa"/>
          </w:tblCellMar>
        </w:tblPrEx>
        <w:trPr>
          <w:trHeight w:val="906" w:hRule="atLeast"/>
        </w:trPr>
        <w:tc>
          <w:tcPr>
            <w:tcW w:w="959" w:type="dxa"/>
            <w:tcBorders>
              <w:top w:val="single" w:color="auto" w:sz="4" w:space="0"/>
              <w:left w:val="single" w:color="auto" w:sz="4" w:space="0"/>
              <w:bottom w:val="single" w:color="auto" w:sz="4" w:space="0"/>
              <w:right w:val="single" w:color="auto" w:sz="4" w:space="0"/>
            </w:tcBorders>
            <w:vAlign w:val="center"/>
          </w:tcPr>
          <w:p w14:paraId="35966F1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3.5.1</w:t>
            </w:r>
          </w:p>
        </w:tc>
        <w:tc>
          <w:tcPr>
            <w:tcW w:w="1559" w:type="dxa"/>
            <w:tcBorders>
              <w:top w:val="single" w:color="auto" w:sz="4" w:space="0"/>
              <w:left w:val="single" w:color="auto" w:sz="4" w:space="0"/>
              <w:bottom w:val="single" w:color="auto" w:sz="4" w:space="0"/>
              <w:right w:val="single" w:color="auto" w:sz="4" w:space="0"/>
            </w:tcBorders>
            <w:vAlign w:val="center"/>
          </w:tcPr>
          <w:p w14:paraId="336E27CC">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资格审查资料的特殊要求</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71FBE46">
            <w:pPr>
              <w:pStyle w:val="17"/>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无</w:t>
            </w:r>
          </w:p>
          <w:p w14:paraId="31031458">
            <w:pPr>
              <w:pStyle w:val="17"/>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□有，具体要求：</w:t>
            </w:r>
          </w:p>
        </w:tc>
      </w:tr>
      <w:tr w14:paraId="630EBCA2">
        <w:tblPrEx>
          <w:tblCellMar>
            <w:top w:w="0" w:type="dxa"/>
            <w:left w:w="108" w:type="dxa"/>
            <w:bottom w:w="0" w:type="dxa"/>
            <w:right w:w="108" w:type="dxa"/>
          </w:tblCellMar>
        </w:tblPrEx>
        <w:trPr>
          <w:trHeight w:val="906" w:hRule="atLeast"/>
        </w:trPr>
        <w:tc>
          <w:tcPr>
            <w:tcW w:w="959" w:type="dxa"/>
            <w:tcBorders>
              <w:top w:val="single" w:color="auto" w:sz="4" w:space="0"/>
              <w:left w:val="single" w:color="auto" w:sz="4" w:space="0"/>
              <w:bottom w:val="single" w:color="auto" w:sz="4" w:space="0"/>
              <w:right w:val="single" w:color="auto" w:sz="4" w:space="0"/>
            </w:tcBorders>
            <w:vAlign w:val="center"/>
          </w:tcPr>
          <w:p w14:paraId="3D8447A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3.5.2</w:t>
            </w:r>
          </w:p>
        </w:tc>
        <w:tc>
          <w:tcPr>
            <w:tcW w:w="1559" w:type="dxa"/>
            <w:tcBorders>
              <w:top w:val="single" w:color="auto" w:sz="4" w:space="0"/>
              <w:left w:val="single" w:color="auto" w:sz="4" w:space="0"/>
              <w:bottom w:val="single" w:color="auto" w:sz="4" w:space="0"/>
              <w:right w:val="single" w:color="auto" w:sz="4" w:space="0"/>
            </w:tcBorders>
            <w:vAlign w:val="center"/>
          </w:tcPr>
          <w:p w14:paraId="0CBD9FB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近年财务状况的年份要求</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A14F739">
            <w:pPr>
              <w:spacing w:line="380" w:lineRule="exact"/>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lang w:val="en-US" w:eastAsia="zh-CN"/>
              </w:rPr>
              <w:t>/</w:t>
            </w:r>
          </w:p>
        </w:tc>
      </w:tr>
      <w:tr w14:paraId="4DB3A635">
        <w:tblPrEx>
          <w:tblCellMar>
            <w:top w:w="0" w:type="dxa"/>
            <w:left w:w="108" w:type="dxa"/>
            <w:bottom w:w="0" w:type="dxa"/>
            <w:right w:w="108" w:type="dxa"/>
          </w:tblCellMar>
        </w:tblPrEx>
        <w:trPr>
          <w:trHeight w:val="906" w:hRule="atLeast"/>
        </w:trPr>
        <w:tc>
          <w:tcPr>
            <w:tcW w:w="959" w:type="dxa"/>
            <w:tcBorders>
              <w:top w:val="single" w:color="auto" w:sz="4" w:space="0"/>
              <w:left w:val="single" w:color="auto" w:sz="4" w:space="0"/>
              <w:bottom w:val="single" w:color="auto" w:sz="4" w:space="0"/>
              <w:right w:val="single" w:color="auto" w:sz="4" w:space="0"/>
            </w:tcBorders>
            <w:vAlign w:val="center"/>
          </w:tcPr>
          <w:p w14:paraId="5B5118F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3.5.3</w:t>
            </w:r>
          </w:p>
        </w:tc>
        <w:tc>
          <w:tcPr>
            <w:tcW w:w="1559" w:type="dxa"/>
            <w:tcBorders>
              <w:top w:val="single" w:color="auto" w:sz="4" w:space="0"/>
              <w:left w:val="single" w:color="auto" w:sz="4" w:space="0"/>
              <w:bottom w:val="single" w:color="auto" w:sz="4" w:space="0"/>
              <w:right w:val="single" w:color="auto" w:sz="4" w:space="0"/>
            </w:tcBorders>
            <w:vAlign w:val="center"/>
          </w:tcPr>
          <w:p w14:paraId="5C2344F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近年完成的类似项目情况的时间要求</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3B1BFC2">
            <w:pPr>
              <w:spacing w:line="380" w:lineRule="exact"/>
              <w:ind w:firstLine="105" w:firstLineChars="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u w:val="single"/>
                <w:lang w:val="en-US" w:eastAsia="zh-CN"/>
              </w:rPr>
              <w:t>/</w:t>
            </w:r>
          </w:p>
        </w:tc>
      </w:tr>
      <w:tr w14:paraId="441B4129">
        <w:tblPrEx>
          <w:tblCellMar>
            <w:top w:w="0" w:type="dxa"/>
            <w:left w:w="108" w:type="dxa"/>
            <w:bottom w:w="0" w:type="dxa"/>
            <w:right w:w="108" w:type="dxa"/>
          </w:tblCellMar>
        </w:tblPrEx>
        <w:trPr>
          <w:trHeight w:val="906" w:hRule="atLeast"/>
        </w:trPr>
        <w:tc>
          <w:tcPr>
            <w:tcW w:w="959" w:type="dxa"/>
            <w:tcBorders>
              <w:top w:val="single" w:color="auto" w:sz="4" w:space="0"/>
              <w:left w:val="single" w:color="auto" w:sz="4" w:space="0"/>
              <w:bottom w:val="single" w:color="auto" w:sz="4" w:space="0"/>
              <w:right w:val="single" w:color="auto" w:sz="4" w:space="0"/>
            </w:tcBorders>
            <w:vAlign w:val="center"/>
          </w:tcPr>
          <w:p w14:paraId="1D440EB8">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3.5.4</w:t>
            </w:r>
          </w:p>
        </w:tc>
        <w:tc>
          <w:tcPr>
            <w:tcW w:w="1559" w:type="dxa"/>
            <w:tcBorders>
              <w:top w:val="single" w:color="auto" w:sz="4" w:space="0"/>
              <w:left w:val="single" w:color="auto" w:sz="4" w:space="0"/>
              <w:bottom w:val="single" w:color="auto" w:sz="4" w:space="0"/>
              <w:right w:val="single" w:color="auto" w:sz="4" w:space="0"/>
            </w:tcBorders>
            <w:vAlign w:val="center"/>
          </w:tcPr>
          <w:p w14:paraId="6E91D86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近年发生的诉讼及仲裁情况的时间要求</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0B3F3AA">
            <w:pPr>
              <w:spacing w:line="380" w:lineRule="exact"/>
              <w:ind w:firstLine="105" w:firstLineChars="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u w:val="single"/>
                <w:lang w:val="en-US" w:eastAsia="zh-CN"/>
              </w:rPr>
              <w:t>/</w:t>
            </w:r>
          </w:p>
        </w:tc>
      </w:tr>
      <w:tr w14:paraId="302ED75C">
        <w:tblPrEx>
          <w:tblCellMar>
            <w:top w:w="0" w:type="dxa"/>
            <w:left w:w="108" w:type="dxa"/>
            <w:bottom w:w="0" w:type="dxa"/>
            <w:right w:w="108" w:type="dxa"/>
          </w:tblCellMar>
        </w:tblPrEx>
        <w:trPr>
          <w:trHeight w:val="906" w:hRule="atLeast"/>
        </w:trPr>
        <w:tc>
          <w:tcPr>
            <w:tcW w:w="959" w:type="dxa"/>
            <w:tcBorders>
              <w:top w:val="single" w:color="auto" w:sz="4" w:space="0"/>
              <w:left w:val="single" w:color="auto" w:sz="4" w:space="0"/>
              <w:bottom w:val="single" w:color="auto" w:sz="4" w:space="0"/>
              <w:right w:val="single" w:color="auto" w:sz="4" w:space="0"/>
            </w:tcBorders>
            <w:vAlign w:val="center"/>
          </w:tcPr>
          <w:p w14:paraId="7CD3431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3.6.1</w:t>
            </w:r>
          </w:p>
        </w:tc>
        <w:tc>
          <w:tcPr>
            <w:tcW w:w="1559" w:type="dxa"/>
            <w:tcBorders>
              <w:top w:val="single" w:color="auto" w:sz="4" w:space="0"/>
              <w:left w:val="single" w:color="auto" w:sz="4" w:space="0"/>
              <w:bottom w:val="single" w:color="auto" w:sz="4" w:space="0"/>
              <w:right w:val="single" w:color="auto" w:sz="4" w:space="0"/>
            </w:tcBorders>
            <w:vAlign w:val="center"/>
          </w:tcPr>
          <w:p w14:paraId="0C1C980C">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是否允许递交备选投标方案</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49A2C25">
            <w:pPr>
              <w:pStyle w:val="17"/>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不允许</w:t>
            </w:r>
          </w:p>
          <w:p w14:paraId="1FA4E7E1">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w:t>
            </w:r>
          </w:p>
        </w:tc>
      </w:tr>
      <w:tr w14:paraId="4AB731F7">
        <w:tblPrEx>
          <w:tblCellMar>
            <w:top w:w="0" w:type="dxa"/>
            <w:left w:w="108" w:type="dxa"/>
            <w:bottom w:w="0" w:type="dxa"/>
            <w:right w:w="108" w:type="dxa"/>
          </w:tblCellMar>
        </w:tblPrEx>
        <w:trPr>
          <w:trHeight w:val="906" w:hRule="atLeast"/>
        </w:trPr>
        <w:tc>
          <w:tcPr>
            <w:tcW w:w="959" w:type="dxa"/>
            <w:tcBorders>
              <w:top w:val="single" w:color="auto" w:sz="4" w:space="0"/>
              <w:left w:val="single" w:color="auto" w:sz="4" w:space="0"/>
              <w:bottom w:val="single" w:color="auto" w:sz="4" w:space="0"/>
              <w:right w:val="single" w:color="auto" w:sz="4" w:space="0"/>
            </w:tcBorders>
            <w:vAlign w:val="center"/>
          </w:tcPr>
          <w:p w14:paraId="7EA70FC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3.7.3</w:t>
            </w:r>
          </w:p>
        </w:tc>
        <w:tc>
          <w:tcPr>
            <w:tcW w:w="1559" w:type="dxa"/>
            <w:tcBorders>
              <w:top w:val="single" w:color="auto" w:sz="4" w:space="0"/>
              <w:left w:val="single" w:color="auto" w:sz="4" w:space="0"/>
              <w:bottom w:val="single" w:color="auto" w:sz="4" w:space="0"/>
              <w:right w:val="single" w:color="auto" w:sz="4" w:space="0"/>
            </w:tcBorders>
            <w:vAlign w:val="center"/>
          </w:tcPr>
          <w:p w14:paraId="5E68DBA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投标文件签字或盖章要求</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9C7B57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1、投标文件内容应按招标文件的格式本身要求签名盖章，否则按无效投标处理。</w:t>
            </w:r>
          </w:p>
          <w:p w14:paraId="5AE5735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2、投标文件应尽量避免涂改、行间插字或删除。如果出现上述情况，改动之处应加盖投标人单位公章或由投标人的法定代表人或其授权的代理人签字确认。</w:t>
            </w:r>
          </w:p>
        </w:tc>
      </w:tr>
      <w:tr w14:paraId="10CC0490">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6E2C568">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3.7.4</w:t>
            </w:r>
          </w:p>
        </w:tc>
        <w:tc>
          <w:tcPr>
            <w:tcW w:w="1559" w:type="dxa"/>
            <w:tcBorders>
              <w:top w:val="single" w:color="auto" w:sz="4" w:space="0"/>
              <w:left w:val="single" w:color="auto" w:sz="4" w:space="0"/>
              <w:bottom w:val="single" w:color="auto" w:sz="4" w:space="0"/>
              <w:right w:val="single" w:color="auto" w:sz="4" w:space="0"/>
            </w:tcBorders>
            <w:vAlign w:val="center"/>
          </w:tcPr>
          <w:p w14:paraId="77B683F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投标文件及其他要求</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A1CF021">
            <w:pPr>
              <w:numPr>
                <w:ilvl w:val="0"/>
                <w:numId w:val="0"/>
              </w:numPr>
              <w:spacing w:line="380" w:lineRule="exact"/>
              <w:ind w:firstLine="210" w:firstLineChars="1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1、投标文件全部采用电子文档，投标人在投标截止时间前在广州交易集团有限公司（广州公共资源交易中心）平台有效上传提交电子投标文件，并验证CA密码之后对投标文件进行加密。</w:t>
            </w:r>
          </w:p>
          <w:p w14:paraId="2A45D6BF">
            <w:pPr>
              <w:numPr>
                <w:ilvl w:val="0"/>
                <w:numId w:val="0"/>
              </w:numPr>
              <w:spacing w:line="380" w:lineRule="exact"/>
              <w:ind w:firstLine="210" w:firstLineChars="1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非加密电子投标文件：递交投标文件备用光盘（1份）时间：在投标文件截止时间前30分钟至投标文件截止时间；递交地点：广州交易集团有限公司（广州公共资源交易中心）。(建议安排在投标文件截止时间前15分钟至投标文件截止时间）电子开标按照招标文件确定的时间进行开标，所有投标人均应当准时参加开标。不参加开标会议，致使其投标文件无法正常解密的，视为投标人撤销其投标文件和放弃投标文件解密失败补救权利。</w:t>
            </w:r>
          </w:p>
          <w:p w14:paraId="6A73F4E4">
            <w:pPr>
              <w:numPr>
                <w:ilvl w:val="0"/>
                <w:numId w:val="0"/>
              </w:numPr>
              <w:spacing w:line="3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各投标人对其提供的非加密投标文件与投标截止时间前提交加密投标文件一致性、真实性、有效性、合法性负责，并无条件认可和接受非加密投标文件的全部内容。</w:t>
            </w:r>
          </w:p>
          <w:p w14:paraId="519DF0A5">
            <w:pPr>
              <w:numPr>
                <w:ilvl w:val="0"/>
                <w:numId w:val="0"/>
              </w:numPr>
              <w:spacing w:line="3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其他要求：</w:t>
            </w:r>
          </w:p>
          <w:p w14:paraId="368FD675">
            <w:pPr>
              <w:numPr>
                <w:ilvl w:val="0"/>
                <w:numId w:val="0"/>
              </w:numPr>
              <w:spacing w:line="3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（1）投标人应当按照招标文件的要求编制并加密投标文件。投标人未按规定加密的投标文件，广州交易集团有限公司（广州公共资源交易中心）平台予以拒收。</w:t>
            </w:r>
          </w:p>
          <w:p w14:paraId="5D209E2C">
            <w:pPr>
              <w:numPr>
                <w:ilvl w:val="0"/>
                <w:numId w:val="0"/>
              </w:numPr>
              <w:spacing w:line="3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14:paraId="10513D90">
            <w:pPr>
              <w:numPr>
                <w:ilvl w:val="0"/>
                <w:numId w:val="0"/>
              </w:numPr>
              <w:spacing w:line="3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投标人应当在投标截止时间前完成上传、补充、修改或者撤回投标文件。投标截止时间前未完成上传投标文件的，视为撤回投标文件。投标截止时间后广州交易集团有限公司（广州公共资源交易中心）平台拒收投标文件。</w:t>
            </w:r>
          </w:p>
          <w:p w14:paraId="4D569D98">
            <w:pPr>
              <w:numPr>
                <w:ilvl w:val="0"/>
                <w:numId w:val="0"/>
              </w:numPr>
              <w:spacing w:line="3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根据中华人民共和国国家发展和改革委员会令第10号《招标公告和公示信息发布管理办法》、广东省住房和城乡建设厅广东省发展和改革委员会印发《广东省住房和城乡建设厅广东省发展改革委关于房屋建筑和市政基础设施工程建设项目招标投标全过程信息公开的管理规定》的通知、关于印发《广东省工程建设项目招标投标信息公开目录》的通知粤发改稽察〔2018〕442号等文件规定，本项目将公示中标候选人的投标文件。</w:t>
            </w:r>
          </w:p>
        </w:tc>
      </w:tr>
      <w:tr w14:paraId="0EE8C51F">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D74078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4.1.1</w:t>
            </w:r>
          </w:p>
        </w:tc>
        <w:tc>
          <w:tcPr>
            <w:tcW w:w="1559" w:type="dxa"/>
            <w:tcBorders>
              <w:top w:val="single" w:color="auto" w:sz="4" w:space="0"/>
              <w:left w:val="single" w:color="auto" w:sz="4" w:space="0"/>
              <w:bottom w:val="single" w:color="auto" w:sz="4" w:space="0"/>
              <w:right w:val="single" w:color="auto" w:sz="4" w:space="0"/>
            </w:tcBorders>
            <w:vAlign w:val="center"/>
          </w:tcPr>
          <w:p w14:paraId="706915FA">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投标文件加密要求</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1ADA5BC">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1、网上递交的电子投标文件须进行加密。具体操作详见广州交易集团有限公司（广州公共资源交易中心）平台自动提取所相关操作指南。</w:t>
            </w:r>
          </w:p>
          <w:p w14:paraId="6D98EA61">
            <w:pPr>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2、未按要求加密的投标文件，招标人将予以拒收。</w:t>
            </w:r>
          </w:p>
        </w:tc>
      </w:tr>
      <w:tr w14:paraId="6D1DD1CF">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03806C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4.2.1</w:t>
            </w:r>
          </w:p>
        </w:tc>
        <w:tc>
          <w:tcPr>
            <w:tcW w:w="1559" w:type="dxa"/>
            <w:tcBorders>
              <w:top w:val="single" w:color="auto" w:sz="4" w:space="0"/>
              <w:left w:val="single" w:color="auto" w:sz="4" w:space="0"/>
              <w:bottom w:val="single" w:color="auto" w:sz="4" w:space="0"/>
              <w:right w:val="single" w:color="auto" w:sz="4" w:space="0"/>
            </w:tcBorders>
            <w:vAlign w:val="center"/>
          </w:tcPr>
          <w:p w14:paraId="5CF6960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投标截止时间</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3EF1F678">
            <w:pPr>
              <w:spacing w:line="380" w:lineRule="exact"/>
              <w:ind w:firstLine="840" w:firstLineChars="4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年   月   日    时   分</w:t>
            </w:r>
            <w:r>
              <w:rPr>
                <w:rFonts w:hint="eastAsia" w:ascii="仿宋" w:hAnsi="仿宋" w:eastAsia="仿宋" w:cs="仿宋"/>
                <w:bCs/>
                <w:color w:val="auto"/>
                <w:szCs w:val="21"/>
                <w:highlight w:val="none"/>
                <w:lang w:eastAsia="zh-CN"/>
              </w:rPr>
              <w:t>，本项目日程安排及地点信息可在广州公共资源交易中心网站进行查询。</w:t>
            </w:r>
          </w:p>
        </w:tc>
      </w:tr>
      <w:tr w14:paraId="33EC68B8">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B29C29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4.2.2</w:t>
            </w:r>
          </w:p>
        </w:tc>
        <w:tc>
          <w:tcPr>
            <w:tcW w:w="1559" w:type="dxa"/>
            <w:tcBorders>
              <w:top w:val="single" w:color="auto" w:sz="4" w:space="0"/>
              <w:left w:val="single" w:color="auto" w:sz="4" w:space="0"/>
              <w:bottom w:val="single" w:color="auto" w:sz="4" w:space="0"/>
              <w:right w:val="single" w:color="auto" w:sz="4" w:space="0"/>
            </w:tcBorders>
            <w:vAlign w:val="center"/>
          </w:tcPr>
          <w:p w14:paraId="0476638D">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递交投标文件地点</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B0E89D7">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电子投标文件的递交：通过广州交易集团有限公司（广州公共资源交易中心）平台递交电子投标文件。</w:t>
            </w:r>
          </w:p>
        </w:tc>
      </w:tr>
      <w:tr w14:paraId="277C4AD0">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CD0172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4.2.3</w:t>
            </w:r>
          </w:p>
        </w:tc>
        <w:tc>
          <w:tcPr>
            <w:tcW w:w="1559" w:type="dxa"/>
            <w:tcBorders>
              <w:top w:val="single" w:color="auto" w:sz="4" w:space="0"/>
              <w:left w:val="single" w:color="auto" w:sz="4" w:space="0"/>
              <w:bottom w:val="single" w:color="auto" w:sz="4" w:space="0"/>
              <w:right w:val="single" w:color="auto" w:sz="4" w:space="0"/>
            </w:tcBorders>
            <w:vAlign w:val="center"/>
          </w:tcPr>
          <w:p w14:paraId="21DBB84A">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投标文件是否退还</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5DD5335B">
            <w:pPr>
              <w:pStyle w:val="17"/>
              <w:topLinePunct/>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否</w:t>
            </w:r>
          </w:p>
          <w:p w14:paraId="52534878">
            <w:pPr>
              <w:pStyle w:val="17"/>
              <w:topLinePunct/>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□是，退还时间：</w:t>
            </w:r>
          </w:p>
        </w:tc>
      </w:tr>
      <w:tr w14:paraId="5DFFED7D">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4BB04B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4.2.4</w:t>
            </w:r>
          </w:p>
        </w:tc>
        <w:tc>
          <w:tcPr>
            <w:tcW w:w="1559" w:type="dxa"/>
            <w:tcBorders>
              <w:top w:val="single" w:color="auto" w:sz="4" w:space="0"/>
              <w:left w:val="single" w:color="auto" w:sz="4" w:space="0"/>
              <w:bottom w:val="single" w:color="auto" w:sz="4" w:space="0"/>
              <w:right w:val="single" w:color="auto" w:sz="4" w:space="0"/>
            </w:tcBorders>
            <w:vAlign w:val="center"/>
          </w:tcPr>
          <w:p w14:paraId="137E979D">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电子投标文件的解密</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2EC3416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广州交易集团有限公司（广州公共资源交易中心）平台自动提取所有投标文件，投标人对在投标截止时间前成功提交的投标文件按时在线解密【需用单位的CA锁（或粤企签）进行在线解密】，在线解密须在【30】分钟内完成，限时未完成解密的，作解密失败处理。</w:t>
            </w:r>
          </w:p>
        </w:tc>
      </w:tr>
      <w:tr w14:paraId="6862AEFB">
        <w:tblPrEx>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nil"/>
              <w:right w:val="single" w:color="auto" w:sz="4" w:space="0"/>
            </w:tcBorders>
            <w:vAlign w:val="center"/>
          </w:tcPr>
          <w:p w14:paraId="0F1CC1B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559" w:type="dxa"/>
            <w:tcBorders>
              <w:top w:val="single" w:color="auto" w:sz="4" w:space="0"/>
              <w:left w:val="single" w:color="auto" w:sz="4" w:space="0"/>
              <w:bottom w:val="nil"/>
              <w:right w:val="single" w:color="auto" w:sz="4" w:space="0"/>
            </w:tcBorders>
            <w:vAlign w:val="center"/>
          </w:tcPr>
          <w:p w14:paraId="46CAB39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开标时间和地点</w:t>
            </w:r>
          </w:p>
        </w:tc>
        <w:tc>
          <w:tcPr>
            <w:tcW w:w="7088" w:type="dxa"/>
            <w:gridSpan w:val="2"/>
            <w:tcBorders>
              <w:top w:val="single" w:color="auto" w:sz="4" w:space="0"/>
              <w:left w:val="single" w:color="auto" w:sz="4" w:space="0"/>
              <w:bottom w:val="nil"/>
              <w:right w:val="single" w:color="auto" w:sz="4" w:space="0"/>
            </w:tcBorders>
            <w:vAlign w:val="center"/>
          </w:tcPr>
          <w:p w14:paraId="008D5CA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开标时间：与投标截止时间一致</w:t>
            </w:r>
          </w:p>
          <w:p w14:paraId="2629F272">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开标地点：广州交易集团有限公司（广州公共资源交易中心）平台（线上开标）</w:t>
            </w:r>
            <w:r>
              <w:rPr>
                <w:rFonts w:hint="eastAsia" w:ascii="仿宋" w:hAnsi="仿宋" w:eastAsia="仿宋" w:cs="仿宋"/>
                <w:color w:val="auto"/>
                <w:szCs w:val="21"/>
                <w:highlight w:val="none"/>
                <w:lang w:eastAsia="zh-CN"/>
              </w:rPr>
              <w:t>。</w:t>
            </w:r>
          </w:p>
        </w:tc>
      </w:tr>
      <w:tr w14:paraId="72194771">
        <w:tblPrEx>
          <w:tblCellMar>
            <w:top w:w="0" w:type="dxa"/>
            <w:left w:w="108" w:type="dxa"/>
            <w:bottom w:w="0" w:type="dxa"/>
            <w:right w:w="108" w:type="dxa"/>
          </w:tblCellMar>
        </w:tblPrEx>
        <w:trPr>
          <w:trHeight w:val="562" w:hRule="atLeast"/>
        </w:trPr>
        <w:tc>
          <w:tcPr>
            <w:tcW w:w="959" w:type="dxa"/>
            <w:tcBorders>
              <w:top w:val="single" w:color="auto" w:sz="4" w:space="0"/>
              <w:left w:val="single" w:color="auto" w:sz="4" w:space="0"/>
              <w:bottom w:val="nil"/>
              <w:right w:val="single" w:color="auto" w:sz="4" w:space="0"/>
            </w:tcBorders>
            <w:vAlign w:val="center"/>
          </w:tcPr>
          <w:p w14:paraId="5CF8EC88">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1559" w:type="dxa"/>
            <w:tcBorders>
              <w:top w:val="single" w:color="auto" w:sz="4" w:space="0"/>
              <w:left w:val="single" w:color="auto" w:sz="4" w:space="0"/>
              <w:bottom w:val="nil"/>
              <w:right w:val="single" w:color="auto" w:sz="4" w:space="0"/>
            </w:tcBorders>
            <w:vAlign w:val="center"/>
          </w:tcPr>
          <w:p w14:paraId="6AFF1CB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开标程序</w:t>
            </w:r>
          </w:p>
        </w:tc>
        <w:tc>
          <w:tcPr>
            <w:tcW w:w="7088" w:type="dxa"/>
            <w:gridSpan w:val="2"/>
            <w:tcBorders>
              <w:top w:val="single" w:color="auto" w:sz="4" w:space="0"/>
              <w:left w:val="single" w:color="auto" w:sz="4" w:space="0"/>
              <w:bottom w:val="nil"/>
              <w:right w:val="single" w:color="auto" w:sz="4" w:space="0"/>
            </w:tcBorders>
            <w:vAlign w:val="center"/>
          </w:tcPr>
          <w:p w14:paraId="71535C13">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主持人按下列程序进行开标：</w:t>
            </w:r>
          </w:p>
          <w:p w14:paraId="50DFADCC">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(1) 宣布开标纪律；</w:t>
            </w:r>
          </w:p>
          <w:p w14:paraId="22DB861A">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(2) 公布在投标截止时间前递交投标文件的投标人名称；</w:t>
            </w:r>
          </w:p>
          <w:p w14:paraId="21540A69">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(3) 在投标截止时间后30 分钟内，投标人通过递交投标文件的交易平台对已递交的电子投标文件进行解密。投标人完成解密后，再由招标人进行解密(投标人只用执行一次解密，招标人执行解密次数根据招标文件开标次数确定)。</w:t>
            </w:r>
          </w:p>
          <w:p w14:paraId="6BC80636">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(4) 解密完成后，向所有投标人公布 投标人名称、投标价格和招标文件规定的其他内容，并记录在案，具体以系统生成的开标记录表为准。未在规定时间内解密的投标文件不参与开标、评标。</w:t>
            </w:r>
          </w:p>
          <w:p w14:paraId="1A4F9B90">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(5) 截标后，开标开始时间因故推迟的，相关评标信息仍以原定的开标开始时间的信息为准。</w:t>
            </w:r>
          </w:p>
          <w:p w14:paraId="2ECFC093">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(6)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320143D">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(7) 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DC5A242">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(8) 投标人未参加开标或在规定的时间内未提出异议的，视为对开标无异议。</w:t>
            </w:r>
          </w:p>
          <w:p w14:paraId="735A68B1">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(9) 开标时，两个(含两个)以上的投标人加密打包投标文件电脑机器特征码一致的，不参与下一程序，并由评标委员会否决其投标。</w:t>
            </w:r>
          </w:p>
          <w:p w14:paraId="1648A906">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(10) 投标人未参加开标或在规定的时间内未提出异议的，视为对开标无异议。</w:t>
            </w:r>
          </w:p>
          <w:p w14:paraId="313CE3C3">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投标人代表、招标人代表、监标人、记录人等有关人员在开标记录上签字确认；若有关人员不签字的，不影响开标程序；</w:t>
            </w:r>
          </w:p>
          <w:p w14:paraId="54EBE884">
            <w:pPr>
              <w:spacing w:line="380" w:lineRule="exact"/>
              <w:ind w:firstLine="457" w:firstLineChars="218"/>
              <w:rPr>
                <w:rFonts w:hint="eastAsia" w:ascii="仿宋" w:hAnsi="仿宋" w:eastAsia="仿宋" w:cs="仿宋"/>
                <w:color w:val="auto"/>
                <w:szCs w:val="21"/>
                <w:highlight w:val="none"/>
              </w:rPr>
            </w:pPr>
            <w:r>
              <w:rPr>
                <w:rFonts w:hint="eastAsia" w:ascii="仿宋" w:hAnsi="仿宋" w:eastAsia="仿宋" w:cs="仿宋"/>
                <w:color w:val="auto"/>
                <w:szCs w:val="21"/>
                <w:highlight w:val="none"/>
              </w:rPr>
              <w:t>(12) 开标结束。</w:t>
            </w:r>
          </w:p>
        </w:tc>
      </w:tr>
      <w:tr w14:paraId="0DA8DA21">
        <w:tblPrEx>
          <w:tblCellMar>
            <w:top w:w="0" w:type="dxa"/>
            <w:left w:w="108" w:type="dxa"/>
            <w:bottom w:w="0" w:type="dxa"/>
            <w:right w:w="108" w:type="dxa"/>
          </w:tblCellMar>
        </w:tblPrEx>
        <w:trPr>
          <w:trHeight w:val="1297" w:hRule="atLeast"/>
        </w:trPr>
        <w:tc>
          <w:tcPr>
            <w:tcW w:w="959" w:type="dxa"/>
            <w:tcBorders>
              <w:top w:val="single" w:color="auto" w:sz="4" w:space="0"/>
              <w:left w:val="single" w:color="auto" w:sz="4" w:space="0"/>
              <w:bottom w:val="single" w:color="auto" w:sz="4" w:space="0"/>
              <w:right w:val="single" w:color="auto" w:sz="4" w:space="0"/>
            </w:tcBorders>
            <w:vAlign w:val="center"/>
          </w:tcPr>
          <w:p w14:paraId="4371AB62">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w:t>
            </w:r>
          </w:p>
        </w:tc>
        <w:tc>
          <w:tcPr>
            <w:tcW w:w="1559" w:type="dxa"/>
            <w:tcBorders>
              <w:top w:val="single" w:color="auto" w:sz="4" w:space="0"/>
              <w:left w:val="single" w:color="auto" w:sz="4" w:space="0"/>
              <w:bottom w:val="single" w:color="auto" w:sz="4" w:space="0"/>
              <w:right w:val="single" w:color="auto" w:sz="4" w:space="0"/>
            </w:tcBorders>
            <w:vAlign w:val="center"/>
          </w:tcPr>
          <w:p w14:paraId="694D5E3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评标委员会的组建</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542D00F3">
            <w:pPr>
              <w:spacing w:line="380" w:lineRule="exact"/>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评标委员会构成：</w:t>
            </w:r>
            <w:r>
              <w:rPr>
                <w:rFonts w:hint="eastAsia" w:ascii="仿宋" w:hAnsi="仿宋" w:eastAsia="仿宋" w:cs="仿宋"/>
                <w:snapToGrid w:val="0"/>
                <w:color w:val="auto"/>
                <w:szCs w:val="21"/>
                <w:highlight w:val="none"/>
                <w:u w:val="single"/>
                <w:lang w:val="en-US" w:eastAsia="zh-CN"/>
              </w:rPr>
              <w:t>5</w:t>
            </w:r>
            <w:r>
              <w:rPr>
                <w:rFonts w:hint="eastAsia" w:ascii="仿宋" w:hAnsi="仿宋" w:eastAsia="仿宋" w:cs="仿宋"/>
                <w:snapToGrid w:val="0"/>
                <w:color w:val="auto"/>
                <w:szCs w:val="21"/>
                <w:highlight w:val="none"/>
              </w:rPr>
              <w:t>人</w:t>
            </w:r>
          </w:p>
          <w:p w14:paraId="22CA6ED0">
            <w:pPr>
              <w:spacing w:line="380" w:lineRule="exact"/>
              <w:rPr>
                <w:rFonts w:hint="eastAsia" w:ascii="仿宋" w:hAnsi="仿宋" w:eastAsia="仿宋" w:cs="仿宋"/>
                <w:color w:val="auto"/>
                <w:szCs w:val="21"/>
                <w:highlight w:val="none"/>
                <w:u w:val="single"/>
              </w:rPr>
            </w:pPr>
            <w:r>
              <w:rPr>
                <w:rFonts w:hint="eastAsia" w:ascii="仿宋" w:hAnsi="仿宋" w:eastAsia="仿宋" w:cs="仿宋"/>
                <w:snapToGrid w:val="0"/>
                <w:color w:val="auto"/>
                <w:szCs w:val="21"/>
                <w:highlight w:val="none"/>
              </w:rPr>
              <w:t>评标专家确定方式：招标人在开标前按照有关规定依法组建评标委员会。</w:t>
            </w:r>
          </w:p>
        </w:tc>
      </w:tr>
      <w:tr w14:paraId="58A3818D">
        <w:tblPrEx>
          <w:tblCellMar>
            <w:top w:w="0" w:type="dxa"/>
            <w:left w:w="108" w:type="dxa"/>
            <w:bottom w:w="0" w:type="dxa"/>
            <w:right w:w="108" w:type="dxa"/>
          </w:tblCellMar>
        </w:tblPrEx>
        <w:trPr>
          <w:trHeight w:val="880" w:hRule="atLeast"/>
        </w:trPr>
        <w:tc>
          <w:tcPr>
            <w:tcW w:w="959" w:type="dxa"/>
            <w:tcBorders>
              <w:top w:val="single" w:color="auto" w:sz="4" w:space="0"/>
              <w:left w:val="single" w:color="auto" w:sz="4" w:space="0"/>
              <w:bottom w:val="single" w:color="auto" w:sz="4" w:space="0"/>
              <w:right w:val="single" w:color="auto" w:sz="4" w:space="0"/>
            </w:tcBorders>
            <w:vAlign w:val="center"/>
          </w:tcPr>
          <w:p w14:paraId="09310F7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6.3.2</w:t>
            </w:r>
          </w:p>
        </w:tc>
        <w:tc>
          <w:tcPr>
            <w:tcW w:w="1559" w:type="dxa"/>
            <w:tcBorders>
              <w:top w:val="single" w:color="auto" w:sz="4" w:space="0"/>
              <w:left w:val="single" w:color="auto" w:sz="4" w:space="0"/>
              <w:bottom w:val="single" w:color="auto" w:sz="4" w:space="0"/>
              <w:right w:val="single" w:color="auto" w:sz="4" w:space="0"/>
            </w:tcBorders>
            <w:vAlign w:val="center"/>
          </w:tcPr>
          <w:p w14:paraId="53AA950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评标委员会推荐中标候选人的人数</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B1C041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3人</w:t>
            </w:r>
          </w:p>
        </w:tc>
      </w:tr>
      <w:tr w14:paraId="5D96370D">
        <w:tblPrEx>
          <w:tblCellMar>
            <w:top w:w="0" w:type="dxa"/>
            <w:left w:w="108" w:type="dxa"/>
            <w:bottom w:w="0" w:type="dxa"/>
            <w:right w:w="108" w:type="dxa"/>
          </w:tblCellMar>
        </w:tblPrEx>
        <w:trPr>
          <w:trHeight w:val="880" w:hRule="atLeast"/>
        </w:trPr>
        <w:tc>
          <w:tcPr>
            <w:tcW w:w="959" w:type="dxa"/>
            <w:tcBorders>
              <w:top w:val="single" w:color="auto" w:sz="4" w:space="0"/>
              <w:left w:val="single" w:color="auto" w:sz="4" w:space="0"/>
              <w:bottom w:val="single" w:color="auto" w:sz="4" w:space="0"/>
              <w:right w:val="single" w:color="auto" w:sz="4" w:space="0"/>
            </w:tcBorders>
            <w:vAlign w:val="center"/>
          </w:tcPr>
          <w:p w14:paraId="1A83EBD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6.3.3</w:t>
            </w:r>
          </w:p>
        </w:tc>
        <w:tc>
          <w:tcPr>
            <w:tcW w:w="1559" w:type="dxa"/>
            <w:tcBorders>
              <w:top w:val="single" w:color="auto" w:sz="4" w:space="0"/>
              <w:left w:val="single" w:color="auto" w:sz="4" w:space="0"/>
              <w:bottom w:val="single" w:color="auto" w:sz="4" w:space="0"/>
              <w:right w:val="single" w:color="auto" w:sz="4" w:space="0"/>
            </w:tcBorders>
            <w:vAlign w:val="center"/>
          </w:tcPr>
          <w:p w14:paraId="103E996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远程异地评标注意事项</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42F17EF0">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1、远程异地评标要求按照广东省工程建设项目远程异地评标管理暂行办法的通知“粤发改规〔2022〕9号”文件执行。</w:t>
            </w:r>
          </w:p>
          <w:p w14:paraId="2CD63902">
            <w:pPr>
              <w:spacing w:line="380" w:lineRule="exact"/>
              <w:ind w:left="31" w:leftChars="15" w:right="109" w:rightChars="52"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在评标活动开始前，因主场或副场网络故障、电子设备或者评标系统故障，以及其他原因导致无法正常评标时，招标人可以延迟评标开始时间，待故障解除后开始评标；超过评标开始时间2小时仍无法解除故障的，由招标人确定是否进行评标。如延期评标，招标人应当配合主场、副场做好招投标资料的封存和保密工作，另外组建评标委员会进行评标。</w:t>
            </w:r>
          </w:p>
          <w:p w14:paraId="0FECEE94">
            <w:pPr>
              <w:spacing w:line="380" w:lineRule="exact"/>
              <w:ind w:left="31" w:leftChars="15" w:right="109" w:rightChars="52"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 xml:space="preserve">3、在评标过程中，因主场或副场网络故障、电子设备或者评标系统故障，以及其他原因导致无法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 </w:t>
            </w:r>
          </w:p>
          <w:p w14:paraId="4430CBB7">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主场和副场应当做好远程异地评标活动全程见证服务并采用音视频设备在线记录，妥善保存评标活动过程中的文字和音视频资料。评标结束后，副场应当在5个工作日内将评标活动过程中产生的资料原件、电子文档、音视频以及其他有关资料，按双方约定的方式移交主场保存，保存期限按国家有关规定执行。</w:t>
            </w:r>
          </w:p>
          <w:p w14:paraId="42C4922A">
            <w:pPr>
              <w:autoSpaceDE w:val="0"/>
              <w:autoSpaceDN w:val="0"/>
              <w:adjustRightInd w:val="0"/>
              <w:spacing w:line="380" w:lineRule="exact"/>
              <w:ind w:firstLine="422" w:firstLineChars="200"/>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发生特殊情况时，电子交易系统运营机构应启动应急处置措施，查明原因，排除故障。</w:t>
            </w:r>
          </w:p>
          <w:p w14:paraId="4E023501">
            <w:pPr>
              <w:autoSpaceDE w:val="0"/>
              <w:autoSpaceDN w:val="0"/>
              <w:adjustRightInd w:val="0"/>
              <w:spacing w:line="380" w:lineRule="exact"/>
              <w:ind w:firstLine="422" w:firstLineChars="200"/>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如在开标前恢复系统运行的，招标投标活动继续进行。如开评标活动无法按时开展，按本须知前附表条款号6.3.3条“远程异地评标注意事项”约定处理。</w:t>
            </w:r>
          </w:p>
          <w:p w14:paraId="0D653501">
            <w:pPr>
              <w:autoSpaceDE w:val="0"/>
              <w:autoSpaceDN w:val="0"/>
              <w:adjustRightInd w:val="0"/>
              <w:spacing w:line="380" w:lineRule="exact"/>
              <w:ind w:firstLine="422" w:firstLineChars="200"/>
              <w:jc w:val="left"/>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rPr>
              <w:t>除发生上述情况外，开标评标均以投标人通过</w:t>
            </w:r>
            <w:r>
              <w:rPr>
                <w:rFonts w:hint="eastAsia" w:ascii="仿宋" w:hAnsi="仿宋" w:eastAsia="仿宋" w:cs="仿宋"/>
                <w:b/>
                <w:color w:val="auto"/>
                <w:kern w:val="0"/>
                <w:szCs w:val="21"/>
                <w:highlight w:val="none"/>
                <w:lang w:val="en-US" w:eastAsia="zh-CN"/>
              </w:rPr>
              <w:t>广州</w:t>
            </w:r>
            <w:r>
              <w:rPr>
                <w:rFonts w:hint="eastAsia" w:ascii="仿宋" w:hAnsi="仿宋" w:eastAsia="仿宋" w:cs="仿宋"/>
                <w:b/>
                <w:color w:val="auto"/>
                <w:kern w:val="0"/>
                <w:szCs w:val="21"/>
                <w:highlight w:val="none"/>
              </w:rPr>
              <w:t>公共资源交易平台网上递交的电子投标文件为准。</w:t>
            </w:r>
          </w:p>
        </w:tc>
      </w:tr>
      <w:tr w14:paraId="72BA1A88">
        <w:tblPrEx>
          <w:tblCellMar>
            <w:top w:w="0" w:type="dxa"/>
            <w:left w:w="108" w:type="dxa"/>
            <w:bottom w:w="0" w:type="dxa"/>
            <w:right w:w="108" w:type="dxa"/>
          </w:tblCellMar>
        </w:tblPrEx>
        <w:trPr>
          <w:trHeight w:val="880" w:hRule="atLeast"/>
        </w:trPr>
        <w:tc>
          <w:tcPr>
            <w:tcW w:w="959" w:type="dxa"/>
            <w:tcBorders>
              <w:top w:val="single" w:color="auto" w:sz="4" w:space="0"/>
              <w:left w:val="single" w:color="auto" w:sz="4" w:space="0"/>
              <w:bottom w:val="single" w:color="auto" w:sz="4" w:space="0"/>
              <w:right w:val="single" w:color="auto" w:sz="4" w:space="0"/>
            </w:tcBorders>
            <w:vAlign w:val="center"/>
          </w:tcPr>
          <w:p w14:paraId="204663AF">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7.1</w:t>
            </w:r>
          </w:p>
        </w:tc>
        <w:tc>
          <w:tcPr>
            <w:tcW w:w="1559" w:type="dxa"/>
            <w:tcBorders>
              <w:top w:val="single" w:color="auto" w:sz="4" w:space="0"/>
              <w:left w:val="single" w:color="auto" w:sz="4" w:space="0"/>
              <w:bottom w:val="single" w:color="auto" w:sz="4" w:space="0"/>
              <w:right w:val="single" w:color="auto" w:sz="4" w:space="0"/>
            </w:tcBorders>
            <w:vAlign w:val="center"/>
          </w:tcPr>
          <w:p w14:paraId="566F90E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中标候选人公示媒介及期限</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4B2D7B2">
            <w:pPr>
              <w:spacing w:line="38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公示媒介：广州交易集团有限公司（广州公共资源交易中心）平台、广东省公共资源交易平台、广东省招标投标监管网</w:t>
            </w:r>
            <w:r>
              <w:rPr>
                <w:rFonts w:hint="eastAsia" w:ascii="仿宋" w:hAnsi="仿宋" w:eastAsia="仿宋" w:cs="仿宋"/>
                <w:color w:val="auto"/>
                <w:szCs w:val="21"/>
                <w:highlight w:val="none"/>
                <w:lang w:eastAsia="zh-CN"/>
              </w:rPr>
              <w:t>。</w:t>
            </w:r>
          </w:p>
          <w:p w14:paraId="60D49AB1">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公示期限：3日。根据《民法典》第二百零三条，期间的最后一日是法定休假日的，公示期限应当延长至法定休假日结束的次日。</w:t>
            </w:r>
          </w:p>
        </w:tc>
      </w:tr>
      <w:tr w14:paraId="7E03FD8F">
        <w:tblPrEx>
          <w:tblCellMar>
            <w:top w:w="0" w:type="dxa"/>
            <w:left w:w="108" w:type="dxa"/>
            <w:bottom w:w="0" w:type="dxa"/>
            <w:right w:w="108" w:type="dxa"/>
          </w:tblCellMar>
        </w:tblPrEx>
        <w:trPr>
          <w:trHeight w:val="880" w:hRule="atLeast"/>
        </w:trPr>
        <w:tc>
          <w:tcPr>
            <w:tcW w:w="959" w:type="dxa"/>
            <w:tcBorders>
              <w:top w:val="single" w:color="auto" w:sz="4" w:space="0"/>
              <w:left w:val="single" w:color="auto" w:sz="4" w:space="0"/>
              <w:bottom w:val="single" w:color="auto" w:sz="4" w:space="0"/>
              <w:right w:val="single" w:color="auto" w:sz="4" w:space="0"/>
            </w:tcBorders>
            <w:vAlign w:val="center"/>
          </w:tcPr>
          <w:p w14:paraId="2698BC9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7.4</w:t>
            </w:r>
          </w:p>
        </w:tc>
        <w:tc>
          <w:tcPr>
            <w:tcW w:w="1559" w:type="dxa"/>
            <w:tcBorders>
              <w:top w:val="single" w:color="auto" w:sz="4" w:space="0"/>
              <w:left w:val="single" w:color="auto" w:sz="4" w:space="0"/>
              <w:bottom w:val="single" w:color="auto" w:sz="4" w:space="0"/>
              <w:right w:val="single" w:color="auto" w:sz="4" w:space="0"/>
            </w:tcBorders>
            <w:vAlign w:val="center"/>
          </w:tcPr>
          <w:p w14:paraId="6ED4A0B8">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是否授权评标委员会确定中标人</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65A64B6">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w:t>
            </w:r>
          </w:p>
          <w:p w14:paraId="47CF3D61">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否，评委推荐前三位中标候选人</w:t>
            </w:r>
          </w:p>
        </w:tc>
      </w:tr>
      <w:tr w14:paraId="1B87AF59">
        <w:tblPrEx>
          <w:tblCellMar>
            <w:top w:w="0" w:type="dxa"/>
            <w:left w:w="108" w:type="dxa"/>
            <w:bottom w:w="0" w:type="dxa"/>
            <w:right w:w="108" w:type="dxa"/>
          </w:tblCellMar>
        </w:tblPrEx>
        <w:trPr>
          <w:trHeight w:val="880" w:hRule="atLeast"/>
        </w:trPr>
        <w:tc>
          <w:tcPr>
            <w:tcW w:w="959" w:type="dxa"/>
            <w:tcBorders>
              <w:top w:val="single" w:color="auto" w:sz="4" w:space="0"/>
              <w:left w:val="single" w:color="auto" w:sz="4" w:space="0"/>
              <w:bottom w:val="single" w:color="auto" w:sz="4" w:space="0"/>
              <w:right w:val="single" w:color="auto" w:sz="4" w:space="0"/>
            </w:tcBorders>
            <w:vAlign w:val="center"/>
          </w:tcPr>
          <w:p w14:paraId="0570841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7.6</w:t>
            </w:r>
          </w:p>
        </w:tc>
        <w:tc>
          <w:tcPr>
            <w:tcW w:w="1559" w:type="dxa"/>
            <w:tcBorders>
              <w:top w:val="single" w:color="auto" w:sz="4" w:space="0"/>
              <w:left w:val="single" w:color="auto" w:sz="4" w:space="0"/>
              <w:bottom w:val="single" w:color="auto" w:sz="4" w:space="0"/>
              <w:right w:val="single" w:color="auto" w:sz="4" w:space="0"/>
            </w:tcBorders>
            <w:vAlign w:val="center"/>
          </w:tcPr>
          <w:p w14:paraId="0B90295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技术成果经济补偿</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7C5D9A0">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不补偿</w:t>
            </w:r>
          </w:p>
          <w:p w14:paraId="3EA9198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□补偿，补偿标准：</w:t>
            </w:r>
          </w:p>
        </w:tc>
      </w:tr>
      <w:tr w14:paraId="49EE46C5">
        <w:tblPrEx>
          <w:tblCellMar>
            <w:top w:w="0" w:type="dxa"/>
            <w:left w:w="108" w:type="dxa"/>
            <w:bottom w:w="0" w:type="dxa"/>
            <w:right w:w="108" w:type="dxa"/>
          </w:tblCellMar>
        </w:tblPrEx>
        <w:trPr>
          <w:trHeight w:val="557" w:hRule="atLeast"/>
        </w:trPr>
        <w:tc>
          <w:tcPr>
            <w:tcW w:w="959" w:type="dxa"/>
            <w:tcBorders>
              <w:top w:val="single" w:color="auto" w:sz="4" w:space="0"/>
              <w:left w:val="single" w:color="auto" w:sz="4" w:space="0"/>
              <w:bottom w:val="single" w:color="auto" w:sz="4" w:space="0"/>
              <w:right w:val="single" w:color="auto" w:sz="4" w:space="0"/>
            </w:tcBorders>
            <w:vAlign w:val="center"/>
          </w:tcPr>
          <w:p w14:paraId="1347419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7.7.1</w:t>
            </w:r>
          </w:p>
        </w:tc>
        <w:tc>
          <w:tcPr>
            <w:tcW w:w="1559" w:type="dxa"/>
            <w:tcBorders>
              <w:top w:val="single" w:color="auto" w:sz="4" w:space="0"/>
              <w:left w:val="single" w:color="auto" w:sz="4" w:space="0"/>
              <w:bottom w:val="single" w:color="auto" w:sz="4" w:space="0"/>
              <w:right w:val="single" w:color="auto" w:sz="4" w:space="0"/>
            </w:tcBorders>
            <w:vAlign w:val="center"/>
          </w:tcPr>
          <w:p w14:paraId="472A774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B391A0A">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是否要求中标人提交履约保证金：</w:t>
            </w:r>
          </w:p>
          <w:p w14:paraId="18CAC26B">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□要求，履约保证金的形式：</w:t>
            </w:r>
          </w:p>
          <w:p w14:paraId="16FBAF57">
            <w:pPr>
              <w:spacing w:line="440" w:lineRule="exact"/>
              <w:ind w:left="882" w:leftChars="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履约保证金的金额：</w:t>
            </w:r>
          </w:p>
          <w:p w14:paraId="58BD1A32">
            <w:pPr>
              <w:pStyle w:val="17"/>
              <w:spacing w:line="380" w:lineRule="exact"/>
              <w:rPr>
                <w:rFonts w:hint="eastAsia" w:ascii="仿宋" w:hAnsi="仿宋" w:eastAsia="仿宋" w:cs="仿宋"/>
                <w:color w:val="auto"/>
                <w:sz w:val="21"/>
                <w:szCs w:val="21"/>
                <w:highlight w:val="none"/>
                <w:lang w:val="en-US"/>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不要求</w:t>
            </w:r>
          </w:p>
        </w:tc>
      </w:tr>
      <w:tr w14:paraId="3E1ABAC8">
        <w:tblPrEx>
          <w:tblCellMar>
            <w:top w:w="0" w:type="dxa"/>
            <w:left w:w="108" w:type="dxa"/>
            <w:bottom w:w="0" w:type="dxa"/>
            <w:right w:w="108" w:type="dxa"/>
          </w:tblCellMar>
        </w:tblPrEx>
        <w:trPr>
          <w:trHeight w:val="557" w:hRule="atLeast"/>
        </w:trPr>
        <w:tc>
          <w:tcPr>
            <w:tcW w:w="959" w:type="dxa"/>
            <w:tcBorders>
              <w:top w:val="single" w:color="auto" w:sz="4" w:space="0"/>
              <w:left w:val="single" w:color="auto" w:sz="4" w:space="0"/>
              <w:bottom w:val="single" w:color="auto" w:sz="4" w:space="0"/>
              <w:right w:val="single" w:color="auto" w:sz="4" w:space="0"/>
            </w:tcBorders>
            <w:vAlign w:val="center"/>
          </w:tcPr>
          <w:p w14:paraId="1BFBE49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7.8</w:t>
            </w:r>
          </w:p>
        </w:tc>
        <w:tc>
          <w:tcPr>
            <w:tcW w:w="1559" w:type="dxa"/>
            <w:tcBorders>
              <w:top w:val="single" w:color="auto" w:sz="4" w:space="0"/>
              <w:left w:val="single" w:color="auto" w:sz="4" w:space="0"/>
              <w:bottom w:val="single" w:color="auto" w:sz="4" w:space="0"/>
              <w:right w:val="single" w:color="auto" w:sz="4" w:space="0"/>
            </w:tcBorders>
            <w:vAlign w:val="center"/>
          </w:tcPr>
          <w:p w14:paraId="5D74004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签订合同</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4111268">
            <w:pPr>
              <w:pStyle w:val="215"/>
              <w:spacing w:line="380" w:lineRule="exact"/>
              <w:ind w:right="105" w:rightChars="50" w:firstLine="420" w:firstLineChars="200"/>
              <w:rPr>
                <w:rFonts w:hint="eastAsia" w:ascii="仿宋" w:hAnsi="仿宋" w:eastAsia="仿宋" w:cs="仿宋"/>
                <w:color w:val="auto"/>
                <w:spacing w:val="-2"/>
                <w:sz w:val="21"/>
                <w:szCs w:val="21"/>
                <w:highlight w:val="none"/>
                <w:lang w:eastAsia="zh-CN"/>
              </w:rPr>
            </w:pPr>
            <w:r>
              <w:rPr>
                <w:rFonts w:hint="eastAsia" w:ascii="仿宋" w:hAnsi="仿宋" w:eastAsia="仿宋" w:cs="仿宋"/>
                <w:color w:val="auto"/>
                <w:sz w:val="21"/>
                <w:szCs w:val="21"/>
                <w:highlight w:val="none"/>
                <w:lang w:eastAsia="zh-CN"/>
              </w:rPr>
              <w:t>招标人和中标人应当在中标通知书发出之日起30日内，根据招标文件和中标人的投标文件在线签订合同【需要使用双方法定代表人或授权委托人的个人电子数字证书（个人CA证书）进行法定代表人或授权委托人签名，使用单位电子数字证书（或粤企签）进行盖章】。</w:t>
            </w:r>
          </w:p>
          <w:p w14:paraId="1E6931F7">
            <w:pPr>
              <w:spacing w:line="380" w:lineRule="exact"/>
              <w:ind w:firstLine="460" w:firstLineChars="218"/>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注：招标人和中标人双方法定代表人或授权委托人请提前办理个人电子数字证书（个人CA证书）。</w:t>
            </w:r>
          </w:p>
        </w:tc>
      </w:tr>
      <w:tr w14:paraId="4EC20782">
        <w:tblPrEx>
          <w:tblCellMar>
            <w:top w:w="0" w:type="dxa"/>
            <w:left w:w="108" w:type="dxa"/>
            <w:bottom w:w="0" w:type="dxa"/>
            <w:right w:w="108" w:type="dxa"/>
          </w:tblCellMar>
        </w:tblPrEx>
        <w:trPr>
          <w:trHeight w:val="880" w:hRule="atLeast"/>
        </w:trPr>
        <w:tc>
          <w:tcPr>
            <w:tcW w:w="959" w:type="dxa"/>
            <w:tcBorders>
              <w:top w:val="single" w:color="auto" w:sz="4" w:space="0"/>
              <w:left w:val="single" w:color="auto" w:sz="4" w:space="0"/>
              <w:bottom w:val="single" w:color="auto" w:sz="4" w:space="0"/>
              <w:right w:val="single" w:color="auto" w:sz="4" w:space="0"/>
            </w:tcBorders>
            <w:vAlign w:val="center"/>
          </w:tcPr>
          <w:p w14:paraId="2566436F">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559" w:type="dxa"/>
            <w:tcBorders>
              <w:top w:val="single" w:color="auto" w:sz="4" w:space="0"/>
              <w:left w:val="single" w:color="auto" w:sz="4" w:space="0"/>
              <w:bottom w:val="single" w:color="auto" w:sz="4" w:space="0"/>
              <w:right w:val="single" w:color="auto" w:sz="4" w:space="0"/>
            </w:tcBorders>
            <w:vAlign w:val="center"/>
          </w:tcPr>
          <w:p w14:paraId="521779FD">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是否采用电子招标投标</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61AFF96">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□否</w:t>
            </w:r>
          </w:p>
          <w:p w14:paraId="601AD5FE">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是，</w:t>
            </w:r>
            <w:r>
              <w:rPr>
                <w:rFonts w:hint="eastAsia" w:ascii="仿宋" w:hAnsi="仿宋" w:eastAsia="仿宋" w:cs="仿宋"/>
                <w:bCs/>
                <w:color w:val="auto"/>
                <w:szCs w:val="21"/>
                <w:highlight w:val="none"/>
              </w:rPr>
              <w:t>具体要求：按照《电子招标投标办法》（2013年2月4日国家发展改革委、工业和信息化部、监察部、住房城乡建设部、交通运输部、铁道部、水利部、商务部令第20号发布）、广东省发展和改革委员会等8部门《关于印发广东省工程建设项目电子招标投标交易规则的通知》（粤发改规〔2023〕1号）等相关法律法规执行</w:t>
            </w:r>
            <w:r>
              <w:rPr>
                <w:rFonts w:hint="eastAsia" w:ascii="仿宋" w:hAnsi="仿宋" w:eastAsia="仿宋" w:cs="仿宋"/>
                <w:color w:val="auto"/>
                <w:szCs w:val="21"/>
                <w:highlight w:val="none"/>
              </w:rPr>
              <w:t>。</w:t>
            </w:r>
          </w:p>
        </w:tc>
      </w:tr>
      <w:tr w14:paraId="111709DF">
        <w:tblPrEx>
          <w:tblCellMar>
            <w:top w:w="0" w:type="dxa"/>
            <w:left w:w="108" w:type="dxa"/>
            <w:bottom w:w="0" w:type="dxa"/>
            <w:right w:w="108" w:type="dxa"/>
          </w:tblCellMar>
        </w:tblPrEx>
        <w:trPr>
          <w:trHeight w:val="484" w:hRule="atLeast"/>
        </w:trPr>
        <w:tc>
          <w:tcPr>
            <w:tcW w:w="959" w:type="dxa"/>
            <w:tcBorders>
              <w:top w:val="single" w:color="auto" w:sz="4" w:space="0"/>
              <w:left w:val="single" w:color="auto" w:sz="4" w:space="0"/>
              <w:bottom w:val="single" w:color="auto" w:sz="4" w:space="0"/>
              <w:right w:val="single" w:color="auto" w:sz="4" w:space="0"/>
            </w:tcBorders>
            <w:vAlign w:val="center"/>
          </w:tcPr>
          <w:p w14:paraId="540AB01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8647" w:type="dxa"/>
            <w:gridSpan w:val="3"/>
            <w:tcBorders>
              <w:top w:val="single" w:color="auto" w:sz="4" w:space="0"/>
              <w:left w:val="single" w:color="auto" w:sz="4" w:space="0"/>
              <w:bottom w:val="single" w:color="auto" w:sz="4" w:space="0"/>
              <w:right w:val="single" w:color="auto" w:sz="4" w:space="0"/>
            </w:tcBorders>
            <w:vAlign w:val="center"/>
          </w:tcPr>
          <w:p w14:paraId="352C908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需要补充的其他内容</w:t>
            </w:r>
          </w:p>
        </w:tc>
      </w:tr>
      <w:tr w14:paraId="5986C142">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B82B66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w:t>
            </w:r>
          </w:p>
        </w:tc>
        <w:tc>
          <w:tcPr>
            <w:tcW w:w="1559" w:type="dxa"/>
            <w:tcBorders>
              <w:top w:val="single" w:color="auto" w:sz="4" w:space="0"/>
              <w:left w:val="single" w:color="auto" w:sz="4" w:space="0"/>
              <w:bottom w:val="single" w:color="auto" w:sz="4" w:space="0"/>
              <w:right w:val="single" w:color="auto" w:sz="4" w:space="0"/>
            </w:tcBorders>
            <w:vAlign w:val="center"/>
          </w:tcPr>
          <w:p w14:paraId="3E28704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支付担保</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7565E9A">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形式：</w:t>
            </w:r>
          </w:p>
          <w:p w14:paraId="38AA74D0">
            <w:pPr>
              <w:pStyle w:val="17"/>
              <w:spacing w:line="380" w:lineRule="exact"/>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金额：</w:t>
            </w:r>
          </w:p>
        </w:tc>
      </w:tr>
      <w:tr w14:paraId="4F9BEB20">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DC4752F">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1559" w:type="dxa"/>
            <w:tcBorders>
              <w:top w:val="single" w:color="auto" w:sz="4" w:space="0"/>
              <w:left w:val="single" w:color="auto" w:sz="4" w:space="0"/>
              <w:bottom w:val="single" w:color="auto" w:sz="4" w:space="0"/>
              <w:right w:val="single" w:color="auto" w:sz="4" w:space="0"/>
            </w:tcBorders>
            <w:vAlign w:val="center"/>
          </w:tcPr>
          <w:p w14:paraId="364271E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重新招标和不再招标</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875748A">
            <w:pPr>
              <w:pStyle w:val="81"/>
              <w:spacing w:line="380" w:lineRule="exact"/>
              <w:rPr>
                <w:rFonts w:hint="eastAsia" w:ascii="仿宋" w:hAnsi="仿宋" w:eastAsia="仿宋" w:cs="仿宋"/>
                <w:b/>
                <w:snapToGrid w:val="0"/>
                <w:color w:val="auto"/>
                <w:highlight w:val="none"/>
              </w:rPr>
            </w:pPr>
            <w:r>
              <w:rPr>
                <w:rFonts w:hint="eastAsia" w:ascii="仿宋" w:hAnsi="仿宋" w:eastAsia="仿宋" w:cs="仿宋"/>
                <w:b/>
                <w:snapToGrid w:val="0"/>
                <w:color w:val="auto"/>
                <w:highlight w:val="none"/>
              </w:rPr>
              <w:t>10.2.1重新招标</w:t>
            </w:r>
          </w:p>
          <w:p w14:paraId="1FE36CC4">
            <w:pPr>
              <w:pStyle w:val="81"/>
              <w:spacing w:line="380" w:lineRule="exact"/>
              <w:ind w:firstLine="420" w:firstLineChars="200"/>
              <w:rPr>
                <w:rFonts w:hint="eastAsia" w:ascii="仿宋" w:hAnsi="仿宋" w:eastAsia="仿宋" w:cs="仿宋"/>
                <w:bCs/>
                <w:snapToGrid w:val="0"/>
                <w:color w:val="auto"/>
                <w:highlight w:val="none"/>
              </w:rPr>
            </w:pPr>
            <w:r>
              <w:rPr>
                <w:rFonts w:hint="eastAsia" w:ascii="仿宋" w:hAnsi="仿宋" w:eastAsia="仿宋" w:cs="仿宋"/>
                <w:bCs/>
                <w:snapToGrid w:val="0"/>
                <w:color w:val="auto"/>
                <w:highlight w:val="none"/>
              </w:rPr>
              <w:t>有下列情形之一的，招标人将重新招标：</w:t>
            </w:r>
          </w:p>
          <w:p w14:paraId="16A0C781">
            <w:pPr>
              <w:pStyle w:val="81"/>
              <w:spacing w:line="380" w:lineRule="exact"/>
              <w:ind w:firstLine="420" w:firstLineChars="200"/>
              <w:rPr>
                <w:rFonts w:hint="eastAsia" w:ascii="仿宋" w:hAnsi="仿宋" w:eastAsia="仿宋" w:cs="仿宋"/>
                <w:bCs/>
                <w:snapToGrid w:val="0"/>
                <w:color w:val="auto"/>
                <w:highlight w:val="none"/>
              </w:rPr>
            </w:pPr>
            <w:r>
              <w:rPr>
                <w:rFonts w:hint="eastAsia" w:ascii="仿宋" w:hAnsi="仿宋" w:eastAsia="仿宋" w:cs="仿宋"/>
                <w:bCs/>
                <w:snapToGrid w:val="0"/>
                <w:color w:val="auto"/>
                <w:highlight w:val="none"/>
              </w:rPr>
              <w:t>（1）通过资格审查或递交投标文件的投标人少于3个的；</w:t>
            </w:r>
          </w:p>
          <w:p w14:paraId="7F755C5E">
            <w:pPr>
              <w:pStyle w:val="81"/>
              <w:spacing w:line="380" w:lineRule="exact"/>
              <w:ind w:firstLine="420" w:firstLineChars="200"/>
              <w:rPr>
                <w:rFonts w:hint="eastAsia" w:ascii="仿宋" w:hAnsi="仿宋" w:eastAsia="仿宋" w:cs="仿宋"/>
                <w:bCs/>
                <w:snapToGrid w:val="0"/>
                <w:color w:val="auto"/>
                <w:highlight w:val="none"/>
              </w:rPr>
            </w:pPr>
            <w:r>
              <w:rPr>
                <w:rFonts w:hint="eastAsia" w:ascii="仿宋" w:hAnsi="仿宋" w:eastAsia="仿宋" w:cs="仿宋"/>
                <w:bCs/>
                <w:snapToGrid w:val="0"/>
                <w:color w:val="auto"/>
                <w:highlight w:val="none"/>
              </w:rPr>
              <w:t>（2）经评议有效投标的投标人少于3个的，或经评标委员会评审后否决所有投标的；</w:t>
            </w:r>
          </w:p>
          <w:p w14:paraId="21CA1306">
            <w:pPr>
              <w:pStyle w:val="81"/>
              <w:spacing w:line="380" w:lineRule="exact"/>
              <w:ind w:firstLine="420" w:firstLineChars="200"/>
              <w:rPr>
                <w:rFonts w:hint="eastAsia" w:ascii="仿宋" w:hAnsi="仿宋" w:eastAsia="仿宋" w:cs="仿宋"/>
                <w:bCs/>
                <w:snapToGrid w:val="0"/>
                <w:color w:val="auto"/>
                <w:highlight w:val="none"/>
              </w:rPr>
            </w:pPr>
            <w:r>
              <w:rPr>
                <w:rFonts w:hint="eastAsia" w:ascii="仿宋" w:hAnsi="仿宋" w:eastAsia="仿宋" w:cs="仿宋"/>
                <w:bCs/>
                <w:snapToGrid w:val="0"/>
                <w:color w:val="auto"/>
                <w:highlight w:val="none"/>
              </w:rPr>
              <w:t>（3）法律规定的其它情形。</w:t>
            </w:r>
          </w:p>
          <w:p w14:paraId="3BC33352">
            <w:pPr>
              <w:pStyle w:val="81"/>
              <w:spacing w:line="380" w:lineRule="exact"/>
              <w:rPr>
                <w:rFonts w:hint="eastAsia" w:ascii="仿宋" w:hAnsi="仿宋" w:eastAsia="仿宋" w:cs="仿宋"/>
                <w:b/>
                <w:snapToGrid w:val="0"/>
                <w:color w:val="auto"/>
                <w:highlight w:val="none"/>
              </w:rPr>
            </w:pPr>
            <w:r>
              <w:rPr>
                <w:rFonts w:hint="eastAsia" w:ascii="仿宋" w:hAnsi="仿宋" w:eastAsia="仿宋" w:cs="仿宋"/>
                <w:b/>
                <w:snapToGrid w:val="0"/>
                <w:color w:val="auto"/>
                <w:highlight w:val="none"/>
              </w:rPr>
              <w:t>10.2.2不再招标</w:t>
            </w:r>
          </w:p>
          <w:p w14:paraId="55C788DA">
            <w:pPr>
              <w:spacing w:line="38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snapToGrid w:val="0"/>
                <w:color w:val="auto"/>
                <w:szCs w:val="21"/>
                <w:highlight w:val="none"/>
              </w:rPr>
              <w:t>重新招标后仍不满足上述10.2.1条款内容的，属于必须审批或核准的工程建设项目，经原审批或核准部门批准后不再进行招标。</w:t>
            </w:r>
          </w:p>
        </w:tc>
      </w:tr>
      <w:tr w14:paraId="7C3AF623">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04B386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w:t>
            </w:r>
          </w:p>
        </w:tc>
        <w:tc>
          <w:tcPr>
            <w:tcW w:w="1559" w:type="dxa"/>
            <w:tcBorders>
              <w:top w:val="single" w:color="auto" w:sz="4" w:space="0"/>
              <w:left w:val="single" w:color="auto" w:sz="4" w:space="0"/>
              <w:bottom w:val="single" w:color="auto" w:sz="4" w:space="0"/>
              <w:right w:val="single" w:color="auto" w:sz="4" w:space="0"/>
            </w:tcBorders>
            <w:vAlign w:val="center"/>
          </w:tcPr>
          <w:p w14:paraId="310FCEF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4814DAD8">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是否要求中标人提交预付款担保：</w:t>
            </w:r>
          </w:p>
          <w:p w14:paraId="7614CECF">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□要求，预付款担保的形式：</w:t>
            </w:r>
          </w:p>
          <w:p w14:paraId="43834F7A">
            <w:pPr>
              <w:spacing w:line="380" w:lineRule="exact"/>
              <w:ind w:firstLine="882" w:firstLineChars="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预付款担保的金额：</w:t>
            </w:r>
          </w:p>
          <w:p w14:paraId="659DE920">
            <w:pPr>
              <w:pStyle w:val="17"/>
              <w:spacing w:line="380" w:lineRule="exact"/>
              <w:rPr>
                <w:rFonts w:hint="eastAsia" w:ascii="仿宋" w:hAnsi="仿宋" w:eastAsia="仿宋" w:cs="仿宋"/>
                <w:color w:val="auto"/>
                <w:sz w:val="21"/>
                <w:szCs w:val="21"/>
                <w:highlight w:val="none"/>
                <w:lang w:val="en-US"/>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不要求</w:t>
            </w:r>
          </w:p>
        </w:tc>
      </w:tr>
      <w:tr w14:paraId="54D36867">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A4F4BA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w:t>
            </w:r>
          </w:p>
        </w:tc>
        <w:tc>
          <w:tcPr>
            <w:tcW w:w="1559" w:type="dxa"/>
            <w:tcBorders>
              <w:top w:val="single" w:color="auto" w:sz="4" w:space="0"/>
              <w:left w:val="single" w:color="auto" w:sz="4" w:space="0"/>
              <w:bottom w:val="single" w:color="auto" w:sz="4" w:space="0"/>
              <w:right w:val="single" w:color="auto" w:sz="4" w:space="0"/>
            </w:tcBorders>
            <w:vAlign w:val="center"/>
          </w:tcPr>
          <w:p w14:paraId="34108ED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推广绿色建材、绿色建筑</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C1167B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承包人须贯彻绿色发展理念，推进绿色建筑高质量发展，规范绿色建筑活动,节约资源，提高人居环境质量。投标人须按《广东省绿色建筑条例》（广东省第十三届人民代表大会常务委员会公告（第 74 号））、《广东省绿色建筑设计规范》（DBJ/T 15-201-2020）、《广东省绿色建筑检测标准》（DBJ/T 15-234-2021）、《广东省绿色建筑评价标准》（DBJ/T 15-83-2017）、《广东省建筑节能与绿色建筑工程施工质量验收规范》（DBJ15-65-2021）等有关规定，做好绿色建筑的规划 、建设、运行、改造等活动。项目应综合考虑节能、节水、环保、循环、低碳等因素，在采购需求中提出绿色采购要求，加大对能效达到节能水平产品设备的政府采购支持力度，推动采购单位积极采购和使用绿色低碳产品和服务。</w:t>
            </w:r>
          </w:p>
        </w:tc>
      </w:tr>
      <w:tr w14:paraId="1CA9B987">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BAEDD6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w:t>
            </w:r>
          </w:p>
        </w:tc>
        <w:tc>
          <w:tcPr>
            <w:tcW w:w="1559" w:type="dxa"/>
            <w:tcBorders>
              <w:top w:val="single" w:color="auto" w:sz="4" w:space="0"/>
              <w:left w:val="single" w:color="auto" w:sz="4" w:space="0"/>
              <w:bottom w:val="single" w:color="auto" w:sz="4" w:space="0"/>
              <w:right w:val="single" w:color="auto" w:sz="4" w:space="0"/>
            </w:tcBorders>
            <w:vAlign w:val="center"/>
          </w:tcPr>
          <w:p w14:paraId="20866B8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知识产权</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6CCB2CB4">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6DDB6F13">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8E16258">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1559" w:type="dxa"/>
            <w:tcBorders>
              <w:top w:val="single" w:color="auto" w:sz="4" w:space="0"/>
              <w:left w:val="single" w:color="auto" w:sz="4" w:space="0"/>
              <w:bottom w:val="single" w:color="auto" w:sz="4" w:space="0"/>
              <w:right w:val="single" w:color="auto" w:sz="4" w:space="0"/>
            </w:tcBorders>
            <w:vAlign w:val="center"/>
          </w:tcPr>
          <w:p w14:paraId="0689F3E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59D3E5BF">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本项目的招标投标活动及其相关当事人应当接受有管辖权的建设工程招标投标行政监督部门依法实施的监督。</w:t>
            </w:r>
          </w:p>
        </w:tc>
      </w:tr>
      <w:tr w14:paraId="3D03B7AD">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E88495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1559" w:type="dxa"/>
            <w:tcBorders>
              <w:top w:val="single" w:color="auto" w:sz="4" w:space="0"/>
              <w:left w:val="single" w:color="auto" w:sz="4" w:space="0"/>
              <w:bottom w:val="single" w:color="auto" w:sz="4" w:space="0"/>
              <w:right w:val="single" w:color="auto" w:sz="4" w:space="0"/>
            </w:tcBorders>
            <w:vAlign w:val="center"/>
          </w:tcPr>
          <w:p w14:paraId="68F1AD6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解释权</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14746D0B">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ECFE93A">
        <w:tblPrEx>
          <w:tblCellMar>
            <w:top w:w="0" w:type="dxa"/>
            <w:left w:w="108" w:type="dxa"/>
            <w:bottom w:w="0" w:type="dxa"/>
            <w:right w:w="108" w:type="dxa"/>
          </w:tblCellMar>
        </w:tblPrEx>
        <w:trPr>
          <w:trHeight w:val="9138" w:hRule="atLeast"/>
        </w:trPr>
        <w:tc>
          <w:tcPr>
            <w:tcW w:w="959" w:type="dxa"/>
            <w:tcBorders>
              <w:top w:val="single" w:color="auto" w:sz="4" w:space="0"/>
              <w:left w:val="single" w:color="auto" w:sz="4" w:space="0"/>
              <w:right w:val="single" w:color="auto" w:sz="4" w:space="0"/>
            </w:tcBorders>
            <w:vAlign w:val="center"/>
          </w:tcPr>
          <w:p w14:paraId="4952352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w:t>
            </w:r>
          </w:p>
        </w:tc>
        <w:tc>
          <w:tcPr>
            <w:tcW w:w="1559" w:type="dxa"/>
            <w:tcBorders>
              <w:top w:val="single" w:color="auto" w:sz="4" w:space="0"/>
              <w:left w:val="single" w:color="auto" w:sz="4" w:space="0"/>
              <w:right w:val="single" w:color="auto" w:sz="4" w:space="0"/>
            </w:tcBorders>
            <w:vAlign w:val="center"/>
          </w:tcPr>
          <w:p w14:paraId="72E972D2">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被依法认定为投标人相互串通投标的或招标人与投标人串通投标的行为</w:t>
            </w:r>
          </w:p>
        </w:tc>
        <w:tc>
          <w:tcPr>
            <w:tcW w:w="7088" w:type="dxa"/>
            <w:gridSpan w:val="2"/>
            <w:tcBorders>
              <w:top w:val="single" w:color="auto" w:sz="4" w:space="0"/>
              <w:left w:val="single" w:color="auto" w:sz="4" w:space="0"/>
              <w:right w:val="single" w:color="auto" w:sz="4" w:space="0"/>
            </w:tcBorders>
            <w:vAlign w:val="center"/>
          </w:tcPr>
          <w:p w14:paraId="24CEFA79">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根据“广东省实施《中华人民共和国招标投标法》办法”</w:t>
            </w:r>
          </w:p>
          <w:p w14:paraId="441D0B1F">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1、第十六条 投标人之间不得有下列情形：</w:t>
            </w:r>
          </w:p>
          <w:p w14:paraId="30580C87">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（一）不同投标人编制的投标文件的实质性内容存在两处以上细节错误一致；</w:t>
            </w:r>
          </w:p>
          <w:p w14:paraId="18416A6A">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（二）不同投标人的投标文件由同一电子设备编制、打包加密或者上传， 不同投标人的投标文件由同一投标人的电子设备打印、复印；</w:t>
            </w:r>
          </w:p>
          <w:p w14:paraId="41E39231">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（三）不同投标人的投标文件由同一投标人送达或者分发；</w:t>
            </w:r>
          </w:p>
          <w:p w14:paraId="43FBE286">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（四）参加投标活动的人员为同一标段其他投标人的在职人员；</w:t>
            </w:r>
          </w:p>
          <w:p w14:paraId="59E68563">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（五）不同投标人的投标保证金从投标人各自的基本账户转出 ，但是， 所需资金来自同一单位或者个人账户；</w:t>
            </w:r>
          </w:p>
          <w:p w14:paraId="50B3302F">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（六）法律、行政法规规定的其他禁止情形。</w:t>
            </w:r>
          </w:p>
          <w:p w14:paraId="2806FB0E">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2、第十七条 招标人不得有下列情形：</w:t>
            </w:r>
          </w:p>
          <w:p w14:paraId="585DBB3F">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（一）招标人协助资格预审申请人或者投标人对其资格预审申请文件或者投标文件进行撤换 、修改；</w:t>
            </w:r>
          </w:p>
          <w:p w14:paraId="1DAD2E61">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（二）招标人直接或者间接向投标人或者投标人的利害关系人泄露获 取资格预审文件或者通过资格预审的申请人的名称 、数量或者资格审查情 况 ，泄露获取招标文件的潜在投标人的名称、数量或者评标等情况；</w:t>
            </w:r>
          </w:p>
          <w:p w14:paraId="46FEABA5">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（三）招标人以胁迫 、劝退 、利诱等方式 ，使特定投标人以外的其他 投标人放弃投标或者中标人放弃中标；</w:t>
            </w:r>
          </w:p>
          <w:p w14:paraId="11B8252B">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（四）法律、行政法规规定的其他禁止情形。</w:t>
            </w:r>
          </w:p>
          <w:p w14:paraId="4BFA6F1C">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3、第三十三条 有本办法第十六条、第十七条所列情形之一，被依法认定为投标人相互串通投标或者招标人与投标人串通投标的，依照《中华人民共和国招标投标法》第五十二条、第五十三条、《中华人民共和国招标投标法实施条例》第六十七条的规定处罚。</w:t>
            </w:r>
          </w:p>
        </w:tc>
      </w:tr>
      <w:tr w14:paraId="2E7862D4">
        <w:tblPrEx>
          <w:tblCellMar>
            <w:top w:w="0" w:type="dxa"/>
            <w:left w:w="108" w:type="dxa"/>
            <w:bottom w:w="0" w:type="dxa"/>
            <w:right w:w="108" w:type="dxa"/>
          </w:tblCellMar>
        </w:tblPrEx>
        <w:trPr>
          <w:trHeight w:val="312" w:hRule="atLeast"/>
        </w:trPr>
        <w:tc>
          <w:tcPr>
            <w:tcW w:w="959" w:type="dxa"/>
            <w:vMerge w:val="restart"/>
            <w:tcBorders>
              <w:left w:val="single" w:color="auto" w:sz="4" w:space="0"/>
              <w:right w:val="single" w:color="auto" w:sz="4" w:space="0"/>
            </w:tcBorders>
            <w:vAlign w:val="center"/>
          </w:tcPr>
          <w:p w14:paraId="1E71A1B3">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10.9</w:t>
            </w:r>
          </w:p>
        </w:tc>
        <w:tc>
          <w:tcPr>
            <w:tcW w:w="1559" w:type="dxa"/>
            <w:vMerge w:val="restart"/>
            <w:tcBorders>
              <w:left w:val="single" w:color="auto" w:sz="4" w:space="0"/>
              <w:right w:val="single" w:color="auto" w:sz="4" w:space="0"/>
            </w:tcBorders>
            <w:vAlign w:val="center"/>
          </w:tcPr>
          <w:p w14:paraId="65C80528">
            <w:pPr>
              <w:spacing w:line="38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特殊情况处理</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55E702E7">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因下列情形导致电子交易系统无法正常运行，影响招标投标活动公平、公正和信息安全的，视为特殊情况：</w:t>
            </w:r>
          </w:p>
          <w:p w14:paraId="5FA13AC4">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（一）网络、招标投标相关的软件或硬件故障而无法访问或无法使用的；</w:t>
            </w:r>
          </w:p>
          <w:p w14:paraId="5A4E01B4">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（二）网络攻击、病毒入侵或发现电子交易系统存在严重安全漏洞等导致无法提供正常服务的；</w:t>
            </w:r>
          </w:p>
          <w:p w14:paraId="16806386">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（三）电力系统故障供电中断导致电子交易系统无法运行的；</w:t>
            </w:r>
          </w:p>
          <w:p w14:paraId="6F169516">
            <w:pPr>
              <w:spacing w:line="380" w:lineRule="exact"/>
              <w:ind w:firstLine="482" w:firstLineChars="23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（四）其他无</w:t>
            </w:r>
            <w:r>
              <w:rPr>
                <w:rFonts w:hint="eastAsia" w:ascii="仿宋" w:hAnsi="仿宋" w:eastAsia="仿宋" w:cs="仿宋"/>
                <w:color w:val="auto"/>
                <w:highlight w:val="none"/>
              </w:rPr>
              <w:t>法保证招标投标活动公平、公正和信息安全的。</w:t>
            </w:r>
          </w:p>
        </w:tc>
      </w:tr>
      <w:tr w14:paraId="5B450393">
        <w:tblPrEx>
          <w:tblCellMar>
            <w:top w:w="0" w:type="dxa"/>
            <w:left w:w="108" w:type="dxa"/>
            <w:bottom w:w="0" w:type="dxa"/>
            <w:right w:w="108" w:type="dxa"/>
          </w:tblCellMar>
        </w:tblPrEx>
        <w:trPr>
          <w:trHeight w:val="489" w:hRule="atLeast"/>
        </w:trPr>
        <w:tc>
          <w:tcPr>
            <w:tcW w:w="959" w:type="dxa"/>
            <w:vMerge w:val="continue"/>
            <w:tcBorders>
              <w:left w:val="single" w:color="auto" w:sz="4" w:space="0"/>
              <w:right w:val="single" w:color="auto" w:sz="4" w:space="0"/>
            </w:tcBorders>
            <w:vAlign w:val="center"/>
          </w:tcPr>
          <w:p w14:paraId="5C5CF8A1">
            <w:pPr>
              <w:spacing w:line="380" w:lineRule="exact"/>
              <w:jc w:val="center"/>
              <w:rPr>
                <w:rFonts w:hint="eastAsia" w:ascii="仿宋" w:hAnsi="仿宋" w:eastAsia="仿宋" w:cs="仿宋"/>
                <w:color w:val="auto"/>
                <w:szCs w:val="21"/>
                <w:highlight w:val="none"/>
              </w:rPr>
            </w:pPr>
          </w:p>
        </w:tc>
        <w:tc>
          <w:tcPr>
            <w:tcW w:w="1559" w:type="dxa"/>
            <w:vMerge w:val="continue"/>
            <w:tcBorders>
              <w:left w:val="single" w:color="auto" w:sz="4" w:space="0"/>
              <w:right w:val="single" w:color="auto" w:sz="4" w:space="0"/>
            </w:tcBorders>
            <w:vAlign w:val="center"/>
          </w:tcPr>
          <w:p w14:paraId="22DB53FA">
            <w:pPr>
              <w:spacing w:line="380" w:lineRule="exact"/>
              <w:jc w:val="center"/>
              <w:rPr>
                <w:rFonts w:hint="eastAsia" w:ascii="仿宋" w:hAnsi="仿宋" w:eastAsia="仿宋" w:cs="仿宋"/>
                <w:color w:val="auto"/>
                <w:kern w:val="0"/>
                <w:szCs w:val="21"/>
                <w:highlight w:val="none"/>
              </w:rPr>
            </w:pPr>
          </w:p>
        </w:tc>
        <w:tc>
          <w:tcPr>
            <w:tcW w:w="992" w:type="dxa"/>
            <w:vMerge w:val="restart"/>
            <w:tcBorders>
              <w:top w:val="single" w:color="auto" w:sz="4" w:space="0"/>
              <w:left w:val="single" w:color="auto" w:sz="4" w:space="0"/>
              <w:right w:val="single" w:color="auto" w:sz="4" w:space="0"/>
            </w:tcBorders>
            <w:vAlign w:val="center"/>
          </w:tcPr>
          <w:p w14:paraId="6833A13B">
            <w:pPr>
              <w:autoSpaceDE w:val="0"/>
              <w:autoSpaceDN w:val="0"/>
              <w:adjustRightInd w:val="0"/>
              <w:spacing w:line="38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发生特殊情况时的补救方案</w:t>
            </w:r>
          </w:p>
        </w:tc>
        <w:tc>
          <w:tcPr>
            <w:tcW w:w="6096" w:type="dxa"/>
            <w:tcBorders>
              <w:top w:val="single" w:color="auto" w:sz="4" w:space="0"/>
              <w:left w:val="single" w:color="auto" w:sz="4" w:space="0"/>
              <w:bottom w:val="single" w:color="auto" w:sz="4" w:space="0"/>
              <w:right w:val="single" w:color="auto" w:sz="4" w:space="0"/>
            </w:tcBorders>
            <w:vAlign w:val="center"/>
          </w:tcPr>
          <w:p w14:paraId="567CC80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业和信息化部、监察部、住房城乡建设部、交通运输部、铁道部、水利部、商务部令第20号发布）和《广东省工程建设项目电子招标投标交易规则的通知》（粤发改规〔2023〕1号）规定，各投标人参加线上开标会时需要准备非加密电子投标文件，当投标人上传到云浮市公共资源交易服务平台的投标文件出现解密失败时，会议组织方接受投标人重新上传与投标截止时间前提交加密投标文件一致的非加密投标文件（投标人须在30分钟内有效提交到云浮市公共资源交易服务平台），参与开标和评标；未在限时内有效提交非加密电子投标文件到云浮市公共资源交易服务平台的，视同放弃投标文件解密失败补救权利。所上传的电子投标文件必须与在线投标时的电子投标文件完全一致，如果重新上传的非加密电子投标文件计算的“哈希摘要”与系统存储的“哈希摘要”不相同，系统将拒收；各投标人对其提供的非加密投标文件与投标截止时间前提交加密投标文件一致性、真实性、有效性、合法性负责，并无条件认可和接受非加密投标文件的全部内容。</w:t>
            </w:r>
          </w:p>
        </w:tc>
      </w:tr>
      <w:tr w14:paraId="07352D43">
        <w:tblPrEx>
          <w:tblCellMar>
            <w:top w:w="0" w:type="dxa"/>
            <w:left w:w="108" w:type="dxa"/>
            <w:bottom w:w="0" w:type="dxa"/>
            <w:right w:w="108" w:type="dxa"/>
          </w:tblCellMar>
        </w:tblPrEx>
        <w:trPr>
          <w:trHeight w:val="26" w:hRule="atLeast"/>
        </w:trPr>
        <w:tc>
          <w:tcPr>
            <w:tcW w:w="959" w:type="dxa"/>
            <w:vMerge w:val="continue"/>
            <w:tcBorders>
              <w:left w:val="single" w:color="auto" w:sz="4" w:space="0"/>
              <w:bottom w:val="single" w:color="auto" w:sz="4" w:space="0"/>
              <w:right w:val="single" w:color="auto" w:sz="4" w:space="0"/>
            </w:tcBorders>
            <w:vAlign w:val="center"/>
          </w:tcPr>
          <w:p w14:paraId="59A39E4C">
            <w:pPr>
              <w:spacing w:line="380" w:lineRule="exact"/>
              <w:jc w:val="center"/>
              <w:rPr>
                <w:rFonts w:hint="eastAsia" w:ascii="仿宋" w:hAnsi="仿宋" w:eastAsia="仿宋" w:cs="仿宋"/>
                <w:color w:val="auto"/>
                <w:szCs w:val="21"/>
                <w:highlight w:val="none"/>
              </w:rPr>
            </w:pPr>
          </w:p>
        </w:tc>
        <w:tc>
          <w:tcPr>
            <w:tcW w:w="1559" w:type="dxa"/>
            <w:vMerge w:val="continue"/>
            <w:tcBorders>
              <w:left w:val="single" w:color="auto" w:sz="4" w:space="0"/>
              <w:bottom w:val="single" w:color="auto" w:sz="4" w:space="0"/>
              <w:right w:val="single" w:color="auto" w:sz="4" w:space="0"/>
            </w:tcBorders>
            <w:vAlign w:val="center"/>
          </w:tcPr>
          <w:p w14:paraId="7BF2D678">
            <w:pPr>
              <w:spacing w:line="380" w:lineRule="exact"/>
              <w:jc w:val="center"/>
              <w:rPr>
                <w:rFonts w:hint="eastAsia" w:ascii="仿宋" w:hAnsi="仿宋" w:eastAsia="仿宋" w:cs="仿宋"/>
                <w:color w:val="auto"/>
                <w:kern w:val="0"/>
                <w:szCs w:val="21"/>
                <w:highlight w:val="none"/>
              </w:rPr>
            </w:pPr>
          </w:p>
        </w:tc>
        <w:tc>
          <w:tcPr>
            <w:tcW w:w="992" w:type="dxa"/>
            <w:vMerge w:val="continue"/>
            <w:tcBorders>
              <w:left w:val="single" w:color="auto" w:sz="4" w:space="0"/>
              <w:bottom w:val="single" w:color="auto" w:sz="4" w:space="0"/>
              <w:right w:val="single" w:color="auto" w:sz="4" w:space="0"/>
            </w:tcBorders>
            <w:vAlign w:val="center"/>
          </w:tcPr>
          <w:p w14:paraId="48384C14">
            <w:pPr>
              <w:autoSpaceDE w:val="0"/>
              <w:autoSpaceDN w:val="0"/>
              <w:adjustRightInd w:val="0"/>
              <w:spacing w:line="380" w:lineRule="exact"/>
              <w:jc w:val="left"/>
              <w:rPr>
                <w:rFonts w:hint="eastAsia" w:ascii="仿宋" w:hAnsi="仿宋" w:eastAsia="仿宋" w:cs="仿宋"/>
                <w:color w:val="auto"/>
                <w:kern w:val="0"/>
                <w:szCs w:val="21"/>
                <w:highlight w:val="none"/>
              </w:rPr>
            </w:pPr>
          </w:p>
        </w:tc>
        <w:tc>
          <w:tcPr>
            <w:tcW w:w="6096" w:type="dxa"/>
            <w:tcBorders>
              <w:top w:val="single" w:color="auto" w:sz="4" w:space="0"/>
              <w:left w:val="single" w:color="auto" w:sz="4" w:space="0"/>
              <w:bottom w:val="single" w:color="auto" w:sz="4" w:space="0"/>
              <w:right w:val="single" w:color="auto" w:sz="4" w:space="0"/>
            </w:tcBorders>
            <w:vAlign w:val="center"/>
          </w:tcPr>
          <w:p w14:paraId="6CFEBA1B">
            <w:pPr>
              <w:autoSpaceDE w:val="0"/>
              <w:autoSpaceDN w:val="0"/>
              <w:adjustRightInd w:val="0"/>
              <w:spacing w:line="3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投标保证金补救方案：</w:t>
            </w:r>
          </w:p>
          <w:p w14:paraId="1CBFA3E6">
            <w:pPr>
              <w:autoSpaceDE w:val="0"/>
              <w:autoSpaceDN w:val="0"/>
              <w:adjustRightInd w:val="0"/>
              <w:spacing w:line="3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电子保函查验（解密）失败的，以电子投标文件提交的保证金资料为准进行评审；电子投标文件中未提交保证金或其他相关凭证材料的，以电子保函平台电子保函查询结果或银行转账到账查询为准进行评审。</w:t>
            </w:r>
          </w:p>
        </w:tc>
      </w:tr>
      <w:tr w14:paraId="4D08A5A0">
        <w:tblPrEx>
          <w:tblCellMar>
            <w:top w:w="0" w:type="dxa"/>
            <w:left w:w="108" w:type="dxa"/>
            <w:bottom w:w="0" w:type="dxa"/>
            <w:right w:w="108" w:type="dxa"/>
          </w:tblCellMar>
        </w:tblPrEx>
        <w:trPr>
          <w:trHeight w:val="26" w:hRule="atLeast"/>
        </w:trPr>
        <w:tc>
          <w:tcPr>
            <w:tcW w:w="959" w:type="dxa"/>
            <w:tcBorders>
              <w:top w:val="single" w:color="auto" w:sz="4" w:space="0"/>
              <w:left w:val="single" w:color="auto" w:sz="4" w:space="0"/>
              <w:bottom w:val="single" w:color="auto" w:sz="4" w:space="0"/>
              <w:right w:val="single" w:color="auto" w:sz="4" w:space="0"/>
            </w:tcBorders>
            <w:vAlign w:val="center"/>
          </w:tcPr>
          <w:p w14:paraId="10DCF1A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10.10</w:t>
            </w:r>
          </w:p>
        </w:tc>
        <w:tc>
          <w:tcPr>
            <w:tcW w:w="1559" w:type="dxa"/>
            <w:tcBorders>
              <w:top w:val="single" w:color="auto" w:sz="4" w:space="0"/>
              <w:left w:val="single" w:color="auto" w:sz="4" w:space="0"/>
              <w:bottom w:val="single" w:color="auto" w:sz="4" w:space="0"/>
              <w:right w:val="single" w:color="auto" w:sz="4" w:space="0"/>
            </w:tcBorders>
            <w:vAlign w:val="center"/>
          </w:tcPr>
          <w:p w14:paraId="597EF5C9">
            <w:pPr>
              <w:spacing w:line="380" w:lineRule="exact"/>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相关费用</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0F9B089F">
            <w:pPr>
              <w:spacing w:line="38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招标代理服务费：本招标项目的招标代理费由中标单位支付，参照《国家发展改革委关于降低部分建设项目收费标准规模收费行为等有关问题的通知》(发改价格[2011]534号)文件收费标准计算，投标单位在投标报价时需充分考虑投标报价成本。</w:t>
            </w:r>
          </w:p>
          <w:p w14:paraId="4BA329A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2.交易服务费：</w:t>
            </w:r>
            <w:r>
              <w:rPr>
                <w:rFonts w:hint="eastAsia" w:ascii="仿宋" w:hAnsi="仿宋" w:eastAsia="仿宋" w:cs="仿宋"/>
                <w:color w:val="auto"/>
                <w:szCs w:val="21"/>
                <w:highlight w:val="none"/>
              </w:rPr>
              <w:t>本招标项目的广州公共资源交易中心交易服务费由中标单位支付，按广州公共资源交易中心规定计算，投标单位在投标报价时需充分考虑投标报价成本。</w:t>
            </w:r>
          </w:p>
        </w:tc>
      </w:tr>
    </w:tbl>
    <w:p w14:paraId="269D7142">
      <w:pPr>
        <w:spacing w:line="400" w:lineRule="exact"/>
        <w:rPr>
          <w:rFonts w:hint="eastAsia" w:ascii="仿宋" w:hAnsi="仿宋" w:eastAsia="仿宋" w:cs="仿宋"/>
          <w:b/>
          <w:color w:val="auto"/>
          <w:highlight w:val="none"/>
        </w:rPr>
      </w:pPr>
      <w:r>
        <w:rPr>
          <w:rFonts w:ascii="宋体" w:hAnsi="宋体"/>
          <w:color w:val="auto"/>
          <w:highlight w:val="none"/>
        </w:rPr>
        <w:br w:type="page"/>
      </w:r>
      <w:bookmarkEnd w:id="6"/>
      <w:bookmarkStart w:id="13" w:name="_Toc312152008"/>
      <w:bookmarkStart w:id="14" w:name="_Toc16400"/>
      <w:bookmarkStart w:id="15" w:name="_Toc271664478"/>
      <w:r>
        <w:rPr>
          <w:rFonts w:hint="eastAsia" w:ascii="仿宋" w:hAnsi="仿宋" w:eastAsia="仿宋" w:cs="仿宋"/>
          <w:b/>
          <w:color w:val="auto"/>
          <w:highlight w:val="none"/>
        </w:rPr>
        <w:t>1. 总则</w:t>
      </w:r>
    </w:p>
    <w:p w14:paraId="4F7441CC">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1.1招标项目概况</w:t>
      </w:r>
    </w:p>
    <w:p w14:paraId="6502410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1.1.1根据《中华人民共和国招标投标法》、《中华人民共和国招标投标法实施条例》等有关法律、法规和规章的规定，本招标项目已具备招标条件，现对</w:t>
      </w:r>
      <w:r>
        <w:rPr>
          <w:rFonts w:hint="eastAsia" w:ascii="仿宋" w:hAnsi="仿宋" w:eastAsia="仿宋" w:cs="仿宋"/>
          <w:color w:val="auto"/>
          <w:szCs w:val="21"/>
          <w:highlight w:val="none"/>
          <w:lang w:val="en-US" w:eastAsia="zh-CN"/>
        </w:rPr>
        <w:t>勘察、初步</w:t>
      </w:r>
      <w:r>
        <w:rPr>
          <w:rFonts w:hint="eastAsia" w:ascii="仿宋" w:hAnsi="仿宋" w:eastAsia="仿宋" w:cs="仿宋"/>
          <w:color w:val="auto"/>
          <w:szCs w:val="21"/>
          <w:highlight w:val="none"/>
        </w:rPr>
        <w:t>设计进行招标。</w:t>
      </w:r>
    </w:p>
    <w:p w14:paraId="2E19A10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1.1.2招标人：见投标人须知前附表。</w:t>
      </w:r>
    </w:p>
    <w:p w14:paraId="2202DB7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1.1.3招标代理机构：见投标人须知前附表。</w:t>
      </w:r>
    </w:p>
    <w:p w14:paraId="5B8681F2">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1.1.4招标项目名称：见投标人须知前附表。</w:t>
      </w:r>
    </w:p>
    <w:p w14:paraId="5A95C40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1.1.5项目建设地点：见投标人须知前附表。</w:t>
      </w:r>
    </w:p>
    <w:p w14:paraId="17BD28A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1.1.6项目建设规模：见投标人须知前附表。</w:t>
      </w:r>
    </w:p>
    <w:p w14:paraId="0E42C9D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1.1.7项目投资估算：见投标人须知前附表。</w:t>
      </w:r>
    </w:p>
    <w:p w14:paraId="0AE9F4F2">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1.2招标项目的资金来源和落实情况</w:t>
      </w:r>
    </w:p>
    <w:p w14:paraId="1FB92B42">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1.2.1资金来源及比例：见投标人须知前附表。</w:t>
      </w:r>
    </w:p>
    <w:p w14:paraId="0A829CC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1.2.2资金落实情况：见投标人须知前附表。</w:t>
      </w:r>
    </w:p>
    <w:p w14:paraId="2F4B61A3">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1.3招标范围、服务期限和质量标准</w:t>
      </w:r>
    </w:p>
    <w:p w14:paraId="7D11A832">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1.3.1招标范围：见投标人须知前附表。</w:t>
      </w:r>
    </w:p>
    <w:p w14:paraId="025CC9E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w:t>
      </w:r>
      <w:r>
        <w:rPr>
          <w:rFonts w:hint="eastAsia" w:ascii="仿宋" w:hAnsi="仿宋" w:eastAsia="仿宋" w:cs="仿宋"/>
          <w:color w:val="auto"/>
          <w:szCs w:val="21"/>
          <w:highlight w:val="none"/>
          <w:lang w:val="en-US" w:eastAsia="zh-CN"/>
        </w:rPr>
        <w:t>勘察、</w:t>
      </w:r>
      <w:r>
        <w:rPr>
          <w:rFonts w:hint="eastAsia" w:ascii="仿宋" w:hAnsi="仿宋" w:eastAsia="仿宋" w:cs="仿宋"/>
          <w:color w:val="auto"/>
          <w:szCs w:val="21"/>
          <w:highlight w:val="none"/>
        </w:rPr>
        <w:t>设计服务期限：见投标人须知前附表。</w:t>
      </w:r>
    </w:p>
    <w:p w14:paraId="5EAE3B1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1.3.3质量标准：见投标人须知前附表。</w:t>
      </w:r>
    </w:p>
    <w:p w14:paraId="45498806">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1.4投标人资格要求</w:t>
      </w:r>
    </w:p>
    <w:p w14:paraId="28BD550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1.4.1投标人应具备承担本招标项目资质条件、能力和信誉：</w:t>
      </w:r>
    </w:p>
    <w:p w14:paraId="6BEFFE8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（1）资质要求：见投标人须知前附表；</w:t>
      </w:r>
    </w:p>
    <w:p w14:paraId="32D16EB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（2）财务要求：见投标人须知前附表；</w:t>
      </w:r>
    </w:p>
    <w:p w14:paraId="4DD59C5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（3）业绩要求：见投标人须知前附表；</w:t>
      </w:r>
    </w:p>
    <w:p w14:paraId="6BE1314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（4）信誉要求：见投标人须知前附表；</w:t>
      </w:r>
    </w:p>
    <w:p w14:paraId="48AC54E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（5）项目负责人的资格要求：具体要求见投标人须知前附表；</w:t>
      </w:r>
    </w:p>
    <w:p w14:paraId="4AD81E7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（6）其他主要人员要求：见投标人须知前附表；</w:t>
      </w:r>
    </w:p>
    <w:p w14:paraId="4234D2BB">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（7）其他要求：见投标人须知前附表。</w:t>
      </w:r>
    </w:p>
    <w:p w14:paraId="60634A6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1.4.2投标人须知前附表规定接受联合体投标的，联合体除应符合本章第1.4.1项和投标人须知前附表的要求外，还应遵守以下规定：</w:t>
      </w:r>
    </w:p>
    <w:p w14:paraId="4C939E4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（1）联合体各方应按招标文件提供的格式签订联合体协议书，明确联合体牵头人和各方权利义务，并承诺就中标项目向招标人承担连带责任；</w:t>
      </w:r>
    </w:p>
    <w:p w14:paraId="136293C0">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（2）由同一专业的单位组成的联合体，按照资质等级较低的单位确定资质等级；</w:t>
      </w:r>
    </w:p>
    <w:p w14:paraId="3F0A43D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（3）联合体各方不得再以自己名义单独或参加其他联合体在本招标项目中投标，否则各相关投标均无效。</w:t>
      </w:r>
    </w:p>
    <w:p w14:paraId="1DB1095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1.4.3投标人不得存在下列情形之一：</w:t>
      </w:r>
    </w:p>
    <w:p w14:paraId="1C9058F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（1）为招标人不具有独立法人资格的附属机构（单位）；</w:t>
      </w:r>
    </w:p>
    <w:p w14:paraId="2D0235C2">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（2）与招标人存在利害关系且可能影响招标公正性；</w:t>
      </w:r>
    </w:p>
    <w:p w14:paraId="063C7CD5">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（3）与本招标项目的其他投标人为同一个单位负责人；</w:t>
      </w:r>
    </w:p>
    <w:p w14:paraId="4CA37C7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（4）与本招标项目的其他投标人存在控股、管理关系；</w:t>
      </w:r>
    </w:p>
    <w:p w14:paraId="3D8E185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（5）为本招标项目的代建人；</w:t>
      </w:r>
    </w:p>
    <w:p w14:paraId="423C7352">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（6）为本招标项目的招标代理机构；</w:t>
      </w:r>
    </w:p>
    <w:p w14:paraId="7B241B83">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（7）与本招标项目的代建人或招标代理机构同为一个法定代表人；</w:t>
      </w:r>
    </w:p>
    <w:p w14:paraId="77B1F232">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（8）与本招标项目的代建人或招标代理机构存在控股或参股关系；</w:t>
      </w:r>
    </w:p>
    <w:p w14:paraId="19A87530">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（9）被依法暂停或者取消投标资格；</w:t>
      </w:r>
    </w:p>
    <w:p w14:paraId="078F2DB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（10）被责令停产停业、暂扣或者吊销许可证、暂扣或者吊销执照；</w:t>
      </w:r>
    </w:p>
    <w:p w14:paraId="242EA0F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（11）进入清算程序，或</w:t>
      </w:r>
      <w:r>
        <w:rPr>
          <w:rFonts w:hint="eastAsia" w:ascii="仿宋" w:hAnsi="仿宋" w:eastAsia="仿宋" w:cs="仿宋"/>
          <w:bCs/>
          <w:color w:val="auto"/>
          <w:szCs w:val="21"/>
          <w:highlight w:val="none"/>
          <w:lang w:val="zh-TW"/>
        </w:rPr>
        <w:t>财产被接管、冻结，</w:t>
      </w:r>
      <w:r>
        <w:rPr>
          <w:rFonts w:hint="eastAsia" w:ascii="仿宋" w:hAnsi="仿宋" w:eastAsia="仿宋" w:cs="仿宋"/>
          <w:color w:val="auto"/>
          <w:szCs w:val="21"/>
          <w:highlight w:val="none"/>
        </w:rPr>
        <w:t>或被宣告破产，或其他丧失履约能力的情形；</w:t>
      </w:r>
    </w:p>
    <w:p w14:paraId="7A273FC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bCs/>
          <w:color w:val="auto"/>
          <w:szCs w:val="21"/>
          <w:highlight w:val="none"/>
          <w:lang w:val="zh-TW"/>
        </w:rPr>
        <w:t>在最近三年内发生重大设计质量问题（以相关行业主管部门的行政处罚决定或司法机关出具的有关法律文书为准）；</w:t>
      </w:r>
    </w:p>
    <w:p w14:paraId="45F375D3">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（13）被工商行政管理机关在全国企业信用信息公示系统中列入严重违法失信企业名单；</w:t>
      </w:r>
    </w:p>
    <w:p w14:paraId="73B64F21">
      <w:pPr>
        <w:spacing w:line="380" w:lineRule="exact"/>
        <w:ind w:firstLine="420" w:firstLineChars="200"/>
        <w:rPr>
          <w:rFonts w:hint="eastAsia" w:ascii="仿宋" w:hAnsi="仿宋" w:eastAsia="仿宋" w:cs="仿宋"/>
          <w:bCs/>
          <w:color w:val="auto"/>
          <w:szCs w:val="21"/>
          <w:highlight w:val="none"/>
          <w:lang w:val="zh-TW"/>
        </w:rPr>
      </w:pPr>
      <w:r>
        <w:rPr>
          <w:rFonts w:hint="eastAsia" w:ascii="仿宋" w:hAnsi="仿宋" w:eastAsia="仿宋" w:cs="仿宋"/>
          <w:color w:val="auto"/>
          <w:szCs w:val="21"/>
          <w:highlight w:val="none"/>
        </w:rPr>
        <w:t>（14）</w:t>
      </w:r>
      <w:r>
        <w:rPr>
          <w:rFonts w:hint="eastAsia" w:ascii="仿宋" w:hAnsi="仿宋" w:eastAsia="仿宋" w:cs="仿宋"/>
          <w:bCs/>
          <w:color w:val="auto"/>
          <w:szCs w:val="21"/>
          <w:highlight w:val="none"/>
          <w:lang w:val="zh-TW" w:eastAsia="zh-TW"/>
        </w:rPr>
        <w:t>被列入失信被执行人黑名单，须</w:t>
      </w:r>
      <w:r>
        <w:rPr>
          <w:rFonts w:hint="eastAsia" w:ascii="仿宋" w:hAnsi="仿宋" w:eastAsia="仿宋" w:cs="仿宋"/>
          <w:bCs/>
          <w:color w:val="auto"/>
          <w:szCs w:val="21"/>
          <w:highlight w:val="none"/>
          <w:lang w:val="zh-TW"/>
        </w:rPr>
        <w:t>提供</w:t>
      </w:r>
      <w:r>
        <w:rPr>
          <w:rFonts w:hint="eastAsia" w:ascii="仿宋" w:hAnsi="仿宋" w:eastAsia="仿宋" w:cs="仿宋"/>
          <w:bCs/>
          <w:color w:val="auto"/>
          <w:szCs w:val="21"/>
          <w:highlight w:val="none"/>
          <w:lang w:val="zh-TW" w:eastAsia="zh-TW"/>
        </w:rPr>
        <w:t>在“中国执行信息公开网”的网页截图或网页打印件</w:t>
      </w:r>
      <w:r>
        <w:rPr>
          <w:rFonts w:hint="eastAsia" w:ascii="仿宋" w:hAnsi="仿宋" w:eastAsia="仿宋" w:cs="仿宋"/>
          <w:bCs/>
          <w:color w:val="auto"/>
          <w:szCs w:val="21"/>
          <w:highlight w:val="none"/>
          <w:lang w:val="zh-TW"/>
        </w:rPr>
        <w:t>；</w:t>
      </w:r>
    </w:p>
    <w:p w14:paraId="17EBB43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（15）法律法规或投标人须知前附表规定的其他情形。</w:t>
      </w:r>
    </w:p>
    <w:p w14:paraId="66F1CC6B">
      <w:pPr>
        <w:spacing w:line="380" w:lineRule="exact"/>
        <w:ind w:firstLine="420" w:firstLineChars="200"/>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eastAsia="zh-TW"/>
        </w:rPr>
        <w:t>1.4.4</w:t>
      </w:r>
      <w:r>
        <w:rPr>
          <w:rFonts w:hint="eastAsia" w:ascii="仿宋" w:hAnsi="仿宋" w:eastAsia="仿宋" w:cs="仿宋"/>
          <w:bCs/>
          <w:color w:val="auto"/>
          <w:szCs w:val="21"/>
          <w:highlight w:val="none"/>
          <w:lang w:val="zh-TW"/>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7D8D4979">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1.5费用承担</w:t>
      </w:r>
    </w:p>
    <w:p w14:paraId="6262C87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投标人准备和参加投标活动发生的费用自理。</w:t>
      </w:r>
    </w:p>
    <w:p w14:paraId="1ABA7C04">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1.6保密</w:t>
      </w:r>
    </w:p>
    <w:p w14:paraId="1708E33B">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参与招标投标活动的各方应对招标文件和投标文件中的商业和技术等秘密保密，否则应承担相应的法律责任。</w:t>
      </w:r>
    </w:p>
    <w:p w14:paraId="37C8CA85">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1.7语言文字</w:t>
      </w:r>
    </w:p>
    <w:p w14:paraId="272207C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招标投标文件使用的语言文字为中文。专用术语使用外文的，应附有中文注释。</w:t>
      </w:r>
    </w:p>
    <w:p w14:paraId="6178DDFB">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1.8计量单位</w:t>
      </w:r>
    </w:p>
    <w:p w14:paraId="0BFC2AF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所有计量均采用中华人民共和国法定计量单位。</w:t>
      </w:r>
    </w:p>
    <w:p w14:paraId="50737453">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1.9踏勘现场</w:t>
      </w:r>
    </w:p>
    <w:p w14:paraId="00EE8237">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1.9.1投标人须知前附表规定组织踏勘现场的，招标人按投标人须知前附表规定的时间、地点组织投标人踏勘项目现场。部分投标人未按时参加踏勘现场的，不影响踏勘现场的正常进行。</w:t>
      </w:r>
    </w:p>
    <w:p w14:paraId="763582A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1.9.2投标人踏勘现场发生的费用自理。</w:t>
      </w:r>
    </w:p>
    <w:p w14:paraId="635266E7">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1.9.3除招标人的原因外，投标人自行负责在踏勘现场中所发生的人员伤亡和财产损失。</w:t>
      </w:r>
    </w:p>
    <w:p w14:paraId="7A09530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1.9.4招标人在踏勘现场中介绍的工程场地和相关的周边环境情况，供投标人在编制投标文件时参考，招标人不对投标人据此作出的判断和决策负责。</w:t>
      </w:r>
    </w:p>
    <w:p w14:paraId="5BAB8684">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1.10投标预备会</w:t>
      </w:r>
    </w:p>
    <w:p w14:paraId="15C01345">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1.10.1投标人须知前附表规定召开投标预备会的，招标人按投标人须知前附表规定的时间和地点召开投标预备会，澄清投标人提出的问题。</w:t>
      </w:r>
    </w:p>
    <w:p w14:paraId="68C67B3A">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1.10.2投标人应按投标人须知前附表规定的时间和形式将提出的问题送达招标人，以便招标人在会议期间澄清。</w:t>
      </w:r>
    </w:p>
    <w:p w14:paraId="4E58B22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1.10.3投标预备会后，招标人将对投标人所提问题的澄清，以投标人须知前附表规定的形式通知所有购买招标文件的投标人。该澄清内容为招标文件的组成部分。</w:t>
      </w:r>
    </w:p>
    <w:p w14:paraId="7609AFED">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1.11分包</w:t>
      </w:r>
    </w:p>
    <w:p w14:paraId="33DB9B9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58521D0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1.11.2中标人不得向他人转让中标项目，接受分包的人不得再次分包。中标人应当就分包项目向招标人负责，接受分包的人就分包项目承担连带责任。</w:t>
      </w:r>
    </w:p>
    <w:p w14:paraId="1231E200">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1.12响应和偏差</w:t>
      </w:r>
    </w:p>
    <w:p w14:paraId="315FB25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1.12.1投标文件应当对招标文件的实质性要求和条件作出满足性或更有利于招标人的响应，否则，投标人的投标将被否决。实质性要求和条件见投标人须知前附表。</w:t>
      </w:r>
    </w:p>
    <w:p w14:paraId="64636A7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1.12.2投标人应根据招标文件的要求提供投标设计方案等内容以对招标文件作出响应。</w:t>
      </w:r>
    </w:p>
    <w:p w14:paraId="6DD71A70">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1.12.3投标人须知前附表允许投标文件偏离招标文件某些要求的，偏差应当符合招标文件规定的偏差范围和幅度。</w:t>
      </w:r>
    </w:p>
    <w:p w14:paraId="7DADCE54">
      <w:pPr>
        <w:pStyle w:val="3"/>
        <w:rPr>
          <w:rFonts w:hint="eastAsia" w:ascii="仿宋" w:hAnsi="仿宋" w:eastAsia="仿宋" w:cs="仿宋"/>
          <w:color w:val="auto"/>
          <w:highlight w:val="none"/>
        </w:rPr>
      </w:pPr>
      <w:bookmarkStart w:id="16" w:name="_Toc147744261"/>
      <w:bookmarkStart w:id="17" w:name="_Toc15973"/>
      <w:bookmarkStart w:id="18" w:name="_Toc52095667"/>
      <w:bookmarkStart w:id="19" w:name="_Toc271416711"/>
      <w:r>
        <w:rPr>
          <w:rFonts w:hint="eastAsia" w:ascii="仿宋" w:hAnsi="仿宋" w:eastAsia="仿宋" w:cs="仿宋"/>
          <w:color w:val="auto"/>
          <w:highlight w:val="none"/>
        </w:rPr>
        <w:t>2．招标文件</w:t>
      </w:r>
      <w:bookmarkEnd w:id="16"/>
      <w:bookmarkEnd w:id="17"/>
      <w:bookmarkEnd w:id="18"/>
      <w:bookmarkEnd w:id="19"/>
    </w:p>
    <w:p w14:paraId="0407F283">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2.1招标文件的组成</w:t>
      </w:r>
    </w:p>
    <w:p w14:paraId="3B9D9CAE">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2.1.1本招标文件包括：</w:t>
      </w:r>
    </w:p>
    <w:p w14:paraId="73E57EFB">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（1）招标公告；</w:t>
      </w:r>
    </w:p>
    <w:p w14:paraId="4FD277D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（2）投标人须知；</w:t>
      </w:r>
    </w:p>
    <w:p w14:paraId="30AEFF4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（3）评标办法；</w:t>
      </w:r>
    </w:p>
    <w:p w14:paraId="144E881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（4）合同条款及格式；</w:t>
      </w:r>
    </w:p>
    <w:p w14:paraId="1620902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（5）发包人要求；</w:t>
      </w:r>
    </w:p>
    <w:p w14:paraId="392AABB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（6）投标文件格式；</w:t>
      </w:r>
    </w:p>
    <w:p w14:paraId="4C6A8087">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2.1.2根据本章第1.10款、第2.2款和第2.3款对招标文件所作的澄清、修改，构成招标文件的组成部分。</w:t>
      </w:r>
    </w:p>
    <w:p w14:paraId="0B8D50FA">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2.2招标文件的澄清</w:t>
      </w:r>
    </w:p>
    <w:p w14:paraId="1D2CBD9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D77ED5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2.2.2对招标文件的澄清将在投标人须知前附表规定的投标截止时间15天前在</w:t>
      </w:r>
      <w:r>
        <w:rPr>
          <w:rFonts w:hint="eastAsia" w:ascii="仿宋" w:hAnsi="仿宋" w:eastAsia="仿宋" w:cs="仿宋"/>
          <w:b/>
          <w:bCs/>
          <w:color w:val="auto"/>
          <w:szCs w:val="21"/>
          <w:highlight w:val="none"/>
          <w:u w:val="single"/>
        </w:rPr>
        <w:t>广州交易集团有限公司（广州公共资源交易中心）平台</w:t>
      </w:r>
      <w:r>
        <w:rPr>
          <w:rFonts w:hint="eastAsia" w:ascii="仿宋" w:hAnsi="仿宋" w:eastAsia="仿宋" w:cs="仿宋"/>
          <w:b/>
          <w:color w:val="auto"/>
          <w:spacing w:val="-1"/>
          <w:szCs w:val="21"/>
          <w:highlight w:val="none"/>
          <w:u w:val="single"/>
        </w:rPr>
        <w:t>、广东省公共资源交易平台、广东省招标投标监管网</w:t>
      </w:r>
      <w:r>
        <w:rPr>
          <w:rFonts w:hint="eastAsia" w:ascii="仿宋" w:hAnsi="仿宋" w:eastAsia="仿宋" w:cs="仿宋"/>
          <w:color w:val="auto"/>
          <w:szCs w:val="21"/>
          <w:highlight w:val="none"/>
        </w:rPr>
        <w:t>上予以公布，但不指明澄清问题的来源。</w:t>
      </w:r>
      <w:r>
        <w:rPr>
          <w:rFonts w:hint="eastAsia" w:ascii="仿宋" w:hAnsi="仿宋" w:eastAsia="仿宋" w:cs="仿宋"/>
          <w:color w:val="auto"/>
          <w:kern w:val="0"/>
          <w:szCs w:val="21"/>
          <w:highlight w:val="none"/>
        </w:rPr>
        <w:t>如果澄清发出的时间距投标截止时间不足15天，招标人可相应延长投标截止时间。</w:t>
      </w:r>
    </w:p>
    <w:p w14:paraId="3E6E8B7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2.2.3投标人在收到澄清后，应按投标人须知前附表规定的时间和形式通知招标人，确认已收到该澄清。</w:t>
      </w:r>
    </w:p>
    <w:p w14:paraId="3E032D9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 除非招标人认为确有必要答复，否则，招标人有权拒绝回复投标人在本章第2.2.1项规定的时间后的任何澄清要求。</w:t>
      </w:r>
    </w:p>
    <w:p w14:paraId="34F33BBE">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2.3招标文件的修改</w:t>
      </w:r>
    </w:p>
    <w:p w14:paraId="6D63D6DF">
      <w:pPr>
        <w:autoSpaceDE w:val="0"/>
        <w:autoSpaceDN w:val="0"/>
        <w:adjustRightInd w:val="0"/>
        <w:spacing w:line="38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2.3.1 对招标文件的修改将在投标人须知前附表规定的投标截止时间15天前在</w:t>
      </w:r>
      <w:r>
        <w:rPr>
          <w:rFonts w:hint="eastAsia" w:ascii="仿宋" w:hAnsi="仿宋" w:eastAsia="仿宋" w:cs="仿宋"/>
          <w:b/>
          <w:color w:val="auto"/>
          <w:spacing w:val="-1"/>
          <w:szCs w:val="21"/>
          <w:highlight w:val="none"/>
          <w:u w:val="single"/>
        </w:rPr>
        <w:t>广州交易集团有限公司（广州公共资源交易中心）平台、广东省公共资源交易平台、广东省招标投标监管网</w:t>
      </w:r>
      <w:r>
        <w:rPr>
          <w:rFonts w:hint="eastAsia" w:ascii="仿宋" w:hAnsi="仿宋" w:eastAsia="仿宋" w:cs="仿宋"/>
          <w:color w:val="auto"/>
          <w:szCs w:val="21"/>
          <w:highlight w:val="none"/>
        </w:rPr>
        <w:t>上予以公布。</w:t>
      </w:r>
      <w:r>
        <w:rPr>
          <w:rFonts w:hint="eastAsia" w:ascii="仿宋" w:hAnsi="仿宋" w:eastAsia="仿宋" w:cs="仿宋"/>
          <w:color w:val="auto"/>
          <w:kern w:val="0"/>
          <w:szCs w:val="21"/>
          <w:highlight w:val="none"/>
        </w:rPr>
        <w:t>如果修改发出的时间距投标截止时间不足15天，招标人可相应延长投标截止时间。</w:t>
      </w:r>
      <w:r>
        <w:rPr>
          <w:rFonts w:hint="eastAsia" w:ascii="仿宋" w:hAnsi="仿宋" w:eastAsia="仿宋" w:cs="仿宋"/>
          <w:color w:val="auto"/>
          <w:szCs w:val="21"/>
          <w:highlight w:val="none"/>
        </w:rPr>
        <w:t>招标文件修改发出的时间和形式见投标人须知前附表。</w:t>
      </w:r>
    </w:p>
    <w:p w14:paraId="04EAF243">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2.3.2投标人收到修改内容后，应按投标人须知前附表规定的时间和形式通知招标人，确认已收到该修改。</w:t>
      </w:r>
    </w:p>
    <w:p w14:paraId="61D51B86">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2.4招标文件的异议</w:t>
      </w:r>
    </w:p>
    <w:p w14:paraId="22BF5965">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投标人或者其他利害关系人对招标文件有异议的，应当在投标截止时间10日前以</w:t>
      </w:r>
      <w:r>
        <w:rPr>
          <w:rFonts w:hint="eastAsia" w:ascii="仿宋" w:hAnsi="仿宋" w:eastAsia="仿宋" w:cs="仿宋"/>
          <w:b/>
          <w:color w:val="auto"/>
          <w:highlight w:val="none"/>
        </w:rPr>
        <w:t>线上形式</w:t>
      </w:r>
      <w:r>
        <w:rPr>
          <w:rFonts w:hint="eastAsia" w:ascii="仿宋" w:hAnsi="仿宋" w:eastAsia="仿宋" w:cs="仿宋"/>
          <w:color w:val="auto"/>
          <w:szCs w:val="21"/>
          <w:highlight w:val="none"/>
        </w:rPr>
        <w:t>提出。招标人将在收到异议之日起3日内作出答复；作出答复前，将暂停招标投标活动。</w:t>
      </w:r>
    </w:p>
    <w:p w14:paraId="50BDF8A5">
      <w:pPr>
        <w:pStyle w:val="3"/>
        <w:rPr>
          <w:rFonts w:hint="eastAsia" w:ascii="仿宋" w:hAnsi="仿宋" w:eastAsia="仿宋" w:cs="仿宋"/>
          <w:color w:val="auto"/>
          <w:highlight w:val="none"/>
        </w:rPr>
      </w:pPr>
      <w:bookmarkStart w:id="20" w:name="_Toc52095668"/>
      <w:bookmarkStart w:id="21" w:name="_Toc147744262"/>
      <w:bookmarkStart w:id="22" w:name="_Toc271416712"/>
      <w:bookmarkStart w:id="23" w:name="_Toc32142"/>
      <w:r>
        <w:rPr>
          <w:rFonts w:hint="eastAsia" w:ascii="仿宋" w:hAnsi="仿宋" w:eastAsia="仿宋" w:cs="仿宋"/>
          <w:color w:val="auto"/>
          <w:highlight w:val="none"/>
        </w:rPr>
        <w:t>3．投标文件</w:t>
      </w:r>
      <w:bookmarkEnd w:id="20"/>
      <w:bookmarkEnd w:id="21"/>
      <w:bookmarkEnd w:id="22"/>
      <w:bookmarkEnd w:id="23"/>
    </w:p>
    <w:p w14:paraId="025C5826">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3.1投标文件的组成</w:t>
      </w:r>
    </w:p>
    <w:p w14:paraId="1A82DD99">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3.1.1投标文件应包括下列内容</w:t>
      </w:r>
      <w:r>
        <w:rPr>
          <w:rFonts w:hint="eastAsia" w:ascii="仿宋" w:hAnsi="仿宋" w:eastAsia="仿宋" w:cs="仿宋"/>
          <w:b/>
          <w:color w:val="auto"/>
          <w:szCs w:val="21"/>
          <w:highlight w:val="none"/>
        </w:rPr>
        <w:t>（投标人可自行调整目录）</w:t>
      </w:r>
    </w:p>
    <w:p w14:paraId="3DE2C495">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（1）封面；</w:t>
      </w:r>
    </w:p>
    <w:p w14:paraId="299A676F">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（2）目录；</w:t>
      </w:r>
    </w:p>
    <w:p w14:paraId="77C418FE">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（3）投标函和投标函附录；</w:t>
      </w:r>
    </w:p>
    <w:p w14:paraId="67652F31">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（4）法定代表人身份证明及授权委托书；</w:t>
      </w:r>
    </w:p>
    <w:p w14:paraId="236128CB">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（5）企业基本情况表；</w:t>
      </w:r>
    </w:p>
    <w:p w14:paraId="71244BC6">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（6）拟投入本工程项目班子人员简介；</w:t>
      </w:r>
    </w:p>
    <w:p w14:paraId="0DD46204">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（7）投标人的其他评审情况表；</w:t>
      </w:r>
    </w:p>
    <w:p w14:paraId="5046671E">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（8）投标人声明函；</w:t>
      </w:r>
    </w:p>
    <w:p w14:paraId="08FD7BCC">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（9）投标人承诺书；</w:t>
      </w:r>
    </w:p>
    <w:p w14:paraId="65EB3F65">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（10）其他材料；</w:t>
      </w:r>
    </w:p>
    <w:p w14:paraId="55F1503C">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（11）设计方案；</w:t>
      </w:r>
    </w:p>
    <w:p w14:paraId="6554E1C1">
      <w:pPr>
        <w:pStyle w:val="25"/>
        <w:spacing w:line="380" w:lineRule="exact"/>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构成投标文件的其他资料见投标人须知前附表。</w:t>
      </w:r>
    </w:p>
    <w:p w14:paraId="747D2926">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3.2投标报价</w:t>
      </w:r>
    </w:p>
    <w:p w14:paraId="088E856B">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3.2.1投标报价应包括国家规定的增值税金，除投标人须知前附表另有规定外，增值税税金按一般计税方法计算。投标人应按第六章“投标文件格式”的要求填写相应表格。</w:t>
      </w:r>
    </w:p>
    <w:p w14:paraId="59C38ABA">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3.2.2投标人应充分了解该项目的总体情况以及影响投标报价的其他要素。</w:t>
      </w:r>
    </w:p>
    <w:p w14:paraId="29665520">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3.2.3本项目的报价方式见投标人须知前附表。</w:t>
      </w:r>
    </w:p>
    <w:p w14:paraId="23BA355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3.2.4招标人设有最高投标限价的，投标人的投标报价不得超过最高投标限价，最高投标限价在投标人须知前附表中载明。</w:t>
      </w:r>
    </w:p>
    <w:p w14:paraId="2CE54C4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3.2.5投标报价的其他要求见投标人须知前附表。</w:t>
      </w:r>
    </w:p>
    <w:p w14:paraId="3919B176">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3.3投标有效期</w:t>
      </w:r>
    </w:p>
    <w:p w14:paraId="1E0DDB4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3.3.1除投标人须知前附表另有规定外，投标有效期为90天。</w:t>
      </w:r>
    </w:p>
    <w:p w14:paraId="3D297622">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3.3.2在投标有效期内，投标人撤销或修改其投标文件的，应承担招标文件和法律规定的责任。</w:t>
      </w:r>
    </w:p>
    <w:p w14:paraId="28477DA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3.3.3出现特殊情况需要延长投标有效期的，招标人以</w:t>
      </w:r>
      <w:r>
        <w:rPr>
          <w:rFonts w:hint="eastAsia" w:ascii="仿宋" w:hAnsi="仿宋" w:eastAsia="仿宋" w:cs="仿宋"/>
          <w:b/>
          <w:bCs/>
          <w:color w:val="auto"/>
          <w:szCs w:val="21"/>
          <w:highlight w:val="none"/>
        </w:rPr>
        <w:t>电子</w:t>
      </w:r>
      <w:r>
        <w:rPr>
          <w:rFonts w:hint="eastAsia" w:ascii="仿宋" w:hAnsi="仿宋" w:eastAsia="仿宋" w:cs="仿宋"/>
          <w:color w:val="auto"/>
          <w:szCs w:val="21"/>
          <w:highlight w:val="none"/>
        </w:rPr>
        <w:t>形式通知所有投标人延长投标有效期。投标人应予以</w:t>
      </w:r>
      <w:r>
        <w:rPr>
          <w:rFonts w:hint="eastAsia" w:ascii="仿宋" w:hAnsi="仿宋" w:eastAsia="仿宋" w:cs="仿宋"/>
          <w:b/>
          <w:bCs/>
          <w:color w:val="auto"/>
          <w:szCs w:val="21"/>
          <w:highlight w:val="none"/>
        </w:rPr>
        <w:t>电子形式</w:t>
      </w:r>
      <w:r>
        <w:rPr>
          <w:rFonts w:hint="eastAsia" w:ascii="仿宋" w:hAnsi="仿宋" w:eastAsia="仿宋" w:cs="仿宋"/>
          <w:color w:val="auto"/>
          <w:szCs w:val="21"/>
          <w:highlight w:val="none"/>
        </w:rPr>
        <w:t>答复，同意延长的，应相应延长其投标保证金的有效期，但不得要求或被允许修改其投标文件；投标人拒绝延长的，其投标失效，但投标人有权收回其投标保证金及以现金或者</w:t>
      </w:r>
      <w:r>
        <w:rPr>
          <w:rFonts w:hint="eastAsia" w:ascii="仿宋" w:hAnsi="仿宋" w:eastAsia="仿宋" w:cs="仿宋"/>
          <w:b/>
          <w:bCs/>
          <w:color w:val="auto"/>
          <w:szCs w:val="21"/>
          <w:highlight w:val="none"/>
        </w:rPr>
        <w:t>电子保函</w:t>
      </w:r>
      <w:r>
        <w:rPr>
          <w:rFonts w:hint="eastAsia" w:ascii="仿宋" w:hAnsi="仿宋" w:eastAsia="仿宋" w:cs="仿宋"/>
          <w:color w:val="auto"/>
          <w:szCs w:val="21"/>
          <w:highlight w:val="none"/>
        </w:rPr>
        <w:t>形式递交的投标保证金的银行同期存款利息。</w:t>
      </w:r>
    </w:p>
    <w:p w14:paraId="38E32ABE">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3.4投标保证金</w:t>
      </w:r>
    </w:p>
    <w:p w14:paraId="7FC491D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3.4.1投标人在递交投标文件的同时，应按投标人须知前附表规定的金额、担保形式、到账时限规定递交投标保证金，并作为其投标文件的组成部分。</w:t>
      </w:r>
    </w:p>
    <w:p w14:paraId="7CA0D54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3.4.2投标人不按本章第3.4.1项要求提交投标保证金的，评标委员会将否决其投标。</w:t>
      </w:r>
    </w:p>
    <w:p w14:paraId="2ED14B22">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3.4.3对于采用投标须知前附表3.4.1中方式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缴纳的投标保证金，方式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投标保证金退还：交易中心在中标通知书发出之日起 5 个工作日内将投标保证金退回非中标候选人；投标保证金银行同期存款利息由银行自行结算。招标人应在发出中标通知书起 30 日内和中标人签订合同，合同签订应通过交易服务平台的“合同签订”功能在线签订。招标人、中标人双方在发出中标通知书起 30 日内未在交易服务平台在线签订合同且无特殊情况的，交易中心将在 30 日期满 5 个工作日内原路退还中标候选人及中标人保证金；投标保证金的银行同期存款利息由银行自行结算一并退回。</w:t>
      </w:r>
    </w:p>
    <w:p w14:paraId="2749A355">
      <w:pPr>
        <w:spacing w:line="38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法律、行政法规规定不予退还或者可以不退还投标保证金的，从其规定。</w:t>
      </w:r>
    </w:p>
    <w:p w14:paraId="1E617EC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3.4.4有下列情形之一的，投标保证金将不予退还：</w:t>
      </w:r>
    </w:p>
    <w:p w14:paraId="1FE0D86D">
      <w:pPr>
        <w:spacing w:line="38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（1）投标人在规定的投标有效期内撤销或修改其投标文件；</w:t>
      </w:r>
    </w:p>
    <w:p w14:paraId="55048D5D">
      <w:pPr>
        <w:spacing w:line="38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color w:val="auto"/>
          <w:szCs w:val="21"/>
          <w:highlight w:val="none"/>
          <w:lang w:val="zh-TW"/>
        </w:rPr>
        <w:t>投标人提供了虚假的证明材料；</w:t>
      </w:r>
    </w:p>
    <w:p w14:paraId="52106CCF">
      <w:pPr>
        <w:spacing w:line="38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w:t>
      </w:r>
      <w:r>
        <w:rPr>
          <w:rFonts w:hint="eastAsia" w:ascii="仿宋" w:hAnsi="仿宋" w:eastAsia="仿宋" w:cs="仿宋"/>
          <w:b/>
          <w:color w:val="auto"/>
          <w:szCs w:val="21"/>
          <w:highlight w:val="none"/>
          <w:lang w:val="zh-TW"/>
        </w:rPr>
        <w:t>中标候选人放弃中标；</w:t>
      </w:r>
    </w:p>
    <w:p w14:paraId="51C77350">
      <w:pPr>
        <w:spacing w:line="38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（4）中标人在收到中标通知书后，无正当理由不与招标人订立合同，在签订合同时向招标人提出附加条件，或者不按照招标文件要求提交履约保证金；</w:t>
      </w:r>
    </w:p>
    <w:p w14:paraId="601C03C6">
      <w:pPr>
        <w:spacing w:line="38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（5）发生投标人须知前附表规定的其他可以不予退还投标保证金的情形。</w:t>
      </w:r>
    </w:p>
    <w:p w14:paraId="7374925A">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3.5资格审查资料（适用于未进行资格预审的）</w:t>
      </w:r>
    </w:p>
    <w:p w14:paraId="3CEF750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3.5.1除投标人须知前附表另有规定外，投标人应按“第三章  评标办法”要求提供资料。</w:t>
      </w:r>
    </w:p>
    <w:p w14:paraId="03B525F3">
      <w:pPr>
        <w:pStyle w:val="25"/>
        <w:spacing w:line="380" w:lineRule="exact"/>
        <w:ind w:firstLine="419" w:firstLineChars="212"/>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3.5.2 近年财务状况的年份要求</w:t>
      </w:r>
      <w:r>
        <w:rPr>
          <w:rFonts w:hint="eastAsia" w:ascii="仿宋" w:hAnsi="仿宋" w:eastAsia="仿宋" w:cs="仿宋"/>
          <w:color w:val="auto"/>
          <w:highlight w:val="none"/>
        </w:rPr>
        <w:t>见投标人须知前附表。</w:t>
      </w:r>
    </w:p>
    <w:p w14:paraId="3141DD86">
      <w:pPr>
        <w:pStyle w:val="25"/>
        <w:spacing w:line="380" w:lineRule="exact"/>
        <w:ind w:firstLine="419" w:firstLineChars="212"/>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3.5.3 近年完成的类似项目情况的时间要求</w:t>
      </w:r>
      <w:r>
        <w:rPr>
          <w:rFonts w:hint="eastAsia" w:ascii="仿宋" w:hAnsi="仿宋" w:eastAsia="仿宋" w:cs="仿宋"/>
          <w:color w:val="auto"/>
          <w:highlight w:val="none"/>
        </w:rPr>
        <w:t>见投标人须知前附表。</w:t>
      </w:r>
    </w:p>
    <w:p w14:paraId="2DC4632D">
      <w:pPr>
        <w:pStyle w:val="25"/>
        <w:spacing w:line="380" w:lineRule="exact"/>
        <w:ind w:firstLine="419" w:firstLineChars="212"/>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3.5.4 近年发生的诉讼及仲裁情况的时间要求</w:t>
      </w:r>
      <w:r>
        <w:rPr>
          <w:rFonts w:hint="eastAsia" w:ascii="仿宋" w:hAnsi="仿宋" w:eastAsia="仿宋" w:cs="仿宋"/>
          <w:color w:val="auto"/>
          <w:highlight w:val="none"/>
        </w:rPr>
        <w:t>见投标人须知前附表。</w:t>
      </w:r>
    </w:p>
    <w:p w14:paraId="63E8B27D">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3.6备选投标方案</w:t>
      </w:r>
    </w:p>
    <w:p w14:paraId="42DEE273">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3.6.1除投标人须知前附表规定允许外，投标人不得递交备选投标方案，否则其投标将被否决。</w:t>
      </w:r>
    </w:p>
    <w:p w14:paraId="0AA5A705">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7A1D95D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3.6.3投标人提供两个或两个以上投标报价，或者在投标文件中提供一个报价，但同时提供两个或两个以上设计方案的，视为提供备选方案。</w:t>
      </w:r>
    </w:p>
    <w:p w14:paraId="592E95B5">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3.7投标文件的编制</w:t>
      </w:r>
    </w:p>
    <w:p w14:paraId="3F152FBB">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3.7.1投标文件应按 “投标文件格式”进行编写，如有必要，可以增加附页，作为投标文件的组成部分。其中，投标函附录在满足招标文件实质性要求的基础上，可以提出比招标文件要求更有利于招标人的承诺。</w:t>
      </w:r>
    </w:p>
    <w:p w14:paraId="4E18E53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3.7.2投标文件应当对招标文件有关工期、投标有效期、质量要求、技术标准和要求、招标范围等实质性内容作出响应。</w:t>
      </w:r>
    </w:p>
    <w:p w14:paraId="090F3DE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3.7.3投标文件</w:t>
      </w:r>
      <w:r>
        <w:rPr>
          <w:rFonts w:hint="eastAsia" w:ascii="仿宋" w:hAnsi="仿宋" w:eastAsia="仿宋" w:cs="仿宋"/>
          <w:b/>
          <w:bCs/>
          <w:color w:val="auto"/>
          <w:szCs w:val="21"/>
          <w:highlight w:val="none"/>
        </w:rPr>
        <w:t>采用电子文档</w:t>
      </w:r>
      <w:r>
        <w:rPr>
          <w:rFonts w:hint="eastAsia" w:ascii="仿宋" w:hAnsi="仿宋" w:eastAsia="仿宋" w:cs="仿宋"/>
          <w:color w:val="auto"/>
          <w:szCs w:val="21"/>
          <w:highlight w:val="none"/>
        </w:rPr>
        <w:t>，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 “投标文件格式”的要求。投标文件应尽量避免涂改、行间插字或删除。如果出现上述情况，改动之处应由投标人的法定代表人或其授权的代理人签字或盖单位章。投标文件签字或盖章要求</w:t>
      </w:r>
      <w:r>
        <w:rPr>
          <w:rFonts w:hint="eastAsia" w:ascii="仿宋" w:hAnsi="仿宋" w:eastAsia="仿宋" w:cs="仿宋"/>
          <w:iCs/>
          <w:color w:val="auto"/>
          <w:szCs w:val="21"/>
          <w:highlight w:val="none"/>
        </w:rPr>
        <w:t>见投标人须知前附表。</w:t>
      </w:r>
    </w:p>
    <w:p w14:paraId="7E4B09E5">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iCs/>
          <w:color w:val="auto"/>
          <w:szCs w:val="21"/>
          <w:highlight w:val="none"/>
        </w:rPr>
        <w:t>3.7.4投标文件全部采用</w:t>
      </w:r>
      <w:r>
        <w:rPr>
          <w:rFonts w:hint="eastAsia" w:ascii="仿宋" w:hAnsi="仿宋" w:eastAsia="仿宋" w:cs="仿宋"/>
          <w:b/>
          <w:iCs/>
          <w:color w:val="auto"/>
          <w:szCs w:val="21"/>
          <w:highlight w:val="none"/>
        </w:rPr>
        <w:t>电子文档</w:t>
      </w:r>
      <w:r>
        <w:rPr>
          <w:rFonts w:hint="eastAsia" w:ascii="仿宋" w:hAnsi="仿宋" w:eastAsia="仿宋" w:cs="仿宋"/>
          <w:iCs/>
          <w:color w:val="auto"/>
          <w:szCs w:val="21"/>
          <w:highlight w:val="none"/>
        </w:rPr>
        <w:t>，除投标人须知前附表另有规定外，投标文件所附证书证件均为原件扫描件，按招标文件要求在相应位置加盖电子印章。</w:t>
      </w:r>
      <w:r>
        <w:rPr>
          <w:rFonts w:hint="eastAsia" w:ascii="仿宋" w:hAnsi="仿宋" w:eastAsia="仿宋" w:cs="仿宋"/>
          <w:color w:val="auto"/>
          <w:szCs w:val="21"/>
          <w:highlight w:val="none"/>
        </w:rPr>
        <w:t>投标文件其他要求</w:t>
      </w:r>
      <w:r>
        <w:rPr>
          <w:rFonts w:hint="eastAsia" w:ascii="仿宋" w:hAnsi="仿宋" w:eastAsia="仿宋" w:cs="仿宋"/>
          <w:iCs/>
          <w:color w:val="auto"/>
          <w:szCs w:val="21"/>
          <w:highlight w:val="none"/>
        </w:rPr>
        <w:t>见投标人须知前附表。</w:t>
      </w:r>
    </w:p>
    <w:p w14:paraId="64BD2EBB">
      <w:pPr>
        <w:pStyle w:val="3"/>
        <w:rPr>
          <w:rFonts w:hint="eastAsia" w:ascii="仿宋" w:hAnsi="仿宋" w:eastAsia="仿宋" w:cs="仿宋"/>
          <w:color w:val="auto"/>
          <w:highlight w:val="none"/>
        </w:rPr>
      </w:pPr>
      <w:bookmarkStart w:id="24" w:name="_Toc271416713"/>
      <w:bookmarkStart w:id="25" w:name="_Toc52095669"/>
      <w:bookmarkStart w:id="26" w:name="_Toc23591"/>
      <w:bookmarkStart w:id="27" w:name="_Toc147744263"/>
      <w:r>
        <w:rPr>
          <w:rFonts w:hint="eastAsia" w:ascii="仿宋" w:hAnsi="仿宋" w:eastAsia="仿宋" w:cs="仿宋"/>
          <w:color w:val="auto"/>
          <w:highlight w:val="none"/>
        </w:rPr>
        <w:t>4．投标</w:t>
      </w:r>
      <w:bookmarkEnd w:id="24"/>
      <w:bookmarkEnd w:id="25"/>
      <w:bookmarkEnd w:id="26"/>
      <w:bookmarkEnd w:id="27"/>
    </w:p>
    <w:p w14:paraId="6AED6FB4">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4.1投标文件的密封和标记</w:t>
      </w:r>
    </w:p>
    <w:p w14:paraId="7B01B0E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4.1.1投标人应当按照招标文件和电子招标投标交易平台的要求加密投标文件，具体要求见投标人须知前附表。</w:t>
      </w:r>
    </w:p>
    <w:p w14:paraId="60849A3A">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4.2投标文件的递交</w:t>
      </w:r>
    </w:p>
    <w:p w14:paraId="49B3405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4.2.1投标人应在投标人须知前附表规定的投标截止时间前递交电子投标文件。</w:t>
      </w:r>
    </w:p>
    <w:p w14:paraId="2628CE3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4.2.2投标人通过下载招标文件的云浮市公共资源交易服务平台递交电子投标文件。递交投标文件地点见投标人须知前附表。</w:t>
      </w:r>
    </w:p>
    <w:p w14:paraId="0DBA4B6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4.2.3除投标人须知前附表另有规定外，投标人所递交的投标文件不予退还。</w:t>
      </w:r>
    </w:p>
    <w:p w14:paraId="6744EC5A">
      <w:pPr>
        <w:spacing w:line="380" w:lineRule="exact"/>
        <w:ind w:firstLine="420" w:firstLineChars="200"/>
        <w:rPr>
          <w:rFonts w:hint="eastAsia" w:ascii="仿宋" w:hAnsi="仿宋" w:eastAsia="仿宋" w:cs="仿宋"/>
          <w:b/>
          <w:color w:val="auto"/>
          <w:highlight w:val="none"/>
        </w:rPr>
      </w:pPr>
      <w:r>
        <w:rPr>
          <w:rFonts w:hint="eastAsia" w:ascii="仿宋" w:hAnsi="仿宋" w:eastAsia="仿宋" w:cs="仿宋"/>
          <w:color w:val="auto"/>
          <w:szCs w:val="21"/>
          <w:highlight w:val="none"/>
        </w:rPr>
        <w:t>4.2.4投标人完成电子投标文件上传后，云浮市公共资源交易服务平台即时向投标人发出递交回执通知。递交时间以递交回执通知载明的传输完成时间为准。</w:t>
      </w:r>
      <w:r>
        <w:rPr>
          <w:rFonts w:hint="eastAsia" w:ascii="仿宋" w:hAnsi="仿宋" w:eastAsia="仿宋" w:cs="仿宋"/>
          <w:b/>
          <w:color w:val="auto"/>
          <w:highlight w:val="none"/>
        </w:rPr>
        <w:t>电子投标文件的解密具体要求见投标人须知前附表。</w:t>
      </w:r>
    </w:p>
    <w:p w14:paraId="3B5EFDE5">
      <w:pPr>
        <w:spacing w:line="380" w:lineRule="exact"/>
        <w:ind w:firstLine="420" w:firstLineChars="200"/>
        <w:rPr>
          <w:rFonts w:hint="eastAsia" w:ascii="仿宋" w:hAnsi="仿宋" w:eastAsia="仿宋" w:cs="仿宋"/>
          <w:b/>
          <w:color w:val="auto"/>
          <w:highlight w:val="none"/>
        </w:rPr>
      </w:pPr>
      <w:r>
        <w:rPr>
          <w:rFonts w:hint="eastAsia" w:ascii="仿宋" w:hAnsi="仿宋" w:eastAsia="仿宋" w:cs="仿宋"/>
          <w:color w:val="auto"/>
          <w:szCs w:val="21"/>
          <w:highlight w:val="none"/>
        </w:rPr>
        <w:t>4.2.5投标截止时间后送达的投标文件，电子招标投标交易平台将予以拒收。</w:t>
      </w:r>
    </w:p>
    <w:p w14:paraId="36B0FFDA">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4.3投标文件的修改与撤回</w:t>
      </w:r>
    </w:p>
    <w:p w14:paraId="606D660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4.3.1在本章“投标人须知前附表”第4.2.1项规定的投标截止时间前，投标人可以修改或撤回已递交的投标文件。</w:t>
      </w:r>
    </w:p>
    <w:p w14:paraId="5A20A74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4.3.2投标人修改或撤回已递交投标文件的通知，应按照本章第3.7.3项的要求加盖电子印章。云浮市公共资源交易服务平台收到通知后，即时向投标人发出确认回执通知。</w:t>
      </w:r>
    </w:p>
    <w:p w14:paraId="194B756E">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4.3.3投标人撤回投标文件的，</w:t>
      </w:r>
      <w:r>
        <w:rPr>
          <w:rFonts w:hint="eastAsia" w:ascii="仿宋" w:hAnsi="仿宋" w:eastAsia="仿宋" w:cs="仿宋"/>
          <w:color w:val="auto"/>
          <w:highlight w:val="none"/>
        </w:rPr>
        <w:t>招标人在中标通知书发出之日起5个工作日内将投标保证金退回</w:t>
      </w:r>
      <w:r>
        <w:rPr>
          <w:rFonts w:hint="eastAsia" w:ascii="仿宋" w:hAnsi="仿宋" w:eastAsia="仿宋" w:cs="仿宋"/>
          <w:color w:val="auto"/>
          <w:szCs w:val="21"/>
          <w:highlight w:val="none"/>
        </w:rPr>
        <w:t>。</w:t>
      </w:r>
    </w:p>
    <w:p w14:paraId="5BF23CB0">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4.3.4修改的内容为投标文件的组成部分。</w:t>
      </w:r>
    </w:p>
    <w:p w14:paraId="69F99B1B">
      <w:pPr>
        <w:pStyle w:val="3"/>
        <w:rPr>
          <w:rFonts w:hint="eastAsia" w:ascii="仿宋" w:hAnsi="仿宋" w:eastAsia="仿宋" w:cs="仿宋"/>
          <w:color w:val="auto"/>
          <w:highlight w:val="none"/>
        </w:rPr>
      </w:pPr>
      <w:bookmarkStart w:id="28" w:name="_Toc52095670"/>
      <w:bookmarkStart w:id="29" w:name="_Toc22095"/>
      <w:bookmarkStart w:id="30" w:name="_Toc271416714"/>
      <w:bookmarkStart w:id="31" w:name="_Toc147744264"/>
      <w:r>
        <w:rPr>
          <w:rFonts w:hint="eastAsia" w:ascii="仿宋" w:hAnsi="仿宋" w:eastAsia="仿宋" w:cs="仿宋"/>
          <w:color w:val="auto"/>
          <w:highlight w:val="none"/>
        </w:rPr>
        <w:t>5．开标</w:t>
      </w:r>
      <w:bookmarkEnd w:id="28"/>
      <w:bookmarkEnd w:id="29"/>
      <w:bookmarkEnd w:id="30"/>
      <w:bookmarkEnd w:id="31"/>
    </w:p>
    <w:p w14:paraId="010E1469">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5.1开标时间和地点</w:t>
      </w:r>
    </w:p>
    <w:p w14:paraId="450F1D3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招标人在本章第4.2.1项规定的投标截止时间（开标时间）,</w:t>
      </w:r>
      <w:r>
        <w:rPr>
          <w:rFonts w:hint="eastAsia" w:ascii="仿宋" w:hAnsi="仿宋" w:eastAsia="仿宋" w:cs="仿宋"/>
          <w:b/>
          <w:color w:val="auto"/>
          <w:szCs w:val="21"/>
          <w:highlight w:val="none"/>
        </w:rPr>
        <w:t>通过广州交易集团有限公司（广州公共资源交易中心）平台公开开标</w:t>
      </w:r>
      <w:r>
        <w:rPr>
          <w:rFonts w:hint="eastAsia" w:ascii="仿宋" w:hAnsi="仿宋" w:eastAsia="仿宋" w:cs="仿宋"/>
          <w:color w:val="auto"/>
          <w:szCs w:val="21"/>
          <w:highlight w:val="none"/>
        </w:rPr>
        <w:t>，所有投标人按照广州交易集团有限公司（广州公共资源交易中心）平台和招标文件的相关要求在投标截止时间（开标时间）前递交电子投标文件。</w:t>
      </w:r>
    </w:p>
    <w:p w14:paraId="14FA6AD2">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5.2开标程序</w:t>
      </w:r>
    </w:p>
    <w:p w14:paraId="6596AFA5">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主持人按下列程序进行开标：</w:t>
      </w:r>
    </w:p>
    <w:p w14:paraId="6A8AC46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（1）宣布开标纪律；</w:t>
      </w:r>
    </w:p>
    <w:p w14:paraId="7E3E5DB5">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（2）公布在投标截止时间前递交投标文件的投标人名称；</w:t>
      </w:r>
    </w:p>
    <w:p w14:paraId="12C1567B">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（3）按照投标人须知前附表规定的开标顺序当众开标，公布招标项目名称、投标人名称、投标保证金的递交情况、投标报价、质量目标、工期及其他内容，并记录在案；</w:t>
      </w:r>
    </w:p>
    <w:p w14:paraId="1553AFC3">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（4）投标人代表、招标人代表、招标代理等有关人员在开标记录表上签字（或签章）确认；</w:t>
      </w:r>
    </w:p>
    <w:p w14:paraId="017D2BAB">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（5）开标结束。</w:t>
      </w:r>
    </w:p>
    <w:p w14:paraId="524B5209">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5.3开标异议</w:t>
      </w:r>
    </w:p>
    <w:p w14:paraId="10471D61">
      <w:pPr>
        <w:spacing w:line="380" w:lineRule="exact"/>
        <w:ind w:firstLine="359" w:firstLineChars="171"/>
        <w:rPr>
          <w:rFonts w:hint="eastAsia" w:ascii="仿宋" w:hAnsi="仿宋" w:eastAsia="仿宋" w:cs="仿宋"/>
          <w:color w:val="auto"/>
          <w:szCs w:val="21"/>
          <w:highlight w:val="none"/>
        </w:rPr>
      </w:pPr>
      <w:bookmarkStart w:id="32" w:name="_Toc52095671"/>
      <w:bookmarkStart w:id="33" w:name="_Toc271416715"/>
      <w:bookmarkStart w:id="34" w:name="_Toc10096"/>
      <w:r>
        <w:rPr>
          <w:rFonts w:hint="eastAsia" w:ascii="仿宋" w:hAnsi="仿宋" w:eastAsia="仿宋" w:cs="仿宋"/>
          <w:color w:val="auto"/>
          <w:szCs w:val="21"/>
          <w:highlight w:val="none"/>
        </w:rPr>
        <w:t>投标人对开标有异议的，应当在</w:t>
      </w:r>
      <w:r>
        <w:rPr>
          <w:rFonts w:hint="eastAsia" w:ascii="仿宋" w:hAnsi="仿宋" w:eastAsia="仿宋" w:cs="仿宋"/>
          <w:b/>
          <w:color w:val="auto"/>
          <w:szCs w:val="21"/>
          <w:highlight w:val="none"/>
        </w:rPr>
        <w:t>线上开标会</w:t>
      </w:r>
      <w:r>
        <w:rPr>
          <w:rFonts w:hint="eastAsia" w:ascii="仿宋" w:hAnsi="仿宋" w:eastAsia="仿宋" w:cs="仿宋"/>
          <w:color w:val="auto"/>
          <w:szCs w:val="21"/>
          <w:highlight w:val="none"/>
        </w:rPr>
        <w:t>提出，招标人当场作出答复，并制作记录。</w:t>
      </w:r>
    </w:p>
    <w:p w14:paraId="13FA01FE">
      <w:pPr>
        <w:pStyle w:val="3"/>
        <w:rPr>
          <w:rFonts w:hint="eastAsia" w:ascii="仿宋" w:hAnsi="仿宋" w:eastAsia="仿宋" w:cs="仿宋"/>
          <w:color w:val="auto"/>
          <w:highlight w:val="none"/>
        </w:rPr>
      </w:pPr>
      <w:bookmarkStart w:id="35" w:name="_Toc147744265"/>
      <w:r>
        <w:rPr>
          <w:rFonts w:hint="eastAsia" w:ascii="仿宋" w:hAnsi="仿宋" w:eastAsia="仿宋" w:cs="仿宋"/>
          <w:color w:val="auto"/>
          <w:highlight w:val="none"/>
        </w:rPr>
        <w:t>6．评标</w:t>
      </w:r>
      <w:bookmarkEnd w:id="32"/>
      <w:bookmarkEnd w:id="33"/>
      <w:bookmarkEnd w:id="34"/>
      <w:bookmarkEnd w:id="35"/>
    </w:p>
    <w:p w14:paraId="7CE0F8B9">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6.1评标委员会</w:t>
      </w:r>
    </w:p>
    <w:p w14:paraId="74D9087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A642B6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6.1.2评标委员会成员有下列情形之一的，应当回避：</w:t>
      </w:r>
    </w:p>
    <w:p w14:paraId="7A95A405">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（1）投标人或投标人主要负责人的近亲属；</w:t>
      </w:r>
    </w:p>
    <w:p w14:paraId="61D0E58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（2）项目主管部门或者行政监督部门的人员；</w:t>
      </w:r>
    </w:p>
    <w:p w14:paraId="2F029FEE">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（3）与投标人有经济利益关系，可能影响对投标公正评审的；</w:t>
      </w:r>
    </w:p>
    <w:p w14:paraId="3A73C7C3">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（4）曾因在招标、评标以及其他与招标投标有关活动中从事违法行为而受过行政处罚或刑事处罚的；</w:t>
      </w:r>
    </w:p>
    <w:p w14:paraId="195DF893">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（5）与投标人有其他利害关系。</w:t>
      </w:r>
    </w:p>
    <w:p w14:paraId="4DD4A61B">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14:paraId="57C585C7">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6.2评标原则</w:t>
      </w:r>
    </w:p>
    <w:p w14:paraId="15F138A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评标活动遵循公平、公正、科学和择优的原则。</w:t>
      </w:r>
    </w:p>
    <w:p w14:paraId="2F93EF35">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6.3评标</w:t>
      </w:r>
    </w:p>
    <w:p w14:paraId="79762BF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6.3.1评标委员会按照第三章“评标办法”规定的方法、评审因素、标准和程序对投标文件进行评审。第三章“评标办法”没有规定的方法、评审因素和标准，不作为评标依据。</w:t>
      </w:r>
    </w:p>
    <w:p w14:paraId="29FDA9B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6.3.2评标完成后，评标委员会应当向招标人提交评标报告和中标候选人名单。评标委员会推荐中标候选人的人数见投标人须知前附表。</w:t>
      </w:r>
    </w:p>
    <w:p w14:paraId="27C58B3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6.3.3远程异地评标的注意事项见投标人须知前附表。</w:t>
      </w:r>
    </w:p>
    <w:p w14:paraId="1AFD29E5">
      <w:pPr>
        <w:pStyle w:val="3"/>
        <w:rPr>
          <w:rFonts w:hint="eastAsia" w:ascii="仿宋" w:hAnsi="仿宋" w:eastAsia="仿宋" w:cs="仿宋"/>
          <w:color w:val="auto"/>
          <w:highlight w:val="none"/>
        </w:rPr>
      </w:pPr>
      <w:bookmarkStart w:id="36" w:name="_Toc12525"/>
      <w:bookmarkStart w:id="37" w:name="_Toc147744266"/>
      <w:bookmarkStart w:id="38" w:name="_Toc271416716"/>
      <w:bookmarkStart w:id="39" w:name="_Toc52095672"/>
      <w:r>
        <w:rPr>
          <w:rFonts w:hint="eastAsia" w:ascii="仿宋" w:hAnsi="仿宋" w:eastAsia="仿宋" w:cs="仿宋"/>
          <w:color w:val="auto"/>
          <w:highlight w:val="none"/>
        </w:rPr>
        <w:t>7．合同授予</w:t>
      </w:r>
      <w:bookmarkEnd w:id="36"/>
      <w:bookmarkEnd w:id="37"/>
      <w:bookmarkEnd w:id="38"/>
      <w:bookmarkEnd w:id="39"/>
    </w:p>
    <w:p w14:paraId="511A8819">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7.1中标候选人公示</w:t>
      </w:r>
    </w:p>
    <w:p w14:paraId="1FBD910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招标人在收到评标报告之日起3日内，按照投标人须知前附表规定的公示媒介和期限公示中标候选人，公示期不得少于3日。</w:t>
      </w:r>
    </w:p>
    <w:p w14:paraId="31D0B859">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7.2评标结果异议</w:t>
      </w:r>
    </w:p>
    <w:p w14:paraId="36C8A489">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投标人或者其他利害关系人对评标结果有异议的，应当在中标候选人公示期间提出。招标人将在收到异议之日起3日内作出答复；作出答复前，将暂停招标投标活动。</w:t>
      </w:r>
    </w:p>
    <w:p w14:paraId="28DBD897">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7.3中标候选人履约能力审查</w:t>
      </w:r>
    </w:p>
    <w:p w14:paraId="1F37AE1F">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C84C97C">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7.4定标</w:t>
      </w:r>
    </w:p>
    <w:p w14:paraId="4CC22FCA">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按照投标人须知前附表的规定，招标人或招标人授权的评标委员会依法确定中标人。</w:t>
      </w:r>
    </w:p>
    <w:p w14:paraId="3FBDA168">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7.5中标通知</w:t>
      </w:r>
    </w:p>
    <w:p w14:paraId="19933A95">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依法必须进行招标的项目的中标人确定后，招标人应当在中标人确定之日起七日内向中标人发出中标通知书，并将中标结果通知其他投标人。</w:t>
      </w:r>
    </w:p>
    <w:p w14:paraId="758DE7EA">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7.6技术成果经济补偿</w:t>
      </w:r>
    </w:p>
    <w:p w14:paraId="5169B857">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14:paraId="34ED4FCE">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7.7履约保证金</w:t>
      </w:r>
    </w:p>
    <w:p w14:paraId="668E8DB0">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7.7.1在签订合同前，应按投标人须知前附表规定的形式、金额和招标文件第四章“合同条款及格式”规定的或者事先经过认可的履约保证金格式向招标人提交履约保证金。除投标人须知前附表另有规定外，履约保证金为中标合同金额的10％。联合体中标的，其履约保证金以联合体各方或者联合体中牵头人的名义提交。</w:t>
      </w:r>
    </w:p>
    <w:p w14:paraId="6B7AE1F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7.7.2中标人不能按本章第7.7.1项要求提交履约保证金的，视为放弃中标，其投标保证金不予退还，给招标人造成的损失超过投标保证金数额的，中标人还应当对超过部分予以赔偿。</w:t>
      </w:r>
    </w:p>
    <w:p w14:paraId="2CCEBB6E">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7.8签订合同</w:t>
      </w:r>
    </w:p>
    <w:p w14:paraId="774BAE54">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7.8.1</w:t>
      </w:r>
      <w:r>
        <w:rPr>
          <w:rFonts w:hint="eastAsia" w:ascii="仿宋" w:hAnsi="仿宋" w:eastAsia="仿宋" w:cs="仿宋"/>
          <w:b/>
          <w:color w:val="auto"/>
          <w:szCs w:val="21"/>
          <w:highlight w:val="none"/>
        </w:rPr>
        <w:t>招标人和中标人应当在中标通知书发出之日起30日内，根据招标文件和中标人的投标文件在线签订合同【需要使用双方法定代表人或授权委托人的个人电子数字证书（个人CA证书）进行法定代表人或授权委托人签名，使用单位电子数字证书（或粤企签）进行盖章】。</w:t>
      </w:r>
      <w:r>
        <w:rPr>
          <w:rFonts w:hint="eastAsia" w:ascii="仿宋" w:hAnsi="仿宋" w:eastAsia="仿宋" w:cs="仿宋"/>
          <w:color w:val="auto"/>
          <w:szCs w:val="21"/>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签订合同的其他要求见投标人须知前附表。</w:t>
      </w:r>
    </w:p>
    <w:p w14:paraId="14E27F46">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7.8.2发出中标通知书后，招标人无正当理由拒签合同，或者在签订合同时向中标人提出附加条件的，招标人向中标人退还投标保证金；给中标人造成损失的，还应当赔偿损失。</w:t>
      </w:r>
    </w:p>
    <w:p w14:paraId="1F45D2B8">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7.8.3联合体中标的，联合体各方应当共同与招标人签订合同，就中标项目向招标人承担连带责任。</w:t>
      </w:r>
    </w:p>
    <w:p w14:paraId="3FA630E1">
      <w:pPr>
        <w:pStyle w:val="3"/>
        <w:rPr>
          <w:rFonts w:hint="eastAsia" w:ascii="仿宋" w:hAnsi="仿宋" w:eastAsia="仿宋" w:cs="仿宋"/>
          <w:color w:val="auto"/>
          <w:highlight w:val="none"/>
        </w:rPr>
      </w:pPr>
      <w:bookmarkStart w:id="40" w:name="_Toc52095673"/>
      <w:bookmarkStart w:id="41" w:name="_Toc147744267"/>
      <w:bookmarkStart w:id="42" w:name="_Toc271416718"/>
      <w:bookmarkStart w:id="43" w:name="_Toc10953"/>
      <w:r>
        <w:rPr>
          <w:rFonts w:hint="eastAsia" w:ascii="仿宋" w:hAnsi="仿宋" w:eastAsia="仿宋" w:cs="仿宋"/>
          <w:color w:val="auto"/>
          <w:highlight w:val="none"/>
        </w:rPr>
        <w:t>8．纪律和监督</w:t>
      </w:r>
      <w:bookmarkEnd w:id="40"/>
      <w:bookmarkEnd w:id="41"/>
      <w:bookmarkEnd w:id="42"/>
      <w:bookmarkEnd w:id="43"/>
    </w:p>
    <w:p w14:paraId="707D2478">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8.1对招标人的纪律要求</w:t>
      </w:r>
    </w:p>
    <w:p w14:paraId="4E582853">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招标人不得泄露招标投标活动中应当保密的情况和资料，不得与投标人串通损害国家利益、社会公共利益或者他人合法权益。</w:t>
      </w:r>
    </w:p>
    <w:p w14:paraId="0CA27545">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8.2对投标人的纪律要求</w:t>
      </w:r>
    </w:p>
    <w:p w14:paraId="3527989A">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046D29">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8.3对评标委员会成员的纪律要求</w:t>
      </w:r>
    </w:p>
    <w:p w14:paraId="4F8D227E">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4F6BB84">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8.4对与评标活动有关的工作人员的纪律要求</w:t>
      </w:r>
    </w:p>
    <w:p w14:paraId="3FBD122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9C4E4EA">
      <w:pPr>
        <w:pStyle w:val="5"/>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8.5投诉</w:t>
      </w:r>
    </w:p>
    <w:p w14:paraId="5CF859BB">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8.5.1投标人或者其他利害关系人认为招标投标活动不符合法律、行政法规规定的，可以自知道或者应当知道之日起10日内向有关行政监督部门投诉。投诉应当有明确的请求和必要的证明材料。</w:t>
      </w:r>
    </w:p>
    <w:p w14:paraId="21F60DDC">
      <w:pPr>
        <w:spacing w:line="38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8.5.2投标人或者其他利害关系人对招标文件、开标和评标结果提出投诉的，应当按照投标人须知第2.4款、第5.3款和第7.2款的规定先向招标人提出异议。异议答复期间不计算在第8.5.1项规定的期限内。</w:t>
      </w:r>
    </w:p>
    <w:p w14:paraId="1D8174E7">
      <w:pPr>
        <w:pStyle w:val="3"/>
        <w:rPr>
          <w:rFonts w:hint="eastAsia" w:ascii="仿宋" w:hAnsi="仿宋" w:eastAsia="仿宋" w:cs="仿宋"/>
          <w:color w:val="auto"/>
          <w:highlight w:val="none"/>
        </w:rPr>
      </w:pPr>
      <w:bookmarkStart w:id="44" w:name="_Toc147744268"/>
      <w:bookmarkStart w:id="45" w:name="_Toc4968"/>
      <w:bookmarkStart w:id="46" w:name="_Toc52095674"/>
      <w:r>
        <w:rPr>
          <w:rFonts w:hint="eastAsia" w:ascii="仿宋" w:hAnsi="仿宋" w:eastAsia="仿宋" w:cs="仿宋"/>
          <w:color w:val="auto"/>
          <w:highlight w:val="none"/>
        </w:rPr>
        <w:t>9．是否采用电子招标投标</w:t>
      </w:r>
      <w:bookmarkEnd w:id="44"/>
      <w:bookmarkEnd w:id="45"/>
      <w:bookmarkEnd w:id="46"/>
    </w:p>
    <w:p w14:paraId="233731B1">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需要补充的其他内容：见投标人须知前附表。</w:t>
      </w:r>
    </w:p>
    <w:p w14:paraId="2D7DEE66">
      <w:pPr>
        <w:pStyle w:val="3"/>
        <w:rPr>
          <w:rFonts w:hint="eastAsia" w:ascii="仿宋" w:hAnsi="仿宋" w:eastAsia="仿宋" w:cs="仿宋"/>
          <w:color w:val="auto"/>
          <w:highlight w:val="none"/>
        </w:rPr>
      </w:pPr>
      <w:bookmarkStart w:id="47" w:name="_Toc52095675"/>
      <w:bookmarkStart w:id="48" w:name="_Toc271416719"/>
      <w:bookmarkStart w:id="49" w:name="_Toc19300"/>
      <w:bookmarkStart w:id="50" w:name="_Toc147744269"/>
      <w:r>
        <w:rPr>
          <w:rFonts w:hint="eastAsia" w:ascii="仿宋" w:hAnsi="仿宋" w:eastAsia="仿宋" w:cs="仿宋"/>
          <w:color w:val="auto"/>
          <w:highlight w:val="none"/>
        </w:rPr>
        <w:t>10．需要补充的其他内容</w:t>
      </w:r>
      <w:bookmarkEnd w:id="47"/>
      <w:bookmarkEnd w:id="48"/>
      <w:bookmarkEnd w:id="49"/>
      <w:bookmarkEnd w:id="50"/>
    </w:p>
    <w:p w14:paraId="7A31D985">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需要补充的其他内容：见投标人须知前附表。</w:t>
      </w:r>
    </w:p>
    <w:p w14:paraId="5267B796">
      <w:pPr>
        <w:pStyle w:val="2"/>
        <w:rPr>
          <w:rFonts w:ascii="宋体" w:hAnsi="宋体"/>
          <w:color w:val="auto"/>
          <w:highlight w:val="none"/>
        </w:rPr>
      </w:pPr>
      <w:r>
        <w:rPr>
          <w:rFonts w:ascii="宋体" w:hAnsi="宋体"/>
          <w:color w:val="auto"/>
          <w:highlight w:val="none"/>
        </w:rPr>
        <w:br w:type="page"/>
      </w:r>
      <w:bookmarkStart w:id="51" w:name="_Toc162002572"/>
      <w:r>
        <w:rPr>
          <w:rFonts w:hint="eastAsia" w:ascii="宋体" w:hAnsi="宋体"/>
          <w:color w:val="auto"/>
          <w:highlight w:val="none"/>
        </w:rPr>
        <w:t>第三章  评标办法（综合评估法）</w:t>
      </w:r>
      <w:bookmarkEnd w:id="13"/>
      <w:bookmarkEnd w:id="14"/>
      <w:bookmarkEnd w:id="51"/>
    </w:p>
    <w:p w14:paraId="73ADF33B">
      <w:pPr>
        <w:pStyle w:val="4"/>
        <w:spacing w:line="380" w:lineRule="exact"/>
        <w:jc w:val="center"/>
        <w:rPr>
          <w:rFonts w:ascii="宋体" w:hAnsi="宋体"/>
          <w:color w:val="auto"/>
          <w:highlight w:val="none"/>
        </w:rPr>
      </w:pPr>
      <w:bookmarkStart w:id="52" w:name="_Toc312152009"/>
      <w:bookmarkStart w:id="53" w:name="_Toc271416726"/>
      <w:bookmarkStart w:id="54" w:name="_Toc6808"/>
      <w:r>
        <w:rPr>
          <w:rFonts w:hint="eastAsia" w:ascii="宋体" w:hAnsi="宋体"/>
          <w:color w:val="auto"/>
          <w:highlight w:val="none"/>
        </w:rPr>
        <w:t>评标办法前附表</w:t>
      </w:r>
      <w:bookmarkEnd w:id="52"/>
      <w:bookmarkEnd w:id="53"/>
      <w:bookmarkEnd w:id="54"/>
    </w:p>
    <w:p w14:paraId="264DEE6A">
      <w:pPr>
        <w:rPr>
          <w:color w:val="auto"/>
          <w:highlight w:val="none"/>
          <w:lang w:val="zh-CN"/>
        </w:rPr>
      </w:pPr>
    </w:p>
    <w:bookmarkEnd w:id="15"/>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496"/>
        <w:gridCol w:w="2191"/>
        <w:gridCol w:w="5181"/>
      </w:tblGrid>
      <w:tr w14:paraId="71F9C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2312" w:type="dxa"/>
            <w:gridSpan w:val="2"/>
            <w:tcBorders>
              <w:bottom w:val="single" w:color="auto" w:sz="4" w:space="0"/>
            </w:tcBorders>
            <w:vAlign w:val="center"/>
          </w:tcPr>
          <w:p w14:paraId="183146C5">
            <w:pPr>
              <w:spacing w:line="380" w:lineRule="exact"/>
              <w:jc w:val="center"/>
              <w:rPr>
                <w:rFonts w:hint="eastAsia" w:ascii="仿宋" w:hAnsi="仿宋" w:eastAsia="仿宋" w:cs="仿宋"/>
                <w:b/>
                <w:color w:val="auto"/>
                <w:szCs w:val="21"/>
                <w:highlight w:val="none"/>
              </w:rPr>
            </w:pPr>
            <w:bookmarkStart w:id="55" w:name="_Toc483562074"/>
            <w:bookmarkStart w:id="56" w:name="_Toc271416730"/>
            <w:bookmarkStart w:id="57" w:name="_Toc245193412"/>
            <w:r>
              <w:rPr>
                <w:rFonts w:hint="eastAsia" w:ascii="仿宋" w:hAnsi="仿宋" w:eastAsia="仿宋" w:cs="仿宋"/>
                <w:b/>
                <w:color w:val="auto"/>
                <w:szCs w:val="21"/>
                <w:highlight w:val="none"/>
              </w:rPr>
              <w:t>条款号</w:t>
            </w:r>
          </w:p>
        </w:tc>
        <w:tc>
          <w:tcPr>
            <w:tcW w:w="2191" w:type="dxa"/>
            <w:tcBorders>
              <w:bottom w:val="single" w:color="auto" w:sz="4" w:space="0"/>
              <w:right w:val="single" w:color="auto" w:sz="4" w:space="0"/>
            </w:tcBorders>
            <w:vAlign w:val="center"/>
          </w:tcPr>
          <w:p w14:paraId="5250FF0B">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评审因素</w:t>
            </w:r>
          </w:p>
        </w:tc>
        <w:tc>
          <w:tcPr>
            <w:tcW w:w="5181" w:type="dxa"/>
            <w:tcBorders>
              <w:left w:val="single" w:color="auto" w:sz="4" w:space="0"/>
              <w:bottom w:val="single" w:color="auto" w:sz="4" w:space="0"/>
            </w:tcBorders>
            <w:vAlign w:val="center"/>
          </w:tcPr>
          <w:p w14:paraId="0A2018B8">
            <w:pPr>
              <w:spacing w:line="38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评审标准</w:t>
            </w:r>
          </w:p>
        </w:tc>
      </w:tr>
      <w:tr w14:paraId="56C48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16" w:type="dxa"/>
            <w:vMerge w:val="restart"/>
            <w:tcBorders>
              <w:top w:val="single" w:color="auto" w:sz="4" w:space="0"/>
            </w:tcBorders>
            <w:vAlign w:val="center"/>
          </w:tcPr>
          <w:p w14:paraId="136F775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1496" w:type="dxa"/>
            <w:vMerge w:val="restart"/>
            <w:tcBorders>
              <w:top w:val="single" w:color="auto" w:sz="4" w:space="0"/>
            </w:tcBorders>
            <w:vAlign w:val="center"/>
          </w:tcPr>
          <w:p w14:paraId="26AB5F5C">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形式评审标准</w:t>
            </w:r>
          </w:p>
        </w:tc>
        <w:tc>
          <w:tcPr>
            <w:tcW w:w="2191" w:type="dxa"/>
            <w:tcBorders>
              <w:bottom w:val="single" w:color="auto" w:sz="4" w:space="0"/>
              <w:right w:val="single" w:color="auto" w:sz="4" w:space="0"/>
            </w:tcBorders>
            <w:vAlign w:val="center"/>
          </w:tcPr>
          <w:p w14:paraId="562C34DE">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5181" w:type="dxa"/>
            <w:tcBorders>
              <w:left w:val="single" w:color="auto" w:sz="4" w:space="0"/>
              <w:bottom w:val="single" w:color="auto" w:sz="4" w:space="0"/>
            </w:tcBorders>
            <w:vAlign w:val="center"/>
          </w:tcPr>
          <w:p w14:paraId="72CBFDDF">
            <w:pPr>
              <w:pStyle w:val="434"/>
              <w:spacing w:before="117" w:line="222" w:lineRule="auto"/>
              <w:rPr>
                <w:rFonts w:hint="eastAsia" w:ascii="仿宋" w:hAnsi="仿宋" w:eastAsia="仿宋" w:cs="仿宋"/>
                <w:color w:val="auto"/>
                <w:highlight w:val="none"/>
              </w:rPr>
            </w:pPr>
            <w:r>
              <w:rPr>
                <w:rFonts w:hint="eastAsia" w:ascii="仿宋" w:hAnsi="仿宋" w:eastAsia="仿宋" w:cs="仿宋"/>
                <w:color w:val="auto"/>
                <w:spacing w:val="-1"/>
                <w:sz w:val="21"/>
                <w:szCs w:val="21"/>
                <w:highlight w:val="none"/>
                <w:lang w:eastAsia="zh-CN"/>
              </w:rPr>
              <w:t>与营业执照(或事业单位证书)、资质证书一致</w:t>
            </w:r>
          </w:p>
        </w:tc>
      </w:tr>
      <w:tr w14:paraId="28657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16" w:type="dxa"/>
            <w:vMerge w:val="continue"/>
            <w:vAlign w:val="center"/>
          </w:tcPr>
          <w:p w14:paraId="211CF42C">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642F6882">
            <w:pPr>
              <w:spacing w:line="380" w:lineRule="exact"/>
              <w:jc w:val="center"/>
              <w:rPr>
                <w:rFonts w:hint="eastAsia" w:ascii="仿宋" w:hAnsi="仿宋" w:eastAsia="仿宋" w:cs="仿宋"/>
                <w:color w:val="auto"/>
                <w:szCs w:val="21"/>
                <w:highlight w:val="none"/>
              </w:rPr>
            </w:pPr>
          </w:p>
        </w:tc>
        <w:tc>
          <w:tcPr>
            <w:tcW w:w="2191" w:type="dxa"/>
            <w:tcBorders>
              <w:bottom w:val="single" w:color="auto" w:sz="4" w:space="0"/>
              <w:right w:val="single" w:color="auto" w:sz="4" w:space="0"/>
            </w:tcBorders>
            <w:vAlign w:val="center"/>
          </w:tcPr>
          <w:p w14:paraId="4064F38C">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投标文件签字或盖章</w:t>
            </w:r>
          </w:p>
        </w:tc>
        <w:tc>
          <w:tcPr>
            <w:tcW w:w="5181" w:type="dxa"/>
            <w:tcBorders>
              <w:left w:val="single" w:color="auto" w:sz="4" w:space="0"/>
              <w:bottom w:val="single" w:color="auto" w:sz="4" w:space="0"/>
            </w:tcBorders>
            <w:vAlign w:val="center"/>
          </w:tcPr>
          <w:p w14:paraId="20D8054E">
            <w:pPr>
              <w:pStyle w:val="434"/>
              <w:spacing w:before="33" w:line="231" w:lineRule="auto"/>
              <w:ind w:right="144" w:rightChars="0"/>
              <w:rPr>
                <w:rFonts w:hint="eastAsia" w:ascii="仿宋" w:hAnsi="仿宋" w:eastAsia="仿宋" w:cs="仿宋"/>
                <w:color w:val="auto"/>
                <w:highlight w:val="none"/>
              </w:rPr>
            </w:pPr>
            <w:r>
              <w:rPr>
                <w:rFonts w:hint="eastAsia" w:ascii="仿宋" w:hAnsi="仿宋" w:eastAsia="仿宋" w:cs="仿宋"/>
                <w:color w:val="auto"/>
                <w:spacing w:val="-1"/>
                <w:sz w:val="21"/>
                <w:szCs w:val="21"/>
                <w:highlight w:val="none"/>
                <w:lang w:eastAsia="zh-CN"/>
              </w:rPr>
              <w:t>有法定代表人或其委托代理人签字或加盖单位公章。由法定代表人签字或盖章的，应附法定代表人身份证明，由代理人签字或盖章的，应附授权委托书，身份证明或授权委托书应符合第六章“投标</w:t>
            </w:r>
            <w:r>
              <w:rPr>
                <w:rFonts w:hint="eastAsia" w:ascii="仿宋" w:hAnsi="仿宋" w:eastAsia="仿宋" w:cs="仿宋"/>
                <w:color w:val="auto"/>
                <w:spacing w:val="-2"/>
                <w:sz w:val="21"/>
                <w:szCs w:val="21"/>
                <w:highlight w:val="none"/>
                <w:lang w:eastAsia="zh-CN"/>
              </w:rPr>
              <w:t>文件格式”的规定。</w:t>
            </w:r>
          </w:p>
        </w:tc>
      </w:tr>
      <w:tr w14:paraId="1F52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16" w:type="dxa"/>
            <w:vMerge w:val="continue"/>
            <w:vAlign w:val="center"/>
          </w:tcPr>
          <w:p w14:paraId="1947CBFA">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44723E43">
            <w:pPr>
              <w:spacing w:line="380" w:lineRule="exact"/>
              <w:jc w:val="center"/>
              <w:rPr>
                <w:rFonts w:hint="eastAsia" w:ascii="仿宋" w:hAnsi="仿宋" w:eastAsia="仿宋" w:cs="仿宋"/>
                <w:color w:val="auto"/>
                <w:szCs w:val="21"/>
                <w:highlight w:val="none"/>
              </w:rPr>
            </w:pPr>
          </w:p>
        </w:tc>
        <w:tc>
          <w:tcPr>
            <w:tcW w:w="2191" w:type="dxa"/>
            <w:tcBorders>
              <w:bottom w:val="single" w:color="auto" w:sz="4" w:space="0"/>
              <w:right w:val="single" w:color="auto" w:sz="4" w:space="0"/>
            </w:tcBorders>
            <w:vAlign w:val="center"/>
          </w:tcPr>
          <w:p w14:paraId="55FFD1D2">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投标文件格式</w:t>
            </w:r>
          </w:p>
        </w:tc>
        <w:tc>
          <w:tcPr>
            <w:tcW w:w="5181" w:type="dxa"/>
            <w:tcBorders>
              <w:left w:val="single" w:color="auto" w:sz="4" w:space="0"/>
              <w:bottom w:val="single" w:color="auto" w:sz="4" w:space="0"/>
            </w:tcBorders>
            <w:vAlign w:val="center"/>
          </w:tcPr>
          <w:p w14:paraId="4E1854F1">
            <w:pPr>
              <w:pStyle w:val="434"/>
              <w:spacing w:before="118" w:line="222" w:lineRule="auto"/>
              <w:rPr>
                <w:rFonts w:hint="eastAsia" w:ascii="仿宋" w:hAnsi="仿宋" w:eastAsia="仿宋" w:cs="仿宋"/>
                <w:color w:val="auto"/>
                <w:highlight w:val="none"/>
              </w:rPr>
            </w:pPr>
            <w:r>
              <w:rPr>
                <w:rFonts w:hint="eastAsia" w:ascii="仿宋" w:hAnsi="仿宋" w:eastAsia="仿宋" w:cs="仿宋"/>
                <w:color w:val="auto"/>
                <w:spacing w:val="-3"/>
                <w:sz w:val="21"/>
                <w:szCs w:val="21"/>
                <w:highlight w:val="none"/>
                <w:lang w:eastAsia="zh-CN"/>
              </w:rPr>
              <w:t>符合第六章“投标文件格式</w:t>
            </w:r>
            <w:r>
              <w:rPr>
                <w:rFonts w:hint="eastAsia" w:ascii="仿宋" w:hAnsi="仿宋" w:eastAsia="仿宋" w:cs="仿宋"/>
                <w:color w:val="auto"/>
                <w:spacing w:val="-81"/>
                <w:sz w:val="21"/>
                <w:szCs w:val="21"/>
                <w:highlight w:val="none"/>
                <w:lang w:eastAsia="zh-CN"/>
              </w:rPr>
              <w:t xml:space="preserve"> </w:t>
            </w:r>
            <w:r>
              <w:rPr>
                <w:rFonts w:hint="eastAsia" w:ascii="仿宋" w:hAnsi="仿宋" w:eastAsia="仿宋" w:cs="仿宋"/>
                <w:color w:val="auto"/>
                <w:spacing w:val="-3"/>
                <w:sz w:val="21"/>
                <w:szCs w:val="21"/>
                <w:highlight w:val="none"/>
                <w:lang w:eastAsia="zh-CN"/>
              </w:rPr>
              <w:t>”的规定</w:t>
            </w:r>
          </w:p>
        </w:tc>
      </w:tr>
      <w:tr w14:paraId="60BB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16" w:type="dxa"/>
            <w:vMerge w:val="continue"/>
            <w:vAlign w:val="center"/>
          </w:tcPr>
          <w:p w14:paraId="36C2EB09">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6DDE4F40">
            <w:pPr>
              <w:spacing w:line="380" w:lineRule="exact"/>
              <w:jc w:val="center"/>
              <w:rPr>
                <w:rFonts w:hint="eastAsia" w:ascii="仿宋" w:hAnsi="仿宋" w:eastAsia="仿宋" w:cs="仿宋"/>
                <w:color w:val="auto"/>
                <w:szCs w:val="21"/>
                <w:highlight w:val="none"/>
              </w:rPr>
            </w:pPr>
          </w:p>
        </w:tc>
        <w:tc>
          <w:tcPr>
            <w:tcW w:w="2191" w:type="dxa"/>
            <w:tcBorders>
              <w:bottom w:val="single" w:color="auto" w:sz="4" w:space="0"/>
              <w:right w:val="single" w:color="auto" w:sz="4" w:space="0"/>
            </w:tcBorders>
            <w:vAlign w:val="center"/>
          </w:tcPr>
          <w:p w14:paraId="16CD27BD">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联合体投标人</w:t>
            </w:r>
          </w:p>
        </w:tc>
        <w:tc>
          <w:tcPr>
            <w:tcW w:w="5181" w:type="dxa"/>
            <w:tcBorders>
              <w:left w:val="single" w:color="auto" w:sz="4" w:space="0"/>
              <w:bottom w:val="single" w:color="auto" w:sz="4" w:space="0"/>
            </w:tcBorders>
            <w:vAlign w:val="center"/>
          </w:tcPr>
          <w:p w14:paraId="40961B3F">
            <w:pPr>
              <w:spacing w:line="38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提交联合体协议书，并明确联合体牵头人</w:t>
            </w:r>
          </w:p>
        </w:tc>
      </w:tr>
      <w:tr w14:paraId="2C07A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16" w:type="dxa"/>
            <w:vMerge w:val="continue"/>
            <w:vAlign w:val="center"/>
          </w:tcPr>
          <w:p w14:paraId="4798CAE5">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771877F3">
            <w:pPr>
              <w:spacing w:line="380" w:lineRule="exact"/>
              <w:jc w:val="center"/>
              <w:rPr>
                <w:rFonts w:hint="eastAsia" w:ascii="仿宋" w:hAnsi="仿宋" w:eastAsia="仿宋" w:cs="仿宋"/>
                <w:color w:val="auto"/>
                <w:szCs w:val="21"/>
                <w:highlight w:val="none"/>
              </w:rPr>
            </w:pPr>
          </w:p>
        </w:tc>
        <w:tc>
          <w:tcPr>
            <w:tcW w:w="2191" w:type="dxa"/>
            <w:tcBorders>
              <w:bottom w:val="single" w:color="auto" w:sz="4" w:space="0"/>
              <w:right w:val="single" w:color="auto" w:sz="4" w:space="0"/>
            </w:tcBorders>
            <w:vAlign w:val="center"/>
          </w:tcPr>
          <w:p w14:paraId="2BBED42F">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报价唯一</w:t>
            </w:r>
          </w:p>
        </w:tc>
        <w:tc>
          <w:tcPr>
            <w:tcW w:w="5181" w:type="dxa"/>
            <w:tcBorders>
              <w:left w:val="single" w:color="auto" w:sz="4" w:space="0"/>
              <w:bottom w:val="single" w:color="auto" w:sz="4" w:space="0"/>
            </w:tcBorders>
            <w:vAlign w:val="center"/>
          </w:tcPr>
          <w:p w14:paraId="5DB047AF">
            <w:pPr>
              <w:spacing w:line="38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有且只有一个报价。</w:t>
            </w:r>
          </w:p>
        </w:tc>
      </w:tr>
      <w:tr w14:paraId="65FA6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16" w:type="dxa"/>
            <w:vMerge w:val="continue"/>
            <w:vAlign w:val="center"/>
          </w:tcPr>
          <w:p w14:paraId="13D00D42">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4D9B8943">
            <w:pPr>
              <w:spacing w:line="380" w:lineRule="exact"/>
              <w:jc w:val="center"/>
              <w:rPr>
                <w:rFonts w:hint="eastAsia" w:ascii="仿宋" w:hAnsi="仿宋" w:eastAsia="仿宋" w:cs="仿宋"/>
                <w:color w:val="auto"/>
                <w:szCs w:val="21"/>
                <w:highlight w:val="none"/>
              </w:rPr>
            </w:pPr>
          </w:p>
        </w:tc>
        <w:tc>
          <w:tcPr>
            <w:tcW w:w="2191" w:type="dxa"/>
            <w:tcBorders>
              <w:bottom w:val="single" w:color="auto" w:sz="4" w:space="0"/>
              <w:right w:val="single" w:color="auto" w:sz="4" w:space="0"/>
            </w:tcBorders>
            <w:vAlign w:val="center"/>
          </w:tcPr>
          <w:p w14:paraId="1A84679E">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5181" w:type="dxa"/>
            <w:tcBorders>
              <w:left w:val="single" w:color="auto" w:sz="4" w:space="0"/>
              <w:bottom w:val="single" w:color="auto" w:sz="4" w:space="0"/>
            </w:tcBorders>
            <w:vAlign w:val="center"/>
          </w:tcPr>
          <w:p w14:paraId="3756B7F2">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投标人与其他投标人加密打包投标文件电脑机器特征码一致的(以</w:t>
            </w:r>
            <w:r>
              <w:rPr>
                <w:rFonts w:hint="eastAsia" w:ascii="仿宋" w:hAnsi="仿宋" w:eastAsia="仿宋" w:cs="仿宋"/>
                <w:color w:val="auto"/>
                <w:highlight w:val="none"/>
                <w:u w:val="single"/>
              </w:rPr>
              <w:t>广州公共资源交易中心</w:t>
            </w:r>
            <w:r>
              <w:rPr>
                <w:rFonts w:hint="eastAsia" w:ascii="仿宋" w:hAnsi="仿宋" w:eastAsia="仿宋" w:cs="仿宋"/>
                <w:color w:val="auto"/>
                <w:highlight w:val="none"/>
              </w:rPr>
              <w:t>交易平台评标系统的检索信息为准)</w:t>
            </w:r>
            <w:r>
              <w:rPr>
                <w:rFonts w:hint="eastAsia" w:ascii="仿宋" w:hAnsi="仿宋" w:eastAsia="仿宋" w:cs="仿宋"/>
                <w:color w:val="auto"/>
                <w:sz w:val="21"/>
                <w:szCs w:val="21"/>
                <w:highlight w:val="none"/>
              </w:rPr>
              <w:t>。</w:t>
            </w:r>
          </w:p>
        </w:tc>
      </w:tr>
      <w:tr w14:paraId="0302D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restart"/>
            <w:vAlign w:val="center"/>
          </w:tcPr>
          <w:p w14:paraId="3E81103D">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1496" w:type="dxa"/>
            <w:vMerge w:val="restart"/>
            <w:vAlign w:val="center"/>
          </w:tcPr>
          <w:p w14:paraId="066563E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资格评审标准</w:t>
            </w:r>
          </w:p>
        </w:tc>
        <w:tc>
          <w:tcPr>
            <w:tcW w:w="2191" w:type="dxa"/>
            <w:tcBorders>
              <w:right w:val="single" w:color="auto" w:sz="4" w:space="0"/>
            </w:tcBorders>
            <w:vAlign w:val="center"/>
          </w:tcPr>
          <w:p w14:paraId="33C692C2">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营业执照</w:t>
            </w:r>
          </w:p>
        </w:tc>
        <w:tc>
          <w:tcPr>
            <w:tcW w:w="5181" w:type="dxa"/>
            <w:tcBorders>
              <w:left w:val="single" w:color="auto" w:sz="4" w:space="0"/>
            </w:tcBorders>
            <w:vAlign w:val="center"/>
          </w:tcPr>
          <w:p w14:paraId="766A944F">
            <w:pPr>
              <w:spacing w:line="380" w:lineRule="exact"/>
              <w:rPr>
                <w:rFonts w:hint="eastAsia" w:ascii="仿宋" w:hAnsi="仿宋" w:eastAsia="仿宋" w:cs="仿宋"/>
                <w:color w:val="auto"/>
                <w:highlight w:val="none"/>
              </w:rPr>
            </w:pPr>
            <w:r>
              <w:rPr>
                <w:rFonts w:hint="eastAsia" w:ascii="仿宋" w:hAnsi="仿宋" w:eastAsia="仿宋" w:cs="仿宋"/>
                <w:color w:val="auto"/>
                <w:spacing w:val="-2"/>
                <w:sz w:val="21"/>
                <w:szCs w:val="21"/>
                <w:highlight w:val="none"/>
                <w:lang w:eastAsia="zh-CN"/>
              </w:rPr>
              <w:t>符合第二章“投标人须知”第</w:t>
            </w:r>
            <w:r>
              <w:rPr>
                <w:rFonts w:hint="eastAsia" w:ascii="仿宋" w:hAnsi="仿宋" w:eastAsia="仿宋" w:cs="仿宋"/>
                <w:color w:val="auto"/>
                <w:spacing w:val="-31"/>
                <w:sz w:val="21"/>
                <w:szCs w:val="21"/>
                <w:highlight w:val="none"/>
                <w:lang w:eastAsia="zh-CN"/>
              </w:rPr>
              <w:t xml:space="preserve"> </w:t>
            </w:r>
            <w:r>
              <w:rPr>
                <w:rFonts w:hint="eastAsia" w:ascii="仿宋" w:hAnsi="仿宋" w:eastAsia="仿宋" w:cs="仿宋"/>
                <w:color w:val="auto"/>
                <w:spacing w:val="-2"/>
                <w:sz w:val="21"/>
                <w:szCs w:val="21"/>
                <w:highlight w:val="none"/>
                <w:lang w:eastAsia="zh-CN"/>
              </w:rPr>
              <w:t>3.5.1</w:t>
            </w:r>
            <w:r>
              <w:rPr>
                <w:rFonts w:hint="eastAsia" w:ascii="仿宋" w:hAnsi="仿宋" w:eastAsia="仿宋" w:cs="仿宋"/>
                <w:color w:val="auto"/>
                <w:spacing w:val="-40"/>
                <w:sz w:val="21"/>
                <w:szCs w:val="21"/>
                <w:highlight w:val="none"/>
                <w:lang w:eastAsia="zh-CN"/>
              </w:rPr>
              <w:t xml:space="preserve"> </w:t>
            </w:r>
            <w:r>
              <w:rPr>
                <w:rFonts w:hint="eastAsia" w:ascii="仿宋" w:hAnsi="仿宋" w:eastAsia="仿宋" w:cs="仿宋"/>
                <w:color w:val="auto"/>
                <w:spacing w:val="-2"/>
                <w:sz w:val="21"/>
                <w:szCs w:val="21"/>
                <w:highlight w:val="none"/>
                <w:lang w:eastAsia="zh-CN"/>
              </w:rPr>
              <w:t>项规定，具备有效的营业执照(或事业单位证书)</w:t>
            </w:r>
          </w:p>
        </w:tc>
      </w:tr>
      <w:tr w14:paraId="7C23F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1F135B4B">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1EE351DD">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49F77BC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资质要求</w:t>
            </w:r>
          </w:p>
        </w:tc>
        <w:tc>
          <w:tcPr>
            <w:tcW w:w="5181" w:type="dxa"/>
            <w:tcBorders>
              <w:left w:val="single" w:color="auto" w:sz="4" w:space="0"/>
            </w:tcBorders>
            <w:vAlign w:val="center"/>
          </w:tcPr>
          <w:p w14:paraId="2B1A2865">
            <w:pPr>
              <w:spacing w:line="380" w:lineRule="exact"/>
              <w:rPr>
                <w:rFonts w:hint="eastAsia" w:ascii="仿宋" w:hAnsi="仿宋" w:eastAsia="仿宋" w:cs="仿宋"/>
                <w:color w:val="auto"/>
                <w:highlight w:val="none"/>
              </w:rPr>
            </w:pPr>
            <w:r>
              <w:rPr>
                <w:rFonts w:hint="eastAsia" w:ascii="仿宋" w:hAnsi="仿宋" w:eastAsia="仿宋" w:cs="仿宋"/>
                <w:color w:val="auto"/>
                <w:sz w:val="21"/>
                <w:szCs w:val="21"/>
                <w:highlight w:val="none"/>
                <w:lang w:eastAsia="zh-CN"/>
              </w:rPr>
              <w:t>符合第二章“投标人须知前附表”第1.4.1项规定</w:t>
            </w:r>
          </w:p>
        </w:tc>
      </w:tr>
      <w:tr w14:paraId="4E911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6D8897F2">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10EF2ED1">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42DECE9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信誉要求</w:t>
            </w:r>
          </w:p>
        </w:tc>
        <w:tc>
          <w:tcPr>
            <w:tcW w:w="5181" w:type="dxa"/>
            <w:tcBorders>
              <w:left w:val="single" w:color="auto" w:sz="4" w:space="0"/>
            </w:tcBorders>
            <w:vAlign w:val="center"/>
          </w:tcPr>
          <w:p w14:paraId="089B6474">
            <w:pPr>
              <w:spacing w:line="380" w:lineRule="exact"/>
              <w:rPr>
                <w:rFonts w:hint="eastAsia" w:ascii="仿宋" w:hAnsi="仿宋" w:eastAsia="仿宋" w:cs="仿宋"/>
                <w:color w:val="auto"/>
                <w:highlight w:val="none"/>
              </w:rPr>
            </w:pPr>
            <w:r>
              <w:rPr>
                <w:rFonts w:hint="eastAsia" w:ascii="仿宋" w:hAnsi="仿宋" w:eastAsia="仿宋" w:cs="仿宋"/>
                <w:color w:val="auto"/>
                <w:sz w:val="21"/>
                <w:szCs w:val="21"/>
                <w:highlight w:val="none"/>
                <w:lang w:eastAsia="zh-CN"/>
              </w:rPr>
              <w:t>符合第二章“投标人须知前附表”第1.4.1项规定</w:t>
            </w:r>
          </w:p>
        </w:tc>
      </w:tr>
      <w:tr w14:paraId="7F86D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7899301C">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263F6B67">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0376AB1C">
            <w:pPr>
              <w:spacing w:line="38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项目负责人</w:t>
            </w:r>
            <w:r>
              <w:rPr>
                <w:rFonts w:hint="eastAsia" w:ascii="仿宋" w:hAnsi="仿宋" w:eastAsia="仿宋" w:cs="仿宋"/>
                <w:color w:val="auto"/>
                <w:highlight w:val="none"/>
              </w:rPr>
              <w:t>资格要求</w:t>
            </w:r>
          </w:p>
        </w:tc>
        <w:tc>
          <w:tcPr>
            <w:tcW w:w="5181" w:type="dxa"/>
            <w:tcBorders>
              <w:left w:val="single" w:color="auto" w:sz="4" w:space="0"/>
            </w:tcBorders>
            <w:vAlign w:val="center"/>
          </w:tcPr>
          <w:p w14:paraId="5BABF8F0">
            <w:pPr>
              <w:spacing w:line="380" w:lineRule="exact"/>
              <w:rPr>
                <w:rFonts w:hint="eastAsia" w:ascii="仿宋" w:hAnsi="仿宋" w:eastAsia="仿宋" w:cs="仿宋"/>
                <w:color w:val="auto"/>
                <w:highlight w:val="none"/>
              </w:rPr>
            </w:pPr>
            <w:r>
              <w:rPr>
                <w:rFonts w:hint="eastAsia" w:ascii="仿宋" w:hAnsi="仿宋" w:eastAsia="仿宋" w:cs="仿宋"/>
                <w:color w:val="auto"/>
                <w:spacing w:val="-4"/>
                <w:sz w:val="21"/>
                <w:szCs w:val="21"/>
                <w:highlight w:val="none"/>
                <w:lang w:eastAsia="zh-CN"/>
              </w:rPr>
              <w:t>符合第二章“投标人须知</w:t>
            </w:r>
            <w:r>
              <w:rPr>
                <w:rFonts w:hint="eastAsia" w:ascii="仿宋" w:hAnsi="仿宋" w:eastAsia="仿宋" w:cs="仿宋"/>
                <w:color w:val="auto"/>
                <w:spacing w:val="-81"/>
                <w:sz w:val="21"/>
                <w:szCs w:val="21"/>
                <w:highlight w:val="none"/>
                <w:lang w:eastAsia="zh-CN"/>
              </w:rPr>
              <w:t xml:space="preserve"> </w:t>
            </w:r>
            <w:r>
              <w:rPr>
                <w:rFonts w:hint="eastAsia" w:ascii="仿宋" w:hAnsi="仿宋" w:eastAsia="仿宋" w:cs="仿宋"/>
                <w:color w:val="auto"/>
                <w:sz w:val="21"/>
                <w:szCs w:val="21"/>
                <w:highlight w:val="none"/>
                <w:lang w:eastAsia="zh-CN"/>
              </w:rPr>
              <w:t>前附表</w:t>
            </w:r>
            <w:r>
              <w:rPr>
                <w:rFonts w:hint="eastAsia" w:ascii="仿宋" w:hAnsi="仿宋" w:eastAsia="仿宋" w:cs="仿宋"/>
                <w:color w:val="auto"/>
                <w:spacing w:val="-4"/>
                <w:sz w:val="21"/>
                <w:szCs w:val="21"/>
                <w:highlight w:val="none"/>
                <w:lang w:eastAsia="zh-CN"/>
              </w:rPr>
              <w:t>”第</w:t>
            </w:r>
            <w:r>
              <w:rPr>
                <w:rFonts w:hint="eastAsia" w:ascii="仿宋" w:hAnsi="仿宋" w:eastAsia="仿宋" w:cs="仿宋"/>
                <w:color w:val="auto"/>
                <w:spacing w:val="-31"/>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1.4.1</w:t>
            </w:r>
            <w:r>
              <w:rPr>
                <w:rFonts w:hint="eastAsia" w:ascii="仿宋" w:hAnsi="仿宋" w:eastAsia="仿宋" w:cs="仿宋"/>
                <w:color w:val="auto"/>
                <w:spacing w:val="-42"/>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项规定</w:t>
            </w:r>
          </w:p>
        </w:tc>
      </w:tr>
      <w:tr w14:paraId="0A81A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1B68097C">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0DC20CCF">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230038C6">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项目负责人签字</w:t>
            </w:r>
          </w:p>
        </w:tc>
        <w:tc>
          <w:tcPr>
            <w:tcW w:w="5181" w:type="dxa"/>
            <w:tcBorders>
              <w:left w:val="single" w:color="auto" w:sz="4" w:space="0"/>
            </w:tcBorders>
            <w:vAlign w:val="center"/>
          </w:tcPr>
          <w:p w14:paraId="37345B6C">
            <w:pPr>
              <w:spacing w:line="380" w:lineRule="exact"/>
              <w:rPr>
                <w:rFonts w:hint="eastAsia" w:ascii="仿宋" w:hAnsi="仿宋" w:eastAsia="仿宋" w:cs="仿宋"/>
                <w:color w:val="auto"/>
                <w:highlight w:val="none"/>
              </w:rPr>
            </w:pPr>
            <w:r>
              <w:rPr>
                <w:rFonts w:hint="eastAsia" w:ascii="仿宋" w:hAnsi="仿宋" w:eastAsia="仿宋" w:cs="仿宋"/>
                <w:color w:val="auto"/>
                <w:spacing w:val="-3"/>
                <w:sz w:val="21"/>
                <w:szCs w:val="21"/>
                <w:highlight w:val="none"/>
                <w:lang w:eastAsia="zh-CN"/>
              </w:rPr>
              <w:t>符合第六章“投标文件格式</w:t>
            </w:r>
            <w:r>
              <w:rPr>
                <w:rFonts w:hint="eastAsia" w:ascii="仿宋" w:hAnsi="仿宋" w:eastAsia="仿宋" w:cs="仿宋"/>
                <w:color w:val="auto"/>
                <w:spacing w:val="-81"/>
                <w:sz w:val="21"/>
                <w:szCs w:val="21"/>
                <w:highlight w:val="none"/>
                <w:lang w:eastAsia="zh-CN"/>
              </w:rPr>
              <w:t xml:space="preserve"> </w:t>
            </w:r>
            <w:r>
              <w:rPr>
                <w:rFonts w:hint="eastAsia" w:ascii="仿宋" w:hAnsi="仿宋" w:eastAsia="仿宋" w:cs="仿宋"/>
                <w:color w:val="auto"/>
                <w:spacing w:val="-3"/>
                <w:sz w:val="21"/>
                <w:szCs w:val="21"/>
                <w:highlight w:val="none"/>
                <w:lang w:eastAsia="zh-CN"/>
              </w:rPr>
              <w:t>”的规定</w:t>
            </w:r>
          </w:p>
        </w:tc>
      </w:tr>
      <w:tr w14:paraId="64469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18618129">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61B1352F">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251F750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其他要求</w:t>
            </w:r>
          </w:p>
        </w:tc>
        <w:tc>
          <w:tcPr>
            <w:tcW w:w="5181" w:type="dxa"/>
            <w:tcBorders>
              <w:left w:val="single" w:color="auto" w:sz="4" w:space="0"/>
            </w:tcBorders>
            <w:vAlign w:val="center"/>
          </w:tcPr>
          <w:p w14:paraId="4EA45F4D">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lang w:eastAsia="zh-CN"/>
              </w:rPr>
              <w:t>符合第二章“投标人须知前附表”第 1.4.1 项规定</w:t>
            </w:r>
          </w:p>
        </w:tc>
      </w:tr>
      <w:tr w14:paraId="7883B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6630F662">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03688CE5">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389B93C7">
            <w:pPr>
              <w:spacing w:line="38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不存在禁止投标的情形</w:t>
            </w:r>
          </w:p>
        </w:tc>
        <w:tc>
          <w:tcPr>
            <w:tcW w:w="5181" w:type="dxa"/>
            <w:tcBorders>
              <w:left w:val="single" w:color="auto" w:sz="4" w:space="0"/>
            </w:tcBorders>
            <w:vAlign w:val="center"/>
          </w:tcPr>
          <w:p w14:paraId="369C22A1">
            <w:pPr>
              <w:spacing w:line="380" w:lineRule="exact"/>
              <w:rPr>
                <w:rFonts w:hint="eastAsia" w:ascii="仿宋" w:hAnsi="仿宋" w:eastAsia="仿宋" w:cs="仿宋"/>
                <w:color w:val="auto"/>
                <w:highlight w:val="none"/>
              </w:rPr>
            </w:pPr>
            <w:r>
              <w:rPr>
                <w:rFonts w:hint="eastAsia" w:ascii="仿宋" w:hAnsi="仿宋" w:eastAsia="仿宋" w:cs="仿宋"/>
                <w:color w:val="auto"/>
                <w:spacing w:val="-4"/>
                <w:sz w:val="21"/>
                <w:szCs w:val="21"/>
                <w:highlight w:val="none"/>
                <w:lang w:eastAsia="zh-CN"/>
              </w:rPr>
              <w:t>符合第二章“投标人须知</w:t>
            </w:r>
            <w:r>
              <w:rPr>
                <w:rFonts w:hint="eastAsia" w:ascii="仿宋" w:hAnsi="仿宋" w:eastAsia="仿宋" w:cs="仿宋"/>
                <w:color w:val="auto"/>
                <w:spacing w:val="-81"/>
                <w:sz w:val="21"/>
                <w:szCs w:val="21"/>
                <w:highlight w:val="none"/>
                <w:lang w:eastAsia="zh-CN"/>
              </w:rPr>
              <w:t xml:space="preserve"> </w:t>
            </w:r>
            <w:r>
              <w:rPr>
                <w:rFonts w:hint="eastAsia" w:ascii="仿宋" w:hAnsi="仿宋" w:eastAsia="仿宋" w:cs="仿宋"/>
                <w:color w:val="auto"/>
                <w:sz w:val="21"/>
                <w:szCs w:val="21"/>
                <w:highlight w:val="none"/>
                <w:lang w:eastAsia="zh-CN"/>
              </w:rPr>
              <w:t>前附表</w:t>
            </w:r>
            <w:r>
              <w:rPr>
                <w:rFonts w:hint="eastAsia" w:ascii="仿宋" w:hAnsi="仿宋" w:eastAsia="仿宋" w:cs="仿宋"/>
                <w:color w:val="auto"/>
                <w:spacing w:val="-4"/>
                <w:sz w:val="21"/>
                <w:szCs w:val="21"/>
                <w:highlight w:val="none"/>
                <w:lang w:eastAsia="zh-CN"/>
              </w:rPr>
              <w:t>”第</w:t>
            </w:r>
            <w:r>
              <w:rPr>
                <w:rFonts w:hint="eastAsia" w:ascii="仿宋" w:hAnsi="仿宋" w:eastAsia="仿宋" w:cs="仿宋"/>
                <w:color w:val="auto"/>
                <w:spacing w:val="-31"/>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1.4.</w:t>
            </w:r>
            <w:r>
              <w:rPr>
                <w:rFonts w:hint="eastAsia" w:ascii="仿宋" w:hAnsi="仿宋" w:eastAsia="仿宋" w:cs="仿宋"/>
                <w:color w:val="auto"/>
                <w:spacing w:val="-4"/>
                <w:sz w:val="21"/>
                <w:szCs w:val="21"/>
                <w:highlight w:val="none"/>
                <w:lang w:val="en-US" w:eastAsia="zh-CN"/>
              </w:rPr>
              <w:t>3</w:t>
            </w:r>
            <w:r>
              <w:rPr>
                <w:rFonts w:hint="eastAsia" w:ascii="仿宋" w:hAnsi="仿宋" w:eastAsia="仿宋" w:cs="仿宋"/>
                <w:color w:val="auto"/>
                <w:spacing w:val="-42"/>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项规定</w:t>
            </w:r>
          </w:p>
        </w:tc>
      </w:tr>
      <w:tr w14:paraId="76902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restart"/>
            <w:vAlign w:val="center"/>
          </w:tcPr>
          <w:p w14:paraId="4B26C73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1496" w:type="dxa"/>
            <w:vMerge w:val="restart"/>
            <w:vAlign w:val="center"/>
          </w:tcPr>
          <w:p w14:paraId="187113F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响应性评审标准</w:t>
            </w:r>
          </w:p>
        </w:tc>
        <w:tc>
          <w:tcPr>
            <w:tcW w:w="2191" w:type="dxa"/>
            <w:tcBorders>
              <w:right w:val="single" w:color="auto" w:sz="4" w:space="0"/>
            </w:tcBorders>
            <w:vAlign w:val="center"/>
          </w:tcPr>
          <w:p w14:paraId="63B09127">
            <w:pPr>
              <w:spacing w:line="38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投标报价</w:t>
            </w:r>
          </w:p>
        </w:tc>
        <w:tc>
          <w:tcPr>
            <w:tcW w:w="5181" w:type="dxa"/>
            <w:tcBorders>
              <w:left w:val="single" w:color="auto" w:sz="4" w:space="0"/>
            </w:tcBorders>
            <w:vAlign w:val="center"/>
          </w:tcPr>
          <w:p w14:paraId="14F8BC16">
            <w:pPr>
              <w:pStyle w:val="434"/>
              <w:spacing w:before="121" w:line="222" w:lineRule="auto"/>
              <w:rPr>
                <w:rFonts w:hint="eastAsia" w:ascii="仿宋" w:hAnsi="仿宋" w:eastAsia="仿宋" w:cs="仿宋"/>
                <w:color w:val="auto"/>
                <w:highlight w:val="none"/>
              </w:rPr>
            </w:pPr>
            <w:r>
              <w:rPr>
                <w:rFonts w:hint="eastAsia" w:ascii="仿宋" w:hAnsi="仿宋" w:eastAsia="仿宋" w:cs="仿宋"/>
                <w:color w:val="auto"/>
                <w:spacing w:val="-4"/>
                <w:sz w:val="21"/>
                <w:szCs w:val="21"/>
                <w:highlight w:val="none"/>
                <w:lang w:eastAsia="zh-CN"/>
              </w:rPr>
              <w:t>符合第二章“投标人须知</w:t>
            </w:r>
            <w:r>
              <w:rPr>
                <w:rFonts w:hint="eastAsia" w:ascii="仿宋" w:hAnsi="仿宋" w:eastAsia="仿宋" w:cs="仿宋"/>
                <w:color w:val="auto"/>
                <w:spacing w:val="-69"/>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”第</w:t>
            </w:r>
            <w:r>
              <w:rPr>
                <w:rFonts w:hint="eastAsia" w:ascii="仿宋" w:hAnsi="仿宋" w:eastAsia="仿宋" w:cs="仿宋"/>
                <w:color w:val="auto"/>
                <w:spacing w:val="-42"/>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3.2.3</w:t>
            </w:r>
            <w:r>
              <w:rPr>
                <w:rFonts w:hint="eastAsia" w:ascii="仿宋" w:hAnsi="仿宋" w:eastAsia="仿宋" w:cs="仿宋"/>
                <w:color w:val="auto"/>
                <w:spacing w:val="-44"/>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款规定</w:t>
            </w:r>
          </w:p>
        </w:tc>
      </w:tr>
      <w:tr w14:paraId="31B5E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142A65BB">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3A48A6B5">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7A1BBF0F">
            <w:pPr>
              <w:spacing w:line="38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投标内容</w:t>
            </w:r>
          </w:p>
        </w:tc>
        <w:tc>
          <w:tcPr>
            <w:tcW w:w="5181" w:type="dxa"/>
            <w:tcBorders>
              <w:left w:val="single" w:color="auto" w:sz="4" w:space="0"/>
            </w:tcBorders>
            <w:vAlign w:val="center"/>
          </w:tcPr>
          <w:p w14:paraId="3E408054">
            <w:pPr>
              <w:pStyle w:val="434"/>
              <w:spacing w:before="120" w:line="222" w:lineRule="auto"/>
              <w:rPr>
                <w:rFonts w:hint="eastAsia" w:ascii="仿宋" w:hAnsi="仿宋" w:eastAsia="仿宋" w:cs="仿宋"/>
                <w:color w:val="auto"/>
                <w:highlight w:val="none"/>
              </w:rPr>
            </w:pPr>
            <w:r>
              <w:rPr>
                <w:rFonts w:hint="eastAsia" w:ascii="仿宋" w:hAnsi="仿宋" w:eastAsia="仿宋" w:cs="仿宋"/>
                <w:color w:val="auto"/>
                <w:spacing w:val="-4"/>
                <w:sz w:val="21"/>
                <w:szCs w:val="21"/>
                <w:highlight w:val="none"/>
                <w:lang w:eastAsia="zh-CN"/>
              </w:rPr>
              <w:t>符合第二章“投标人须知</w:t>
            </w:r>
            <w:r>
              <w:rPr>
                <w:rFonts w:hint="eastAsia" w:ascii="仿宋" w:hAnsi="仿宋" w:eastAsia="仿宋" w:cs="仿宋"/>
                <w:color w:val="auto"/>
                <w:spacing w:val="-81"/>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”第</w:t>
            </w:r>
            <w:r>
              <w:rPr>
                <w:rFonts w:hint="eastAsia" w:ascii="仿宋" w:hAnsi="仿宋" w:eastAsia="仿宋" w:cs="仿宋"/>
                <w:color w:val="auto"/>
                <w:spacing w:val="-31"/>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1.3.1</w:t>
            </w:r>
            <w:r>
              <w:rPr>
                <w:rFonts w:hint="eastAsia" w:ascii="仿宋" w:hAnsi="仿宋" w:eastAsia="仿宋" w:cs="仿宋"/>
                <w:color w:val="auto"/>
                <w:spacing w:val="-42"/>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项规定</w:t>
            </w:r>
          </w:p>
        </w:tc>
      </w:tr>
      <w:tr w14:paraId="3D768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68B152F2">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77DC45B0">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4CBDB8A4">
            <w:pPr>
              <w:spacing w:line="380" w:lineRule="exact"/>
              <w:rPr>
                <w:rFonts w:hint="default"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（勘察）设计服务期限</w:t>
            </w:r>
          </w:p>
        </w:tc>
        <w:tc>
          <w:tcPr>
            <w:tcW w:w="5181" w:type="dxa"/>
            <w:tcBorders>
              <w:left w:val="single" w:color="auto" w:sz="4" w:space="0"/>
            </w:tcBorders>
            <w:vAlign w:val="center"/>
          </w:tcPr>
          <w:p w14:paraId="193CEA3B">
            <w:pPr>
              <w:pStyle w:val="434"/>
              <w:spacing w:before="121" w:line="223" w:lineRule="auto"/>
              <w:rPr>
                <w:rFonts w:hint="eastAsia" w:ascii="仿宋" w:hAnsi="仿宋" w:eastAsia="仿宋" w:cs="仿宋"/>
                <w:color w:val="auto"/>
                <w:highlight w:val="none"/>
              </w:rPr>
            </w:pPr>
            <w:r>
              <w:rPr>
                <w:rFonts w:hint="eastAsia" w:ascii="仿宋" w:hAnsi="仿宋" w:eastAsia="仿宋" w:cs="仿宋"/>
                <w:color w:val="auto"/>
                <w:spacing w:val="-4"/>
                <w:sz w:val="21"/>
                <w:szCs w:val="21"/>
                <w:highlight w:val="none"/>
                <w:lang w:eastAsia="zh-CN"/>
              </w:rPr>
              <w:t>符合第二章“投标人须知 ”第 1.3.2 项规定</w:t>
            </w:r>
          </w:p>
        </w:tc>
      </w:tr>
      <w:tr w14:paraId="1BC18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118CE44E">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2D7CC42D">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1EE11E72">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质量</w:t>
            </w:r>
            <w:r>
              <w:rPr>
                <w:rFonts w:hint="eastAsia" w:ascii="仿宋" w:hAnsi="仿宋" w:eastAsia="仿宋" w:cs="仿宋"/>
                <w:color w:val="auto"/>
                <w:szCs w:val="21"/>
                <w:highlight w:val="none"/>
                <w:lang w:val="en-US" w:eastAsia="zh-CN"/>
              </w:rPr>
              <w:t>标准</w:t>
            </w:r>
          </w:p>
        </w:tc>
        <w:tc>
          <w:tcPr>
            <w:tcW w:w="5181" w:type="dxa"/>
            <w:tcBorders>
              <w:left w:val="single" w:color="auto" w:sz="4" w:space="0"/>
            </w:tcBorders>
            <w:vAlign w:val="center"/>
          </w:tcPr>
          <w:p w14:paraId="4F78D304">
            <w:pPr>
              <w:pStyle w:val="434"/>
              <w:spacing w:before="119" w:line="222" w:lineRule="auto"/>
              <w:rPr>
                <w:rFonts w:hint="eastAsia" w:ascii="仿宋" w:hAnsi="仿宋" w:eastAsia="仿宋" w:cs="仿宋"/>
                <w:color w:val="auto"/>
                <w:highlight w:val="none"/>
              </w:rPr>
            </w:pPr>
            <w:r>
              <w:rPr>
                <w:rFonts w:hint="eastAsia" w:ascii="仿宋" w:hAnsi="仿宋" w:eastAsia="仿宋" w:cs="仿宋"/>
                <w:color w:val="auto"/>
                <w:spacing w:val="-4"/>
                <w:sz w:val="21"/>
                <w:szCs w:val="21"/>
                <w:highlight w:val="none"/>
                <w:lang w:eastAsia="zh-CN"/>
              </w:rPr>
              <w:t>符合第二章“投标人须知</w:t>
            </w:r>
            <w:r>
              <w:rPr>
                <w:rFonts w:hint="eastAsia" w:ascii="仿宋" w:hAnsi="仿宋" w:eastAsia="仿宋" w:cs="仿宋"/>
                <w:color w:val="auto"/>
                <w:spacing w:val="-81"/>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”第</w:t>
            </w:r>
            <w:r>
              <w:rPr>
                <w:rFonts w:hint="eastAsia" w:ascii="仿宋" w:hAnsi="仿宋" w:eastAsia="仿宋" w:cs="仿宋"/>
                <w:color w:val="auto"/>
                <w:spacing w:val="-31"/>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1.3.3</w:t>
            </w:r>
            <w:r>
              <w:rPr>
                <w:rFonts w:hint="eastAsia" w:ascii="仿宋" w:hAnsi="仿宋" w:eastAsia="仿宋" w:cs="仿宋"/>
                <w:color w:val="auto"/>
                <w:spacing w:val="-42"/>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项规定</w:t>
            </w:r>
          </w:p>
        </w:tc>
      </w:tr>
      <w:tr w14:paraId="4FBD1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10D08953">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61DF48E2">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5495101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181" w:type="dxa"/>
            <w:tcBorders>
              <w:left w:val="single" w:color="auto" w:sz="4" w:space="0"/>
            </w:tcBorders>
            <w:vAlign w:val="center"/>
          </w:tcPr>
          <w:p w14:paraId="360F0177">
            <w:pPr>
              <w:spacing w:line="380" w:lineRule="exact"/>
              <w:rPr>
                <w:rFonts w:hint="eastAsia" w:ascii="仿宋" w:hAnsi="仿宋" w:eastAsia="仿宋" w:cs="仿宋"/>
                <w:color w:val="auto"/>
                <w:highlight w:val="none"/>
              </w:rPr>
            </w:pPr>
            <w:r>
              <w:rPr>
                <w:rFonts w:hint="eastAsia" w:ascii="仿宋" w:hAnsi="仿宋" w:eastAsia="仿宋" w:cs="仿宋"/>
                <w:color w:val="auto"/>
                <w:spacing w:val="-4"/>
                <w:sz w:val="21"/>
                <w:szCs w:val="21"/>
                <w:highlight w:val="none"/>
                <w:lang w:eastAsia="zh-CN"/>
              </w:rPr>
              <w:t>符合第二章“投标人须知</w:t>
            </w:r>
            <w:r>
              <w:rPr>
                <w:rFonts w:hint="eastAsia" w:ascii="仿宋" w:hAnsi="仿宋" w:eastAsia="仿宋" w:cs="仿宋"/>
                <w:color w:val="auto"/>
                <w:spacing w:val="-81"/>
                <w:sz w:val="21"/>
                <w:szCs w:val="21"/>
                <w:highlight w:val="none"/>
                <w:lang w:eastAsia="zh-CN"/>
              </w:rPr>
              <w:t xml:space="preserve"> </w:t>
            </w:r>
            <w:r>
              <w:rPr>
                <w:rFonts w:hint="eastAsia" w:ascii="仿宋" w:hAnsi="仿宋" w:eastAsia="仿宋" w:cs="仿宋"/>
                <w:color w:val="auto"/>
                <w:sz w:val="21"/>
                <w:szCs w:val="21"/>
                <w:highlight w:val="none"/>
                <w:lang w:eastAsia="zh-CN"/>
              </w:rPr>
              <w:t>前附表</w:t>
            </w:r>
            <w:r>
              <w:rPr>
                <w:rFonts w:hint="eastAsia" w:ascii="仿宋" w:hAnsi="仿宋" w:eastAsia="仿宋" w:cs="仿宋"/>
                <w:color w:val="auto"/>
                <w:spacing w:val="-4"/>
                <w:sz w:val="21"/>
                <w:szCs w:val="21"/>
                <w:highlight w:val="none"/>
                <w:lang w:eastAsia="zh-CN"/>
              </w:rPr>
              <w:t>”第</w:t>
            </w:r>
            <w:r>
              <w:rPr>
                <w:rFonts w:hint="eastAsia" w:ascii="仿宋" w:hAnsi="仿宋" w:eastAsia="仿宋" w:cs="仿宋"/>
                <w:color w:val="auto"/>
                <w:spacing w:val="-31"/>
                <w:sz w:val="21"/>
                <w:szCs w:val="21"/>
                <w:highlight w:val="none"/>
                <w:lang w:eastAsia="zh-CN"/>
              </w:rPr>
              <w:t xml:space="preserve"> </w:t>
            </w:r>
            <w:r>
              <w:rPr>
                <w:rFonts w:hint="eastAsia" w:ascii="仿宋" w:hAnsi="仿宋" w:eastAsia="仿宋" w:cs="仿宋"/>
                <w:color w:val="auto"/>
                <w:spacing w:val="-4"/>
                <w:sz w:val="21"/>
                <w:szCs w:val="21"/>
                <w:highlight w:val="none"/>
                <w:lang w:val="en-US" w:eastAsia="zh-CN"/>
              </w:rPr>
              <w:t>3.3.1</w:t>
            </w:r>
            <w:r>
              <w:rPr>
                <w:rFonts w:hint="eastAsia" w:ascii="仿宋" w:hAnsi="仿宋" w:eastAsia="仿宋" w:cs="仿宋"/>
                <w:color w:val="auto"/>
                <w:spacing w:val="-4"/>
                <w:sz w:val="21"/>
                <w:szCs w:val="21"/>
                <w:highlight w:val="none"/>
                <w:lang w:eastAsia="zh-CN"/>
              </w:rPr>
              <w:t>项规定</w:t>
            </w:r>
          </w:p>
        </w:tc>
      </w:tr>
      <w:tr w14:paraId="0009B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6AB8F1AC">
            <w:pPr>
              <w:spacing w:line="380" w:lineRule="exact"/>
              <w:jc w:val="center"/>
              <w:rPr>
                <w:rFonts w:hint="eastAsia" w:ascii="仿宋" w:hAnsi="仿宋" w:eastAsia="仿宋" w:cs="仿宋"/>
                <w:color w:val="auto"/>
                <w:szCs w:val="21"/>
                <w:highlight w:val="none"/>
              </w:rPr>
            </w:pPr>
          </w:p>
        </w:tc>
        <w:tc>
          <w:tcPr>
            <w:tcW w:w="1496" w:type="dxa"/>
            <w:vMerge w:val="continue"/>
            <w:vAlign w:val="center"/>
          </w:tcPr>
          <w:p w14:paraId="75D85349">
            <w:pPr>
              <w:spacing w:line="380" w:lineRule="exact"/>
              <w:jc w:val="center"/>
              <w:rPr>
                <w:rFonts w:hint="eastAsia" w:ascii="仿宋" w:hAnsi="仿宋" w:eastAsia="仿宋" w:cs="仿宋"/>
                <w:color w:val="auto"/>
                <w:szCs w:val="21"/>
                <w:highlight w:val="none"/>
              </w:rPr>
            </w:pPr>
          </w:p>
        </w:tc>
        <w:tc>
          <w:tcPr>
            <w:tcW w:w="2191" w:type="dxa"/>
            <w:tcBorders>
              <w:right w:val="single" w:color="auto" w:sz="4" w:space="0"/>
            </w:tcBorders>
            <w:vAlign w:val="center"/>
          </w:tcPr>
          <w:p w14:paraId="45195C80">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w:t>
            </w:r>
          </w:p>
        </w:tc>
        <w:tc>
          <w:tcPr>
            <w:tcW w:w="5181" w:type="dxa"/>
            <w:tcBorders>
              <w:left w:val="single" w:color="auto" w:sz="4" w:space="0"/>
            </w:tcBorders>
            <w:vAlign w:val="center"/>
          </w:tcPr>
          <w:p w14:paraId="6310B3F5">
            <w:pPr>
              <w:spacing w:line="380" w:lineRule="exact"/>
              <w:rPr>
                <w:rFonts w:hint="eastAsia" w:ascii="仿宋" w:hAnsi="仿宋" w:eastAsia="仿宋" w:cs="仿宋"/>
                <w:color w:val="auto"/>
                <w:highlight w:val="none"/>
              </w:rPr>
            </w:pPr>
            <w:r>
              <w:rPr>
                <w:rFonts w:hint="eastAsia" w:ascii="仿宋" w:hAnsi="仿宋" w:eastAsia="仿宋" w:cs="仿宋"/>
                <w:color w:val="auto"/>
                <w:spacing w:val="-4"/>
                <w:sz w:val="21"/>
                <w:szCs w:val="21"/>
                <w:highlight w:val="none"/>
                <w:lang w:eastAsia="zh-CN"/>
              </w:rPr>
              <w:t>符合第二章“投标人须知</w:t>
            </w:r>
            <w:r>
              <w:rPr>
                <w:rFonts w:hint="eastAsia" w:ascii="仿宋" w:hAnsi="仿宋" w:eastAsia="仿宋" w:cs="仿宋"/>
                <w:color w:val="auto"/>
                <w:spacing w:val="-70"/>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”第</w:t>
            </w:r>
            <w:r>
              <w:rPr>
                <w:rFonts w:hint="eastAsia" w:ascii="仿宋" w:hAnsi="仿宋" w:eastAsia="仿宋" w:cs="仿宋"/>
                <w:color w:val="auto"/>
                <w:spacing w:val="-43"/>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3.4.1</w:t>
            </w:r>
            <w:r>
              <w:rPr>
                <w:rFonts w:hint="eastAsia" w:ascii="仿宋" w:hAnsi="仿宋" w:eastAsia="仿宋" w:cs="仿宋"/>
                <w:color w:val="auto"/>
                <w:spacing w:val="-42"/>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项规定</w:t>
            </w:r>
          </w:p>
        </w:tc>
      </w:tr>
      <w:tr w14:paraId="502F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op w:val="single" w:color="000000" w:sz="4" w:space="0"/>
              <w:left w:val="single" w:color="000000" w:sz="4" w:space="0"/>
              <w:bottom w:val="single" w:color="000000" w:sz="4" w:space="0"/>
              <w:right w:val="single" w:color="000000" w:sz="4" w:space="0"/>
            </w:tcBorders>
            <w:vAlign w:val="center"/>
          </w:tcPr>
          <w:p w14:paraId="6EBEB2F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1496" w:type="dxa"/>
            <w:tcBorders>
              <w:top w:val="single" w:color="000000" w:sz="4" w:space="0"/>
              <w:left w:val="single" w:color="000000" w:sz="4" w:space="0"/>
              <w:bottom w:val="single" w:color="000000" w:sz="4" w:space="0"/>
              <w:right w:val="single" w:color="000000" w:sz="4" w:space="0"/>
            </w:tcBorders>
            <w:vAlign w:val="center"/>
          </w:tcPr>
          <w:p w14:paraId="6BFDF78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分值构成（总分100分）</w:t>
            </w:r>
          </w:p>
        </w:tc>
        <w:tc>
          <w:tcPr>
            <w:tcW w:w="7372" w:type="dxa"/>
            <w:gridSpan w:val="2"/>
            <w:tcBorders>
              <w:top w:val="single" w:color="000000" w:sz="4" w:space="0"/>
              <w:left w:val="single" w:color="000000" w:sz="4" w:space="0"/>
              <w:bottom w:val="single" w:color="000000" w:sz="4" w:space="0"/>
              <w:right w:val="single" w:color="000000" w:sz="4" w:space="0"/>
            </w:tcBorders>
            <w:vAlign w:val="center"/>
          </w:tcPr>
          <w:p w14:paraId="6809861B">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商务部分：15分</w:t>
            </w:r>
          </w:p>
          <w:p w14:paraId="5862F0F1">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技术部分：25分</w:t>
            </w:r>
          </w:p>
          <w:p w14:paraId="14537BE5">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评标价：60分</w:t>
            </w:r>
          </w:p>
        </w:tc>
      </w:tr>
      <w:tr w14:paraId="47B4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op w:val="single" w:color="000000" w:sz="4" w:space="0"/>
              <w:left w:val="single" w:color="000000" w:sz="4" w:space="0"/>
              <w:bottom w:val="single" w:color="000000" w:sz="4" w:space="0"/>
              <w:right w:val="single" w:color="000000" w:sz="4" w:space="0"/>
            </w:tcBorders>
            <w:vAlign w:val="center"/>
          </w:tcPr>
          <w:p w14:paraId="004B238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1496" w:type="dxa"/>
            <w:tcBorders>
              <w:top w:val="single" w:color="000000" w:sz="4" w:space="0"/>
              <w:left w:val="single" w:color="000000" w:sz="4" w:space="0"/>
              <w:bottom w:val="single" w:color="000000" w:sz="4" w:space="0"/>
              <w:right w:val="single" w:color="000000" w:sz="4" w:space="0"/>
            </w:tcBorders>
            <w:vAlign w:val="center"/>
          </w:tcPr>
          <w:p w14:paraId="6ED3498C">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评标基准价计算方法</w:t>
            </w:r>
          </w:p>
        </w:tc>
        <w:tc>
          <w:tcPr>
            <w:tcW w:w="7372" w:type="dxa"/>
            <w:gridSpan w:val="2"/>
            <w:tcBorders>
              <w:top w:val="single" w:color="000000" w:sz="4" w:space="0"/>
              <w:left w:val="single" w:color="000000" w:sz="4" w:space="0"/>
              <w:bottom w:val="single" w:color="000000" w:sz="4" w:space="0"/>
              <w:right w:val="single" w:color="000000" w:sz="4" w:space="0"/>
            </w:tcBorders>
            <w:vAlign w:val="center"/>
          </w:tcPr>
          <w:p w14:paraId="23C25A5D">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评标基准价的计算：</w:t>
            </w:r>
          </w:p>
          <w:p w14:paraId="7845F46C">
            <w:pPr>
              <w:snapToGrid w:val="0"/>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在开标现场 ，招标人将当场计算并宣布评标基准价。</w:t>
            </w:r>
          </w:p>
          <w:p w14:paraId="19F78F92">
            <w:pPr>
              <w:spacing w:line="38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（1）评标价的确定：</w:t>
            </w:r>
          </w:p>
          <w:p w14:paraId="7680AC62">
            <w:pPr>
              <w:snapToGrid w:val="0"/>
              <w:spacing w:line="380" w:lineRule="exact"/>
              <w:ind w:firstLine="422" w:firstLineChars="200"/>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评标价＝投标函文字报价（如为联合体项目，则对投标总报价进行评审）</w:t>
            </w:r>
          </w:p>
          <w:p w14:paraId="3F93B8A8">
            <w:pPr>
              <w:spacing w:line="380" w:lineRule="exact"/>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b/>
                <w:snapToGrid w:val="0"/>
                <w:color w:val="auto"/>
                <w:szCs w:val="21"/>
                <w:highlight w:val="none"/>
              </w:rPr>
              <w:t>2）</w:t>
            </w:r>
            <w:r>
              <w:rPr>
                <w:rFonts w:hint="eastAsia" w:ascii="仿宋" w:hAnsi="仿宋" w:eastAsia="仿宋" w:cs="仿宋"/>
                <w:b/>
                <w:bCs/>
                <w:snapToGrid w:val="0"/>
                <w:color w:val="auto"/>
                <w:szCs w:val="21"/>
                <w:highlight w:val="none"/>
              </w:rPr>
              <w:t>最高评标限价的确定</w:t>
            </w:r>
            <w:r>
              <w:rPr>
                <w:rFonts w:hint="eastAsia" w:ascii="仿宋" w:hAnsi="仿宋" w:eastAsia="仿宋" w:cs="仿宋"/>
                <w:b/>
                <w:snapToGrid w:val="0"/>
                <w:color w:val="auto"/>
                <w:szCs w:val="21"/>
                <w:highlight w:val="none"/>
              </w:rPr>
              <w:t>：</w:t>
            </w:r>
          </w:p>
          <w:p w14:paraId="70F48D87">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①最高投标限价下浮率的确定</w:t>
            </w:r>
          </w:p>
          <w:p w14:paraId="23F30880">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最高投标限价下浮率在开标现场采取摇珠方式确定。</w:t>
            </w:r>
          </w:p>
          <w:p w14:paraId="09AB4D1F">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摇珠操作办法如下：以0.1％为一档次增序确定摇珠号码，</w:t>
            </w:r>
            <w:r>
              <w:rPr>
                <w:rFonts w:hint="eastAsia" w:ascii="仿宋" w:hAnsi="仿宋" w:eastAsia="仿宋" w:cs="仿宋"/>
                <w:b/>
                <w:snapToGrid w:val="0"/>
                <w:color w:val="auto"/>
                <w:szCs w:val="21"/>
                <w:highlight w:val="none"/>
              </w:rPr>
              <w:t>不少于31个球</w:t>
            </w:r>
            <w:r>
              <w:rPr>
                <w:rFonts w:hint="eastAsia" w:ascii="仿宋" w:hAnsi="仿宋" w:eastAsia="仿宋" w:cs="仿宋"/>
                <w:snapToGrid w:val="0"/>
                <w:color w:val="auto"/>
                <w:szCs w:val="21"/>
                <w:highlight w:val="none"/>
              </w:rPr>
              <w:t>，一次性摇出3个球（摇出的珠不放回），摇出3个球对应的下浮率的算术平均值即为本标段招标的最高投标限价下浮率（注：最高投标限价下浮率摇珠浮动区间为</w:t>
            </w:r>
            <w:r>
              <w:rPr>
                <w:rFonts w:hint="eastAsia" w:ascii="仿宋" w:hAnsi="仿宋" w:eastAsia="仿宋" w:cs="仿宋"/>
                <w:b/>
                <w:snapToGrid w:val="0"/>
                <w:color w:val="auto"/>
                <w:szCs w:val="21"/>
                <w:highlight w:val="none"/>
                <w:u w:val="single"/>
              </w:rPr>
              <w:t xml:space="preserve"> </w:t>
            </w:r>
            <w:r>
              <w:rPr>
                <w:rFonts w:hint="eastAsia" w:ascii="仿宋" w:hAnsi="仿宋" w:eastAsia="仿宋" w:cs="仿宋"/>
                <w:b/>
                <w:snapToGrid w:val="0"/>
                <w:color w:val="auto"/>
                <w:szCs w:val="21"/>
                <w:highlight w:val="none"/>
                <w:u w:val="single"/>
                <w:lang w:val="en-US" w:eastAsia="zh-CN"/>
              </w:rPr>
              <w:t>14</w:t>
            </w:r>
            <w:r>
              <w:rPr>
                <w:rFonts w:hint="eastAsia" w:ascii="仿宋" w:hAnsi="仿宋" w:eastAsia="仿宋" w:cs="仿宋"/>
                <w:b/>
                <w:snapToGrid w:val="0"/>
                <w:color w:val="auto"/>
                <w:szCs w:val="21"/>
                <w:highlight w:val="none"/>
                <w:u w:val="single"/>
              </w:rPr>
              <w:t>％至</w:t>
            </w:r>
            <w:r>
              <w:rPr>
                <w:rFonts w:hint="eastAsia" w:ascii="仿宋" w:hAnsi="仿宋" w:eastAsia="仿宋" w:cs="仿宋"/>
                <w:b/>
                <w:snapToGrid w:val="0"/>
                <w:color w:val="auto"/>
                <w:szCs w:val="21"/>
                <w:highlight w:val="none"/>
                <w:u w:val="single"/>
                <w:lang w:val="en-US" w:eastAsia="zh-CN"/>
              </w:rPr>
              <w:t>17</w:t>
            </w:r>
            <w:r>
              <w:rPr>
                <w:rFonts w:hint="eastAsia" w:ascii="仿宋" w:hAnsi="仿宋" w:eastAsia="仿宋" w:cs="仿宋"/>
                <w:b/>
                <w:snapToGrid w:val="0"/>
                <w:color w:val="auto"/>
                <w:szCs w:val="21"/>
                <w:highlight w:val="none"/>
                <w:u w:val="single"/>
              </w:rPr>
              <w:t>％【</w:t>
            </w:r>
            <w:r>
              <w:rPr>
                <w:rFonts w:hint="eastAsia" w:ascii="仿宋" w:hAnsi="仿宋" w:eastAsia="仿宋" w:cs="仿宋"/>
                <w:b/>
                <w:snapToGrid w:val="0"/>
                <w:color w:val="auto"/>
                <w:szCs w:val="21"/>
                <w:highlight w:val="none"/>
                <w:u w:val="single"/>
                <w:lang w:eastAsia="zh-CN"/>
              </w:rPr>
              <w:t>（</w:t>
            </w:r>
            <w:r>
              <w:rPr>
                <w:rFonts w:hint="eastAsia" w:ascii="仿宋" w:hAnsi="仿宋" w:eastAsia="仿宋" w:cs="仿宋"/>
                <w:b/>
                <w:snapToGrid w:val="0"/>
                <w:color w:val="auto"/>
                <w:szCs w:val="21"/>
                <w:highlight w:val="none"/>
                <w:u w:val="single"/>
                <w:lang w:val="en-US" w:eastAsia="zh-CN"/>
              </w:rPr>
              <w:t>勘察</w:t>
            </w:r>
            <w:r>
              <w:rPr>
                <w:rFonts w:hint="eastAsia" w:ascii="仿宋" w:hAnsi="仿宋" w:eastAsia="仿宋" w:cs="仿宋"/>
                <w:b/>
                <w:snapToGrid w:val="0"/>
                <w:color w:val="auto"/>
                <w:szCs w:val="21"/>
                <w:highlight w:val="none"/>
                <w:u w:val="single"/>
                <w:lang w:eastAsia="zh-CN"/>
              </w:rPr>
              <w:t>）</w:t>
            </w:r>
            <w:r>
              <w:rPr>
                <w:rFonts w:hint="eastAsia" w:ascii="仿宋" w:hAnsi="仿宋" w:eastAsia="仿宋" w:cs="仿宋"/>
                <w:b/>
                <w:bCs/>
                <w:snapToGrid w:val="0"/>
                <w:color w:val="auto"/>
                <w:szCs w:val="21"/>
                <w:highlight w:val="none"/>
              </w:rPr>
              <w:t>设计服务类的建议摇珠区间为：14</w:t>
            </w:r>
            <w:r>
              <w:rPr>
                <w:rFonts w:hint="eastAsia" w:ascii="仿宋" w:hAnsi="仿宋" w:eastAsia="仿宋" w:cs="仿宋"/>
                <w:b/>
                <w:snapToGrid w:val="0"/>
                <w:color w:val="auto"/>
                <w:szCs w:val="21"/>
                <w:highlight w:val="none"/>
              </w:rPr>
              <w:t>％</w:t>
            </w:r>
            <w:r>
              <w:rPr>
                <w:rFonts w:hint="eastAsia" w:ascii="仿宋" w:hAnsi="仿宋" w:eastAsia="仿宋" w:cs="仿宋"/>
                <w:b/>
                <w:bCs/>
                <w:snapToGrid w:val="0"/>
                <w:color w:val="auto"/>
                <w:szCs w:val="21"/>
                <w:highlight w:val="none"/>
              </w:rPr>
              <w:t>至17</w:t>
            </w:r>
            <w:r>
              <w:rPr>
                <w:rFonts w:hint="eastAsia" w:ascii="仿宋" w:hAnsi="仿宋" w:eastAsia="仿宋" w:cs="仿宋"/>
                <w:b/>
                <w:snapToGrid w:val="0"/>
                <w:color w:val="auto"/>
                <w:szCs w:val="21"/>
                <w:highlight w:val="none"/>
              </w:rPr>
              <w:t>％</w:t>
            </w:r>
            <w:r>
              <w:rPr>
                <w:rFonts w:hint="eastAsia" w:ascii="仿宋" w:hAnsi="仿宋" w:eastAsia="仿宋" w:cs="仿宋"/>
                <w:b/>
                <w:bCs/>
                <w:snapToGrid w:val="0"/>
                <w:color w:val="auto"/>
                <w:szCs w:val="21"/>
                <w:highlight w:val="none"/>
              </w:rPr>
              <w:t>】</w:t>
            </w:r>
            <w:r>
              <w:rPr>
                <w:rFonts w:hint="eastAsia" w:ascii="仿宋" w:hAnsi="仿宋" w:eastAsia="仿宋" w:cs="仿宋"/>
                <w:snapToGrid w:val="0"/>
                <w:color w:val="auto"/>
                <w:szCs w:val="21"/>
                <w:highlight w:val="none"/>
              </w:rPr>
              <w:t>，摇出3个下浮率的算术平均值四舍五入取整到0.001％）。</w:t>
            </w:r>
          </w:p>
          <w:p w14:paraId="20E31096">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②最高评标限价=最高投标限价×（1-最高投标限价下浮率）</w:t>
            </w:r>
          </w:p>
          <w:p w14:paraId="71F0D8DC">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有效评标价范围：不大于最高评标限价的评标价为有效评标价。若大于最高评标限价的评标价，不参与评标基准价的计算，其评标价得分为0分。</w:t>
            </w:r>
          </w:p>
          <w:p w14:paraId="68142E18">
            <w:pPr>
              <w:spacing w:line="380" w:lineRule="exact"/>
              <w:ind w:firstLine="422" w:firstLineChars="200"/>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（4）评标基准价的确定：</w:t>
            </w:r>
          </w:p>
          <w:p w14:paraId="360411FF">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①参与评标基准价计算的评标价范围：最高评标限价的85％≤参与评标基准价计算的评标价≤最高评标限价的100％，小于最高评标限价85％的评标价不参与评标基准价的计算，但仍参与评标价的得分计算。</w:t>
            </w:r>
          </w:p>
          <w:p w14:paraId="58595C92">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②除不参与评标基准价计算的投标报价之外，当有效投标人少于或等于 5家时，评标基准价为所有有效投标报价的算术平均值；当有效投标人大于 5 家时，评标基准价为去掉一家最高投标报价和一家最低投标报价后的算术平均值。</w:t>
            </w:r>
          </w:p>
          <w:p w14:paraId="6889C0F9">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③若投标人的评标价均小于最高评标限价的85％时，则以最高评标限价的85％为评标基准价。评标委员会可对评标价小于最高评标限价的85％的启动澄清程序，要求投标人作出书面说明并提供相关证明材料，若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14:paraId="49B41E32">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④在评标过程中，评标委员会应对招标人计算的评标基准价进行复核，存在计算错误的应予以修正并在评标报告中作出说明。除此之外，评标基准价在整个评标期间保持不变，不随任何因素发生变化。</w:t>
            </w:r>
          </w:p>
          <w:p w14:paraId="3DEA222D">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注：最高评标限价、评标基准价的计算均四舍五入至小数点后二位。</w:t>
            </w:r>
          </w:p>
        </w:tc>
      </w:tr>
      <w:tr w14:paraId="239BF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tcBorders>
              <w:top w:val="single" w:color="000000" w:sz="4" w:space="0"/>
              <w:left w:val="single" w:color="000000" w:sz="4" w:space="0"/>
              <w:bottom w:val="single" w:color="000000" w:sz="4" w:space="0"/>
              <w:right w:val="single" w:color="000000" w:sz="4" w:space="0"/>
            </w:tcBorders>
            <w:vAlign w:val="center"/>
          </w:tcPr>
          <w:p w14:paraId="562591D6">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w:t>
            </w:r>
          </w:p>
        </w:tc>
        <w:tc>
          <w:tcPr>
            <w:tcW w:w="1496" w:type="dxa"/>
            <w:tcBorders>
              <w:top w:val="single" w:color="000000" w:sz="4" w:space="0"/>
              <w:left w:val="single" w:color="000000" w:sz="4" w:space="0"/>
              <w:bottom w:val="single" w:color="000000" w:sz="4" w:space="0"/>
              <w:right w:val="single" w:color="000000" w:sz="4" w:space="0"/>
            </w:tcBorders>
            <w:vAlign w:val="center"/>
          </w:tcPr>
          <w:p w14:paraId="575E969B">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评标价的偏差率计算公式</w:t>
            </w:r>
          </w:p>
        </w:tc>
        <w:tc>
          <w:tcPr>
            <w:tcW w:w="7372" w:type="dxa"/>
            <w:gridSpan w:val="2"/>
            <w:tcBorders>
              <w:top w:val="single" w:color="000000" w:sz="4" w:space="0"/>
              <w:left w:val="single" w:color="000000" w:sz="4" w:space="0"/>
              <w:bottom w:val="single" w:color="000000" w:sz="4" w:space="0"/>
              <w:right w:val="single" w:color="000000" w:sz="4" w:space="0"/>
            </w:tcBorders>
            <w:vAlign w:val="center"/>
          </w:tcPr>
          <w:p w14:paraId="3159DA57">
            <w:pPr>
              <w:spacing w:line="38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偏差率=100％×（投标人评标价－评标基准价）/评标基准价</w:t>
            </w:r>
          </w:p>
          <w:p w14:paraId="7C61F423">
            <w:pPr>
              <w:spacing w:line="380" w:lineRule="exact"/>
              <w:ind w:firstLine="422" w:firstLineChars="200"/>
              <w:rPr>
                <w:rFonts w:hint="eastAsia" w:ascii="仿宋" w:hAnsi="仿宋" w:eastAsia="仿宋" w:cs="仿宋"/>
                <w:b/>
                <w:color w:val="auto"/>
                <w:highlight w:val="none"/>
              </w:rPr>
            </w:pPr>
            <w:r>
              <w:rPr>
                <w:rFonts w:hint="eastAsia" w:ascii="仿宋" w:hAnsi="仿宋" w:eastAsia="仿宋" w:cs="仿宋"/>
                <w:b/>
                <w:snapToGrid w:val="0"/>
                <w:color w:val="auto"/>
                <w:szCs w:val="21"/>
                <w:highlight w:val="none"/>
              </w:rPr>
              <w:t>注：偏差率以百分比为单位，保留到小数点后3位，小数点后4位四舍五入。（如：0.001％）</w:t>
            </w:r>
          </w:p>
        </w:tc>
      </w:tr>
    </w:tbl>
    <w:p w14:paraId="72974774">
      <w:pPr>
        <w:widowControl/>
        <w:jc w:val="left"/>
        <w:rPr>
          <w:rFonts w:ascii="宋体" w:hAnsi="宋体"/>
          <w:color w:val="auto"/>
          <w:highlight w:val="none"/>
        </w:rPr>
      </w:pPr>
    </w:p>
    <w:p w14:paraId="47F2C1DE">
      <w:pPr>
        <w:pStyle w:val="61"/>
        <w:rPr>
          <w:color w:val="auto"/>
          <w:highlight w:val="none"/>
        </w:rPr>
      </w:pPr>
      <w:r>
        <w:rPr>
          <w:color w:val="auto"/>
          <w:highlight w:val="none"/>
        </w:rPr>
        <w:br w:type="page"/>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39"/>
        <w:gridCol w:w="838"/>
        <w:gridCol w:w="1809"/>
        <w:gridCol w:w="701"/>
        <w:gridCol w:w="4603"/>
      </w:tblGrid>
      <w:tr w14:paraId="3329B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3" w:type="dxa"/>
            <w:gridSpan w:val="5"/>
            <w:vAlign w:val="center"/>
          </w:tcPr>
          <w:p w14:paraId="3A4D5FE6">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评审因素与评分值</w:t>
            </w:r>
          </w:p>
        </w:tc>
        <w:tc>
          <w:tcPr>
            <w:tcW w:w="4603" w:type="dxa"/>
            <w:vMerge w:val="restart"/>
            <w:vAlign w:val="center"/>
          </w:tcPr>
          <w:p w14:paraId="19886394">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评分标准</w:t>
            </w:r>
          </w:p>
        </w:tc>
      </w:tr>
      <w:tr w14:paraId="15E48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Align w:val="center"/>
          </w:tcPr>
          <w:p w14:paraId="508BBFDE">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839" w:type="dxa"/>
            <w:vAlign w:val="center"/>
          </w:tcPr>
          <w:p w14:paraId="687713D0">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评审因素</w:t>
            </w:r>
          </w:p>
        </w:tc>
        <w:tc>
          <w:tcPr>
            <w:tcW w:w="838" w:type="dxa"/>
            <w:vAlign w:val="center"/>
          </w:tcPr>
          <w:p w14:paraId="111E5726">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评分因素权重分值</w:t>
            </w:r>
          </w:p>
        </w:tc>
        <w:tc>
          <w:tcPr>
            <w:tcW w:w="1809" w:type="dxa"/>
            <w:vAlign w:val="center"/>
          </w:tcPr>
          <w:p w14:paraId="7AF278D6">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各评审因素细分项</w:t>
            </w:r>
          </w:p>
        </w:tc>
        <w:tc>
          <w:tcPr>
            <w:tcW w:w="701" w:type="dxa"/>
            <w:vAlign w:val="center"/>
          </w:tcPr>
          <w:p w14:paraId="66ED17DA">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分值</w:t>
            </w:r>
          </w:p>
        </w:tc>
        <w:tc>
          <w:tcPr>
            <w:tcW w:w="4603" w:type="dxa"/>
            <w:vMerge w:val="continue"/>
            <w:vAlign w:val="center"/>
          </w:tcPr>
          <w:p w14:paraId="0DBDFDDF">
            <w:pPr>
              <w:spacing w:line="380" w:lineRule="exact"/>
              <w:jc w:val="center"/>
              <w:rPr>
                <w:rFonts w:hint="eastAsia" w:ascii="仿宋" w:hAnsi="仿宋" w:eastAsia="仿宋" w:cs="仿宋"/>
                <w:color w:val="auto"/>
                <w:szCs w:val="21"/>
                <w:highlight w:val="none"/>
              </w:rPr>
            </w:pPr>
          </w:p>
        </w:tc>
      </w:tr>
      <w:tr w14:paraId="63385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816" w:type="dxa"/>
            <w:vMerge w:val="restart"/>
            <w:vAlign w:val="center"/>
          </w:tcPr>
          <w:p w14:paraId="7850AC5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2.2.4（1）</w:t>
            </w:r>
          </w:p>
        </w:tc>
        <w:tc>
          <w:tcPr>
            <w:tcW w:w="839" w:type="dxa"/>
            <w:vMerge w:val="restart"/>
            <w:vAlign w:val="center"/>
          </w:tcPr>
          <w:p w14:paraId="43C4D8E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技术部分</w:t>
            </w:r>
          </w:p>
        </w:tc>
        <w:tc>
          <w:tcPr>
            <w:tcW w:w="838" w:type="dxa"/>
            <w:vMerge w:val="restart"/>
            <w:vAlign w:val="center"/>
          </w:tcPr>
          <w:p w14:paraId="3CDD7F0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25分</w:t>
            </w:r>
          </w:p>
        </w:tc>
        <w:tc>
          <w:tcPr>
            <w:tcW w:w="1809" w:type="dxa"/>
            <w:vAlign w:val="center"/>
          </w:tcPr>
          <w:p w14:paraId="25418A5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对招标项目的理解和总体思路</w:t>
            </w:r>
          </w:p>
        </w:tc>
        <w:tc>
          <w:tcPr>
            <w:tcW w:w="701" w:type="dxa"/>
            <w:vAlign w:val="center"/>
          </w:tcPr>
          <w:p w14:paraId="2A1F4B22">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603" w:type="dxa"/>
            <w:vAlign w:val="center"/>
          </w:tcPr>
          <w:p w14:paraId="3357E21E">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优：对本项目设计内容的理解充分、分析准确；对设计范围的把握准确；对设计任务书的理解和分析准确；突出本项目的理解和分析；包括对总体布局、基础设施设计、整体效果和落地细节的理解、设计图纸表达充分，得5分；</w:t>
            </w:r>
          </w:p>
          <w:p w14:paraId="7F0A6566">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良：对本项目设计内容的理解比较充分、分析比较准确；对设计范围的把握比较准确；对设计任务书的理解和分析比较准确；比较突出本项目的理解和分析；包括对总体布局、基础设施设计、整体效果和落地细节的理解、设计图纸表达比较充分，得4</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38367B57">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中：对本项目设计内容的理解、分析一般；对设计范围的把握一般；对设计任务书的理解和分析一般；基本突出本项目的理解和分析；包括对总体布局、基础设施设计、整体效果和落地细节的理解、设计图纸表达比较一般，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p w14:paraId="11F26CED">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④差：无该项内容得 0 分。</w:t>
            </w:r>
          </w:p>
        </w:tc>
      </w:tr>
      <w:tr w14:paraId="4018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816" w:type="dxa"/>
            <w:vMerge w:val="continue"/>
            <w:vAlign w:val="center"/>
          </w:tcPr>
          <w:p w14:paraId="794B4BED">
            <w:pPr>
              <w:spacing w:line="380" w:lineRule="exact"/>
              <w:jc w:val="center"/>
              <w:rPr>
                <w:rFonts w:hint="eastAsia" w:ascii="仿宋" w:hAnsi="仿宋" w:eastAsia="仿宋" w:cs="仿宋"/>
                <w:color w:val="auto"/>
                <w:szCs w:val="21"/>
                <w:highlight w:val="none"/>
              </w:rPr>
            </w:pPr>
          </w:p>
        </w:tc>
        <w:tc>
          <w:tcPr>
            <w:tcW w:w="839" w:type="dxa"/>
            <w:vMerge w:val="continue"/>
            <w:vAlign w:val="center"/>
          </w:tcPr>
          <w:p w14:paraId="78E7BCF1">
            <w:pPr>
              <w:spacing w:line="380" w:lineRule="exact"/>
              <w:jc w:val="center"/>
              <w:rPr>
                <w:rFonts w:hint="eastAsia" w:ascii="仿宋" w:hAnsi="仿宋" w:eastAsia="仿宋" w:cs="仿宋"/>
                <w:color w:val="auto"/>
                <w:szCs w:val="21"/>
                <w:highlight w:val="none"/>
              </w:rPr>
            </w:pPr>
          </w:p>
        </w:tc>
        <w:tc>
          <w:tcPr>
            <w:tcW w:w="838" w:type="dxa"/>
            <w:vMerge w:val="continue"/>
            <w:vAlign w:val="center"/>
          </w:tcPr>
          <w:p w14:paraId="65D1667D">
            <w:pPr>
              <w:spacing w:line="380" w:lineRule="exact"/>
              <w:jc w:val="center"/>
              <w:rPr>
                <w:rFonts w:hint="eastAsia" w:ascii="仿宋" w:hAnsi="仿宋" w:eastAsia="仿宋" w:cs="仿宋"/>
                <w:color w:val="auto"/>
                <w:szCs w:val="21"/>
                <w:highlight w:val="none"/>
              </w:rPr>
            </w:pPr>
          </w:p>
        </w:tc>
        <w:tc>
          <w:tcPr>
            <w:tcW w:w="1809" w:type="dxa"/>
            <w:vAlign w:val="center"/>
          </w:tcPr>
          <w:p w14:paraId="7BFF419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设计方案</w:t>
            </w:r>
          </w:p>
        </w:tc>
        <w:tc>
          <w:tcPr>
            <w:tcW w:w="701" w:type="dxa"/>
            <w:vAlign w:val="center"/>
          </w:tcPr>
          <w:p w14:paraId="75FD1B8A">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603" w:type="dxa"/>
            <w:vAlign w:val="center"/>
          </w:tcPr>
          <w:p w14:paraId="7899C5C0">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①优：设计方案合理可行，设计的重点、难点理解准确及其对策措施具体、针对性强的；设计工作流程规范，得5分；</w:t>
            </w:r>
          </w:p>
          <w:p w14:paraId="1BDE9EF7">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②良：设计方案比较合理可行，设计的重点、难点理解比较准确及其对策措施比较具体、针对性比较强的；设计工作流程比较规范，得4</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240FEA6C">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③中：设计方案基本合理可行，设计的重点、难点理解基本准确及其对策措施一般、针对性一般的；设计工作流程规范性一般的，得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p w14:paraId="7EA5DACD">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④差：无该项得0分。</w:t>
            </w:r>
          </w:p>
        </w:tc>
      </w:tr>
      <w:tr w14:paraId="045D7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6" w:type="dxa"/>
            <w:vMerge w:val="continue"/>
            <w:vAlign w:val="center"/>
          </w:tcPr>
          <w:p w14:paraId="703BB306">
            <w:pPr>
              <w:spacing w:line="380" w:lineRule="exact"/>
              <w:jc w:val="center"/>
              <w:rPr>
                <w:rFonts w:hint="eastAsia" w:ascii="仿宋" w:hAnsi="仿宋" w:eastAsia="仿宋" w:cs="仿宋"/>
                <w:color w:val="auto"/>
                <w:szCs w:val="21"/>
                <w:highlight w:val="none"/>
              </w:rPr>
            </w:pPr>
          </w:p>
        </w:tc>
        <w:tc>
          <w:tcPr>
            <w:tcW w:w="839" w:type="dxa"/>
            <w:vMerge w:val="continue"/>
            <w:vAlign w:val="center"/>
          </w:tcPr>
          <w:p w14:paraId="235E0AD7">
            <w:pPr>
              <w:spacing w:line="380" w:lineRule="exact"/>
              <w:jc w:val="center"/>
              <w:rPr>
                <w:rFonts w:hint="eastAsia" w:ascii="仿宋" w:hAnsi="仿宋" w:eastAsia="仿宋" w:cs="仿宋"/>
                <w:color w:val="auto"/>
                <w:szCs w:val="21"/>
                <w:highlight w:val="none"/>
              </w:rPr>
            </w:pPr>
          </w:p>
        </w:tc>
        <w:tc>
          <w:tcPr>
            <w:tcW w:w="838" w:type="dxa"/>
            <w:vMerge w:val="continue"/>
            <w:vAlign w:val="center"/>
          </w:tcPr>
          <w:p w14:paraId="4363FA1C">
            <w:pPr>
              <w:spacing w:line="380" w:lineRule="exact"/>
              <w:jc w:val="center"/>
              <w:rPr>
                <w:rFonts w:hint="eastAsia" w:ascii="仿宋" w:hAnsi="仿宋" w:eastAsia="仿宋" w:cs="仿宋"/>
                <w:color w:val="auto"/>
                <w:szCs w:val="21"/>
                <w:highlight w:val="none"/>
              </w:rPr>
            </w:pPr>
          </w:p>
        </w:tc>
        <w:tc>
          <w:tcPr>
            <w:tcW w:w="1809" w:type="dxa"/>
            <w:vAlign w:val="center"/>
          </w:tcPr>
          <w:p w14:paraId="22FFB9B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勘察、设计的质量及进度保证措施 </w:t>
            </w:r>
          </w:p>
        </w:tc>
        <w:tc>
          <w:tcPr>
            <w:tcW w:w="701" w:type="dxa"/>
            <w:vAlign w:val="center"/>
          </w:tcPr>
          <w:p w14:paraId="259A99EC">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603" w:type="dxa"/>
            <w:vAlign w:val="center"/>
          </w:tcPr>
          <w:p w14:paraId="11303ADF">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①优：质量及进度保证措施、工作进度计划针对性突出、体系严密，工作进度计划合理可靠的，得5分；</w:t>
            </w:r>
          </w:p>
          <w:p w14:paraId="30CDEF53">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②良：质量及进度保证措施、工作进度计划针对性比较突出、体系比较严密，工作进度计划比较合理可靠的，得4</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5EDC4417">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③中：质量及进度保证措施、工作进度计划针对性一般、工作进度计划一般的，得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p w14:paraId="42C47D2C">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④差：无该项得 0 分。</w:t>
            </w:r>
          </w:p>
        </w:tc>
      </w:tr>
      <w:tr w14:paraId="3C0B6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497AD9EC">
            <w:pPr>
              <w:spacing w:line="380" w:lineRule="exact"/>
              <w:jc w:val="center"/>
              <w:rPr>
                <w:rFonts w:hint="eastAsia" w:ascii="仿宋" w:hAnsi="仿宋" w:eastAsia="仿宋" w:cs="仿宋"/>
                <w:color w:val="auto"/>
                <w:szCs w:val="21"/>
                <w:highlight w:val="none"/>
              </w:rPr>
            </w:pPr>
          </w:p>
        </w:tc>
        <w:tc>
          <w:tcPr>
            <w:tcW w:w="839" w:type="dxa"/>
            <w:vMerge w:val="continue"/>
            <w:vAlign w:val="center"/>
          </w:tcPr>
          <w:p w14:paraId="62E37667">
            <w:pPr>
              <w:spacing w:line="380" w:lineRule="exact"/>
              <w:jc w:val="center"/>
              <w:rPr>
                <w:rFonts w:hint="eastAsia" w:ascii="仿宋" w:hAnsi="仿宋" w:eastAsia="仿宋" w:cs="仿宋"/>
                <w:color w:val="auto"/>
                <w:szCs w:val="21"/>
                <w:highlight w:val="none"/>
              </w:rPr>
            </w:pPr>
          </w:p>
        </w:tc>
        <w:tc>
          <w:tcPr>
            <w:tcW w:w="838" w:type="dxa"/>
            <w:vMerge w:val="continue"/>
            <w:vAlign w:val="center"/>
          </w:tcPr>
          <w:p w14:paraId="42EE85D7">
            <w:pPr>
              <w:spacing w:line="380" w:lineRule="exact"/>
              <w:jc w:val="center"/>
              <w:rPr>
                <w:rFonts w:hint="eastAsia" w:ascii="仿宋" w:hAnsi="仿宋" w:eastAsia="仿宋" w:cs="仿宋"/>
                <w:color w:val="auto"/>
                <w:szCs w:val="21"/>
                <w:highlight w:val="none"/>
              </w:rPr>
            </w:pPr>
          </w:p>
        </w:tc>
        <w:tc>
          <w:tcPr>
            <w:tcW w:w="1809" w:type="dxa"/>
            <w:vAlign w:val="center"/>
          </w:tcPr>
          <w:p w14:paraId="69BF0F50">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投资控制措施</w:t>
            </w:r>
          </w:p>
        </w:tc>
        <w:tc>
          <w:tcPr>
            <w:tcW w:w="701" w:type="dxa"/>
            <w:vAlign w:val="center"/>
          </w:tcPr>
          <w:p w14:paraId="2948D1D2">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603" w:type="dxa"/>
            <w:vAlign w:val="center"/>
          </w:tcPr>
          <w:p w14:paraId="6BBB23F3">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①优：工程总投资合理，节约投资的措施及理由合理、可行，投资控制在投资估算额的规模之内。得 5 分；</w:t>
            </w:r>
          </w:p>
          <w:p w14:paraId="66E2C2FD">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②良：工程总投资比较合理，节约投资的措施及理由比较合理、可行，投资控制在投资估算额的规模之内。得 </w:t>
            </w:r>
            <w:r>
              <w:rPr>
                <w:rFonts w:hint="eastAsia" w:ascii="仿宋" w:hAnsi="仿宋" w:eastAsia="仿宋" w:cs="仿宋"/>
                <w:color w:val="auto"/>
                <w:szCs w:val="21"/>
                <w:highlight w:val="none"/>
                <w:lang w:val="en-US" w:eastAsia="zh-CN"/>
              </w:rPr>
              <w:t>4.5</w:t>
            </w:r>
            <w:r>
              <w:rPr>
                <w:rFonts w:hint="eastAsia" w:ascii="仿宋" w:hAnsi="仿宋" w:eastAsia="仿宋" w:cs="仿宋"/>
                <w:color w:val="auto"/>
                <w:szCs w:val="21"/>
                <w:highlight w:val="none"/>
              </w:rPr>
              <w:t>分；</w:t>
            </w:r>
          </w:p>
          <w:p w14:paraId="55101105">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③中：工程总投资基本合理，节约投资的措施及理由基本合理、可行，投资控制在投资估算额的规模之内。得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p w14:paraId="1A21296F">
            <w:pPr>
              <w:spacing w:line="380" w:lineRule="exact"/>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④差：无该项得 0分</w:t>
            </w:r>
            <w:r>
              <w:rPr>
                <w:rFonts w:hint="eastAsia" w:ascii="仿宋" w:hAnsi="仿宋" w:eastAsia="仿宋" w:cs="仿宋"/>
                <w:color w:val="auto"/>
                <w:szCs w:val="21"/>
                <w:highlight w:val="none"/>
                <w:lang w:eastAsia="zh-CN"/>
              </w:rPr>
              <w:t>。</w:t>
            </w:r>
          </w:p>
        </w:tc>
      </w:tr>
      <w:tr w14:paraId="6FC63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vMerge w:val="continue"/>
            <w:vAlign w:val="center"/>
          </w:tcPr>
          <w:p w14:paraId="4C829333">
            <w:pPr>
              <w:spacing w:line="380" w:lineRule="exact"/>
              <w:jc w:val="center"/>
              <w:rPr>
                <w:rFonts w:hint="eastAsia" w:ascii="仿宋" w:hAnsi="仿宋" w:eastAsia="仿宋" w:cs="仿宋"/>
                <w:color w:val="auto"/>
                <w:szCs w:val="21"/>
                <w:highlight w:val="none"/>
              </w:rPr>
            </w:pPr>
          </w:p>
        </w:tc>
        <w:tc>
          <w:tcPr>
            <w:tcW w:w="839" w:type="dxa"/>
            <w:vMerge w:val="continue"/>
            <w:vAlign w:val="center"/>
          </w:tcPr>
          <w:p w14:paraId="3F9B24F3">
            <w:pPr>
              <w:spacing w:line="380" w:lineRule="exact"/>
              <w:jc w:val="center"/>
              <w:rPr>
                <w:rFonts w:hint="eastAsia" w:ascii="仿宋" w:hAnsi="仿宋" w:eastAsia="仿宋" w:cs="仿宋"/>
                <w:color w:val="auto"/>
                <w:szCs w:val="21"/>
                <w:highlight w:val="none"/>
              </w:rPr>
            </w:pPr>
          </w:p>
        </w:tc>
        <w:tc>
          <w:tcPr>
            <w:tcW w:w="838" w:type="dxa"/>
            <w:vMerge w:val="continue"/>
            <w:vAlign w:val="center"/>
          </w:tcPr>
          <w:p w14:paraId="3C86FF2E">
            <w:pPr>
              <w:spacing w:line="380" w:lineRule="exact"/>
              <w:jc w:val="center"/>
              <w:rPr>
                <w:rFonts w:hint="eastAsia" w:ascii="仿宋" w:hAnsi="仿宋" w:eastAsia="仿宋" w:cs="仿宋"/>
                <w:color w:val="auto"/>
                <w:szCs w:val="21"/>
                <w:highlight w:val="none"/>
              </w:rPr>
            </w:pPr>
          </w:p>
        </w:tc>
        <w:tc>
          <w:tcPr>
            <w:tcW w:w="1809" w:type="dxa"/>
            <w:vAlign w:val="center"/>
          </w:tcPr>
          <w:p w14:paraId="4B746A69">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后续服务承诺</w:t>
            </w:r>
          </w:p>
        </w:tc>
        <w:tc>
          <w:tcPr>
            <w:tcW w:w="701" w:type="dxa"/>
            <w:vAlign w:val="center"/>
          </w:tcPr>
          <w:p w14:paraId="5A27340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603" w:type="dxa"/>
            <w:vAlign w:val="center"/>
          </w:tcPr>
          <w:p w14:paraId="7C7C66EB">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①优：后续服务人员配备充分、经验丰富，设置现场服务点、配合工程变更、上会汇报等后续服务工作的措施合理、具体可行，有操作性，得5分。</w:t>
            </w:r>
          </w:p>
          <w:p w14:paraId="1E9CAD04">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②无此项内容得 0 分。</w:t>
            </w:r>
          </w:p>
        </w:tc>
      </w:tr>
      <w:tr w14:paraId="4B47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16" w:type="dxa"/>
            <w:vMerge w:val="restart"/>
            <w:vAlign w:val="center"/>
          </w:tcPr>
          <w:p w14:paraId="71CC277F">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2.2.4（2）</w:t>
            </w:r>
          </w:p>
        </w:tc>
        <w:tc>
          <w:tcPr>
            <w:tcW w:w="839" w:type="dxa"/>
            <w:vMerge w:val="restart"/>
            <w:vAlign w:val="center"/>
          </w:tcPr>
          <w:p w14:paraId="1374DDE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商务部分</w:t>
            </w:r>
          </w:p>
        </w:tc>
        <w:tc>
          <w:tcPr>
            <w:tcW w:w="838" w:type="dxa"/>
            <w:vMerge w:val="restart"/>
            <w:vAlign w:val="center"/>
          </w:tcPr>
          <w:p w14:paraId="64FD9755">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15分</w:t>
            </w:r>
          </w:p>
        </w:tc>
        <w:tc>
          <w:tcPr>
            <w:tcW w:w="1809" w:type="dxa"/>
            <w:vAlign w:val="center"/>
          </w:tcPr>
          <w:p w14:paraId="5E26EAE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综合实力</w:t>
            </w:r>
          </w:p>
        </w:tc>
        <w:tc>
          <w:tcPr>
            <w:tcW w:w="701" w:type="dxa"/>
            <w:vAlign w:val="center"/>
          </w:tcPr>
          <w:p w14:paraId="2B8F11B3">
            <w:pPr>
              <w:spacing w:line="38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9分</w:t>
            </w:r>
            <w:bookmarkStart w:id="124" w:name="_GoBack"/>
            <w:bookmarkEnd w:id="124"/>
          </w:p>
        </w:tc>
        <w:tc>
          <w:tcPr>
            <w:tcW w:w="4603" w:type="dxa"/>
            <w:vAlign w:val="center"/>
          </w:tcPr>
          <w:p w14:paraId="5B1DCF32">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1、投标人（联合体牵头方）自2022年1月1日（取得证书的时间）至投标截止时间止的工程项目获得省级（含）以上行政主管部门或行业协会颁发的设计</w:t>
            </w:r>
            <w:r>
              <w:rPr>
                <w:rFonts w:hint="eastAsia" w:ascii="仿宋" w:hAnsi="仿宋" w:eastAsia="仿宋" w:cs="仿宋"/>
                <w:color w:val="auto"/>
                <w:szCs w:val="21"/>
                <w:highlight w:val="none"/>
                <w:lang w:val="en-US" w:eastAsia="zh-CN"/>
              </w:rPr>
              <w:t>类</w:t>
            </w:r>
            <w:r>
              <w:rPr>
                <w:rFonts w:hint="eastAsia" w:ascii="仿宋" w:hAnsi="仿宋" w:eastAsia="仿宋" w:cs="仿宋"/>
                <w:color w:val="auto"/>
                <w:szCs w:val="21"/>
                <w:highlight w:val="none"/>
              </w:rPr>
              <w:t>奖项的，每项得0.2分，获得市级行政主管部门或行业协会颁发的设计</w:t>
            </w:r>
            <w:r>
              <w:rPr>
                <w:rFonts w:hint="eastAsia" w:ascii="仿宋" w:hAnsi="仿宋" w:eastAsia="仿宋" w:cs="仿宋"/>
                <w:color w:val="auto"/>
                <w:szCs w:val="21"/>
                <w:highlight w:val="none"/>
                <w:lang w:val="en-US" w:eastAsia="zh-CN"/>
              </w:rPr>
              <w:t>类</w:t>
            </w:r>
            <w:r>
              <w:rPr>
                <w:rFonts w:hint="eastAsia" w:ascii="仿宋" w:hAnsi="仿宋" w:eastAsia="仿宋" w:cs="仿宋"/>
                <w:color w:val="auto"/>
                <w:szCs w:val="21"/>
                <w:highlight w:val="none"/>
              </w:rPr>
              <w:t>奖项的，每项得0.1分，满分3分。</w:t>
            </w:r>
          </w:p>
          <w:p w14:paraId="79B2BB6A">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2、投标人（联合体勘察方）自2022年1月1日（取得证书的时间）至投标截止时间止的工程项目获得省级（含）以上行政主管部门或行业协会颁发的</w:t>
            </w:r>
            <w:r>
              <w:rPr>
                <w:rFonts w:hint="eastAsia" w:ascii="仿宋" w:hAnsi="仿宋" w:eastAsia="仿宋" w:cs="仿宋"/>
                <w:color w:val="auto"/>
                <w:szCs w:val="21"/>
                <w:highlight w:val="none"/>
                <w:lang w:val="en-US" w:eastAsia="zh-CN"/>
              </w:rPr>
              <w:t>勘察类</w:t>
            </w:r>
            <w:r>
              <w:rPr>
                <w:rFonts w:hint="eastAsia" w:ascii="仿宋" w:hAnsi="仿宋" w:eastAsia="仿宋" w:cs="仿宋"/>
                <w:color w:val="auto"/>
                <w:szCs w:val="21"/>
                <w:highlight w:val="none"/>
              </w:rPr>
              <w:t>奖项的，每项得0.2分，获得市级行政主管部门或行业协会颁发的</w:t>
            </w:r>
            <w:r>
              <w:rPr>
                <w:rFonts w:hint="eastAsia" w:ascii="仿宋" w:hAnsi="仿宋" w:eastAsia="仿宋" w:cs="仿宋"/>
                <w:color w:val="auto"/>
                <w:szCs w:val="21"/>
                <w:highlight w:val="none"/>
                <w:lang w:val="en-US" w:eastAsia="zh-CN"/>
              </w:rPr>
              <w:t>勘察类</w:t>
            </w:r>
            <w:r>
              <w:rPr>
                <w:rFonts w:hint="eastAsia" w:ascii="仿宋" w:hAnsi="仿宋" w:eastAsia="仿宋" w:cs="仿宋"/>
                <w:color w:val="auto"/>
                <w:szCs w:val="21"/>
                <w:highlight w:val="none"/>
              </w:rPr>
              <w:t>奖项的，每项得0.1分，满分3分。</w:t>
            </w:r>
          </w:p>
          <w:p w14:paraId="3268281F">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联合体牵头方）获得质量管理体系认证证书、环境管理体系认证证书、职业健康安全管理体系认证证书，每个认证范围同时包含（建筑工程设计、市政工程设计、工程造价咨询）否则不得分，每具备一个得0.5分；本小项最高得1.5分。</w:t>
            </w:r>
          </w:p>
          <w:p w14:paraId="105EE401">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人（联合体勘察方）质量管理体系认证、环境管理体系认证、职业健康安全管理体系认证，每个认证范围同时包含（岩土工程勘察、物探测试检测、监测；岩土工程咨询；工程测量）否则不得分；每具备一个得0.5分；本小项最高得1.5分。</w:t>
            </w:r>
          </w:p>
          <w:p w14:paraId="2A8D2EB9">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注：（1）需提供获奖证书复印件并加盖公章，以获奖证书日期为准。同一个项目的奖项以最高奖项为准，不得重复计算。</w:t>
            </w:r>
          </w:p>
          <w:p w14:paraId="56E82F92">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）体系认证证书有效性在国家认证认可监督管理委员会官网 （http://www.cnca.gov.cn/)可查。提供以上有效期内证书复印件及以上官网查询结果截图。</w:t>
            </w:r>
          </w:p>
        </w:tc>
      </w:tr>
      <w:tr w14:paraId="4370E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816" w:type="dxa"/>
            <w:vMerge w:val="continue"/>
            <w:vAlign w:val="center"/>
          </w:tcPr>
          <w:p w14:paraId="6A48C15B">
            <w:pPr>
              <w:spacing w:line="380" w:lineRule="exact"/>
              <w:jc w:val="center"/>
              <w:rPr>
                <w:rFonts w:hint="eastAsia" w:ascii="仿宋" w:hAnsi="仿宋" w:eastAsia="仿宋" w:cs="仿宋"/>
                <w:color w:val="auto"/>
                <w:szCs w:val="21"/>
                <w:highlight w:val="none"/>
              </w:rPr>
            </w:pPr>
          </w:p>
        </w:tc>
        <w:tc>
          <w:tcPr>
            <w:tcW w:w="839" w:type="dxa"/>
            <w:vMerge w:val="continue"/>
            <w:vAlign w:val="center"/>
          </w:tcPr>
          <w:p w14:paraId="622310E0">
            <w:pPr>
              <w:spacing w:line="380" w:lineRule="exact"/>
              <w:jc w:val="center"/>
              <w:rPr>
                <w:rFonts w:hint="eastAsia" w:ascii="仿宋" w:hAnsi="仿宋" w:eastAsia="仿宋" w:cs="仿宋"/>
                <w:color w:val="auto"/>
                <w:szCs w:val="21"/>
                <w:highlight w:val="none"/>
              </w:rPr>
            </w:pPr>
          </w:p>
        </w:tc>
        <w:tc>
          <w:tcPr>
            <w:tcW w:w="838" w:type="dxa"/>
            <w:vMerge w:val="continue"/>
            <w:vAlign w:val="center"/>
          </w:tcPr>
          <w:p w14:paraId="00937FC4">
            <w:pPr>
              <w:spacing w:line="380" w:lineRule="exact"/>
              <w:jc w:val="center"/>
              <w:rPr>
                <w:rFonts w:hint="eastAsia" w:ascii="仿宋" w:hAnsi="仿宋" w:eastAsia="仿宋" w:cs="仿宋"/>
                <w:color w:val="auto"/>
                <w:szCs w:val="21"/>
                <w:highlight w:val="none"/>
              </w:rPr>
            </w:pPr>
          </w:p>
        </w:tc>
        <w:tc>
          <w:tcPr>
            <w:tcW w:w="1809" w:type="dxa"/>
            <w:vAlign w:val="center"/>
          </w:tcPr>
          <w:p w14:paraId="56F53671">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人员配备</w:t>
            </w:r>
          </w:p>
        </w:tc>
        <w:tc>
          <w:tcPr>
            <w:tcW w:w="701" w:type="dxa"/>
            <w:vAlign w:val="center"/>
          </w:tcPr>
          <w:p w14:paraId="1EFBBA2E">
            <w:pPr>
              <w:spacing w:line="3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3分</w:t>
            </w:r>
          </w:p>
        </w:tc>
        <w:tc>
          <w:tcPr>
            <w:tcW w:w="4603" w:type="dxa"/>
            <w:vAlign w:val="center"/>
          </w:tcPr>
          <w:p w14:paraId="299054D8">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1、拟投入本项目人员 （联合体牵头方）(岗位不能兼任)</w:t>
            </w:r>
          </w:p>
          <w:p w14:paraId="22644DB4">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（1）道路专业负责人：具备注册土木工程师（道路工程）执业证书的得0.1分，同时具备高级工程师职称的得0.1分，本小项最高得0.2分。</w:t>
            </w:r>
          </w:p>
          <w:p w14:paraId="2B01B375">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（2）给排水专业负责人：具备注册公用设备工程师（给水排水）注册证书的得0.1分，同时具备高级工程师职称的得0.1分，本小项最高得0.2分。</w:t>
            </w:r>
          </w:p>
          <w:p w14:paraId="2C0484DD">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（3）结构专业负责人：具备一级注册结构工程师执业证书的得0.1分，同时具备高级工程师职称的得0.1分，本小项最高得0.2分。</w:t>
            </w:r>
          </w:p>
          <w:p w14:paraId="19B8E569">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（4）电气专业负责人：具备注册公用设备工程师（供配电）注册证书的，得0.1分，同时具备高级工程师职称的，得0.1分，本小项最高的0.2分。</w:t>
            </w:r>
          </w:p>
          <w:p w14:paraId="5820931E">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（5）建筑专业负责人：具备一级注册建筑师证书的得0.1分，同时具备高级工程师职称的，得0.1分，本小项最高得0.2分。</w:t>
            </w:r>
          </w:p>
          <w:p w14:paraId="293AEF2E">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（6）造价专业负责人：具备注册造价工程师证书的得0.1分，同时具备高级工程师职称的得0.1分，本小项最高分得0.2分。</w:t>
            </w:r>
          </w:p>
          <w:p w14:paraId="597D4A74">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2、拟投入本项目人员 （联合体勘察方）(岗位不能兼任)</w:t>
            </w:r>
          </w:p>
          <w:p w14:paraId="67E534AA">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（1）勘察项目负责人同时具备注册土木工程（岩土）执业资格、岩土工程中级职称得0.1分，高级职称得0.2分。勘察团队每增加一名岩土工程或工程地质勘察专业高级职称人员得0.1分，该项满分1.0分。</w:t>
            </w:r>
          </w:p>
          <w:p w14:paraId="4E95395B">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（2）测量负责人具备工程测量专业工程师，中级职称得0.1分，高级职称得0.2分；工程测量团队每增加一名工程测量专业高级职称人员得0.2分，每增加一名工程测量专业中级职称人员得0.1分，该项满分0.8分。</w:t>
            </w:r>
          </w:p>
          <w:p w14:paraId="7AE783B9">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上述投入人员必须为投标单位人员，由社保部门出具的该投标人单位人员，2025年01-03月的社保缴费证明;如是退休人员提供退休证及返聘合同。符合国家或各省市相关文件要求可减免或缓缴社保的，可提供当地政府部门允许缓缴社保的相关文件作为缴纳社保的证明，提供注册证书、职称证书扫描件加盖公章，否则不予计分。</w:t>
            </w:r>
          </w:p>
        </w:tc>
      </w:tr>
      <w:tr w14:paraId="2C70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816" w:type="dxa"/>
            <w:vMerge w:val="continue"/>
            <w:vAlign w:val="center"/>
          </w:tcPr>
          <w:p w14:paraId="69A33A4E">
            <w:pPr>
              <w:spacing w:line="380" w:lineRule="exact"/>
              <w:jc w:val="center"/>
              <w:rPr>
                <w:rFonts w:hint="eastAsia" w:ascii="仿宋" w:hAnsi="仿宋" w:eastAsia="仿宋" w:cs="仿宋"/>
                <w:color w:val="auto"/>
                <w:szCs w:val="21"/>
                <w:highlight w:val="none"/>
              </w:rPr>
            </w:pPr>
          </w:p>
        </w:tc>
        <w:tc>
          <w:tcPr>
            <w:tcW w:w="839" w:type="dxa"/>
            <w:vMerge w:val="continue"/>
            <w:vAlign w:val="center"/>
          </w:tcPr>
          <w:p w14:paraId="5D391C77">
            <w:pPr>
              <w:spacing w:line="380" w:lineRule="exact"/>
              <w:jc w:val="center"/>
              <w:rPr>
                <w:rFonts w:hint="eastAsia" w:ascii="仿宋" w:hAnsi="仿宋" w:eastAsia="仿宋" w:cs="仿宋"/>
                <w:color w:val="auto"/>
                <w:szCs w:val="21"/>
                <w:highlight w:val="none"/>
              </w:rPr>
            </w:pPr>
          </w:p>
        </w:tc>
        <w:tc>
          <w:tcPr>
            <w:tcW w:w="838" w:type="dxa"/>
            <w:vMerge w:val="continue"/>
            <w:vAlign w:val="center"/>
          </w:tcPr>
          <w:p w14:paraId="4788F13E">
            <w:pPr>
              <w:spacing w:line="380" w:lineRule="exact"/>
              <w:jc w:val="center"/>
              <w:rPr>
                <w:rFonts w:hint="eastAsia" w:ascii="仿宋" w:hAnsi="仿宋" w:eastAsia="仿宋" w:cs="仿宋"/>
                <w:color w:val="auto"/>
                <w:szCs w:val="21"/>
                <w:highlight w:val="none"/>
              </w:rPr>
            </w:pPr>
          </w:p>
        </w:tc>
        <w:tc>
          <w:tcPr>
            <w:tcW w:w="1809" w:type="dxa"/>
            <w:vAlign w:val="center"/>
          </w:tcPr>
          <w:p w14:paraId="7B23BAC7">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类似项目业绩</w:t>
            </w:r>
          </w:p>
        </w:tc>
        <w:tc>
          <w:tcPr>
            <w:tcW w:w="701" w:type="dxa"/>
            <w:vAlign w:val="center"/>
          </w:tcPr>
          <w:p w14:paraId="1F6B08DA">
            <w:pPr>
              <w:spacing w:line="3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3分</w:t>
            </w:r>
          </w:p>
        </w:tc>
        <w:tc>
          <w:tcPr>
            <w:tcW w:w="4603" w:type="dxa"/>
            <w:vAlign w:val="center"/>
          </w:tcPr>
          <w:p w14:paraId="76BE28E1">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1.投标人（联合体牵头方）2022年至投标截止前完成或新承接过合同额300万元以上设计项目的，每项得0.5分，本小项最高得1.5分。</w:t>
            </w:r>
          </w:p>
          <w:p w14:paraId="5F17F6AB">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2.投标人（联合体勘察方）2022年至投标截止前完成或新承接过合同额300万元以上工程勘察项目的，每项得0.5分，本小项最高得1.5分。</w:t>
            </w:r>
          </w:p>
          <w:p w14:paraId="0412F469">
            <w:pPr>
              <w:spacing w:line="38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注：①提供勘察设计合同关键页、中标通知书，时间和合同金额以签定的合同为准。</w:t>
            </w:r>
          </w:p>
        </w:tc>
      </w:tr>
      <w:bookmarkEnd w:id="55"/>
    </w:tbl>
    <w:p w14:paraId="24A3E0D9">
      <w:pPr>
        <w:rPr>
          <w:rFonts w:ascii="宋体" w:hAnsi="宋体"/>
          <w:color w:val="auto"/>
          <w:highlight w:val="none"/>
        </w:rPr>
      </w:pP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1016"/>
        <w:gridCol w:w="829"/>
        <w:gridCol w:w="711"/>
        <w:gridCol w:w="714"/>
        <w:gridCol w:w="5523"/>
      </w:tblGrid>
      <w:tr w14:paraId="0E739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83" w:type="dxa"/>
            <w:gridSpan w:val="5"/>
            <w:vAlign w:val="center"/>
          </w:tcPr>
          <w:p w14:paraId="5A4A0BA8">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评审因素与评分值</w:t>
            </w:r>
          </w:p>
        </w:tc>
        <w:tc>
          <w:tcPr>
            <w:tcW w:w="5523" w:type="dxa"/>
            <w:vMerge w:val="restart"/>
            <w:vAlign w:val="center"/>
          </w:tcPr>
          <w:p w14:paraId="39BA1BF5">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评分标准</w:t>
            </w:r>
          </w:p>
        </w:tc>
      </w:tr>
      <w:tr w14:paraId="5273B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8" w:hRule="atLeast"/>
        </w:trPr>
        <w:tc>
          <w:tcPr>
            <w:tcW w:w="813" w:type="dxa"/>
            <w:vAlign w:val="center"/>
          </w:tcPr>
          <w:p w14:paraId="64112B5A">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1016" w:type="dxa"/>
            <w:vAlign w:val="center"/>
          </w:tcPr>
          <w:p w14:paraId="705D01C4">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评审因素</w:t>
            </w:r>
          </w:p>
        </w:tc>
        <w:tc>
          <w:tcPr>
            <w:tcW w:w="829" w:type="dxa"/>
            <w:vAlign w:val="center"/>
          </w:tcPr>
          <w:p w14:paraId="1068CDAB">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评分因素权重分值</w:t>
            </w:r>
          </w:p>
        </w:tc>
        <w:tc>
          <w:tcPr>
            <w:tcW w:w="711" w:type="dxa"/>
            <w:vAlign w:val="center"/>
          </w:tcPr>
          <w:p w14:paraId="2CC07707">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各评审因素细分项</w:t>
            </w:r>
          </w:p>
        </w:tc>
        <w:tc>
          <w:tcPr>
            <w:tcW w:w="714" w:type="dxa"/>
            <w:vAlign w:val="center"/>
          </w:tcPr>
          <w:p w14:paraId="5D36F8B5">
            <w:pPr>
              <w:spacing w:line="3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分值</w:t>
            </w:r>
          </w:p>
        </w:tc>
        <w:tc>
          <w:tcPr>
            <w:tcW w:w="5523" w:type="dxa"/>
            <w:vMerge w:val="continue"/>
            <w:vAlign w:val="center"/>
          </w:tcPr>
          <w:p w14:paraId="4114B9BC">
            <w:pPr>
              <w:spacing w:line="380" w:lineRule="exact"/>
              <w:jc w:val="center"/>
              <w:rPr>
                <w:rFonts w:hint="eastAsia" w:ascii="仿宋" w:hAnsi="仿宋" w:eastAsia="仿宋" w:cs="仿宋"/>
                <w:color w:val="auto"/>
                <w:szCs w:val="21"/>
                <w:highlight w:val="none"/>
              </w:rPr>
            </w:pPr>
          </w:p>
        </w:tc>
      </w:tr>
      <w:tr w14:paraId="0D08A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trPr>
        <w:tc>
          <w:tcPr>
            <w:tcW w:w="813" w:type="dxa"/>
            <w:tcBorders>
              <w:top w:val="single" w:color="auto" w:sz="4" w:space="0"/>
            </w:tcBorders>
            <w:vAlign w:val="center"/>
          </w:tcPr>
          <w:p w14:paraId="6424721E">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2.2.4（3）</w:t>
            </w:r>
          </w:p>
        </w:tc>
        <w:tc>
          <w:tcPr>
            <w:tcW w:w="1016" w:type="dxa"/>
            <w:tcBorders>
              <w:top w:val="single" w:color="auto" w:sz="4" w:space="0"/>
              <w:bottom w:val="single" w:color="auto" w:sz="4" w:space="0"/>
            </w:tcBorders>
            <w:vAlign w:val="center"/>
          </w:tcPr>
          <w:p w14:paraId="0F9FC5D4">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评标价</w:t>
            </w:r>
          </w:p>
        </w:tc>
        <w:tc>
          <w:tcPr>
            <w:tcW w:w="829" w:type="dxa"/>
            <w:tcBorders>
              <w:top w:val="single" w:color="auto" w:sz="4" w:space="0"/>
              <w:bottom w:val="single" w:color="auto" w:sz="4" w:space="0"/>
            </w:tcBorders>
            <w:vAlign w:val="center"/>
          </w:tcPr>
          <w:p w14:paraId="771D695D">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60分</w:t>
            </w:r>
          </w:p>
        </w:tc>
        <w:tc>
          <w:tcPr>
            <w:tcW w:w="6948" w:type="dxa"/>
            <w:gridSpan w:val="3"/>
            <w:tcBorders>
              <w:top w:val="single" w:color="auto" w:sz="4" w:space="0"/>
              <w:bottom w:val="single" w:color="auto" w:sz="4" w:space="0"/>
            </w:tcBorders>
            <w:vAlign w:val="center"/>
          </w:tcPr>
          <w:p w14:paraId="00AEFD6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评标价得分计算公式示例：</w:t>
            </w:r>
          </w:p>
          <w:p w14:paraId="13A54EA0">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snapToGrid w:val="0"/>
                <w:color w:val="auto"/>
                <w:spacing w:val="2"/>
                <w:highlight w:val="none"/>
              </w:rPr>
              <w:t>（1）如果投标人的评标价&gt;评标基准</w:t>
            </w:r>
            <w:r>
              <w:rPr>
                <w:rFonts w:hint="eastAsia" w:ascii="仿宋" w:hAnsi="仿宋" w:eastAsia="仿宋" w:cs="仿宋"/>
                <w:b/>
                <w:bCs/>
                <w:color w:val="auto"/>
                <w:szCs w:val="21"/>
                <w:highlight w:val="none"/>
              </w:rPr>
              <w:t>价，则评标价得分＝60－偏差率×</w:t>
            </w:r>
            <w:r>
              <w:rPr>
                <w:rFonts w:hint="eastAsia" w:ascii="仿宋" w:hAnsi="仿宋" w:eastAsia="仿宋" w:cs="仿宋"/>
                <w:b/>
                <w:bCs/>
                <w:snapToGrid w:val="0"/>
                <w:color w:val="auto"/>
                <w:spacing w:val="2"/>
                <w:highlight w:val="none"/>
              </w:rPr>
              <w:t>E1</w:t>
            </w:r>
            <w:r>
              <w:rPr>
                <w:rFonts w:hint="eastAsia" w:ascii="仿宋" w:hAnsi="仿宋" w:eastAsia="仿宋" w:cs="仿宋"/>
                <w:b/>
                <w:bCs/>
                <w:color w:val="auto"/>
                <w:szCs w:val="21"/>
                <w:highlight w:val="none"/>
              </w:rPr>
              <w:t>；</w:t>
            </w:r>
          </w:p>
          <w:p w14:paraId="49B2A0D1">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（2）如果投标人的评标价≤评标基准价，则评标价得分＝60＋偏差率×</w:t>
            </w:r>
            <w:r>
              <w:rPr>
                <w:rFonts w:hint="eastAsia" w:ascii="仿宋" w:hAnsi="仿宋" w:eastAsia="仿宋" w:cs="仿宋"/>
                <w:b/>
                <w:bCs/>
                <w:snapToGrid w:val="0"/>
                <w:color w:val="auto"/>
                <w:spacing w:val="2"/>
                <w:highlight w:val="none"/>
              </w:rPr>
              <w:t>E</w:t>
            </w:r>
            <w:r>
              <w:rPr>
                <w:rFonts w:hint="eastAsia" w:ascii="仿宋" w:hAnsi="仿宋" w:eastAsia="仿宋" w:cs="仿宋"/>
                <w:b/>
                <w:bCs/>
                <w:color w:val="auto"/>
                <w:szCs w:val="21"/>
                <w:highlight w:val="none"/>
              </w:rPr>
              <w:t>2。</w:t>
            </w:r>
          </w:p>
          <w:p w14:paraId="29FF29E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其中：E1是评标价高于评标基准价的扣分值，E2是评标价低于评标基准价的扣分值；招标人可依据招标项目具体特点和实际需要设置E1、E2，但E1=E2</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4。</w:t>
            </w:r>
          </w:p>
          <w:p w14:paraId="2850570F">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注：E1取40，E2取10；</w:t>
            </w:r>
          </w:p>
          <w:p w14:paraId="11251EA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评标价得分四舍五入至小数点后三位。评标价得分</w:t>
            </w:r>
            <w:r>
              <w:rPr>
                <w:rFonts w:hint="eastAsia" w:ascii="仿宋" w:hAnsi="仿宋" w:eastAsia="仿宋" w:cs="仿宋"/>
                <w:b/>
                <w:bCs/>
                <w:color w:val="auto"/>
                <w:szCs w:val="21"/>
                <w:highlight w:val="none"/>
              </w:rPr>
              <w:t>最高分为60分,最低分为0分。</w:t>
            </w:r>
          </w:p>
        </w:tc>
      </w:tr>
    </w:tbl>
    <w:p w14:paraId="6FADF6E5">
      <w:pPr>
        <w:rPr>
          <w:rFonts w:ascii="宋体" w:hAnsi="宋体"/>
          <w:color w:val="auto"/>
          <w:highlight w:val="none"/>
        </w:rPr>
      </w:pPr>
    </w:p>
    <w:p w14:paraId="24628CF3">
      <w:pPr>
        <w:widowControl/>
        <w:jc w:val="left"/>
        <w:rPr>
          <w:rFonts w:ascii="宋体" w:hAnsi="宋体"/>
          <w:color w:val="auto"/>
          <w:highlight w:val="none"/>
        </w:rPr>
      </w:pPr>
      <w:r>
        <w:rPr>
          <w:rFonts w:ascii="宋体" w:hAnsi="宋体"/>
          <w:color w:val="auto"/>
          <w:highlight w:val="none"/>
        </w:rPr>
        <w:br w:type="page"/>
      </w:r>
    </w:p>
    <w:p w14:paraId="53C09714">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1547D6AB">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本次评标采用综合评估法。评标委员会对满足招标文件实质性要求的投标文件，按照本章第2.2款规定的评分标准进行打分，评标委员会按得分顺序推荐最后综合得分最高分的投标人为排名第一的中标候选人，最后综合得分第二高分的投标人为排名第二的中标候选人，以此类推。若有两个或两个以上投标人最后综合得分相同，则以投标报价低的投标人确定为排名在前；再次出现相同时，由评标委会成员投票，以得票多的投标人确定为排名在前。</w:t>
      </w:r>
    </w:p>
    <w:p w14:paraId="271FAA96">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2.评审标准</w:t>
      </w:r>
    </w:p>
    <w:p w14:paraId="3CB73FDF">
      <w:pPr>
        <w:spacing w:line="3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2.1初步评审标准</w:t>
      </w:r>
    </w:p>
    <w:p w14:paraId="7892E70E">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2.1.1形式评审标准：见评标办法前附表。</w:t>
      </w:r>
    </w:p>
    <w:p w14:paraId="0FF6A3DA">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2.1.2资格评审标准：见评标办法前附表。</w:t>
      </w:r>
    </w:p>
    <w:p w14:paraId="60EFDB26">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2.1.3响应性评审标准：见评标办法前附表。</w:t>
      </w:r>
    </w:p>
    <w:p w14:paraId="46CFCC9C">
      <w:pPr>
        <w:spacing w:line="3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2.2分值构成与评分标准</w:t>
      </w:r>
    </w:p>
    <w:p w14:paraId="06985EBF">
      <w:pPr>
        <w:spacing w:line="36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2.2.1分值构成</w:t>
      </w:r>
    </w:p>
    <w:p w14:paraId="0ADC3CC0">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（1）技术部分：见评标办法前附表；</w:t>
      </w:r>
    </w:p>
    <w:p w14:paraId="442B3749">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（2）商务部分：见评标办法前附表；</w:t>
      </w:r>
    </w:p>
    <w:p w14:paraId="3C584778">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（3）评标价：见评标办法前附表；</w:t>
      </w:r>
    </w:p>
    <w:p w14:paraId="669F4A7C">
      <w:pPr>
        <w:spacing w:line="36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2.2.2评标基准价计算</w:t>
      </w:r>
    </w:p>
    <w:p w14:paraId="6EA62F8E">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评标基准价计算方法：见评标办法前附表。</w:t>
      </w:r>
    </w:p>
    <w:p w14:paraId="5B861CC4">
      <w:pPr>
        <w:spacing w:line="36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2.2.3评标价的偏差率计算</w:t>
      </w:r>
    </w:p>
    <w:p w14:paraId="011E3939">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评标价的偏差率计算公式：见评标办法前附表。</w:t>
      </w:r>
    </w:p>
    <w:p w14:paraId="47504FD3">
      <w:pPr>
        <w:spacing w:line="36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2.2.4评分标准</w:t>
      </w:r>
    </w:p>
    <w:p w14:paraId="344DC27C">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（1）技术部分评分标准：见评标办法前附表；</w:t>
      </w:r>
    </w:p>
    <w:p w14:paraId="1BA6DD01">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（2）商务部分评分标准：见评标办法前附表；</w:t>
      </w:r>
    </w:p>
    <w:p w14:paraId="6434476C">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（3）评标价评分标准：见评标办法前附表；</w:t>
      </w:r>
    </w:p>
    <w:p w14:paraId="37CC01B7">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评标程序</w:t>
      </w:r>
    </w:p>
    <w:p w14:paraId="42A1981C">
      <w:pPr>
        <w:spacing w:line="3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3.1初步评审</w:t>
      </w:r>
    </w:p>
    <w:p w14:paraId="0D1354C0">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3.1.1评标委员会根据招标文件初步评审内容的规定，对所有应当受理的投标文件进行初步评审；评标委员会依据本章第2.1款规定的标准对投标文件进行初步评审。有一项不符合评审标准的，评标委员会应当否决其投标。在初步评审过程中，评标委员会对初步评审意见不一致时，按照少数服从多数的原则确定，以书面形式予以表决。</w:t>
      </w:r>
    </w:p>
    <w:p w14:paraId="29CEE142">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3.1.2 投标人有以下情形之一的，评标委员会应当否决其投标：</w:t>
      </w:r>
    </w:p>
    <w:p w14:paraId="5F34114B">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（1）第二章“投标人须知”第1.4.3项规定的任何一种情形的；</w:t>
      </w:r>
    </w:p>
    <w:p w14:paraId="61AF3C8C">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（2）根据法律法规规定属于串通投标或弄虚作假、行贿等违法行为；</w:t>
      </w:r>
    </w:p>
    <w:p w14:paraId="0A90900F">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（3）不按评标委员会要求澄清、说明或补正的。</w:t>
      </w:r>
    </w:p>
    <w:p w14:paraId="2D563000">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3.1.3投标报价有算术错误的，评标委员会按以下原则对投标报价进行修正，修正的价格经投标人书面确认后具有约束力。投标人不接受修正价格的，评标委员会应当否决其投标。</w:t>
      </w:r>
    </w:p>
    <w:p w14:paraId="10B1A529">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（1）投标文件中的大写金额与小写金额不一致的，以大写金额为准；</w:t>
      </w:r>
    </w:p>
    <w:p w14:paraId="5D759827">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（2）投标报价中下浮率和按计算公式计得的投标报价不对应的，按下浮率为准，如下浮率的大写百分比和小写百分比不一致的，以大写百分比为准。</w:t>
      </w:r>
    </w:p>
    <w:p w14:paraId="4AA87D26">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修正后的最终投标报价若不符合投标报价（含投标报价下浮率和投标报价）的相关要求，评标委员会应否决其投标。</w:t>
      </w:r>
    </w:p>
    <w:p w14:paraId="6BFE906E">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修正后的最终投标报价作为签订合同的一个依据，计算投标报价评分时，按修正后的最终投标报价作为计算的依据。</w:t>
      </w:r>
    </w:p>
    <w:p w14:paraId="77F927FE">
      <w:pPr>
        <w:spacing w:line="3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3.2详细评审</w:t>
      </w:r>
    </w:p>
    <w:p w14:paraId="5271EAF6">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3.2.1评标委员会按本章第2.2款规定的量化因素和分值进行打分，并计算出综合评估得分。</w:t>
      </w:r>
    </w:p>
    <w:p w14:paraId="657048B6">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（1）按本章第2.2.4（1）目规定的评审因素和分值对技术部分计算出得分A；</w:t>
      </w:r>
    </w:p>
    <w:p w14:paraId="0E0C0CA0">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（2）按本章第2.2.4（2）目规定的评审因素和分值对商务部分计算出得分B；</w:t>
      </w:r>
    </w:p>
    <w:p w14:paraId="1E4BB3A3">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（3）按本章第2.2.4（3）目规定的评审因素和分值对投标报价计算出得分C；</w:t>
      </w:r>
    </w:p>
    <w:p w14:paraId="6EC3CAA1">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3.2.2评分分值计算保留小数点后三位，小数点后第四位“四舍五入”。</w:t>
      </w:r>
    </w:p>
    <w:p w14:paraId="2FD85CF2">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3.2.3投标人得分=A+B+C。</w:t>
      </w:r>
    </w:p>
    <w:p w14:paraId="14EA1EA2">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3.2.4评标委员会发现投标人的报价明显低于其他投标报价，使得其投标报价可能低于其个别成本的，应当要求该投标人作出说明并提供相应的证明材料。投标人不能合理说明或者不能提供相应证明材料的，评标委员会应当认定该投标人以低于成本报价竞标，并否决其投标。</w:t>
      </w:r>
    </w:p>
    <w:p w14:paraId="63972128">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3.2.5综合得分等于以上各项的得分总和。评标委员会各自评出投标人的综合得分后，取算术平均值为该投标人的最后综合得分（评分如出现小数点，则保留小数点后三位，第四位起四舍五入）。评标委员会按得分顺序推荐最后综合得分最高分的投标人为排名第一的中标候选人，最后综合得分第二高分的投标人为排名第二的中标候选人，以此类推。若有两个或两个以上投标人最后综合得分相同，则以投标报价低的投标人确定为排名在前；再次出现相同时，由评标委会成员投票，以得票多的投标人确定为排名在前。招标人确定排名第一的投标人为第一中标候选人，排名第二的为第二中标候选人,排名第三的为第三中标候选人。</w:t>
      </w:r>
    </w:p>
    <w:p w14:paraId="732B85ED">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3.2.6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D1313BB">
      <w:pPr>
        <w:spacing w:line="3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3.3投标文件的澄清和补正</w:t>
      </w:r>
    </w:p>
    <w:p w14:paraId="7E7DD284">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在评标过程中，评标委员会可以要求投标人对投标文件中含义不明确、对同类问题表述不一致或者有明显文字和计算错误的内容作必要的澄清、说明或补正。评标委员会不接受投标人主动提出的澄清、说明或补正。</w:t>
      </w:r>
    </w:p>
    <w:p w14:paraId="1D182A77">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3.3.2澄清、说明或补正不得超出投标文件的范围且不得改变投标文件的实质性内容，并构成投标文件的组成部分。</w:t>
      </w:r>
    </w:p>
    <w:p w14:paraId="26D75C8A">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3.3.3评标委员会对投标人提交的澄清、说明或补正有疑问的，可以要求投标人进一步澄清、说明或补正，直至满足评标委员会的要求。</w:t>
      </w:r>
    </w:p>
    <w:p w14:paraId="23E743A0">
      <w:pPr>
        <w:spacing w:line="3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3.4评标结果</w:t>
      </w:r>
    </w:p>
    <w:p w14:paraId="46EC6D85">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3.4.1除第二章“投标人须知”前附表授权直接确定中标人外，评标委员会按照得分由高到低的顺序推荐中标候选人，并标明排序。</w:t>
      </w:r>
    </w:p>
    <w:p w14:paraId="25D5342C">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3.4.2评标委员会完成评标后，应当向招标人提交评标报告和中标候选人名单。</w:t>
      </w:r>
    </w:p>
    <w:p w14:paraId="60559DA1">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3.4.3 确定中标人后，中标候选人情况将进行公示，公示内容包括：中标候选人的名称、最终投标报价（中标下浮率）、项目负责人情况等。投标人对评标结果有异议的，应按国家发改委等部委 11 号令《工程建设项目招标投标活动投处理办法》的有关规定，向建设工程招标监督部门反映。</w:t>
      </w:r>
    </w:p>
    <w:p w14:paraId="3483E540">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3.4.4 招标人和招标代理机构向投标人公布评标结果时，无需公布具体的评审内容，也无需向未中标的投标人说明原因。</w:t>
      </w:r>
    </w:p>
    <w:p w14:paraId="3B55E9A6">
      <w:pPr>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3.4.5 招标人保留对参加投标人进行澄清、抽查和现场考察的权力，若发现投标申请人的虚假、假报材料行为，将取消其投标（中标）资格，已中标的不予退还投标保证金（或履约保证金），并逐级上报建设行政主管部门，因此造成招标人损失的，保留向该投标人索赔的权利。</w:t>
      </w:r>
    </w:p>
    <w:p w14:paraId="64CD9127">
      <w:pPr>
        <w:pStyle w:val="61"/>
        <w:rPr>
          <w:rFonts w:hint="eastAsia" w:ascii="仿宋" w:hAnsi="仿宋" w:eastAsia="仿宋" w:cs="仿宋"/>
          <w:color w:val="auto"/>
          <w:highlight w:val="none"/>
        </w:rPr>
      </w:pPr>
    </w:p>
    <w:p w14:paraId="5CDEC93A">
      <w:pPr>
        <w:spacing w:line="360" w:lineRule="exact"/>
        <w:ind w:firstLine="420" w:firstLineChars="200"/>
        <w:rPr>
          <w:rFonts w:hint="eastAsia" w:ascii="仿宋" w:hAnsi="仿宋" w:eastAsia="仿宋" w:cs="仿宋"/>
          <w:color w:val="auto"/>
          <w:highlight w:val="none"/>
        </w:rPr>
        <w:sectPr>
          <w:footerReference r:id="rId4" w:type="default"/>
          <w:type w:val="nextColumn"/>
          <w:pgSz w:w="11907" w:h="16839"/>
          <w:pgMar w:top="1134" w:right="1191" w:bottom="1134" w:left="1191" w:header="850" w:footer="850" w:gutter="0"/>
          <w:cols w:space="720" w:num="1"/>
          <w:titlePg/>
          <w:docGrid w:linePitch="312" w:charSpace="0"/>
        </w:sectPr>
      </w:pPr>
    </w:p>
    <w:p w14:paraId="2CBA31CC">
      <w:pPr>
        <w:pStyle w:val="2"/>
        <w:rPr>
          <w:rFonts w:hint="eastAsia" w:ascii="仿宋" w:hAnsi="仿宋" w:eastAsia="仿宋" w:cs="仿宋"/>
          <w:color w:val="auto"/>
          <w:highlight w:val="none"/>
        </w:rPr>
      </w:pPr>
      <w:bookmarkStart w:id="58" w:name="_Toc162002573"/>
      <w:bookmarkStart w:id="59" w:name="_Toc101887915"/>
      <w:bookmarkStart w:id="60" w:name="RANGE!A1:P14"/>
      <w:r>
        <w:rPr>
          <w:rFonts w:hint="eastAsia" w:ascii="仿宋" w:hAnsi="仿宋" w:eastAsia="仿宋" w:cs="仿宋"/>
          <w:color w:val="auto"/>
          <w:highlight w:val="none"/>
        </w:rPr>
        <w:t>第四章 合同条款及格式</w:t>
      </w:r>
      <w:bookmarkEnd w:id="58"/>
      <w:bookmarkEnd w:id="59"/>
    </w:p>
    <w:p w14:paraId="489DAE52">
      <w:pPr>
        <w:widowControl/>
        <w:jc w:val="left"/>
        <w:rPr>
          <w:rFonts w:hint="eastAsia" w:ascii="仿宋" w:hAnsi="仿宋" w:eastAsia="仿宋" w:cs="仿宋"/>
          <w:color w:val="auto"/>
          <w:szCs w:val="32"/>
          <w:highlight w:val="none"/>
        </w:rPr>
      </w:pPr>
    </w:p>
    <w:p w14:paraId="7F1B929E">
      <w:pPr>
        <w:spacing w:line="360" w:lineRule="exact"/>
        <w:ind w:firstLine="420" w:firstLineChars="200"/>
        <w:rPr>
          <w:rFonts w:hint="eastAsia" w:ascii="仿宋" w:hAnsi="仿宋" w:eastAsia="仿宋" w:cs="仿宋"/>
          <w:color w:val="auto"/>
          <w:highlight w:val="none"/>
        </w:rPr>
      </w:pPr>
    </w:p>
    <w:p w14:paraId="2AD906F9">
      <w:pPr>
        <w:widowControl/>
        <w:spacing w:line="480" w:lineRule="auto"/>
        <w:jc w:val="left"/>
        <w:rPr>
          <w:rFonts w:ascii="宋体" w:hAnsi="宋体"/>
          <w:color w:val="auto"/>
          <w:sz w:val="20"/>
          <w:highlight w:val="none"/>
        </w:rPr>
      </w:pPr>
      <w:r>
        <w:rPr>
          <w:rFonts w:ascii="宋体" w:hAnsi="宋体"/>
          <w:b/>
          <w:bCs/>
          <w:color w:val="auto"/>
          <w:sz w:val="28"/>
          <w:szCs w:val="28"/>
          <w:highlight w:val="none"/>
        </w:rPr>
        <w:br w:type="page"/>
      </w:r>
    </w:p>
    <w:p w14:paraId="70D5A23F">
      <w:pPr>
        <w:pStyle w:val="1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71"/>
          <w:szCs w:val="71"/>
          <w:highlight w:val="none"/>
        </w:rPr>
      </w:pPr>
      <w:r>
        <w:rPr>
          <w:rFonts w:hint="eastAsia" w:ascii="宋体" w:hAnsi="宋体" w:eastAsia="宋体" w:cs="宋体"/>
          <w:color w:val="auto"/>
          <w:spacing w:val="6"/>
          <w:position w:val="13"/>
          <w:sz w:val="71"/>
          <w:szCs w:val="71"/>
          <w:highlight w:val="none"/>
          <w14:textOutline w14:w="13081" w14:cap="sq" w14:cmpd="sng" w14:algn="ctr">
            <w14:solidFill>
              <w14:srgbClr w14:val="000000"/>
            </w14:solidFill>
            <w14:prstDash w14:val="solid"/>
            <w14:bevel/>
          </w14:textOutline>
        </w:rPr>
        <w:t>建设工程勘察设计合同</w:t>
      </w:r>
    </w:p>
    <w:p w14:paraId="513625F6">
      <w:pPr>
        <w:spacing w:before="5"/>
        <w:rPr>
          <w:rFonts w:hint="eastAsia" w:ascii="宋体" w:hAnsi="宋体" w:eastAsia="宋体" w:cs="宋体"/>
          <w:color w:val="auto"/>
          <w:highlight w:val="none"/>
        </w:rPr>
      </w:pPr>
    </w:p>
    <w:p w14:paraId="6B4A710C">
      <w:pPr>
        <w:spacing w:before="5"/>
        <w:rPr>
          <w:rFonts w:hint="eastAsia" w:ascii="宋体" w:hAnsi="宋体" w:eastAsia="宋体" w:cs="宋体"/>
          <w:color w:val="auto"/>
          <w:highlight w:val="none"/>
        </w:rPr>
      </w:pPr>
    </w:p>
    <w:p w14:paraId="02F6C54D">
      <w:pPr>
        <w:spacing w:before="5"/>
        <w:rPr>
          <w:rFonts w:hint="eastAsia" w:ascii="宋体" w:hAnsi="宋体" w:eastAsia="宋体" w:cs="宋体"/>
          <w:color w:val="auto"/>
          <w:highlight w:val="none"/>
        </w:rPr>
      </w:pPr>
    </w:p>
    <w:p w14:paraId="60D4A52E">
      <w:pPr>
        <w:spacing w:before="5"/>
        <w:rPr>
          <w:rFonts w:hint="eastAsia" w:ascii="宋体" w:hAnsi="宋体" w:eastAsia="宋体" w:cs="宋体"/>
          <w:color w:val="auto"/>
          <w:highlight w:val="none"/>
        </w:rPr>
      </w:pPr>
    </w:p>
    <w:p w14:paraId="287A3B57">
      <w:pPr>
        <w:spacing w:before="5"/>
        <w:rPr>
          <w:rFonts w:hint="eastAsia" w:ascii="宋体" w:hAnsi="宋体" w:eastAsia="宋体" w:cs="宋体"/>
          <w:color w:val="auto"/>
          <w:highlight w:val="none"/>
        </w:rPr>
      </w:pPr>
    </w:p>
    <w:p w14:paraId="7BF98EC2">
      <w:pPr>
        <w:spacing w:before="5"/>
        <w:rPr>
          <w:rFonts w:hint="eastAsia" w:ascii="宋体" w:hAnsi="宋体" w:eastAsia="宋体" w:cs="宋体"/>
          <w:color w:val="auto"/>
          <w:highlight w:val="none"/>
        </w:rPr>
      </w:pPr>
    </w:p>
    <w:p w14:paraId="69E5D566">
      <w:pPr>
        <w:spacing w:before="5"/>
        <w:rPr>
          <w:rFonts w:hint="eastAsia" w:ascii="宋体" w:hAnsi="宋体" w:eastAsia="宋体" w:cs="宋体"/>
          <w:color w:val="auto"/>
          <w:highlight w:val="none"/>
        </w:rPr>
      </w:pPr>
    </w:p>
    <w:p w14:paraId="5E605469">
      <w:pPr>
        <w:keepNext w:val="0"/>
        <w:keepLines w:val="0"/>
        <w:pageBreakBefore w:val="0"/>
        <w:widowControl/>
        <w:suppressLineNumbers w:val="0"/>
        <w:kinsoku/>
        <w:wordWrap/>
        <w:overflowPunct/>
        <w:topLinePunct w:val="0"/>
        <w:autoSpaceDE/>
        <w:autoSpaceDN/>
        <w:bidi w:val="0"/>
        <w:adjustRightInd/>
        <w:snapToGrid/>
        <w:spacing w:line="360" w:lineRule="auto"/>
        <w:ind w:left="2878" w:leftChars="608" w:hanging="1601" w:hangingChars="500"/>
        <w:jc w:val="left"/>
        <w:textAlignment w:val="auto"/>
        <w:rPr>
          <w:rFonts w:hint="eastAsia" w:ascii="宋体" w:hAnsi="宋体" w:eastAsia="宋体" w:cs="宋体"/>
          <w:b/>
          <w:bCs/>
          <w:color w:val="auto"/>
          <w:kern w:val="0"/>
          <w:sz w:val="32"/>
          <w:szCs w:val="32"/>
          <w:highlight w:val="none"/>
          <w:u w:val="single"/>
          <w:lang w:val="en-US" w:eastAsia="zh-CN" w:bidi="ar"/>
        </w:rPr>
      </w:pPr>
      <w:r>
        <w:rPr>
          <w:rFonts w:hint="eastAsia" w:ascii="宋体" w:hAnsi="宋体" w:eastAsia="宋体" w:cs="宋体"/>
          <w:b/>
          <w:bCs/>
          <w:color w:val="auto"/>
          <w:kern w:val="0"/>
          <w:sz w:val="32"/>
          <w:szCs w:val="32"/>
          <w:highlight w:val="none"/>
          <w:lang w:val="en-US" w:eastAsia="zh-CN" w:bidi="ar"/>
        </w:rPr>
        <w:t>工程名称：</w:t>
      </w:r>
      <w:r>
        <w:rPr>
          <w:rFonts w:hint="eastAsia" w:ascii="宋体" w:hAnsi="宋体" w:cs="宋体"/>
          <w:b/>
          <w:bCs/>
          <w:color w:val="auto"/>
          <w:kern w:val="0"/>
          <w:sz w:val="32"/>
          <w:szCs w:val="32"/>
          <w:highlight w:val="none"/>
          <w:u w:val="single"/>
          <w:lang w:val="en-US" w:eastAsia="zh-CN" w:bidi="ar"/>
        </w:rPr>
        <w:t>罗定市城区老旧居住区宜居改造项目勘察、初步设计</w:t>
      </w:r>
    </w:p>
    <w:p w14:paraId="4DB0CA73">
      <w:pPr>
        <w:keepNext w:val="0"/>
        <w:keepLines w:val="0"/>
        <w:pageBreakBefore w:val="0"/>
        <w:widowControl/>
        <w:suppressLineNumbers w:val="0"/>
        <w:kinsoku/>
        <w:wordWrap/>
        <w:overflowPunct/>
        <w:topLinePunct w:val="0"/>
        <w:autoSpaceDE/>
        <w:autoSpaceDN/>
        <w:bidi w:val="0"/>
        <w:adjustRightInd/>
        <w:snapToGrid/>
        <w:spacing w:line="360" w:lineRule="auto"/>
        <w:ind w:firstLine="1281" w:firstLineChars="400"/>
        <w:jc w:val="left"/>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lang w:val="en-US" w:eastAsia="zh-CN" w:bidi="ar"/>
        </w:rPr>
        <w:t>工程地点：</w:t>
      </w:r>
      <w:r>
        <w:rPr>
          <w:rFonts w:hint="eastAsia" w:ascii="宋体" w:hAnsi="宋体" w:eastAsia="宋体" w:cs="宋体"/>
          <w:b/>
          <w:bCs/>
          <w:color w:val="auto"/>
          <w:kern w:val="0"/>
          <w:sz w:val="32"/>
          <w:szCs w:val="32"/>
          <w:highlight w:val="none"/>
          <w:u w:val="single"/>
          <w:lang w:val="en-US" w:eastAsia="zh-CN" w:bidi="ar"/>
        </w:rPr>
        <w:t>云浮市罗定市</w:t>
      </w:r>
      <w:r>
        <w:rPr>
          <w:rFonts w:hint="eastAsia" w:ascii="宋体" w:hAnsi="宋体" w:cs="宋体"/>
          <w:b/>
          <w:bCs/>
          <w:color w:val="auto"/>
          <w:kern w:val="0"/>
          <w:sz w:val="32"/>
          <w:szCs w:val="32"/>
          <w:highlight w:val="none"/>
          <w:u w:val="single"/>
          <w:lang w:val="en-US" w:eastAsia="zh-CN" w:bidi="ar"/>
        </w:rPr>
        <w:t>罗城街道</w:t>
      </w:r>
    </w:p>
    <w:p w14:paraId="584A3368">
      <w:pPr>
        <w:keepNext w:val="0"/>
        <w:keepLines w:val="0"/>
        <w:pageBreakBefore w:val="0"/>
        <w:widowControl/>
        <w:suppressLineNumbers w:val="0"/>
        <w:kinsoku/>
        <w:wordWrap/>
        <w:overflowPunct/>
        <w:topLinePunct w:val="0"/>
        <w:autoSpaceDE/>
        <w:autoSpaceDN/>
        <w:bidi w:val="0"/>
        <w:adjustRightInd/>
        <w:snapToGrid/>
        <w:spacing w:line="360" w:lineRule="auto"/>
        <w:ind w:firstLine="1281" w:firstLineChars="400"/>
        <w:jc w:val="left"/>
        <w:textAlignment w:val="auto"/>
        <w:rPr>
          <w:rFonts w:hint="eastAsia" w:ascii="宋体" w:hAnsi="宋体" w:eastAsia="宋体" w:cs="宋体"/>
          <w:color w:val="auto"/>
          <w:sz w:val="32"/>
          <w:szCs w:val="32"/>
          <w:highlight w:val="none"/>
          <w:u w:val="single"/>
          <w:lang w:val="en-US"/>
        </w:rPr>
      </w:pPr>
      <w:r>
        <w:rPr>
          <w:rFonts w:hint="eastAsia" w:ascii="宋体" w:hAnsi="宋体" w:eastAsia="宋体" w:cs="宋体"/>
          <w:b/>
          <w:bCs/>
          <w:color w:val="auto"/>
          <w:kern w:val="0"/>
          <w:sz w:val="32"/>
          <w:szCs w:val="32"/>
          <w:highlight w:val="none"/>
          <w:lang w:val="en-US" w:eastAsia="zh-CN" w:bidi="ar"/>
        </w:rPr>
        <w:t>合同编号：</w:t>
      </w:r>
      <w:r>
        <w:rPr>
          <w:rFonts w:hint="eastAsia" w:ascii="宋体" w:hAnsi="宋体" w:eastAsia="宋体" w:cs="宋体"/>
          <w:b/>
          <w:bCs/>
          <w:color w:val="auto"/>
          <w:kern w:val="0"/>
          <w:sz w:val="32"/>
          <w:szCs w:val="32"/>
          <w:highlight w:val="none"/>
          <w:u w:val="single"/>
          <w:lang w:val="en-US" w:eastAsia="zh-CN" w:bidi="ar"/>
        </w:rPr>
        <w:t xml:space="preserve">             </w:t>
      </w:r>
    </w:p>
    <w:p w14:paraId="71123587">
      <w:pPr>
        <w:keepNext w:val="0"/>
        <w:keepLines w:val="0"/>
        <w:pageBreakBefore w:val="0"/>
        <w:widowControl/>
        <w:suppressLineNumbers w:val="0"/>
        <w:kinsoku/>
        <w:wordWrap/>
        <w:overflowPunct/>
        <w:topLinePunct w:val="0"/>
        <w:autoSpaceDE/>
        <w:autoSpaceDN/>
        <w:bidi w:val="0"/>
        <w:adjustRightInd/>
        <w:snapToGrid/>
        <w:spacing w:line="360" w:lineRule="auto"/>
        <w:ind w:firstLine="1281" w:firstLineChars="400"/>
        <w:jc w:val="left"/>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lang w:val="en-US" w:eastAsia="zh-CN" w:bidi="ar"/>
        </w:rPr>
        <w:t>发 包 人：</w:t>
      </w:r>
      <w:r>
        <w:rPr>
          <w:rFonts w:hint="eastAsia" w:ascii="宋体" w:hAnsi="宋体" w:cs="宋体"/>
          <w:b/>
          <w:bCs/>
          <w:color w:val="auto"/>
          <w:kern w:val="0"/>
          <w:sz w:val="32"/>
          <w:szCs w:val="32"/>
          <w:highlight w:val="none"/>
          <w:u w:val="single"/>
          <w:lang w:val="en-US" w:eastAsia="zh-CN" w:bidi="ar"/>
        </w:rPr>
        <w:t>罗定市建昊工程管理有限公司</w:t>
      </w:r>
    </w:p>
    <w:p w14:paraId="0AD1CC7B">
      <w:pPr>
        <w:keepNext w:val="0"/>
        <w:keepLines w:val="0"/>
        <w:pageBreakBefore w:val="0"/>
        <w:widowControl/>
        <w:suppressLineNumbers w:val="0"/>
        <w:kinsoku/>
        <w:wordWrap/>
        <w:overflowPunct/>
        <w:topLinePunct w:val="0"/>
        <w:autoSpaceDE/>
        <w:autoSpaceDN/>
        <w:bidi w:val="0"/>
        <w:adjustRightInd/>
        <w:snapToGrid/>
        <w:spacing w:line="360" w:lineRule="auto"/>
        <w:ind w:firstLine="1281" w:firstLineChars="400"/>
        <w:jc w:val="left"/>
        <w:textAlignment w:val="auto"/>
        <w:rPr>
          <w:rFonts w:hint="eastAsia" w:ascii="宋体" w:hAnsi="宋体" w:eastAsia="宋体" w:cs="宋体"/>
          <w:color w:val="auto"/>
          <w:sz w:val="32"/>
          <w:szCs w:val="32"/>
          <w:highlight w:val="none"/>
          <w:u w:val="single"/>
          <w:lang w:val="en-US"/>
        </w:rPr>
      </w:pPr>
      <w:r>
        <w:rPr>
          <w:rFonts w:hint="eastAsia" w:ascii="宋体" w:hAnsi="宋体" w:eastAsia="宋体" w:cs="宋体"/>
          <w:b/>
          <w:bCs/>
          <w:color w:val="auto"/>
          <w:kern w:val="0"/>
          <w:sz w:val="32"/>
          <w:szCs w:val="32"/>
          <w:highlight w:val="none"/>
          <w:lang w:val="en-US" w:eastAsia="zh-CN" w:bidi="ar"/>
        </w:rPr>
        <w:t>承 包 人：</w:t>
      </w:r>
      <w:r>
        <w:rPr>
          <w:rFonts w:hint="eastAsia" w:ascii="宋体" w:hAnsi="宋体" w:eastAsia="宋体" w:cs="宋体"/>
          <w:b/>
          <w:bCs/>
          <w:color w:val="auto"/>
          <w:kern w:val="0"/>
          <w:sz w:val="32"/>
          <w:szCs w:val="32"/>
          <w:highlight w:val="none"/>
          <w:u w:val="single"/>
          <w:lang w:val="en-US" w:eastAsia="zh-CN" w:bidi="ar"/>
        </w:rPr>
        <w:t xml:space="preserve">                 </w:t>
      </w:r>
    </w:p>
    <w:p w14:paraId="03F3720C">
      <w:pPr>
        <w:keepNext w:val="0"/>
        <w:keepLines w:val="0"/>
        <w:pageBreakBefore w:val="0"/>
        <w:widowControl/>
        <w:suppressLineNumbers w:val="0"/>
        <w:kinsoku/>
        <w:wordWrap/>
        <w:overflowPunct/>
        <w:topLinePunct w:val="0"/>
        <w:autoSpaceDE/>
        <w:autoSpaceDN/>
        <w:bidi w:val="0"/>
        <w:adjustRightInd/>
        <w:snapToGrid/>
        <w:spacing w:line="360" w:lineRule="auto"/>
        <w:ind w:firstLine="1281" w:firstLineChars="4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32"/>
          <w:szCs w:val="32"/>
          <w:highlight w:val="none"/>
          <w:lang w:val="en-US" w:eastAsia="zh-CN" w:bidi="ar"/>
        </w:rPr>
        <w:t>签订日期：</w:t>
      </w:r>
      <w:r>
        <w:rPr>
          <w:rFonts w:hint="eastAsia" w:ascii="宋体" w:hAnsi="宋体" w:eastAsia="宋体" w:cs="宋体"/>
          <w:b/>
          <w:bCs/>
          <w:color w:val="auto"/>
          <w:kern w:val="0"/>
          <w:sz w:val="32"/>
          <w:szCs w:val="32"/>
          <w:highlight w:val="none"/>
          <w:u w:val="single"/>
          <w:lang w:val="en-US" w:eastAsia="zh-CN" w:bidi="ar"/>
        </w:rPr>
        <w:t xml:space="preserve">    年    月    日</w:t>
      </w:r>
    </w:p>
    <w:p w14:paraId="1E7A8627">
      <w:pPr>
        <w:spacing w:before="4"/>
        <w:rPr>
          <w:rFonts w:hint="eastAsia" w:ascii="宋体" w:hAnsi="宋体" w:eastAsia="宋体" w:cs="宋体"/>
          <w:color w:val="auto"/>
          <w:highlight w:val="none"/>
        </w:rPr>
      </w:pPr>
    </w:p>
    <w:p w14:paraId="0ACEC52F">
      <w:pPr>
        <w:spacing w:before="4"/>
        <w:rPr>
          <w:rFonts w:hint="eastAsia" w:ascii="宋体" w:hAnsi="宋体" w:eastAsia="宋体" w:cs="宋体"/>
          <w:color w:val="auto"/>
          <w:highlight w:val="none"/>
        </w:rPr>
      </w:pPr>
    </w:p>
    <w:p w14:paraId="3B58DF9F">
      <w:pPr>
        <w:spacing w:before="4"/>
        <w:rPr>
          <w:rFonts w:hint="eastAsia" w:ascii="宋体" w:hAnsi="宋体" w:eastAsia="宋体" w:cs="宋体"/>
          <w:color w:val="auto"/>
          <w:highlight w:val="none"/>
        </w:rPr>
      </w:pPr>
    </w:p>
    <w:p w14:paraId="23139B0D">
      <w:pPr>
        <w:spacing w:before="4"/>
        <w:rPr>
          <w:rFonts w:hint="eastAsia" w:ascii="宋体" w:hAnsi="宋体" w:eastAsia="宋体" w:cs="宋体"/>
          <w:color w:val="auto"/>
          <w:highlight w:val="none"/>
        </w:rPr>
      </w:pPr>
    </w:p>
    <w:p w14:paraId="2EE30E6F">
      <w:pPr>
        <w:spacing w:before="4"/>
        <w:rPr>
          <w:rFonts w:hint="eastAsia" w:ascii="宋体" w:hAnsi="宋体" w:eastAsia="宋体" w:cs="宋体"/>
          <w:color w:val="auto"/>
          <w:highlight w:val="none"/>
        </w:rPr>
      </w:pPr>
    </w:p>
    <w:p w14:paraId="2AB8F0A2">
      <w:pPr>
        <w:rPr>
          <w:rFonts w:hint="eastAsia" w:ascii="宋体" w:hAnsi="宋体" w:eastAsia="宋体" w:cs="宋体"/>
          <w:color w:val="auto"/>
          <w:highlight w:val="none"/>
        </w:rPr>
        <w:sectPr>
          <w:footerReference r:id="rId5" w:type="default"/>
          <w:type w:val="nextColumn"/>
          <w:pgSz w:w="11906" w:h="16839"/>
          <w:pgMar w:top="1134" w:right="1191" w:bottom="1134" w:left="1191" w:header="0" w:footer="709" w:gutter="0"/>
          <w:pgNumType w:fmt="decimal"/>
          <w:cols w:equalWidth="0" w:num="1">
            <w:col w:w="8981"/>
          </w:cols>
          <w:rtlGutter w:val="0"/>
          <w:docGrid w:linePitch="0" w:charSpace="0"/>
        </w:sectPr>
      </w:pPr>
    </w:p>
    <w:p w14:paraId="2173E72D">
      <w:pPr>
        <w:pStyle w:val="18"/>
        <w:spacing w:before="65" w:line="567" w:lineRule="exact"/>
        <w:ind w:left="2757"/>
        <w:rPr>
          <w:rFonts w:hint="eastAsia" w:ascii="宋体" w:hAnsi="宋体" w:eastAsia="宋体" w:cs="宋体"/>
          <w:color w:val="auto"/>
          <w:sz w:val="31"/>
          <w:szCs w:val="31"/>
          <w:highlight w:val="none"/>
        </w:rPr>
      </w:pPr>
      <w:r>
        <w:rPr>
          <w:rFonts w:hint="eastAsia" w:ascii="宋体" w:hAnsi="宋体" w:eastAsia="宋体" w:cs="宋体"/>
          <w:color w:val="auto"/>
          <w:spacing w:val="-17"/>
          <w:position w:val="18"/>
          <w:sz w:val="31"/>
          <w:szCs w:val="31"/>
          <w:highlight w:val="none"/>
          <w14:textOutline w14:w="5791" w14:cap="sq" w14:cmpd="sng" w14:algn="ctr">
            <w14:solidFill>
              <w14:srgbClr w14:val="000000"/>
            </w14:solidFill>
            <w14:prstDash w14:val="solid"/>
            <w14:bevel/>
          </w14:textOutline>
        </w:rPr>
        <w:t>住</w:t>
      </w:r>
      <w:r>
        <w:rPr>
          <w:rFonts w:hint="eastAsia" w:ascii="宋体" w:hAnsi="宋体" w:eastAsia="宋体" w:cs="宋体"/>
          <w:color w:val="auto"/>
          <w:spacing w:val="-43"/>
          <w:position w:val="18"/>
          <w:sz w:val="31"/>
          <w:szCs w:val="31"/>
          <w:highlight w:val="none"/>
        </w:rPr>
        <w:t xml:space="preserve"> </w:t>
      </w:r>
      <w:r>
        <w:rPr>
          <w:rFonts w:hint="eastAsia" w:ascii="宋体" w:hAnsi="宋体" w:eastAsia="宋体" w:cs="宋体"/>
          <w:color w:val="auto"/>
          <w:spacing w:val="-17"/>
          <w:position w:val="18"/>
          <w:sz w:val="31"/>
          <w:szCs w:val="31"/>
          <w:highlight w:val="none"/>
          <w14:textOutline w14:w="5791" w14:cap="sq" w14:cmpd="sng" w14:algn="ctr">
            <w14:solidFill>
              <w14:srgbClr w14:val="000000"/>
            </w14:solidFill>
            <w14:prstDash w14:val="solid"/>
            <w14:bevel/>
          </w14:textOutline>
        </w:rPr>
        <w:t>房</w:t>
      </w:r>
      <w:r>
        <w:rPr>
          <w:rFonts w:hint="eastAsia" w:ascii="宋体" w:hAnsi="宋体" w:eastAsia="宋体" w:cs="宋体"/>
          <w:color w:val="auto"/>
          <w:spacing w:val="-52"/>
          <w:position w:val="18"/>
          <w:sz w:val="31"/>
          <w:szCs w:val="31"/>
          <w:highlight w:val="none"/>
        </w:rPr>
        <w:t xml:space="preserve"> </w:t>
      </w:r>
      <w:r>
        <w:rPr>
          <w:rFonts w:hint="eastAsia" w:ascii="宋体" w:hAnsi="宋体" w:eastAsia="宋体" w:cs="宋体"/>
          <w:color w:val="auto"/>
          <w:spacing w:val="-17"/>
          <w:position w:val="18"/>
          <w:sz w:val="31"/>
          <w:szCs w:val="31"/>
          <w:highlight w:val="none"/>
          <w14:textOutline w14:w="5791" w14:cap="sq" w14:cmpd="sng" w14:algn="ctr">
            <w14:solidFill>
              <w14:srgbClr w14:val="000000"/>
            </w14:solidFill>
            <w14:prstDash w14:val="solid"/>
            <w14:bevel/>
          </w14:textOutline>
        </w:rPr>
        <w:t>和</w:t>
      </w:r>
      <w:r>
        <w:rPr>
          <w:rFonts w:hint="eastAsia" w:ascii="宋体" w:hAnsi="宋体" w:eastAsia="宋体" w:cs="宋体"/>
          <w:color w:val="auto"/>
          <w:spacing w:val="-43"/>
          <w:position w:val="18"/>
          <w:sz w:val="31"/>
          <w:szCs w:val="31"/>
          <w:highlight w:val="none"/>
        </w:rPr>
        <w:t xml:space="preserve"> </w:t>
      </w:r>
      <w:r>
        <w:rPr>
          <w:rFonts w:hint="eastAsia" w:ascii="宋体" w:hAnsi="宋体" w:eastAsia="宋体" w:cs="宋体"/>
          <w:color w:val="auto"/>
          <w:spacing w:val="-17"/>
          <w:position w:val="18"/>
          <w:sz w:val="31"/>
          <w:szCs w:val="31"/>
          <w:highlight w:val="none"/>
          <w14:textOutline w14:w="5791" w14:cap="sq" w14:cmpd="sng" w14:algn="ctr">
            <w14:solidFill>
              <w14:srgbClr w14:val="000000"/>
            </w14:solidFill>
            <w14:prstDash w14:val="solid"/>
            <w14:bevel/>
          </w14:textOutline>
        </w:rPr>
        <w:t>城</w:t>
      </w:r>
      <w:r>
        <w:rPr>
          <w:rFonts w:hint="eastAsia" w:ascii="宋体" w:hAnsi="宋体" w:eastAsia="宋体" w:cs="宋体"/>
          <w:color w:val="auto"/>
          <w:spacing w:val="-17"/>
          <w:position w:val="18"/>
          <w:sz w:val="31"/>
          <w:szCs w:val="31"/>
          <w:highlight w:val="none"/>
        </w:rPr>
        <w:t xml:space="preserve"> </w:t>
      </w:r>
      <w:r>
        <w:rPr>
          <w:rFonts w:hint="eastAsia" w:ascii="宋体" w:hAnsi="宋体" w:eastAsia="宋体" w:cs="宋体"/>
          <w:color w:val="auto"/>
          <w:spacing w:val="-17"/>
          <w:position w:val="18"/>
          <w:sz w:val="31"/>
          <w:szCs w:val="31"/>
          <w:highlight w:val="none"/>
          <w14:textOutline w14:w="5791" w14:cap="sq" w14:cmpd="sng" w14:algn="ctr">
            <w14:solidFill>
              <w14:srgbClr w14:val="000000"/>
            </w14:solidFill>
            <w14:prstDash w14:val="solid"/>
            <w14:bevel/>
          </w14:textOutline>
        </w:rPr>
        <w:t>乡</w:t>
      </w:r>
      <w:r>
        <w:rPr>
          <w:rFonts w:hint="eastAsia" w:ascii="宋体" w:hAnsi="宋体" w:eastAsia="宋体" w:cs="宋体"/>
          <w:color w:val="auto"/>
          <w:spacing w:val="-52"/>
          <w:position w:val="18"/>
          <w:sz w:val="31"/>
          <w:szCs w:val="31"/>
          <w:highlight w:val="none"/>
        </w:rPr>
        <w:t xml:space="preserve"> </w:t>
      </w:r>
      <w:r>
        <w:rPr>
          <w:rFonts w:hint="eastAsia" w:ascii="宋体" w:hAnsi="宋体" w:eastAsia="宋体" w:cs="宋体"/>
          <w:color w:val="auto"/>
          <w:spacing w:val="-17"/>
          <w:position w:val="18"/>
          <w:sz w:val="31"/>
          <w:szCs w:val="31"/>
          <w:highlight w:val="none"/>
          <w14:textOutline w14:w="5791" w14:cap="sq" w14:cmpd="sng" w14:algn="ctr">
            <w14:solidFill>
              <w14:srgbClr w14:val="000000"/>
            </w14:solidFill>
            <w14:prstDash w14:val="solid"/>
            <w14:bevel/>
          </w14:textOutline>
        </w:rPr>
        <w:t>建</w:t>
      </w:r>
      <w:r>
        <w:rPr>
          <w:rFonts w:hint="eastAsia" w:ascii="宋体" w:hAnsi="宋体" w:eastAsia="宋体" w:cs="宋体"/>
          <w:color w:val="auto"/>
          <w:spacing w:val="-53"/>
          <w:position w:val="18"/>
          <w:sz w:val="31"/>
          <w:szCs w:val="31"/>
          <w:highlight w:val="none"/>
        </w:rPr>
        <w:t xml:space="preserve"> </w:t>
      </w:r>
      <w:r>
        <w:rPr>
          <w:rFonts w:hint="eastAsia" w:ascii="宋体" w:hAnsi="宋体" w:eastAsia="宋体" w:cs="宋体"/>
          <w:color w:val="auto"/>
          <w:spacing w:val="-17"/>
          <w:position w:val="18"/>
          <w:sz w:val="31"/>
          <w:szCs w:val="31"/>
          <w:highlight w:val="none"/>
          <w14:textOutline w14:w="5791" w14:cap="sq" w14:cmpd="sng" w14:algn="ctr">
            <w14:solidFill>
              <w14:srgbClr w14:val="000000"/>
            </w14:solidFill>
            <w14:prstDash w14:val="solid"/>
            <w14:bevel/>
          </w14:textOutline>
        </w:rPr>
        <w:t>设</w:t>
      </w:r>
      <w:r>
        <w:rPr>
          <w:rFonts w:hint="eastAsia" w:ascii="宋体" w:hAnsi="宋体" w:eastAsia="宋体" w:cs="宋体"/>
          <w:color w:val="auto"/>
          <w:spacing w:val="-51"/>
          <w:position w:val="18"/>
          <w:sz w:val="31"/>
          <w:szCs w:val="31"/>
          <w:highlight w:val="none"/>
        </w:rPr>
        <w:t xml:space="preserve"> </w:t>
      </w:r>
      <w:r>
        <w:rPr>
          <w:rFonts w:hint="eastAsia" w:ascii="宋体" w:hAnsi="宋体" w:eastAsia="宋体" w:cs="宋体"/>
          <w:color w:val="auto"/>
          <w:spacing w:val="-17"/>
          <w:position w:val="18"/>
          <w:sz w:val="31"/>
          <w:szCs w:val="31"/>
          <w:highlight w:val="none"/>
          <w14:textOutline w14:w="5791" w14:cap="sq" w14:cmpd="sng" w14:algn="ctr">
            <w14:solidFill>
              <w14:srgbClr w14:val="000000"/>
            </w14:solidFill>
            <w14:prstDash w14:val="solid"/>
            <w14:bevel/>
          </w14:textOutline>
        </w:rPr>
        <w:t>部</w:t>
      </w:r>
    </w:p>
    <w:p w14:paraId="2C75DB84">
      <w:pPr>
        <w:pStyle w:val="18"/>
        <w:keepNext w:val="0"/>
        <w:keepLines w:val="0"/>
        <w:pageBreakBefore w:val="0"/>
        <w:widowControl w:val="0"/>
        <w:kinsoku/>
        <w:wordWrap/>
        <w:overflowPunct/>
        <w:topLinePunct w:val="0"/>
        <w:autoSpaceDE/>
        <w:autoSpaceDN/>
        <w:bidi w:val="0"/>
        <w:adjustRightInd/>
        <w:snapToGrid/>
        <w:spacing w:line="195" w:lineRule="auto"/>
        <w:ind w:left="2795"/>
        <w:textAlignment w:val="auto"/>
        <w:outlineLvl w:val="9"/>
        <w:rPr>
          <w:rFonts w:hint="eastAsia" w:ascii="宋体" w:hAnsi="宋体" w:eastAsia="宋体" w:cs="宋体"/>
          <w:color w:val="auto"/>
          <w:sz w:val="31"/>
          <w:szCs w:val="31"/>
          <w:highlight w:val="none"/>
        </w:rPr>
      </w:pPr>
      <w:r>
        <w:rPr>
          <w:rFonts w:hint="eastAsia" w:ascii="宋体" w:hAnsi="宋体" w:eastAsia="宋体" w:cs="宋体"/>
          <w:color w:val="auto"/>
          <w:spacing w:val="5"/>
          <w:sz w:val="31"/>
          <w:szCs w:val="31"/>
          <w:highlight w:val="none"/>
          <w14:textOutline w14:w="5791" w14:cap="sq" w14:cmpd="sng" w14:algn="ctr">
            <w14:solidFill>
              <w14:srgbClr w14:val="000000"/>
            </w14:solidFill>
            <w14:prstDash w14:val="solid"/>
            <w14:bevel/>
          </w14:textOutline>
        </w:rPr>
        <w:t>国家工商行政管理总局</w:t>
      </w:r>
    </w:p>
    <w:p w14:paraId="44FB860C">
      <w:pPr>
        <w:spacing w:line="14"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447092AD">
      <w:pPr>
        <w:spacing w:line="244" w:lineRule="auto"/>
        <w:rPr>
          <w:rFonts w:hint="eastAsia" w:ascii="宋体" w:hAnsi="宋体" w:eastAsia="宋体" w:cs="宋体"/>
          <w:color w:val="auto"/>
          <w:highlight w:val="none"/>
        </w:rPr>
      </w:pPr>
    </w:p>
    <w:p w14:paraId="1838DAE6">
      <w:pPr>
        <w:pStyle w:val="18"/>
        <w:spacing w:before="102" w:line="227" w:lineRule="auto"/>
        <w:rPr>
          <w:rFonts w:hint="eastAsia" w:ascii="宋体" w:hAnsi="宋体" w:eastAsia="宋体" w:cs="宋体"/>
          <w:color w:val="auto"/>
          <w:sz w:val="31"/>
          <w:szCs w:val="31"/>
          <w:highlight w:val="none"/>
        </w:rPr>
      </w:pPr>
      <w:r>
        <w:rPr>
          <w:rFonts w:hint="eastAsia" w:ascii="宋体" w:hAnsi="宋体" w:eastAsia="宋体" w:cs="宋体"/>
          <w:color w:val="auto"/>
          <w:spacing w:val="-1"/>
          <w:sz w:val="31"/>
          <w:szCs w:val="31"/>
          <w:highlight w:val="none"/>
          <w14:textOutline w14:w="5791" w14:cap="sq" w14:cmpd="sng" w14:algn="ctr">
            <w14:solidFill>
              <w14:srgbClr w14:val="000000"/>
            </w14:solidFill>
            <w14:prstDash w14:val="solid"/>
            <w14:bevel/>
          </w14:textOutline>
        </w:rPr>
        <w:t>制定</w:t>
      </w:r>
    </w:p>
    <w:p w14:paraId="3F7C3DD1">
      <w:pPr>
        <w:spacing w:line="227" w:lineRule="auto"/>
        <w:rPr>
          <w:rFonts w:hint="eastAsia" w:ascii="宋体" w:hAnsi="宋体" w:eastAsia="宋体" w:cs="宋体"/>
          <w:color w:val="auto"/>
          <w:sz w:val="31"/>
          <w:szCs w:val="31"/>
          <w:highlight w:val="none"/>
        </w:rPr>
        <w:sectPr>
          <w:type w:val="continuous"/>
          <w:pgSz w:w="11906" w:h="16839"/>
          <w:pgMar w:top="1134" w:right="1191" w:bottom="1134" w:left="1191" w:header="0" w:footer="706" w:gutter="0"/>
          <w:pgNumType w:fmt="decimal"/>
          <w:cols w:equalWidth="0" w:num="2">
            <w:col w:w="6111" w:space="100"/>
            <w:col w:w="3312"/>
          </w:cols>
          <w:rtlGutter w:val="0"/>
          <w:docGrid w:linePitch="0" w:charSpace="0"/>
        </w:sectPr>
      </w:pPr>
    </w:p>
    <w:p w14:paraId="14411CE7">
      <w:pPr>
        <w:pStyle w:val="3"/>
        <w:spacing w:line="240" w:lineRule="auto"/>
        <w:jc w:val="center"/>
        <w:rPr>
          <w:rFonts w:hint="eastAsia" w:ascii="宋体" w:hAnsi="宋体" w:eastAsia="宋体" w:cs="宋体"/>
          <w:color w:val="auto"/>
          <w:szCs w:val="43"/>
          <w:highlight w:val="none"/>
        </w:rPr>
      </w:pPr>
      <w:bookmarkStart w:id="61" w:name="_Toc29138"/>
      <w:r>
        <w:rPr>
          <w:rFonts w:hint="eastAsia" w:ascii="宋体" w:hAnsi="宋体" w:eastAsia="宋体" w:cs="宋体"/>
          <w:color w:val="auto"/>
          <w:highlight w:val="none"/>
        </w:rPr>
        <w:t>合同协议书</w:t>
      </w:r>
      <w:bookmarkEnd w:id="61"/>
    </w:p>
    <w:p w14:paraId="4ADF4EB6">
      <w:pPr>
        <w:spacing w:line="360" w:lineRule="auto"/>
        <w:rPr>
          <w:rFonts w:hint="eastAsia" w:ascii="宋体" w:hAnsi="宋体" w:eastAsia="宋体" w:cs="宋体"/>
          <w:color w:val="auto"/>
          <w:highlight w:val="none"/>
        </w:rPr>
      </w:pPr>
    </w:p>
    <w:p w14:paraId="5BE2BF4C">
      <w:pPr>
        <w:spacing w:line="360" w:lineRule="auto"/>
        <w:ind w:firstLine="281"/>
        <w:rPr>
          <w:rFonts w:hint="eastAsia" w:ascii="宋体" w:hAnsi="宋体" w:eastAsia="宋体" w:cs="宋体"/>
          <w:b/>
          <w:bCs/>
          <w:color w:val="auto"/>
          <w:highlight w:val="none"/>
        </w:rPr>
      </w:pPr>
      <w:r>
        <w:rPr>
          <w:rFonts w:hint="eastAsia" w:ascii="宋体" w:hAnsi="宋体" w:eastAsia="宋体" w:cs="宋体"/>
          <w:b/>
          <w:bCs/>
          <w:color w:val="auto"/>
          <w:highlight w:val="none"/>
        </w:rPr>
        <w:t>本合同协议书包含二个部分：</w:t>
      </w:r>
    </w:p>
    <w:p w14:paraId="67C1B446">
      <w:pPr>
        <w:spacing w:line="360" w:lineRule="auto"/>
        <w:ind w:firstLine="281"/>
        <w:rPr>
          <w:rFonts w:hint="eastAsia" w:ascii="宋体" w:hAnsi="宋体" w:eastAsia="宋体" w:cs="宋体"/>
          <w:b/>
          <w:bCs/>
          <w:color w:val="auto"/>
          <w:highlight w:val="none"/>
        </w:rPr>
      </w:pPr>
      <w:r>
        <w:rPr>
          <w:rFonts w:hint="eastAsia" w:ascii="宋体" w:hAnsi="宋体" w:eastAsia="宋体" w:cs="宋体"/>
          <w:b/>
          <w:bCs/>
          <w:color w:val="auto"/>
          <w:highlight w:val="none"/>
        </w:rPr>
        <w:t>第一部分 建设工程勘察合同</w:t>
      </w:r>
    </w:p>
    <w:p w14:paraId="71CF715C">
      <w:pPr>
        <w:spacing w:line="360" w:lineRule="auto"/>
        <w:ind w:firstLine="281"/>
        <w:rPr>
          <w:rFonts w:hint="eastAsia" w:ascii="宋体" w:hAnsi="宋体" w:eastAsia="宋体" w:cs="宋体"/>
          <w:color w:val="auto"/>
          <w:szCs w:val="20"/>
          <w:highlight w:val="none"/>
        </w:rPr>
      </w:pPr>
      <w:r>
        <w:rPr>
          <w:rFonts w:hint="eastAsia" w:ascii="宋体" w:hAnsi="宋体" w:eastAsia="宋体" w:cs="宋体"/>
          <w:b/>
          <w:bCs/>
          <w:color w:val="auto"/>
          <w:highlight w:val="none"/>
        </w:rPr>
        <w:t>第二部分 建设工程设计合同</w:t>
      </w:r>
    </w:p>
    <w:p w14:paraId="0EBE656A">
      <w:pPr>
        <w:spacing w:line="320" w:lineRule="auto"/>
        <w:rPr>
          <w:rFonts w:hint="eastAsia" w:ascii="仿宋" w:hAnsi="仿宋" w:eastAsia="仿宋" w:cs="仿宋"/>
          <w:color w:val="auto"/>
          <w:highlight w:val="none"/>
        </w:rPr>
      </w:pPr>
    </w:p>
    <w:p w14:paraId="5EFAEF48">
      <w:pPr>
        <w:spacing w:line="360" w:lineRule="auto"/>
        <w:ind w:firstLine="281"/>
        <w:rPr>
          <w:rFonts w:hint="eastAsia" w:ascii="仿宋" w:hAnsi="仿宋" w:eastAsia="仿宋" w:cs="仿宋"/>
          <w:color w:val="auto"/>
          <w:highlight w:val="none"/>
          <w:u w:val="single"/>
          <w:lang w:eastAsia="zh-CN"/>
        </w:rPr>
      </w:pPr>
      <w:r>
        <w:rPr>
          <w:rFonts w:hint="eastAsia" w:ascii="仿宋" w:hAnsi="仿宋" w:eastAsia="仿宋" w:cs="仿宋"/>
          <w:color w:val="auto"/>
          <w:highlight w:val="none"/>
        </w:rPr>
        <w:t>发包人：</w:t>
      </w:r>
      <w:r>
        <w:rPr>
          <w:rFonts w:hint="eastAsia" w:ascii="仿宋" w:hAnsi="仿宋" w:eastAsia="仿宋" w:cs="仿宋"/>
          <w:color w:val="auto"/>
          <w:highlight w:val="none"/>
          <w:u w:val="single"/>
          <w:lang w:val="en-US" w:eastAsia="zh-CN"/>
        </w:rPr>
        <w:t>罗定市建昊工程管理有限公司</w:t>
      </w:r>
    </w:p>
    <w:p w14:paraId="5ADBEDB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承包人：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5C3D9169">
      <w:pPr>
        <w:spacing w:line="360" w:lineRule="auto"/>
        <w:ind w:firstLine="281"/>
        <w:rPr>
          <w:rFonts w:hint="eastAsia" w:ascii="仿宋" w:hAnsi="仿宋" w:eastAsia="仿宋" w:cs="仿宋"/>
          <w:color w:val="auto"/>
          <w:highlight w:val="none"/>
        </w:rPr>
      </w:pPr>
    </w:p>
    <w:p w14:paraId="5A3778B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依照《中华人民共和国民法典》、《中华人民共和国建筑法》及其他有关法律、行政法规，遵循平等、自愿、公平和诚实信用的原则，双方就本建设工程勘察、初步设计事项协商一致，订立本合同。</w:t>
      </w:r>
    </w:p>
    <w:p w14:paraId="6897CA3E">
      <w:pPr>
        <w:spacing w:line="360" w:lineRule="auto"/>
        <w:ind w:firstLine="281"/>
        <w:outlineLvl w:val="1"/>
        <w:rPr>
          <w:rFonts w:hint="eastAsia" w:ascii="仿宋" w:hAnsi="仿宋" w:eastAsia="仿宋" w:cs="仿宋"/>
          <w:color w:val="auto"/>
          <w:highlight w:val="none"/>
        </w:rPr>
      </w:pPr>
      <w:bookmarkStart w:id="62" w:name="_Toc9455"/>
      <w:r>
        <w:rPr>
          <w:rFonts w:hint="eastAsia" w:ascii="仿宋" w:hAnsi="仿宋" w:eastAsia="仿宋" w:cs="仿宋"/>
          <w:color w:val="auto"/>
          <w:highlight w:val="none"/>
        </w:rPr>
        <w:t>一、工程概况</w:t>
      </w:r>
      <w:bookmarkEnd w:id="62"/>
    </w:p>
    <w:p w14:paraId="67C74E0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工程名称：</w:t>
      </w:r>
      <w:r>
        <w:rPr>
          <w:rFonts w:hint="eastAsia" w:ascii="仿宋" w:hAnsi="仿宋" w:eastAsia="仿宋" w:cs="仿宋"/>
          <w:color w:val="auto"/>
          <w:szCs w:val="21"/>
          <w:highlight w:val="none"/>
          <w:u w:val="single"/>
          <w:lang w:val="en-US" w:eastAsia="zh-CN"/>
        </w:rPr>
        <w:t>罗定市城区老旧居住区宜居改造项目</w:t>
      </w:r>
      <w:r>
        <w:rPr>
          <w:rFonts w:hint="eastAsia" w:ascii="仿宋" w:hAnsi="仿宋" w:eastAsia="仿宋" w:cs="仿宋"/>
          <w:color w:val="auto"/>
          <w:highlight w:val="none"/>
        </w:rPr>
        <w:t>。</w:t>
      </w:r>
    </w:p>
    <w:p w14:paraId="361F1F6F">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工程地点：</w:t>
      </w:r>
      <w:r>
        <w:rPr>
          <w:rFonts w:hint="eastAsia" w:ascii="仿宋" w:hAnsi="仿宋" w:eastAsia="仿宋" w:cs="仿宋"/>
          <w:color w:val="auto"/>
          <w:highlight w:val="none"/>
          <w:u w:val="single"/>
          <w:lang w:val="en-US" w:eastAsia="zh-CN"/>
        </w:rPr>
        <w:t>广东省云浮市罗定市罗城街道</w:t>
      </w:r>
      <w:r>
        <w:rPr>
          <w:rFonts w:hint="eastAsia" w:ascii="仿宋" w:hAnsi="仿宋" w:eastAsia="仿宋" w:cs="仿宋"/>
          <w:color w:val="auto"/>
          <w:highlight w:val="none"/>
          <w:u w:val="none"/>
          <w:lang w:val="en-US" w:eastAsia="zh-CN"/>
        </w:rPr>
        <w:t>。</w:t>
      </w:r>
    </w:p>
    <w:p w14:paraId="2D66227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工程内容：</w:t>
      </w:r>
      <w:r>
        <w:rPr>
          <w:rFonts w:hint="eastAsia" w:ascii="仿宋" w:hAnsi="仿宋" w:eastAsia="仿宋" w:cs="仿宋"/>
          <w:color w:val="auto"/>
          <w:highlight w:val="none"/>
          <w:u w:val="single"/>
        </w:rPr>
        <w:t xml:space="preserve">项目共分三个子项，包括：1、城中北片老旧居住区改造工程(含北区、区屋、中区、东区)；2、城东南片老旧居住区改造工程(含细坑、城东、柑园)；3、城西片老旧居住区改造工程(含西区、南区、石围)。主要内容包含改造及新建道路面积约100500平方米；改造污水管约86000米、排水管道约 98000米；建设安装路灯约7200盏；电力线、通信线、有线电视线等三线整理；人居环境整治约20000平方米；建设社区综合服务、文化体育设施、消防设施、自行车棚等。 </w:t>
      </w:r>
    </w:p>
    <w:p w14:paraId="558CD4A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工程立项批准文号：</w:t>
      </w:r>
      <w:r>
        <w:rPr>
          <w:rFonts w:hint="eastAsia" w:ascii="仿宋" w:hAnsi="仿宋" w:eastAsia="仿宋" w:cs="仿宋"/>
          <w:color w:val="auto"/>
          <w:szCs w:val="21"/>
          <w:highlight w:val="none"/>
          <w:u w:val="single"/>
        </w:rPr>
        <w:t>罗发改投审〔2025〕35号</w:t>
      </w:r>
      <w:r>
        <w:rPr>
          <w:rFonts w:hint="eastAsia" w:ascii="仿宋" w:hAnsi="仿宋" w:eastAsia="仿宋" w:cs="仿宋"/>
          <w:color w:val="auto"/>
          <w:highlight w:val="none"/>
        </w:rPr>
        <w:t>。</w:t>
      </w:r>
    </w:p>
    <w:p w14:paraId="2CB2B534">
      <w:pPr>
        <w:spacing w:line="360" w:lineRule="auto"/>
        <w:ind w:firstLine="281"/>
        <w:rPr>
          <w:rFonts w:hint="eastAsia" w:ascii="仿宋" w:hAnsi="仿宋" w:eastAsia="仿宋" w:cs="仿宋"/>
          <w:color w:val="auto"/>
          <w:highlight w:val="none"/>
          <w:lang w:eastAsia="zh-CN"/>
        </w:rPr>
      </w:pPr>
      <w:r>
        <w:rPr>
          <w:rFonts w:hint="eastAsia" w:ascii="仿宋" w:hAnsi="仿宋" w:eastAsia="仿宋" w:cs="仿宋"/>
          <w:color w:val="auto"/>
          <w:highlight w:val="none"/>
        </w:rPr>
        <w:t>资金来源：</w:t>
      </w:r>
      <w:r>
        <w:rPr>
          <w:rFonts w:hint="eastAsia" w:ascii="仿宋" w:hAnsi="仿宋" w:eastAsia="仿宋" w:cs="仿宋"/>
          <w:color w:val="auto"/>
          <w:sz w:val="20"/>
          <w:szCs w:val="20"/>
          <w:highlight w:val="none"/>
          <w:u w:val="single"/>
          <w:lang w:val="en-US" w:eastAsia="zh-CN" w:bidi="ar"/>
        </w:rPr>
        <w:t>通过争取上级专项资金和地方自筹解决。</w:t>
      </w:r>
    </w:p>
    <w:p w14:paraId="70CE19EA">
      <w:pPr>
        <w:spacing w:line="360" w:lineRule="auto"/>
        <w:ind w:firstLine="281"/>
        <w:outlineLvl w:val="1"/>
        <w:rPr>
          <w:rFonts w:hint="eastAsia" w:ascii="仿宋" w:hAnsi="仿宋" w:eastAsia="仿宋" w:cs="仿宋"/>
          <w:color w:val="auto"/>
          <w:highlight w:val="none"/>
        </w:rPr>
      </w:pPr>
      <w:bookmarkStart w:id="63" w:name="_Toc5291"/>
      <w:r>
        <w:rPr>
          <w:rFonts w:hint="eastAsia" w:ascii="仿宋" w:hAnsi="仿宋" w:eastAsia="仿宋" w:cs="仿宋"/>
          <w:color w:val="auto"/>
          <w:highlight w:val="none"/>
        </w:rPr>
        <w:t>二、工程承包范围</w:t>
      </w:r>
      <w:bookmarkEnd w:id="63"/>
    </w:p>
    <w:p w14:paraId="679992E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1.勘察内容：根据项目建设和使用功能需求，负责项目建设相应范围内与项目建设及使用功能有关项目内容的工程勘察（1:500 地形图测绘，岩土工程勘察），项目的勘察过程中的指导及配合工作。其中包括：勘察过程中，根据工程现场地形地貌、工程水文地质条件及相关技术规范要求，完成本项目的勘察工作，负责本项目范围内，在满足法律法规及设计的前提下，不限于以下内容：包括地形测量、初步勘察、详细勘察、工程测量、管线物探、氡气检测及必要时的施工勘察工作等，以及上述勘察成果文件。密切配合设计单位解决本项目实施过程中的一切岩土工程问题。（备注：勘察单位在满足法律法规及设计的前提下，须按发包人的要求无条件调整勘察、测量、物探等工作，调整不增加勘察费。若勘察方按发包人要求提供已完成的勘察成果后，因不可抗拒原因造成设计方案调整出现勘察变更的，需由勘察方与发包人另行协商并签订补充协议。）</w:t>
      </w:r>
    </w:p>
    <w:p w14:paraId="5DE6C5B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初步</w:t>
      </w:r>
      <w:r>
        <w:rPr>
          <w:rFonts w:hint="eastAsia" w:ascii="仿宋" w:hAnsi="仿宋" w:eastAsia="仿宋" w:cs="仿宋"/>
          <w:color w:val="auto"/>
          <w:highlight w:val="none"/>
        </w:rPr>
        <w:t>设计内容：根据项目建设和使用功能需求，负责项目建设相应范围内与项目建设及使用功能有关项目内容的初步设计过程中的设计指导及配合工作。其中：包括但不限于方案设计、初步设计概算（有造价咨询资质）及初设审查、专业设计（包括但不限于智能化、绿色建筑、基坑支护等）等阶段的设计服务工作。（备注：设计图纸、文件等资料须按发包人的要求无条件进行优化设计、变更设计等，优化设计、变更设计不增加设计费。若设计方按发包人要求提供已完成的设计成果后，因不可抗拒原因造成设计方案调整出现重大变更的，需由设计方与发包人另行协商并签订补充协议。）</w:t>
      </w:r>
    </w:p>
    <w:p w14:paraId="2EC2A2F0">
      <w:pPr>
        <w:spacing w:line="360" w:lineRule="auto"/>
        <w:ind w:firstLine="281"/>
        <w:outlineLvl w:val="1"/>
        <w:rPr>
          <w:rFonts w:hint="eastAsia" w:ascii="仿宋" w:hAnsi="仿宋" w:eastAsia="仿宋" w:cs="仿宋"/>
          <w:color w:val="auto"/>
          <w:highlight w:val="none"/>
        </w:rPr>
      </w:pPr>
      <w:bookmarkStart w:id="64" w:name="_Toc17901"/>
      <w:r>
        <w:rPr>
          <w:rFonts w:hint="eastAsia" w:ascii="仿宋" w:hAnsi="仿宋" w:eastAsia="仿宋" w:cs="仿宋"/>
          <w:color w:val="auto"/>
          <w:highlight w:val="none"/>
        </w:rPr>
        <w:t>三、合同工期</w:t>
      </w:r>
      <w:bookmarkEnd w:id="64"/>
    </w:p>
    <w:p w14:paraId="6D6C849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1.开工日期： 以发包人开工报告批准日期为准</w:t>
      </w:r>
    </w:p>
    <w:p w14:paraId="44A5557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2.成果提交日期：招标人在合同约定的限期按实际工程进度通知中标人进行工程勘察设计。中标人应在工程勘察设计合同签订后 45日内完成工程勘察、初步设计；工程勘察、初步设计文件经审查发现问题后5日内完成补充、修改。因勘察人</w:t>
      </w:r>
      <w:r>
        <w:rPr>
          <w:rFonts w:hint="eastAsia" w:ascii="仿宋" w:hAnsi="仿宋" w:eastAsia="仿宋" w:cs="仿宋"/>
          <w:color w:val="auto"/>
          <w:highlight w:val="none"/>
          <w:lang w:eastAsia="zh-CN"/>
        </w:rPr>
        <w:t>、设计人</w:t>
      </w:r>
      <w:r>
        <w:rPr>
          <w:rFonts w:hint="eastAsia" w:ascii="仿宋" w:hAnsi="仿宋" w:eastAsia="仿宋" w:cs="仿宋"/>
          <w:color w:val="auto"/>
          <w:highlight w:val="none"/>
        </w:rPr>
        <w:t>原因导致工程勘察进度延误超过 15 日的，发包人可以解除合同，不予支付勘察设计费。</w:t>
      </w:r>
    </w:p>
    <w:p w14:paraId="0C831FE1">
      <w:pPr>
        <w:spacing w:line="360" w:lineRule="auto"/>
        <w:ind w:firstLine="281"/>
        <w:rPr>
          <w:rFonts w:hint="eastAsia" w:ascii="仿宋" w:hAnsi="仿宋" w:eastAsia="仿宋" w:cs="仿宋"/>
          <w:color w:val="auto"/>
          <w:highlight w:val="none"/>
          <w:lang w:eastAsia="zh-CN"/>
        </w:rPr>
      </w:pPr>
      <w:r>
        <w:rPr>
          <w:rFonts w:hint="eastAsia" w:ascii="仿宋" w:hAnsi="仿宋" w:eastAsia="仿宋" w:cs="仿宋"/>
          <w:color w:val="auto"/>
          <w:highlight w:val="none"/>
        </w:rPr>
        <w:t>3.合同工期 (总日历天数)</w:t>
      </w:r>
      <w:r>
        <w:rPr>
          <w:rFonts w:hint="eastAsia" w:ascii="仿宋" w:hAnsi="仿宋" w:eastAsia="仿宋" w:cs="仿宋"/>
          <w:color w:val="auto"/>
          <w:highlight w:val="none"/>
          <w:lang w:eastAsia="zh-CN"/>
        </w:rPr>
        <w:t>：5</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 xml:space="preserve"> 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其中：勘察工期15个日历天</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设计工期35个日历天</w:t>
      </w:r>
      <w:r>
        <w:rPr>
          <w:rFonts w:hint="eastAsia" w:ascii="仿宋" w:hAnsi="仿宋" w:eastAsia="仿宋" w:cs="仿宋"/>
          <w:color w:val="auto"/>
          <w:highlight w:val="none"/>
          <w:lang w:eastAsia="zh-CN"/>
        </w:rPr>
        <w:t>。</w:t>
      </w:r>
    </w:p>
    <w:p w14:paraId="6926037F">
      <w:pPr>
        <w:spacing w:line="360" w:lineRule="auto"/>
        <w:ind w:firstLine="281"/>
        <w:outlineLvl w:val="1"/>
        <w:rPr>
          <w:rFonts w:hint="eastAsia" w:ascii="仿宋" w:hAnsi="仿宋" w:eastAsia="仿宋" w:cs="仿宋"/>
          <w:color w:val="auto"/>
          <w:highlight w:val="none"/>
        </w:rPr>
      </w:pPr>
      <w:bookmarkStart w:id="65" w:name="_Toc7605"/>
      <w:r>
        <w:rPr>
          <w:rFonts w:hint="eastAsia" w:ascii="仿宋" w:hAnsi="仿宋" w:eastAsia="仿宋" w:cs="仿宋"/>
          <w:color w:val="auto"/>
          <w:highlight w:val="none"/>
        </w:rPr>
        <w:t>四、质量标准</w:t>
      </w:r>
      <w:bookmarkEnd w:id="65"/>
    </w:p>
    <w:p w14:paraId="4CE49A01">
      <w:pPr>
        <w:spacing w:line="360" w:lineRule="auto"/>
        <w:ind w:firstLine="281"/>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勘察要求的质量标准：符合&lt;房屋建筑和市政基础设施工程勘察文件编制深度规定&gt;（2020年版）、国家及地方现行的勘察标准及规范，符合本项目的可研批复及规划方案批复的要求。</w:t>
      </w:r>
    </w:p>
    <w:p w14:paraId="0E30EAE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设计要求的质量标准：符合建质函[2016]247号《建筑工程设计文件 编制深度规定》(2016年版)、建质[2013]57号《市政公用工程设计文件编制深度规定》(2013年版)、国家及地方现行的设计标准及规范，符合本项目的可研批复及规划方案批复的要求。</w:t>
      </w:r>
    </w:p>
    <w:p w14:paraId="5866D7F3">
      <w:pPr>
        <w:spacing w:line="360" w:lineRule="auto"/>
        <w:ind w:firstLine="281"/>
        <w:outlineLvl w:val="1"/>
        <w:rPr>
          <w:rFonts w:hint="eastAsia" w:ascii="仿宋" w:hAnsi="仿宋" w:eastAsia="仿宋" w:cs="仿宋"/>
          <w:color w:val="auto"/>
          <w:highlight w:val="none"/>
        </w:rPr>
      </w:pPr>
      <w:bookmarkStart w:id="66" w:name="_Toc19687"/>
      <w:r>
        <w:rPr>
          <w:rFonts w:hint="eastAsia" w:ascii="仿宋" w:hAnsi="仿宋" w:eastAsia="仿宋" w:cs="仿宋"/>
          <w:color w:val="auto"/>
          <w:highlight w:val="none"/>
        </w:rPr>
        <w:t>五、合同价款</w:t>
      </w:r>
      <w:bookmarkEnd w:id="66"/>
    </w:p>
    <w:p w14:paraId="5F025EB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勘察初步设计合同价款：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。其中：</w:t>
      </w:r>
    </w:p>
    <w:p w14:paraId="6B070B8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勘察费合同价为人民币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。勘察费合同价=</w:t>
      </w:r>
      <w:r>
        <w:rPr>
          <w:rFonts w:hint="eastAsia" w:ascii="仿宋" w:hAnsi="仿宋" w:eastAsia="仿宋" w:cs="仿宋"/>
          <w:color w:val="auto"/>
          <w:highlight w:val="none"/>
          <w:lang w:eastAsia="zh-CN"/>
        </w:rPr>
        <w:t>勘察费最高投标限价</w:t>
      </w:r>
      <w:r>
        <w:rPr>
          <w:rFonts w:hint="eastAsia" w:ascii="仿宋" w:hAnsi="仿宋" w:eastAsia="仿宋" w:cs="仿宋"/>
          <w:color w:val="auto"/>
          <w:highlight w:val="none"/>
        </w:rPr>
        <w:t>×（1-勘察费</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下浮率），勘察费签约合同价为暂定价，结算时，勘察费结算价=概算审定的勘察费×（1-勘察费中标下浮率）</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但不超中标价。</w:t>
      </w:r>
    </w:p>
    <w:p w14:paraId="5E53C27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初步设计费合同价为人民币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。初步设计费合同价= 初步设计费</w:t>
      </w:r>
      <w:r>
        <w:rPr>
          <w:rFonts w:hint="eastAsia" w:ascii="仿宋" w:hAnsi="仿宋" w:eastAsia="仿宋" w:cs="仿宋"/>
          <w:color w:val="auto"/>
          <w:highlight w:val="none"/>
          <w:lang w:eastAsia="zh-CN"/>
        </w:rPr>
        <w:t>最高投标限价</w:t>
      </w:r>
      <w:r>
        <w:rPr>
          <w:rFonts w:hint="eastAsia" w:ascii="仿宋" w:hAnsi="仿宋" w:eastAsia="仿宋" w:cs="仿宋"/>
          <w:color w:val="auto"/>
          <w:highlight w:val="none"/>
        </w:rPr>
        <w:t>×（1-设计费</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下浮率），初步设计费签约合同价为暂定价；初步设计费结算时，以经罗定市财政投资审核机构审定的</w:t>
      </w:r>
      <w:r>
        <w:rPr>
          <w:rFonts w:hint="eastAsia" w:ascii="仿宋" w:hAnsi="仿宋" w:eastAsia="仿宋" w:cs="仿宋"/>
          <w:color w:val="auto"/>
          <w:highlight w:val="none"/>
          <w:lang w:eastAsia="zh-CN"/>
        </w:rPr>
        <w:t>设</w:t>
      </w:r>
      <w:r>
        <w:rPr>
          <w:rFonts w:hint="eastAsia" w:ascii="仿宋" w:hAnsi="仿宋" w:eastAsia="仿宋" w:cs="仿宋"/>
          <w:color w:val="auto"/>
          <w:highlight w:val="none"/>
        </w:rPr>
        <w:t>计费概算价为基础计算，即：初步设计费结算价 = [（审定设计费概算价×初步设计费比例 40%）]×（1 -初步设计费中标下浮率）</w:t>
      </w:r>
      <w:r>
        <w:rPr>
          <w:rFonts w:hint="eastAsia" w:ascii="仿宋" w:hAnsi="仿宋" w:eastAsia="仿宋" w:cs="仿宋"/>
          <w:color w:val="auto"/>
          <w:highlight w:val="none"/>
          <w:lang w:eastAsia="zh-CN"/>
        </w:rPr>
        <w:t>，结算总价不超出</w:t>
      </w:r>
      <w:r>
        <w:rPr>
          <w:rFonts w:hint="eastAsia" w:ascii="仿宋" w:hAnsi="仿宋" w:eastAsia="仿宋" w:cs="仿宋"/>
          <w:color w:val="auto"/>
          <w:highlight w:val="none"/>
          <w:lang w:val="en-US" w:eastAsia="zh-CN"/>
        </w:rPr>
        <w:t>中标价</w:t>
      </w:r>
      <w:r>
        <w:rPr>
          <w:rFonts w:hint="eastAsia" w:ascii="仿宋" w:hAnsi="仿宋" w:eastAsia="仿宋" w:cs="仿宋"/>
          <w:color w:val="auto"/>
          <w:highlight w:val="none"/>
        </w:rPr>
        <w:t>。注：本设计的专业调整系数按1.0计算、工程复杂程度调整系数按1.0计算，附加调整系数按1.0计算。</w:t>
      </w:r>
    </w:p>
    <w:p w14:paraId="3BDB93E4">
      <w:pPr>
        <w:spacing w:line="360" w:lineRule="auto"/>
        <w:ind w:firstLine="281"/>
        <w:outlineLvl w:val="1"/>
        <w:rPr>
          <w:rFonts w:hint="eastAsia" w:ascii="仿宋" w:hAnsi="仿宋" w:eastAsia="仿宋" w:cs="仿宋"/>
          <w:color w:val="auto"/>
          <w:highlight w:val="none"/>
        </w:rPr>
      </w:pPr>
      <w:bookmarkStart w:id="67" w:name="_Toc28705"/>
      <w:r>
        <w:rPr>
          <w:rFonts w:hint="eastAsia" w:ascii="仿宋" w:hAnsi="仿宋" w:eastAsia="仿宋" w:cs="仿宋"/>
          <w:color w:val="auto"/>
          <w:highlight w:val="none"/>
        </w:rPr>
        <w:t>六、担保</w:t>
      </w:r>
      <w:bookmarkEnd w:id="67"/>
    </w:p>
    <w:p w14:paraId="2B7EB03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1.履约担保：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219E51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2.支付担保：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3E7449E">
      <w:pPr>
        <w:spacing w:line="360" w:lineRule="auto"/>
        <w:ind w:firstLine="281"/>
        <w:outlineLvl w:val="1"/>
        <w:rPr>
          <w:rFonts w:hint="eastAsia" w:ascii="仿宋" w:hAnsi="仿宋" w:eastAsia="仿宋" w:cs="仿宋"/>
          <w:color w:val="auto"/>
          <w:highlight w:val="none"/>
        </w:rPr>
      </w:pPr>
      <w:bookmarkStart w:id="68" w:name="_Toc14000"/>
      <w:r>
        <w:rPr>
          <w:rFonts w:hint="eastAsia" w:ascii="仿宋" w:hAnsi="仿宋" w:eastAsia="仿宋" w:cs="仿宋"/>
          <w:color w:val="auto"/>
          <w:highlight w:val="none"/>
        </w:rPr>
        <w:t>七、组成合同的文件</w:t>
      </w:r>
      <w:bookmarkEnd w:id="68"/>
    </w:p>
    <w:p w14:paraId="7864F08B">
      <w:pPr>
        <w:spacing w:line="360" w:lineRule="auto"/>
        <w:ind w:firstLine="281"/>
        <w:outlineLvl w:val="2"/>
        <w:rPr>
          <w:rFonts w:hint="eastAsia" w:ascii="仿宋" w:hAnsi="仿宋" w:eastAsia="仿宋" w:cs="仿宋"/>
          <w:color w:val="auto"/>
          <w:highlight w:val="none"/>
        </w:rPr>
      </w:pPr>
      <w:r>
        <w:rPr>
          <w:rFonts w:hint="eastAsia" w:ascii="仿宋" w:hAnsi="仿宋" w:eastAsia="仿宋" w:cs="仿宋"/>
          <w:color w:val="auto"/>
          <w:highlight w:val="none"/>
        </w:rPr>
        <w:t>1.组成本合同的文件包括：</w:t>
      </w:r>
    </w:p>
    <w:p w14:paraId="5014735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（1）本合同协议书、建设工程勘察合同、建设工程设计合同</w:t>
      </w:r>
    </w:p>
    <w:p w14:paraId="0CC883D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14:paraId="1AAA168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（3）招标文件</w:t>
      </w:r>
    </w:p>
    <w:p w14:paraId="0C2C7AA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（4）标准、规范及有关技术文件</w:t>
      </w:r>
    </w:p>
    <w:p w14:paraId="31C8B87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 图纸</w:t>
      </w:r>
    </w:p>
    <w:p w14:paraId="1AD675C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（6）投标书及其附件</w:t>
      </w:r>
    </w:p>
    <w:p w14:paraId="047B0FA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2.双方有关工程的洽商、变更等书面协议或文件视为本合同的组成部分。</w:t>
      </w:r>
    </w:p>
    <w:p w14:paraId="30B9DB0A">
      <w:pPr>
        <w:spacing w:line="360" w:lineRule="auto"/>
        <w:ind w:firstLine="281"/>
        <w:outlineLvl w:val="1"/>
        <w:rPr>
          <w:rFonts w:hint="eastAsia" w:ascii="仿宋" w:hAnsi="仿宋" w:eastAsia="仿宋" w:cs="仿宋"/>
          <w:color w:val="auto"/>
          <w:highlight w:val="none"/>
        </w:rPr>
      </w:pPr>
      <w:bookmarkStart w:id="69" w:name="_Toc19004"/>
      <w:r>
        <w:rPr>
          <w:rFonts w:hint="eastAsia" w:ascii="仿宋" w:hAnsi="仿宋" w:eastAsia="仿宋" w:cs="仿宋"/>
          <w:color w:val="auto"/>
          <w:highlight w:val="none"/>
        </w:rPr>
        <w:t>八、联合体</w:t>
      </w:r>
      <w:bookmarkEnd w:id="69"/>
    </w:p>
    <w:p w14:paraId="2589C07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1.如承包人为联合体，则本合同对联合体各方（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（设计方）为联合体牵头人，为联合体成员）均有法律约束力；联合体牵头人在合同实施阶段承担主办、协调工作，须监督、督促联合体其他人员的工作进度和质量。</w:t>
      </w:r>
    </w:p>
    <w:p w14:paraId="27BDCFE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2.经双方协商同意，项目勘察费、设计费由发包人</w:t>
      </w:r>
      <w:r>
        <w:rPr>
          <w:rFonts w:hint="eastAsia" w:ascii="仿宋" w:hAnsi="仿宋" w:eastAsia="仿宋" w:cs="仿宋"/>
          <w:color w:val="auto"/>
          <w:highlight w:val="none"/>
          <w:lang w:eastAsia="zh-CN"/>
        </w:rPr>
        <w:t>（或上级部门）</w:t>
      </w:r>
      <w:r>
        <w:rPr>
          <w:rFonts w:hint="eastAsia" w:ascii="仿宋" w:hAnsi="仿宋" w:eastAsia="仿宋" w:cs="仿宋"/>
          <w:color w:val="auto"/>
          <w:highlight w:val="none"/>
        </w:rPr>
        <w:t>直接支付给勘察人、设计人。</w:t>
      </w:r>
    </w:p>
    <w:p w14:paraId="50850DBA">
      <w:pPr>
        <w:spacing w:line="360" w:lineRule="auto"/>
        <w:ind w:firstLine="281"/>
        <w:outlineLvl w:val="1"/>
        <w:rPr>
          <w:rFonts w:hint="eastAsia" w:ascii="仿宋" w:hAnsi="仿宋" w:eastAsia="仿宋" w:cs="仿宋"/>
          <w:color w:val="auto"/>
          <w:highlight w:val="none"/>
        </w:rPr>
      </w:pPr>
      <w:bookmarkStart w:id="70" w:name="_Toc12833"/>
      <w:r>
        <w:rPr>
          <w:rFonts w:hint="eastAsia" w:ascii="仿宋" w:hAnsi="仿宋" w:eastAsia="仿宋" w:cs="仿宋"/>
          <w:color w:val="auto"/>
          <w:highlight w:val="none"/>
        </w:rPr>
        <w:t>九、补充条款</w:t>
      </w:r>
      <w:bookmarkEnd w:id="70"/>
    </w:p>
    <w:p w14:paraId="7498581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补充事项</w:t>
      </w:r>
    </w:p>
    <w:p w14:paraId="14D4FCE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（1）项目若发包人因土地征用、拆迁、后续建设资金未落实的造成工程工期延误，工期应按规定进行调整、延长，不因工期影响而增加相关酬金、不得追究发包人任何经济赔偿等索赔事项。</w:t>
      </w:r>
    </w:p>
    <w:p w14:paraId="44AFC02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若发包人建设资金未按时支付、落实的，承包人需无条件满足项目实施事项，不得追究发包人任何经济赔偿等索赔事项。若发包人因后续建设资金未落实的造成工程终止，双方协商应终止并解除合同，不得追究发包人任何经济赔偿等索赔事项。</w:t>
      </w:r>
    </w:p>
    <w:p w14:paraId="5B7E826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（3）签订解除合同后，工程建设按施工实际进行验收、结算，不得追究发包人任何经济赔偿等索赔事项。</w:t>
      </w:r>
    </w:p>
    <w:p w14:paraId="4CBFAB6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（4）电子</w:t>
      </w:r>
      <w:r>
        <w:rPr>
          <w:rFonts w:hint="eastAsia" w:ascii="仿宋" w:hAnsi="仿宋" w:eastAsia="仿宋" w:cs="仿宋"/>
          <w:color w:val="auto"/>
          <w:highlight w:val="none"/>
          <w:lang w:eastAsia="zh-CN"/>
        </w:rPr>
        <w:t>信箱</w:t>
      </w:r>
      <w:r>
        <w:rPr>
          <w:rFonts w:hint="eastAsia" w:ascii="仿宋" w:hAnsi="仿宋" w:eastAsia="仿宋" w:cs="仿宋"/>
          <w:color w:val="auto"/>
          <w:highlight w:val="none"/>
        </w:rPr>
        <w:t>为各方约定的法律文书、信函或文件送达地址，按上述电子邮件一经发送成功后，即视同送达。任何一方变更电子</w:t>
      </w:r>
      <w:r>
        <w:rPr>
          <w:rFonts w:hint="eastAsia" w:ascii="仿宋" w:hAnsi="仿宋" w:eastAsia="仿宋" w:cs="仿宋"/>
          <w:color w:val="auto"/>
          <w:highlight w:val="none"/>
          <w:lang w:eastAsia="zh-CN"/>
        </w:rPr>
        <w:t>信箱</w:t>
      </w:r>
      <w:r>
        <w:rPr>
          <w:rFonts w:hint="eastAsia" w:ascii="仿宋" w:hAnsi="仿宋" w:eastAsia="仿宋" w:cs="仿宋"/>
          <w:color w:val="auto"/>
          <w:highlight w:val="none"/>
        </w:rPr>
        <w:t>，必须在变更后三日内书面通知另一方，否则另一方向上述电子</w:t>
      </w:r>
      <w:r>
        <w:rPr>
          <w:rFonts w:hint="eastAsia" w:ascii="仿宋" w:hAnsi="仿宋" w:eastAsia="仿宋" w:cs="仿宋"/>
          <w:color w:val="auto"/>
          <w:highlight w:val="none"/>
          <w:lang w:eastAsia="zh-CN"/>
        </w:rPr>
        <w:t>信箱</w:t>
      </w:r>
      <w:r>
        <w:rPr>
          <w:rFonts w:hint="eastAsia" w:ascii="仿宋" w:hAnsi="仿宋" w:eastAsia="仿宋" w:cs="仿宋"/>
          <w:color w:val="auto"/>
          <w:highlight w:val="none"/>
        </w:rPr>
        <w:t>，发送法律文书、信函或文件等视为送达。</w:t>
      </w:r>
    </w:p>
    <w:p w14:paraId="596469A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双方根据有关法律法规规定，结合实际经协商一致，可对各通用合同条款内容具体化、补充或修改，并在对应专用合同条款内约定。</w:t>
      </w:r>
    </w:p>
    <w:p w14:paraId="5FEA2E57">
      <w:pPr>
        <w:spacing w:line="360" w:lineRule="auto"/>
        <w:ind w:firstLine="281"/>
        <w:outlineLvl w:val="1"/>
        <w:rPr>
          <w:rFonts w:hint="eastAsia" w:ascii="仿宋" w:hAnsi="仿宋" w:eastAsia="仿宋" w:cs="仿宋"/>
          <w:color w:val="auto"/>
          <w:highlight w:val="none"/>
        </w:rPr>
      </w:pPr>
      <w:bookmarkStart w:id="71" w:name="_Toc19020"/>
      <w:r>
        <w:rPr>
          <w:rFonts w:hint="eastAsia" w:ascii="仿宋" w:hAnsi="仿宋" w:eastAsia="仿宋" w:cs="仿宋"/>
          <w:color w:val="auto"/>
          <w:highlight w:val="none"/>
        </w:rPr>
        <w:t>十、合同生效</w:t>
      </w:r>
      <w:bookmarkEnd w:id="71"/>
    </w:p>
    <w:p w14:paraId="2129A7C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1.合同订立时间：       年      月        日</w:t>
      </w:r>
    </w:p>
    <w:p w14:paraId="32392EF4">
      <w:pPr>
        <w:spacing w:line="360" w:lineRule="auto"/>
        <w:ind w:firstLine="281"/>
        <w:outlineLvl w:val="2"/>
        <w:rPr>
          <w:rFonts w:hint="eastAsia" w:ascii="仿宋" w:hAnsi="仿宋" w:eastAsia="仿宋" w:cs="仿宋"/>
          <w:color w:val="auto"/>
          <w:highlight w:val="none"/>
        </w:rPr>
      </w:pPr>
      <w:r>
        <w:rPr>
          <w:rFonts w:hint="eastAsia" w:ascii="仿宋" w:hAnsi="仿宋" w:eastAsia="仿宋" w:cs="仿宋"/>
          <w:color w:val="auto"/>
          <w:highlight w:val="none"/>
        </w:rPr>
        <w:t>2.合同订立地点：</w:t>
      </w:r>
    </w:p>
    <w:p w14:paraId="1E4CC9D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3.本合同（包括协议书、建设工程勘察合同、建设工程设计合同）双方约定签字盖章后生效。</w:t>
      </w:r>
    </w:p>
    <w:p w14:paraId="3F555F7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十一、本合同一式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份，双方各执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份，均具同等法律效力。</w:t>
      </w:r>
    </w:p>
    <w:p w14:paraId="2F989E07">
      <w:pPr>
        <w:spacing w:line="232" w:lineRule="auto"/>
        <w:rPr>
          <w:rFonts w:hint="eastAsia" w:ascii="仿宋" w:hAnsi="仿宋" w:eastAsia="仿宋" w:cs="仿宋"/>
          <w:color w:val="auto"/>
          <w:sz w:val="20"/>
          <w:szCs w:val="20"/>
          <w:highlight w:val="none"/>
        </w:rPr>
      </w:pPr>
    </w:p>
    <w:p w14:paraId="4F18B80E">
      <w:pP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br w:type="page"/>
      </w:r>
    </w:p>
    <w:p w14:paraId="4F1EA50F">
      <w:pPr>
        <w:pStyle w:val="12"/>
        <w:rPr>
          <w:rFonts w:hint="eastAsia" w:ascii="仿宋" w:hAnsi="仿宋" w:eastAsia="仿宋" w:cs="仿宋"/>
          <w:color w:val="auto"/>
          <w:highlight w:val="none"/>
        </w:rPr>
      </w:pPr>
    </w:p>
    <w:tbl>
      <w:tblPr>
        <w:tblStyle w:val="4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871"/>
      </w:tblGrid>
      <w:tr w14:paraId="03FB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nil"/>
              <w:left w:val="nil"/>
              <w:bottom w:val="nil"/>
              <w:right w:val="nil"/>
            </w:tcBorders>
            <w:noWrap w:val="0"/>
            <w:vAlign w:val="top"/>
          </w:tcPr>
          <w:p w14:paraId="30A75BB9">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发包人：（公章）</w:t>
            </w:r>
          </w:p>
          <w:p w14:paraId="4CFDCD57">
            <w:pPr>
              <w:pStyle w:val="18"/>
              <w:spacing w:before="43"/>
              <w:rPr>
                <w:rFonts w:hint="eastAsia" w:ascii="仿宋" w:hAnsi="仿宋" w:eastAsia="仿宋" w:cs="仿宋"/>
                <w:color w:val="auto"/>
                <w:spacing w:val="9"/>
                <w:position w:val="14"/>
                <w:sz w:val="20"/>
                <w:szCs w:val="20"/>
                <w:highlight w:val="none"/>
              </w:rPr>
            </w:pPr>
          </w:p>
          <w:p w14:paraId="7C1988C7">
            <w:pPr>
              <w:pStyle w:val="18"/>
              <w:spacing w:before="43"/>
              <w:rPr>
                <w:rFonts w:hint="eastAsia" w:ascii="仿宋" w:hAnsi="仿宋" w:eastAsia="仿宋" w:cs="仿宋"/>
                <w:color w:val="auto"/>
                <w:spacing w:val="9"/>
                <w:position w:val="14"/>
                <w:sz w:val="20"/>
                <w:szCs w:val="20"/>
                <w:highlight w:val="none"/>
              </w:rPr>
            </w:pPr>
          </w:p>
          <w:p w14:paraId="0E5DAF8A">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法定代表人或其委托代理人（签字）：</w:t>
            </w:r>
          </w:p>
          <w:p w14:paraId="3A25A86C">
            <w:pPr>
              <w:pStyle w:val="18"/>
              <w:spacing w:before="43"/>
              <w:rPr>
                <w:rFonts w:hint="eastAsia" w:ascii="仿宋" w:hAnsi="仿宋" w:eastAsia="仿宋" w:cs="仿宋"/>
                <w:color w:val="auto"/>
                <w:spacing w:val="9"/>
                <w:position w:val="14"/>
                <w:sz w:val="20"/>
                <w:szCs w:val="20"/>
                <w:highlight w:val="none"/>
              </w:rPr>
            </w:pPr>
          </w:p>
          <w:p w14:paraId="381B1AF9">
            <w:pPr>
              <w:pStyle w:val="18"/>
              <w:spacing w:before="43"/>
              <w:rPr>
                <w:rFonts w:hint="eastAsia" w:ascii="仿宋" w:hAnsi="仿宋" w:eastAsia="仿宋" w:cs="仿宋"/>
                <w:color w:val="auto"/>
                <w:spacing w:val="9"/>
                <w:position w:val="14"/>
                <w:sz w:val="20"/>
                <w:szCs w:val="20"/>
                <w:highlight w:val="none"/>
              </w:rPr>
            </w:pPr>
          </w:p>
          <w:p w14:paraId="2DC05F63">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统一社会信用代码：</w:t>
            </w:r>
          </w:p>
          <w:p w14:paraId="6799C4BA">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纳税人识别码：</w:t>
            </w:r>
          </w:p>
          <w:p w14:paraId="1F145D2F">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地址：</w:t>
            </w:r>
          </w:p>
          <w:p w14:paraId="48B0582E">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邮政编码：</w:t>
            </w:r>
          </w:p>
          <w:p w14:paraId="67CB266E">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法定代表人：</w:t>
            </w:r>
          </w:p>
          <w:p w14:paraId="52527D4F">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委托代理人：</w:t>
            </w:r>
          </w:p>
          <w:p w14:paraId="41A16B0A">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电话：</w:t>
            </w:r>
          </w:p>
          <w:p w14:paraId="0AD95A70">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传真：</w:t>
            </w:r>
          </w:p>
          <w:p w14:paraId="4B05055C">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电子邮箱：</w:t>
            </w:r>
          </w:p>
          <w:p w14:paraId="28953640">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开户银行：</w:t>
            </w:r>
          </w:p>
          <w:p w14:paraId="33A86551">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账号：</w:t>
            </w:r>
          </w:p>
          <w:p w14:paraId="5649382D">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日期：       年    月    日</w:t>
            </w:r>
          </w:p>
        </w:tc>
        <w:tc>
          <w:tcPr>
            <w:tcW w:w="2500" w:type="pct"/>
            <w:tcBorders>
              <w:top w:val="nil"/>
              <w:left w:val="nil"/>
              <w:bottom w:val="nil"/>
              <w:right w:val="nil"/>
            </w:tcBorders>
            <w:noWrap w:val="0"/>
            <w:vAlign w:val="top"/>
          </w:tcPr>
          <w:p w14:paraId="338AFCA8">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承包人：（公章）（联合体牵头人）</w:t>
            </w:r>
          </w:p>
          <w:p w14:paraId="70DA2736">
            <w:pPr>
              <w:pStyle w:val="18"/>
              <w:spacing w:before="43"/>
              <w:rPr>
                <w:rFonts w:hint="eastAsia" w:ascii="仿宋" w:hAnsi="仿宋" w:eastAsia="仿宋" w:cs="仿宋"/>
                <w:color w:val="auto"/>
                <w:spacing w:val="9"/>
                <w:position w:val="14"/>
                <w:sz w:val="20"/>
                <w:szCs w:val="20"/>
                <w:highlight w:val="none"/>
              </w:rPr>
            </w:pPr>
          </w:p>
          <w:p w14:paraId="37E9D73B">
            <w:pPr>
              <w:pStyle w:val="18"/>
              <w:spacing w:before="43"/>
              <w:rPr>
                <w:rFonts w:hint="eastAsia" w:ascii="仿宋" w:hAnsi="仿宋" w:eastAsia="仿宋" w:cs="仿宋"/>
                <w:color w:val="auto"/>
                <w:spacing w:val="9"/>
                <w:position w:val="14"/>
                <w:sz w:val="20"/>
                <w:szCs w:val="20"/>
                <w:highlight w:val="none"/>
              </w:rPr>
            </w:pPr>
          </w:p>
          <w:p w14:paraId="7434187F">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法定代表人或其委托代理人（签字）：</w:t>
            </w:r>
          </w:p>
          <w:p w14:paraId="1C4035DA">
            <w:pPr>
              <w:pStyle w:val="18"/>
              <w:spacing w:before="43"/>
              <w:rPr>
                <w:rFonts w:hint="eastAsia" w:ascii="仿宋" w:hAnsi="仿宋" w:eastAsia="仿宋" w:cs="仿宋"/>
                <w:color w:val="auto"/>
                <w:spacing w:val="9"/>
                <w:position w:val="14"/>
                <w:sz w:val="20"/>
                <w:szCs w:val="20"/>
                <w:highlight w:val="none"/>
              </w:rPr>
            </w:pPr>
          </w:p>
          <w:p w14:paraId="20D910D3">
            <w:pPr>
              <w:pStyle w:val="18"/>
              <w:spacing w:before="43"/>
              <w:rPr>
                <w:rFonts w:hint="eastAsia" w:ascii="仿宋" w:hAnsi="仿宋" w:eastAsia="仿宋" w:cs="仿宋"/>
                <w:color w:val="auto"/>
                <w:spacing w:val="9"/>
                <w:position w:val="14"/>
                <w:sz w:val="20"/>
                <w:szCs w:val="20"/>
                <w:highlight w:val="none"/>
              </w:rPr>
            </w:pPr>
          </w:p>
          <w:p w14:paraId="06588AEA">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统一社会信用代码：</w:t>
            </w:r>
          </w:p>
          <w:p w14:paraId="16EF90BB">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纳税人识别码：</w:t>
            </w:r>
          </w:p>
          <w:p w14:paraId="2D329F52">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地址：</w:t>
            </w:r>
          </w:p>
          <w:p w14:paraId="3E2577ED">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邮政编码：</w:t>
            </w:r>
          </w:p>
          <w:p w14:paraId="33B62E4F">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法定代表人：</w:t>
            </w:r>
          </w:p>
          <w:p w14:paraId="3F171960">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委托代理人：</w:t>
            </w:r>
          </w:p>
          <w:p w14:paraId="6AE523F5">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电话：</w:t>
            </w:r>
          </w:p>
          <w:p w14:paraId="249E854C">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传真：</w:t>
            </w:r>
          </w:p>
          <w:p w14:paraId="3B32BAB7">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电子邮箱：</w:t>
            </w:r>
          </w:p>
          <w:p w14:paraId="5BDC111E">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开户银行：</w:t>
            </w:r>
          </w:p>
          <w:p w14:paraId="46D60E0C">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账号：</w:t>
            </w:r>
          </w:p>
          <w:p w14:paraId="75168067">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日期：       年    月    日</w:t>
            </w:r>
          </w:p>
        </w:tc>
      </w:tr>
      <w:tr w14:paraId="5B14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5000" w:type="pct"/>
            <w:gridSpan w:val="2"/>
            <w:tcBorders>
              <w:top w:val="nil"/>
              <w:left w:val="nil"/>
              <w:bottom w:val="nil"/>
              <w:right w:val="nil"/>
            </w:tcBorders>
            <w:noWrap w:val="0"/>
            <w:vAlign w:val="top"/>
          </w:tcPr>
          <w:p w14:paraId="32F2AF65">
            <w:pPr>
              <w:pStyle w:val="18"/>
              <w:spacing w:before="43"/>
              <w:rPr>
                <w:rFonts w:hint="eastAsia" w:ascii="仿宋" w:hAnsi="仿宋" w:eastAsia="仿宋" w:cs="仿宋"/>
                <w:color w:val="auto"/>
                <w:spacing w:val="9"/>
                <w:position w:val="14"/>
                <w:sz w:val="20"/>
                <w:szCs w:val="20"/>
                <w:highlight w:val="none"/>
              </w:rPr>
            </w:pPr>
          </w:p>
          <w:p w14:paraId="6E0AB3E4">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如联合体单位，还须联合体其他成员填写一下信息并签名盖章：</w:t>
            </w:r>
          </w:p>
          <w:p w14:paraId="0BB22288">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承包人：（公章）（联合体成员方）</w:t>
            </w:r>
          </w:p>
          <w:p w14:paraId="67FD3220">
            <w:pPr>
              <w:pStyle w:val="18"/>
              <w:spacing w:before="43"/>
              <w:rPr>
                <w:rFonts w:hint="eastAsia" w:ascii="仿宋" w:hAnsi="仿宋" w:eastAsia="仿宋" w:cs="仿宋"/>
                <w:color w:val="auto"/>
                <w:spacing w:val="9"/>
                <w:position w:val="14"/>
                <w:sz w:val="20"/>
                <w:szCs w:val="20"/>
                <w:highlight w:val="none"/>
              </w:rPr>
            </w:pPr>
          </w:p>
          <w:p w14:paraId="5E063233">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法定代表人或其委托代理人（签字）：</w:t>
            </w:r>
          </w:p>
          <w:p w14:paraId="0894631F">
            <w:pPr>
              <w:pStyle w:val="18"/>
              <w:spacing w:before="43"/>
              <w:rPr>
                <w:rFonts w:hint="eastAsia" w:ascii="仿宋" w:hAnsi="仿宋" w:eastAsia="仿宋" w:cs="仿宋"/>
                <w:color w:val="auto"/>
                <w:spacing w:val="9"/>
                <w:position w:val="14"/>
                <w:sz w:val="20"/>
                <w:szCs w:val="20"/>
                <w:highlight w:val="none"/>
              </w:rPr>
            </w:pPr>
          </w:p>
          <w:p w14:paraId="349D081C">
            <w:pPr>
              <w:pStyle w:val="18"/>
              <w:spacing w:before="43"/>
              <w:rPr>
                <w:rFonts w:hint="eastAsia" w:ascii="仿宋" w:hAnsi="仿宋" w:eastAsia="仿宋" w:cs="仿宋"/>
                <w:color w:val="auto"/>
                <w:spacing w:val="9"/>
                <w:position w:val="14"/>
                <w:sz w:val="20"/>
                <w:szCs w:val="20"/>
                <w:highlight w:val="none"/>
              </w:rPr>
            </w:pPr>
          </w:p>
          <w:p w14:paraId="53C3367A">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统一社会信用代码：</w:t>
            </w:r>
          </w:p>
          <w:p w14:paraId="641F8597">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纳税人识别码：</w:t>
            </w:r>
          </w:p>
          <w:p w14:paraId="58BE8081">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地址：</w:t>
            </w:r>
          </w:p>
          <w:p w14:paraId="414C805B">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邮政编码：</w:t>
            </w:r>
          </w:p>
          <w:p w14:paraId="264ABF39">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法定代表人：</w:t>
            </w:r>
          </w:p>
          <w:p w14:paraId="017D5E36">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委托代理人：</w:t>
            </w:r>
          </w:p>
          <w:p w14:paraId="17643A12">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电话：</w:t>
            </w:r>
          </w:p>
          <w:p w14:paraId="4B4AE6F8">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传真：</w:t>
            </w:r>
          </w:p>
          <w:p w14:paraId="7C032AAA">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电子邮箱：</w:t>
            </w:r>
          </w:p>
          <w:p w14:paraId="1813F011">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开户银行：</w:t>
            </w:r>
          </w:p>
          <w:p w14:paraId="3A496F6D">
            <w:pPr>
              <w:pStyle w:val="18"/>
              <w:spacing w:before="43"/>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账号：</w:t>
            </w:r>
          </w:p>
          <w:p w14:paraId="23A9CC50">
            <w:pPr>
              <w:pStyle w:val="18"/>
              <w:spacing w:before="43"/>
              <w:rPr>
                <w:rFonts w:hint="eastAsia" w:ascii="仿宋" w:hAnsi="仿宋" w:eastAsia="仿宋" w:cs="仿宋"/>
                <w:color w:val="auto"/>
                <w:spacing w:val="-8"/>
                <w:sz w:val="20"/>
                <w:szCs w:val="20"/>
                <w:highlight w:val="none"/>
              </w:rPr>
            </w:pPr>
            <w:r>
              <w:rPr>
                <w:rFonts w:hint="eastAsia" w:ascii="仿宋" w:hAnsi="仿宋" w:eastAsia="仿宋" w:cs="仿宋"/>
                <w:color w:val="auto"/>
                <w:spacing w:val="9"/>
                <w:position w:val="14"/>
                <w:sz w:val="20"/>
                <w:szCs w:val="20"/>
                <w:highlight w:val="none"/>
              </w:rPr>
              <w:t>日期：       年    月    日</w:t>
            </w:r>
          </w:p>
        </w:tc>
      </w:tr>
    </w:tbl>
    <w:p w14:paraId="1DA073DE">
      <w:pPr>
        <w:spacing w:line="232" w:lineRule="auto"/>
        <w:rPr>
          <w:rFonts w:hint="eastAsia" w:ascii="仿宋" w:hAnsi="仿宋" w:eastAsia="仿宋" w:cs="仿宋"/>
          <w:color w:val="auto"/>
          <w:sz w:val="20"/>
          <w:szCs w:val="20"/>
          <w:highlight w:val="none"/>
        </w:rPr>
        <w:sectPr>
          <w:footerReference r:id="rId6" w:type="default"/>
          <w:type w:val="nextColumn"/>
          <w:pgSz w:w="11906" w:h="16839"/>
          <w:pgMar w:top="1134" w:right="1191" w:bottom="1134" w:left="1191" w:header="0" w:footer="706" w:gutter="0"/>
          <w:pgNumType w:fmt="decimal"/>
          <w:cols w:space="720" w:num="1"/>
          <w:rtlGutter w:val="0"/>
          <w:docGrid w:linePitch="0" w:charSpace="0"/>
        </w:sectPr>
      </w:pPr>
    </w:p>
    <w:p w14:paraId="023F24D4">
      <w:pPr>
        <w:pStyle w:val="18"/>
        <w:spacing w:before="101" w:line="185" w:lineRule="auto"/>
        <w:rPr>
          <w:rFonts w:hint="eastAsia" w:ascii="仿宋" w:hAnsi="仿宋" w:eastAsia="仿宋" w:cs="仿宋"/>
          <w:color w:val="auto"/>
          <w:sz w:val="31"/>
          <w:szCs w:val="31"/>
          <w:highlight w:val="none"/>
        </w:rPr>
      </w:pPr>
      <w:r>
        <w:rPr>
          <w:rFonts w:hint="eastAsia" w:ascii="仿宋" w:hAnsi="仿宋" w:eastAsia="仿宋" w:cs="仿宋"/>
          <w:color w:val="auto"/>
          <w:sz w:val="31"/>
          <w:szCs w:val="31"/>
          <w:highlight w:val="none"/>
        </w:rPr>
        <w:t>GF</w:t>
      </w:r>
      <w:r>
        <w:rPr>
          <w:rFonts w:hint="eastAsia" w:ascii="仿宋" w:hAnsi="仿宋" w:eastAsia="仿宋" w:cs="仿宋"/>
          <w:color w:val="auto"/>
          <w:spacing w:val="6"/>
          <w:sz w:val="31"/>
          <w:szCs w:val="31"/>
          <w:highlight w:val="none"/>
        </w:rPr>
        <w:t>—2016—0203</w:t>
      </w:r>
    </w:p>
    <w:p w14:paraId="25DC8C0A">
      <w:pPr>
        <w:spacing w:line="437" w:lineRule="auto"/>
        <w:rPr>
          <w:rFonts w:hint="eastAsia" w:ascii="仿宋" w:hAnsi="仿宋" w:eastAsia="仿宋" w:cs="仿宋"/>
          <w:color w:val="auto"/>
          <w:highlight w:val="none"/>
        </w:rPr>
      </w:pPr>
    </w:p>
    <w:p w14:paraId="30E8E167">
      <w:pPr>
        <w:pStyle w:val="18"/>
        <w:spacing w:before="101" w:line="229" w:lineRule="auto"/>
        <w:jc w:val="center"/>
        <w:rPr>
          <w:rFonts w:hint="eastAsia" w:ascii="仿宋" w:hAnsi="仿宋" w:eastAsia="仿宋" w:cs="仿宋"/>
          <w:color w:val="auto"/>
          <w:sz w:val="31"/>
          <w:szCs w:val="31"/>
          <w:highlight w:val="none"/>
        </w:rPr>
      </w:pPr>
      <w:r>
        <w:rPr>
          <w:rFonts w:hint="eastAsia" w:ascii="仿宋" w:hAnsi="仿宋" w:eastAsia="仿宋" w:cs="仿宋"/>
          <w:color w:val="auto"/>
          <w:spacing w:val="5"/>
          <w:sz w:val="31"/>
          <w:szCs w:val="31"/>
          <w:highlight w:val="none"/>
          <w:lang w:val="en-US" w:eastAsia="zh-CN"/>
        </w:rPr>
        <w:t xml:space="preserve">                        </w:t>
      </w:r>
      <w:r>
        <w:rPr>
          <w:rFonts w:hint="eastAsia" w:ascii="仿宋" w:hAnsi="仿宋" w:eastAsia="仿宋" w:cs="仿宋"/>
          <w:color w:val="auto"/>
          <w:spacing w:val="5"/>
          <w:sz w:val="31"/>
          <w:szCs w:val="31"/>
          <w:highlight w:val="none"/>
        </w:rPr>
        <w:t>合同编号：</w:t>
      </w:r>
      <w:r>
        <w:rPr>
          <w:rFonts w:hint="eastAsia" w:ascii="仿宋" w:hAnsi="仿宋" w:eastAsia="仿宋" w:cs="仿宋"/>
          <w:color w:val="auto"/>
          <w:sz w:val="31"/>
          <w:szCs w:val="31"/>
          <w:highlight w:val="none"/>
          <w:u w:val="single"/>
        </w:rPr>
        <w:t xml:space="preserve">             </w:t>
      </w:r>
    </w:p>
    <w:p w14:paraId="3878CFAF">
      <w:pPr>
        <w:spacing w:line="284" w:lineRule="auto"/>
        <w:rPr>
          <w:rFonts w:hint="eastAsia" w:ascii="仿宋" w:hAnsi="仿宋" w:eastAsia="仿宋" w:cs="仿宋"/>
          <w:color w:val="auto"/>
          <w:highlight w:val="none"/>
        </w:rPr>
      </w:pPr>
    </w:p>
    <w:p w14:paraId="2CED3278">
      <w:pPr>
        <w:spacing w:line="285" w:lineRule="auto"/>
        <w:rPr>
          <w:rFonts w:hint="eastAsia" w:ascii="仿宋" w:hAnsi="仿宋" w:eastAsia="仿宋" w:cs="仿宋"/>
          <w:color w:val="auto"/>
          <w:highlight w:val="none"/>
        </w:rPr>
      </w:pPr>
    </w:p>
    <w:p w14:paraId="7E8AFE9E">
      <w:pPr>
        <w:spacing w:line="285" w:lineRule="auto"/>
        <w:rPr>
          <w:rFonts w:hint="eastAsia" w:ascii="仿宋" w:hAnsi="仿宋" w:eastAsia="仿宋" w:cs="仿宋"/>
          <w:color w:val="auto"/>
          <w:highlight w:val="none"/>
        </w:rPr>
      </w:pPr>
    </w:p>
    <w:p w14:paraId="238485FD">
      <w:pPr>
        <w:spacing w:line="285" w:lineRule="auto"/>
        <w:rPr>
          <w:rFonts w:hint="eastAsia" w:ascii="仿宋" w:hAnsi="仿宋" w:eastAsia="仿宋" w:cs="仿宋"/>
          <w:color w:val="auto"/>
          <w:highlight w:val="none"/>
        </w:rPr>
      </w:pPr>
    </w:p>
    <w:p w14:paraId="0CE9EABE">
      <w:pPr>
        <w:pStyle w:val="18"/>
        <w:spacing w:before="231" w:line="225" w:lineRule="auto"/>
        <w:jc w:val="center"/>
        <w:rPr>
          <w:rFonts w:hint="eastAsia" w:ascii="仿宋" w:hAnsi="仿宋" w:eastAsia="仿宋" w:cs="仿宋"/>
          <w:color w:val="auto"/>
          <w:sz w:val="71"/>
          <w:szCs w:val="71"/>
          <w:highlight w:val="none"/>
        </w:rPr>
      </w:pPr>
      <w:r>
        <w:rPr>
          <w:rFonts w:hint="eastAsia" w:ascii="仿宋" w:hAnsi="仿宋" w:eastAsia="仿宋" w:cs="仿宋"/>
          <w:color w:val="auto"/>
          <w:spacing w:val="4"/>
          <w:sz w:val="71"/>
          <w:szCs w:val="71"/>
          <w:highlight w:val="none"/>
        </w:rPr>
        <w:t>建设工程勘察合同</w:t>
      </w:r>
    </w:p>
    <w:p w14:paraId="4B196F3B">
      <w:pPr>
        <w:spacing w:before="1"/>
        <w:rPr>
          <w:rFonts w:hint="eastAsia" w:ascii="仿宋" w:hAnsi="仿宋" w:eastAsia="仿宋" w:cs="仿宋"/>
          <w:color w:val="auto"/>
          <w:highlight w:val="none"/>
        </w:rPr>
      </w:pPr>
    </w:p>
    <w:p w14:paraId="646CA9D4">
      <w:pPr>
        <w:spacing w:before="1"/>
        <w:rPr>
          <w:rFonts w:hint="eastAsia" w:ascii="仿宋" w:hAnsi="仿宋" w:eastAsia="仿宋" w:cs="仿宋"/>
          <w:color w:val="auto"/>
          <w:highlight w:val="none"/>
        </w:rPr>
      </w:pPr>
    </w:p>
    <w:p w14:paraId="10EAFCB4">
      <w:pPr>
        <w:spacing w:before="1"/>
        <w:rPr>
          <w:rFonts w:hint="eastAsia" w:ascii="仿宋" w:hAnsi="仿宋" w:eastAsia="仿宋" w:cs="仿宋"/>
          <w:color w:val="auto"/>
          <w:highlight w:val="none"/>
        </w:rPr>
      </w:pPr>
    </w:p>
    <w:p w14:paraId="63626D56">
      <w:pPr>
        <w:spacing w:before="1"/>
        <w:rPr>
          <w:rFonts w:hint="eastAsia" w:ascii="仿宋" w:hAnsi="仿宋" w:eastAsia="仿宋" w:cs="仿宋"/>
          <w:color w:val="auto"/>
          <w:highlight w:val="none"/>
        </w:rPr>
      </w:pPr>
    </w:p>
    <w:p w14:paraId="01F43181">
      <w:pPr>
        <w:spacing w:before="1"/>
        <w:rPr>
          <w:rFonts w:hint="eastAsia" w:ascii="仿宋" w:hAnsi="仿宋" w:eastAsia="仿宋" w:cs="仿宋"/>
          <w:color w:val="auto"/>
          <w:highlight w:val="none"/>
        </w:rPr>
      </w:pPr>
    </w:p>
    <w:p w14:paraId="0C26FA37">
      <w:pPr>
        <w:spacing w:before="1"/>
        <w:rPr>
          <w:rFonts w:hint="eastAsia" w:ascii="仿宋" w:hAnsi="仿宋" w:eastAsia="仿宋" w:cs="仿宋"/>
          <w:color w:val="auto"/>
          <w:highlight w:val="none"/>
        </w:rPr>
      </w:pPr>
    </w:p>
    <w:p w14:paraId="54BDBF12">
      <w:pPr>
        <w:spacing w:before="1"/>
        <w:rPr>
          <w:rFonts w:hint="eastAsia" w:ascii="仿宋" w:hAnsi="仿宋" w:eastAsia="仿宋" w:cs="仿宋"/>
          <w:color w:val="auto"/>
          <w:highlight w:val="none"/>
        </w:rPr>
      </w:pPr>
    </w:p>
    <w:p w14:paraId="1B2D5581">
      <w:pPr>
        <w:rPr>
          <w:rFonts w:hint="eastAsia" w:ascii="仿宋" w:hAnsi="仿宋" w:eastAsia="仿宋" w:cs="仿宋"/>
          <w:color w:val="auto"/>
          <w:highlight w:val="none"/>
        </w:rPr>
      </w:pPr>
    </w:p>
    <w:p w14:paraId="3E75E95B">
      <w:pPr>
        <w:rPr>
          <w:rFonts w:hint="eastAsia" w:ascii="仿宋" w:hAnsi="仿宋" w:eastAsia="仿宋" w:cs="仿宋"/>
          <w:color w:val="auto"/>
          <w:highlight w:val="none"/>
        </w:rPr>
      </w:pPr>
    </w:p>
    <w:p w14:paraId="3548A473">
      <w:pPr>
        <w:rPr>
          <w:rFonts w:hint="eastAsia" w:ascii="仿宋" w:hAnsi="仿宋" w:eastAsia="仿宋" w:cs="仿宋"/>
          <w:color w:val="auto"/>
          <w:highlight w:val="none"/>
        </w:rPr>
      </w:pPr>
    </w:p>
    <w:p w14:paraId="3D97C2FC">
      <w:pPr>
        <w:rPr>
          <w:rFonts w:hint="eastAsia" w:ascii="仿宋" w:hAnsi="仿宋" w:eastAsia="仿宋" w:cs="仿宋"/>
          <w:color w:val="auto"/>
          <w:highlight w:val="none"/>
        </w:rPr>
      </w:pPr>
    </w:p>
    <w:p w14:paraId="504EBD2C">
      <w:pPr>
        <w:rPr>
          <w:rFonts w:hint="eastAsia" w:ascii="仿宋" w:hAnsi="仿宋" w:eastAsia="仿宋" w:cs="仿宋"/>
          <w:color w:val="auto"/>
          <w:highlight w:val="none"/>
        </w:rPr>
      </w:pPr>
    </w:p>
    <w:p w14:paraId="3B0EFC59">
      <w:pPr>
        <w:rPr>
          <w:rFonts w:hint="eastAsia" w:ascii="仿宋" w:hAnsi="仿宋" w:eastAsia="仿宋" w:cs="仿宋"/>
          <w:color w:val="auto"/>
          <w:highlight w:val="none"/>
        </w:rPr>
      </w:pPr>
    </w:p>
    <w:p w14:paraId="7B57BFAF">
      <w:pPr>
        <w:rPr>
          <w:rFonts w:hint="eastAsia" w:ascii="仿宋" w:hAnsi="仿宋" w:eastAsia="仿宋" w:cs="仿宋"/>
          <w:color w:val="auto"/>
          <w:highlight w:val="none"/>
        </w:rPr>
      </w:pPr>
    </w:p>
    <w:p w14:paraId="6962F366">
      <w:pPr>
        <w:rPr>
          <w:rFonts w:hint="eastAsia" w:ascii="仿宋" w:hAnsi="仿宋" w:eastAsia="仿宋" w:cs="仿宋"/>
          <w:color w:val="auto"/>
          <w:highlight w:val="none"/>
        </w:rPr>
      </w:pPr>
    </w:p>
    <w:p w14:paraId="37F95109">
      <w:pPr>
        <w:rPr>
          <w:rFonts w:hint="eastAsia" w:ascii="仿宋" w:hAnsi="仿宋" w:eastAsia="仿宋" w:cs="仿宋"/>
          <w:color w:val="auto"/>
          <w:highlight w:val="none"/>
        </w:rPr>
      </w:pPr>
    </w:p>
    <w:p w14:paraId="6073DBF5">
      <w:pPr>
        <w:rPr>
          <w:rFonts w:hint="eastAsia" w:ascii="仿宋" w:hAnsi="仿宋" w:eastAsia="仿宋" w:cs="仿宋"/>
          <w:color w:val="auto"/>
          <w:highlight w:val="none"/>
        </w:rPr>
      </w:pPr>
    </w:p>
    <w:p w14:paraId="043638F1">
      <w:pPr>
        <w:rPr>
          <w:rFonts w:hint="eastAsia" w:ascii="仿宋" w:hAnsi="仿宋" w:eastAsia="仿宋" w:cs="仿宋"/>
          <w:color w:val="auto"/>
          <w:highlight w:val="none"/>
        </w:rPr>
      </w:pPr>
    </w:p>
    <w:p w14:paraId="7CDDBECC">
      <w:pPr>
        <w:rPr>
          <w:rFonts w:hint="eastAsia" w:ascii="仿宋" w:hAnsi="仿宋" w:eastAsia="仿宋" w:cs="仿宋"/>
          <w:color w:val="auto"/>
          <w:highlight w:val="none"/>
        </w:rPr>
      </w:pPr>
    </w:p>
    <w:p w14:paraId="64F73D6C">
      <w:pPr>
        <w:rPr>
          <w:rFonts w:hint="eastAsia" w:ascii="仿宋" w:hAnsi="仿宋" w:eastAsia="仿宋" w:cs="仿宋"/>
          <w:color w:val="auto"/>
          <w:highlight w:val="none"/>
        </w:rPr>
      </w:pPr>
    </w:p>
    <w:p w14:paraId="3B7D604B">
      <w:pPr>
        <w:rPr>
          <w:rFonts w:hint="eastAsia" w:ascii="仿宋" w:hAnsi="仿宋" w:eastAsia="仿宋" w:cs="仿宋"/>
          <w:color w:val="auto"/>
          <w:highlight w:val="none"/>
        </w:rPr>
      </w:pPr>
    </w:p>
    <w:p w14:paraId="69D671AB">
      <w:pPr>
        <w:rPr>
          <w:rFonts w:hint="eastAsia" w:ascii="仿宋" w:hAnsi="仿宋" w:eastAsia="仿宋" w:cs="仿宋"/>
          <w:color w:val="auto"/>
          <w:highlight w:val="none"/>
        </w:rPr>
      </w:pPr>
    </w:p>
    <w:p w14:paraId="6062236E">
      <w:pPr>
        <w:rPr>
          <w:rFonts w:hint="eastAsia" w:ascii="仿宋" w:hAnsi="仿宋" w:eastAsia="仿宋" w:cs="仿宋"/>
          <w:color w:val="auto"/>
          <w:highlight w:val="none"/>
        </w:rPr>
        <w:sectPr>
          <w:footerReference r:id="rId7" w:type="default"/>
          <w:pgSz w:w="11906" w:h="16839"/>
          <w:pgMar w:top="1134" w:right="1191" w:bottom="1134" w:left="1191" w:header="0" w:footer="706" w:gutter="0"/>
          <w:pgNumType w:fmt="decimal"/>
          <w:cols w:space="720" w:num="1"/>
          <w:rtlGutter w:val="0"/>
          <w:docGrid w:linePitch="0" w:charSpace="0"/>
        </w:sectPr>
      </w:pPr>
    </w:p>
    <w:p w14:paraId="6C19A006">
      <w:pPr>
        <w:pStyle w:val="18"/>
        <w:spacing w:before="65" w:line="569" w:lineRule="exact"/>
        <w:ind w:left="2756"/>
        <w:rPr>
          <w:rFonts w:hint="eastAsia" w:ascii="仿宋" w:hAnsi="仿宋" w:eastAsia="仿宋" w:cs="仿宋"/>
          <w:color w:val="auto"/>
          <w:sz w:val="31"/>
          <w:szCs w:val="31"/>
          <w:highlight w:val="none"/>
        </w:rPr>
      </w:pPr>
      <w:r>
        <w:rPr>
          <w:rFonts w:hint="eastAsia" w:ascii="仿宋" w:hAnsi="仿宋" w:eastAsia="仿宋" w:cs="仿宋"/>
          <w:color w:val="auto"/>
          <w:spacing w:val="-17"/>
          <w:position w:val="18"/>
          <w:sz w:val="31"/>
          <w:szCs w:val="31"/>
          <w:highlight w:val="none"/>
        </w:rPr>
        <w:t>住</w:t>
      </w:r>
      <w:r>
        <w:rPr>
          <w:rFonts w:hint="eastAsia" w:ascii="仿宋" w:hAnsi="仿宋" w:eastAsia="仿宋" w:cs="仿宋"/>
          <w:color w:val="auto"/>
          <w:spacing w:val="-43"/>
          <w:position w:val="18"/>
          <w:sz w:val="31"/>
          <w:szCs w:val="31"/>
          <w:highlight w:val="none"/>
        </w:rPr>
        <w:t xml:space="preserve"> </w:t>
      </w:r>
      <w:r>
        <w:rPr>
          <w:rFonts w:hint="eastAsia" w:ascii="仿宋" w:hAnsi="仿宋" w:eastAsia="仿宋" w:cs="仿宋"/>
          <w:color w:val="auto"/>
          <w:spacing w:val="-17"/>
          <w:position w:val="18"/>
          <w:sz w:val="31"/>
          <w:szCs w:val="31"/>
          <w:highlight w:val="none"/>
        </w:rPr>
        <w:t>房</w:t>
      </w:r>
      <w:r>
        <w:rPr>
          <w:rFonts w:hint="eastAsia" w:ascii="仿宋" w:hAnsi="仿宋" w:eastAsia="仿宋" w:cs="仿宋"/>
          <w:color w:val="auto"/>
          <w:spacing w:val="-52"/>
          <w:position w:val="18"/>
          <w:sz w:val="31"/>
          <w:szCs w:val="31"/>
          <w:highlight w:val="none"/>
        </w:rPr>
        <w:t xml:space="preserve"> </w:t>
      </w:r>
      <w:r>
        <w:rPr>
          <w:rFonts w:hint="eastAsia" w:ascii="仿宋" w:hAnsi="仿宋" w:eastAsia="仿宋" w:cs="仿宋"/>
          <w:color w:val="auto"/>
          <w:spacing w:val="-17"/>
          <w:position w:val="18"/>
          <w:sz w:val="31"/>
          <w:szCs w:val="31"/>
          <w:highlight w:val="none"/>
        </w:rPr>
        <w:t>和</w:t>
      </w:r>
      <w:r>
        <w:rPr>
          <w:rFonts w:hint="eastAsia" w:ascii="仿宋" w:hAnsi="仿宋" w:eastAsia="仿宋" w:cs="仿宋"/>
          <w:color w:val="auto"/>
          <w:spacing w:val="-43"/>
          <w:position w:val="18"/>
          <w:sz w:val="31"/>
          <w:szCs w:val="31"/>
          <w:highlight w:val="none"/>
        </w:rPr>
        <w:t xml:space="preserve"> </w:t>
      </w:r>
      <w:r>
        <w:rPr>
          <w:rFonts w:hint="eastAsia" w:ascii="仿宋" w:hAnsi="仿宋" w:eastAsia="仿宋" w:cs="仿宋"/>
          <w:color w:val="auto"/>
          <w:spacing w:val="-17"/>
          <w:position w:val="18"/>
          <w:sz w:val="31"/>
          <w:szCs w:val="31"/>
          <w:highlight w:val="none"/>
        </w:rPr>
        <w:t>城 乡</w:t>
      </w:r>
      <w:r>
        <w:rPr>
          <w:rFonts w:hint="eastAsia" w:ascii="仿宋" w:hAnsi="仿宋" w:eastAsia="仿宋" w:cs="仿宋"/>
          <w:color w:val="auto"/>
          <w:spacing w:val="-52"/>
          <w:position w:val="18"/>
          <w:sz w:val="31"/>
          <w:szCs w:val="31"/>
          <w:highlight w:val="none"/>
        </w:rPr>
        <w:t xml:space="preserve"> </w:t>
      </w:r>
      <w:r>
        <w:rPr>
          <w:rFonts w:hint="eastAsia" w:ascii="仿宋" w:hAnsi="仿宋" w:eastAsia="仿宋" w:cs="仿宋"/>
          <w:color w:val="auto"/>
          <w:spacing w:val="-17"/>
          <w:position w:val="18"/>
          <w:sz w:val="31"/>
          <w:szCs w:val="31"/>
          <w:highlight w:val="none"/>
        </w:rPr>
        <w:t>建</w:t>
      </w:r>
      <w:r>
        <w:rPr>
          <w:rFonts w:hint="eastAsia" w:ascii="仿宋" w:hAnsi="仿宋" w:eastAsia="仿宋" w:cs="仿宋"/>
          <w:color w:val="auto"/>
          <w:spacing w:val="-53"/>
          <w:position w:val="18"/>
          <w:sz w:val="31"/>
          <w:szCs w:val="31"/>
          <w:highlight w:val="none"/>
        </w:rPr>
        <w:t xml:space="preserve"> </w:t>
      </w:r>
      <w:r>
        <w:rPr>
          <w:rFonts w:hint="eastAsia" w:ascii="仿宋" w:hAnsi="仿宋" w:eastAsia="仿宋" w:cs="仿宋"/>
          <w:color w:val="auto"/>
          <w:spacing w:val="-17"/>
          <w:position w:val="18"/>
          <w:sz w:val="31"/>
          <w:szCs w:val="31"/>
          <w:highlight w:val="none"/>
        </w:rPr>
        <w:t>设</w:t>
      </w:r>
      <w:r>
        <w:rPr>
          <w:rFonts w:hint="eastAsia" w:ascii="仿宋" w:hAnsi="仿宋" w:eastAsia="仿宋" w:cs="仿宋"/>
          <w:color w:val="auto"/>
          <w:spacing w:val="-51"/>
          <w:position w:val="18"/>
          <w:sz w:val="31"/>
          <w:szCs w:val="31"/>
          <w:highlight w:val="none"/>
        </w:rPr>
        <w:t xml:space="preserve"> </w:t>
      </w:r>
      <w:r>
        <w:rPr>
          <w:rFonts w:hint="eastAsia" w:ascii="仿宋" w:hAnsi="仿宋" w:eastAsia="仿宋" w:cs="仿宋"/>
          <w:color w:val="auto"/>
          <w:spacing w:val="-17"/>
          <w:position w:val="18"/>
          <w:sz w:val="31"/>
          <w:szCs w:val="31"/>
          <w:highlight w:val="none"/>
        </w:rPr>
        <w:t>部</w:t>
      </w:r>
    </w:p>
    <w:p w14:paraId="3E219FA6">
      <w:pPr>
        <w:pStyle w:val="18"/>
        <w:spacing w:line="194" w:lineRule="auto"/>
        <w:ind w:left="2793"/>
        <w:rPr>
          <w:rFonts w:hint="eastAsia" w:ascii="仿宋" w:hAnsi="仿宋" w:eastAsia="仿宋" w:cs="仿宋"/>
          <w:color w:val="auto"/>
          <w:sz w:val="31"/>
          <w:szCs w:val="31"/>
          <w:highlight w:val="none"/>
        </w:rPr>
      </w:pPr>
      <w:r>
        <w:rPr>
          <w:rFonts w:hint="eastAsia" w:ascii="仿宋" w:hAnsi="仿宋" w:eastAsia="仿宋" w:cs="仿宋"/>
          <w:color w:val="auto"/>
          <w:spacing w:val="5"/>
          <w:sz w:val="31"/>
          <w:szCs w:val="31"/>
          <w:highlight w:val="none"/>
        </w:rPr>
        <w:t>国家工商行政管理总局</w:t>
      </w:r>
    </w:p>
    <w:p w14:paraId="01595DD7">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11434C03">
      <w:pPr>
        <w:spacing w:line="244" w:lineRule="auto"/>
        <w:rPr>
          <w:rFonts w:hint="eastAsia" w:ascii="仿宋" w:hAnsi="仿宋" w:eastAsia="仿宋" w:cs="仿宋"/>
          <w:color w:val="auto"/>
          <w:highlight w:val="none"/>
        </w:rPr>
      </w:pPr>
    </w:p>
    <w:p w14:paraId="62270FB4">
      <w:pPr>
        <w:pStyle w:val="18"/>
        <w:spacing w:before="102" w:line="227" w:lineRule="auto"/>
        <w:rPr>
          <w:rFonts w:hint="eastAsia" w:ascii="仿宋" w:hAnsi="仿宋" w:eastAsia="仿宋" w:cs="仿宋"/>
          <w:color w:val="auto"/>
          <w:sz w:val="31"/>
          <w:szCs w:val="31"/>
          <w:highlight w:val="none"/>
        </w:rPr>
      </w:pPr>
      <w:r>
        <w:rPr>
          <w:rFonts w:hint="eastAsia" w:ascii="仿宋" w:hAnsi="仿宋" w:eastAsia="仿宋" w:cs="仿宋"/>
          <w:color w:val="auto"/>
          <w:spacing w:val="-1"/>
          <w:sz w:val="31"/>
          <w:szCs w:val="31"/>
          <w:highlight w:val="none"/>
        </w:rPr>
        <w:t>制定</w:t>
      </w:r>
    </w:p>
    <w:p w14:paraId="2C0BF589">
      <w:pPr>
        <w:spacing w:line="227" w:lineRule="auto"/>
        <w:rPr>
          <w:rFonts w:hint="eastAsia" w:ascii="仿宋" w:hAnsi="仿宋" w:eastAsia="仿宋" w:cs="仿宋"/>
          <w:color w:val="auto"/>
          <w:sz w:val="31"/>
          <w:szCs w:val="31"/>
          <w:highlight w:val="none"/>
        </w:rPr>
        <w:sectPr>
          <w:type w:val="continuous"/>
          <w:pgSz w:w="11906" w:h="16839"/>
          <w:pgMar w:top="1134" w:right="1191" w:bottom="1134" w:left="1191" w:header="0" w:footer="706" w:gutter="0"/>
          <w:pgNumType w:fmt="decimal"/>
          <w:cols w:equalWidth="0" w:num="2">
            <w:col w:w="6112" w:space="100"/>
            <w:col w:w="3312"/>
          </w:cols>
          <w:rtlGutter w:val="0"/>
          <w:docGrid w:linePitch="0" w:charSpace="0"/>
        </w:sectPr>
      </w:pPr>
    </w:p>
    <w:p w14:paraId="2E4E7EFB">
      <w:pPr>
        <w:pStyle w:val="18"/>
        <w:spacing w:before="43"/>
        <w:ind w:firstLine="281"/>
        <w:rPr>
          <w:rFonts w:hint="eastAsia" w:ascii="仿宋" w:hAnsi="仿宋" w:eastAsia="仿宋" w:cs="仿宋"/>
          <w:color w:val="auto"/>
          <w:spacing w:val="9"/>
          <w:position w:val="14"/>
          <w:sz w:val="20"/>
          <w:szCs w:val="20"/>
          <w:highlight w:val="none"/>
        </w:rPr>
      </w:pPr>
      <w:r>
        <w:rPr>
          <w:rFonts w:hint="eastAsia" w:ascii="仿宋" w:hAnsi="仿宋" w:eastAsia="仿宋" w:cs="仿宋"/>
          <w:color w:val="auto"/>
          <w:spacing w:val="9"/>
          <w:position w:val="14"/>
          <w:sz w:val="20"/>
          <w:szCs w:val="20"/>
          <w:highlight w:val="none"/>
        </w:rPr>
        <w:t>本章内容的协议书、通用条件直接引用中华人民共和国住房和城乡建设部和国家工商行政管理总局制定的《建设工程勘察合同》（GF－2016－0203）。</w:t>
      </w:r>
    </w:p>
    <w:p w14:paraId="601CB542">
      <w:pPr>
        <w:spacing w:line="330" w:lineRule="auto"/>
        <w:rPr>
          <w:rFonts w:hint="eastAsia" w:ascii="仿宋" w:hAnsi="仿宋" w:eastAsia="仿宋" w:cs="仿宋"/>
          <w:color w:val="auto"/>
          <w:highlight w:val="none"/>
        </w:rPr>
      </w:pPr>
    </w:p>
    <w:p w14:paraId="43BDDB21">
      <w:pPr>
        <w:pStyle w:val="3"/>
        <w:spacing w:line="240" w:lineRule="auto"/>
        <w:jc w:val="center"/>
        <w:rPr>
          <w:rFonts w:hint="eastAsia" w:ascii="仿宋" w:hAnsi="仿宋" w:eastAsia="仿宋" w:cs="仿宋"/>
          <w:color w:val="auto"/>
          <w:highlight w:val="none"/>
        </w:rPr>
      </w:pPr>
      <w:bookmarkStart w:id="72" w:name="_Toc11241"/>
      <w:r>
        <w:rPr>
          <w:rFonts w:hint="eastAsia" w:ascii="仿宋" w:hAnsi="仿宋" w:eastAsia="仿宋" w:cs="仿宋"/>
          <w:color w:val="auto"/>
          <w:highlight w:val="none"/>
        </w:rPr>
        <w:t>第一部分  合同协议书</w:t>
      </w:r>
      <w:bookmarkEnd w:id="72"/>
    </w:p>
    <w:p w14:paraId="0D5F27A1">
      <w:pPr>
        <w:spacing w:line="360" w:lineRule="auto"/>
        <w:ind w:firstLine="281"/>
        <w:rPr>
          <w:rFonts w:hint="eastAsia" w:ascii="仿宋" w:hAnsi="仿宋" w:eastAsia="仿宋" w:cs="仿宋"/>
          <w:color w:val="auto"/>
          <w:highlight w:val="none"/>
          <w:u w:val="single"/>
          <w:lang w:eastAsia="zh-CN"/>
        </w:rPr>
      </w:pPr>
      <w:r>
        <w:rPr>
          <w:rFonts w:hint="eastAsia" w:ascii="仿宋" w:hAnsi="仿宋" w:eastAsia="仿宋" w:cs="仿宋"/>
          <w:color w:val="auto"/>
          <w:highlight w:val="none"/>
        </w:rPr>
        <w:t>发包人（全称）：</w:t>
      </w:r>
      <w:r>
        <w:rPr>
          <w:rFonts w:hint="eastAsia" w:ascii="仿宋" w:hAnsi="仿宋" w:eastAsia="仿宋" w:cs="仿宋"/>
          <w:color w:val="auto"/>
          <w:highlight w:val="none"/>
          <w:u w:val="single"/>
          <w:lang w:val="en-US" w:eastAsia="zh-CN"/>
        </w:rPr>
        <w:t>罗定市建昊工程管理有限公司</w:t>
      </w:r>
    </w:p>
    <w:p w14:paraId="611F28B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勘察人（全称）：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1FB02212">
      <w:pPr>
        <w:spacing w:line="360" w:lineRule="auto"/>
        <w:ind w:firstLine="281"/>
        <w:rPr>
          <w:rFonts w:hint="eastAsia" w:ascii="仿宋" w:hAnsi="仿宋" w:eastAsia="仿宋" w:cs="仿宋"/>
          <w:color w:val="auto"/>
          <w:highlight w:val="none"/>
        </w:rPr>
      </w:pPr>
    </w:p>
    <w:p w14:paraId="1649335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根据《中华人民共和国民法典》、《中华人民共和国建筑法》、《中华人民共和国招标投标法》等相关法律法规的规定，遵循平等、自愿、公平和诚实信用的原则，双方就</w:t>
      </w:r>
      <w:r>
        <w:rPr>
          <w:rFonts w:hint="eastAsia" w:ascii="仿宋" w:hAnsi="仿宋" w:eastAsia="仿宋" w:cs="仿宋"/>
          <w:color w:val="auto"/>
          <w:szCs w:val="21"/>
          <w:highlight w:val="none"/>
          <w:u w:val="single"/>
          <w:lang w:val="en-US" w:eastAsia="zh-CN"/>
        </w:rPr>
        <w:t xml:space="preserve"> 罗定市城区老旧居住区宜居改造项目</w:t>
      </w:r>
      <w:r>
        <w:rPr>
          <w:rFonts w:hint="eastAsia" w:ascii="仿宋" w:hAnsi="仿宋" w:eastAsia="仿宋" w:cs="仿宋"/>
          <w:color w:val="auto"/>
          <w:highlight w:val="none"/>
        </w:rPr>
        <w:t>工程勘察有关事项协商一致，达成如下协议。</w:t>
      </w:r>
    </w:p>
    <w:p w14:paraId="7B5A20F9">
      <w:pPr>
        <w:spacing w:line="360" w:lineRule="auto"/>
        <w:ind w:firstLine="281"/>
        <w:outlineLvl w:val="1"/>
        <w:rPr>
          <w:rFonts w:hint="eastAsia" w:ascii="仿宋" w:hAnsi="仿宋" w:eastAsia="仿宋" w:cs="仿宋"/>
          <w:color w:val="auto"/>
          <w:highlight w:val="none"/>
        </w:rPr>
      </w:pPr>
      <w:bookmarkStart w:id="73" w:name="_Toc31650"/>
      <w:r>
        <w:rPr>
          <w:rFonts w:hint="eastAsia" w:ascii="仿宋" w:hAnsi="仿宋" w:eastAsia="仿宋" w:cs="仿宋"/>
          <w:color w:val="auto"/>
          <w:highlight w:val="none"/>
        </w:rPr>
        <w:t>一、工程概况</w:t>
      </w:r>
      <w:bookmarkEnd w:id="73"/>
    </w:p>
    <w:p w14:paraId="01261129">
      <w:pPr>
        <w:spacing w:line="360" w:lineRule="auto"/>
        <w:ind w:right="-519" w:rightChars="-247" w:firstLine="281"/>
        <w:rPr>
          <w:rFonts w:hint="eastAsia" w:ascii="仿宋" w:hAnsi="仿宋" w:eastAsia="仿宋" w:cs="仿宋"/>
          <w:color w:val="auto"/>
          <w:highlight w:val="none"/>
        </w:rPr>
      </w:pPr>
      <w:r>
        <w:rPr>
          <w:rFonts w:hint="eastAsia" w:ascii="仿宋" w:hAnsi="仿宋" w:eastAsia="仿宋" w:cs="仿宋"/>
          <w:color w:val="auto"/>
          <w:highlight w:val="none"/>
        </w:rPr>
        <w:t>1.工程名称：</w:t>
      </w:r>
      <w:r>
        <w:rPr>
          <w:rFonts w:hint="eastAsia" w:ascii="仿宋" w:hAnsi="仿宋" w:eastAsia="仿宋" w:cs="仿宋"/>
          <w:color w:val="auto"/>
          <w:szCs w:val="21"/>
          <w:highlight w:val="none"/>
          <w:u w:val="single"/>
          <w:lang w:val="en-US" w:eastAsia="zh-CN"/>
        </w:rPr>
        <w:t>罗定市城区老旧居住区宜居改造项目</w:t>
      </w:r>
      <w:r>
        <w:rPr>
          <w:rFonts w:hint="eastAsia" w:ascii="仿宋" w:hAnsi="仿宋" w:eastAsia="仿宋" w:cs="仿宋"/>
          <w:color w:val="auto"/>
          <w:highlight w:val="none"/>
        </w:rPr>
        <w:t>。</w:t>
      </w:r>
    </w:p>
    <w:p w14:paraId="033F846D">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2.工程地点：</w:t>
      </w:r>
      <w:r>
        <w:rPr>
          <w:rFonts w:hint="eastAsia" w:ascii="仿宋" w:hAnsi="仿宋" w:eastAsia="仿宋" w:cs="仿宋"/>
          <w:color w:val="auto"/>
          <w:highlight w:val="none"/>
          <w:u w:val="single"/>
          <w:lang w:val="en-US" w:eastAsia="zh-CN"/>
        </w:rPr>
        <w:t>广东省云浮市罗定市罗城街道</w:t>
      </w:r>
      <w:r>
        <w:rPr>
          <w:rFonts w:hint="eastAsia" w:ascii="仿宋" w:hAnsi="仿宋" w:eastAsia="仿宋" w:cs="仿宋"/>
          <w:color w:val="auto"/>
          <w:highlight w:val="none"/>
        </w:rPr>
        <w:t>。</w:t>
      </w:r>
    </w:p>
    <w:p w14:paraId="72D7A395">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3.工程内容：</w:t>
      </w:r>
      <w:r>
        <w:rPr>
          <w:rFonts w:hint="eastAsia" w:ascii="仿宋" w:hAnsi="仿宋" w:eastAsia="仿宋" w:cs="仿宋"/>
          <w:color w:val="auto"/>
          <w:highlight w:val="none"/>
          <w:u w:val="single"/>
          <w:lang w:val="en-US" w:eastAsia="zh-CN"/>
        </w:rPr>
        <w:t>项目共分三个子项，包括：1、城中北片老旧居住区改造工程(含北区、区屋、中区、东区)；2、城东南片老旧居住区改造工程(含细坑、城东、柑园)；3、城西片老旧居住区改造工程(含西区、南区、石围)。主要内容包含改造及新建道路面积约100500平方米；改造污水管约86000米、排水管道约 98000米；建设安装路灯约7200盏；电力线、通信线、有线电视线等三线整理；人居环境整治约20000平方米；建设社区综合服务、文化体育设施、消防设施、自行车棚等。</w:t>
      </w:r>
      <w:r>
        <w:rPr>
          <w:rFonts w:hint="eastAsia" w:ascii="仿宋" w:hAnsi="仿宋" w:eastAsia="仿宋" w:cs="仿宋"/>
          <w:color w:val="auto"/>
          <w:highlight w:val="none"/>
          <w:u w:val="none"/>
        </w:rPr>
        <w:t xml:space="preserve">。 </w:t>
      </w:r>
    </w:p>
    <w:p w14:paraId="21EAB3DC">
      <w:pPr>
        <w:spacing w:line="360" w:lineRule="auto"/>
        <w:ind w:firstLine="281"/>
        <w:outlineLvl w:val="1"/>
        <w:rPr>
          <w:rFonts w:hint="eastAsia" w:ascii="仿宋" w:hAnsi="仿宋" w:eastAsia="仿宋" w:cs="仿宋"/>
          <w:color w:val="auto"/>
          <w:highlight w:val="none"/>
        </w:rPr>
      </w:pPr>
      <w:bookmarkStart w:id="74" w:name="_Toc5622"/>
      <w:r>
        <w:rPr>
          <w:rFonts w:hint="eastAsia" w:ascii="仿宋" w:hAnsi="仿宋" w:eastAsia="仿宋" w:cs="仿宋"/>
          <w:color w:val="auto"/>
          <w:highlight w:val="none"/>
        </w:rPr>
        <w:t>二、勘察范围和阶段、技术要求及工作量</w:t>
      </w:r>
      <w:bookmarkEnd w:id="74"/>
    </w:p>
    <w:p w14:paraId="5D22782A">
      <w:pPr>
        <w:keepNext w:val="0"/>
        <w:keepLines w:val="0"/>
        <w:pageBreakBefore w:val="0"/>
        <w:widowControl w:val="0"/>
        <w:kinsoku/>
        <w:wordWrap/>
        <w:overflowPunct/>
        <w:topLinePunct w:val="0"/>
        <w:autoSpaceDE/>
        <w:autoSpaceDN/>
        <w:bidi w:val="0"/>
        <w:adjustRightInd/>
        <w:snapToGrid/>
        <w:spacing w:line="360" w:lineRule="auto"/>
        <w:ind w:firstLine="283"/>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1.勘察范围和阶段：勘察以及后续服务和现场指导与监督</w:t>
      </w:r>
    </w:p>
    <w:p w14:paraId="19A1475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2.技术要求：符合《房屋建筑和市政基础设施工程勘察文件编制深度规定》（2020年版）、国家及地方现行的勘察标准及规范，符合本项目的可研批复及规划方案批复的要求。</w:t>
      </w:r>
    </w:p>
    <w:p w14:paraId="6EA72F6D">
      <w:pPr>
        <w:keepNext w:val="0"/>
        <w:keepLines w:val="0"/>
        <w:pageBreakBefore w:val="0"/>
        <w:widowControl w:val="0"/>
        <w:kinsoku/>
        <w:wordWrap/>
        <w:overflowPunct/>
        <w:topLinePunct w:val="0"/>
        <w:autoSpaceDE/>
        <w:autoSpaceDN/>
        <w:bidi w:val="0"/>
        <w:adjustRightInd/>
        <w:snapToGrid/>
        <w:spacing w:line="360" w:lineRule="auto"/>
        <w:ind w:firstLine="283"/>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3.工作量：经确认的勘察实际完成工程量。</w:t>
      </w:r>
    </w:p>
    <w:p w14:paraId="0A66A67E">
      <w:pPr>
        <w:spacing w:line="360" w:lineRule="auto"/>
        <w:ind w:firstLine="281"/>
        <w:outlineLvl w:val="1"/>
        <w:rPr>
          <w:rFonts w:hint="eastAsia" w:ascii="仿宋" w:hAnsi="仿宋" w:eastAsia="仿宋" w:cs="仿宋"/>
          <w:color w:val="auto"/>
          <w:highlight w:val="none"/>
        </w:rPr>
      </w:pPr>
      <w:bookmarkStart w:id="75" w:name="_Toc13547"/>
      <w:r>
        <w:rPr>
          <w:rFonts w:hint="eastAsia" w:ascii="仿宋" w:hAnsi="仿宋" w:eastAsia="仿宋" w:cs="仿宋"/>
          <w:color w:val="auto"/>
          <w:highlight w:val="none"/>
        </w:rPr>
        <w:t>三、合同工期</w:t>
      </w:r>
      <w:bookmarkEnd w:id="75"/>
    </w:p>
    <w:p w14:paraId="4395D34C">
      <w:pPr>
        <w:keepNext w:val="0"/>
        <w:keepLines w:val="0"/>
        <w:pageBreakBefore w:val="0"/>
        <w:widowControl w:val="0"/>
        <w:kinsoku/>
        <w:wordWrap/>
        <w:overflowPunct/>
        <w:topLinePunct w:val="0"/>
        <w:autoSpaceDE/>
        <w:autoSpaceDN/>
        <w:bidi w:val="0"/>
        <w:adjustRightInd/>
        <w:snapToGrid/>
        <w:spacing w:line="360" w:lineRule="auto"/>
        <w:ind w:firstLine="283"/>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1.开工日期：以发包人开工报告批准日期为准</w:t>
      </w:r>
      <w:r>
        <w:rPr>
          <w:rFonts w:hint="eastAsia" w:ascii="仿宋" w:hAnsi="仿宋" w:eastAsia="仿宋" w:cs="仿宋"/>
          <w:color w:val="auto"/>
          <w:highlight w:val="none"/>
          <w:lang w:eastAsia="zh-CN"/>
        </w:rPr>
        <w:t>。</w:t>
      </w:r>
    </w:p>
    <w:p w14:paraId="54428863">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2.成果提交日期：</w:t>
      </w:r>
      <w:r>
        <w:rPr>
          <w:rFonts w:hint="eastAsia" w:ascii="仿宋" w:hAnsi="仿宋" w:eastAsia="仿宋" w:cs="仿宋"/>
          <w:color w:val="auto"/>
          <w:highlight w:val="none"/>
          <w:u w:val="single"/>
        </w:rPr>
        <w:t xml:space="preserve">合同工期总日历天数 </w:t>
      </w:r>
      <w:r>
        <w:rPr>
          <w:rFonts w:hint="eastAsia" w:ascii="仿宋" w:hAnsi="仿宋" w:eastAsia="仿宋" w:cs="仿宋"/>
          <w:color w:val="auto"/>
          <w:highlight w:val="none"/>
          <w:u w:val="single"/>
          <w:lang w:val="en-US" w:eastAsia="zh-CN"/>
        </w:rPr>
        <w:t>5</w:t>
      </w:r>
      <w:r>
        <w:rPr>
          <w:rFonts w:hint="default" w:ascii="仿宋" w:hAnsi="仿宋" w:eastAsia="仿宋" w:cs="仿宋"/>
          <w:color w:val="auto"/>
          <w:highlight w:val="none"/>
          <w:u w:val="single"/>
          <w:lang w:val="en-US" w:eastAsia="zh-CN"/>
        </w:rPr>
        <w:t>0</w:t>
      </w:r>
      <w:r>
        <w:rPr>
          <w:rFonts w:hint="eastAsia" w:ascii="仿宋" w:hAnsi="仿宋" w:eastAsia="仿宋" w:cs="仿宋"/>
          <w:color w:val="auto"/>
          <w:highlight w:val="none"/>
          <w:u w:val="single"/>
        </w:rPr>
        <w:t xml:space="preserve"> 天，招标人在合同约定的限期按实际工程进度通知中标人进行工程勘察设计。中标人应在工程勘察设计合同签订后</w:t>
      </w:r>
      <w:r>
        <w:rPr>
          <w:rFonts w:hint="eastAsia" w:ascii="仿宋" w:hAnsi="仿宋" w:eastAsia="仿宋" w:cs="仿宋"/>
          <w:color w:val="auto"/>
          <w:highlight w:val="none"/>
          <w:u w:val="single"/>
          <w:lang w:val="en-US" w:eastAsia="zh-CN"/>
        </w:rPr>
        <w:t>45</w:t>
      </w:r>
      <w:r>
        <w:rPr>
          <w:rFonts w:hint="eastAsia" w:ascii="仿宋" w:hAnsi="仿宋" w:eastAsia="仿宋" w:cs="仿宋"/>
          <w:color w:val="auto"/>
          <w:highlight w:val="none"/>
          <w:u w:val="single"/>
        </w:rPr>
        <w:t xml:space="preserve">日内完成工程勘察、初步设计；工程勘察、初步设计文件经审查发现问题后 </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 xml:space="preserve">日内完成补充、修改。因勘察人、设计人原因导致工程勘察、设计进度延误超过 </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rPr>
        <w:t xml:space="preserve"> 日的，发包人可以解除合同，不予支付勘察设计费。</w:t>
      </w:r>
    </w:p>
    <w:p w14:paraId="2BEDA2B2">
      <w:pPr>
        <w:keepNext w:val="0"/>
        <w:keepLines w:val="0"/>
        <w:pageBreakBefore w:val="0"/>
        <w:widowControl w:val="0"/>
        <w:kinsoku/>
        <w:wordWrap/>
        <w:overflowPunct/>
        <w:topLinePunct w:val="0"/>
        <w:autoSpaceDE/>
        <w:autoSpaceDN/>
        <w:bidi w:val="0"/>
        <w:adjustRightInd/>
        <w:snapToGrid/>
        <w:spacing w:line="360" w:lineRule="auto"/>
        <w:ind w:firstLine="283"/>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3.合同工期（总日历天数）</w:t>
      </w:r>
      <w:r>
        <w:rPr>
          <w:rFonts w:hint="eastAsia" w:ascii="仿宋" w:hAnsi="仿宋" w:eastAsia="仿宋" w:cs="仿宋"/>
          <w:color w:val="auto"/>
          <w:highlight w:val="none"/>
          <w:u w:val="single"/>
          <w:lang w:val="en-US" w:eastAsia="zh-CN"/>
        </w:rPr>
        <w:t xml:space="preserve"> 50 </w:t>
      </w:r>
      <w:r>
        <w:rPr>
          <w:rFonts w:hint="eastAsia" w:ascii="仿宋" w:hAnsi="仿宋" w:eastAsia="仿宋" w:cs="仿宋"/>
          <w:color w:val="auto"/>
          <w:highlight w:val="none"/>
        </w:rPr>
        <w:t>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其中：勘察工期15个日历天</w:t>
      </w:r>
      <w:r>
        <w:rPr>
          <w:rFonts w:hint="eastAsia" w:ascii="仿宋" w:hAnsi="仿宋" w:eastAsia="仿宋" w:cs="仿宋"/>
          <w:color w:val="auto"/>
          <w:highlight w:val="none"/>
          <w:lang w:eastAsia="zh-CN"/>
        </w:rPr>
        <w:t>。</w:t>
      </w:r>
    </w:p>
    <w:p w14:paraId="2CC5E0D5">
      <w:pPr>
        <w:spacing w:line="360" w:lineRule="auto"/>
        <w:ind w:firstLine="281"/>
        <w:outlineLvl w:val="1"/>
        <w:rPr>
          <w:rFonts w:hint="eastAsia" w:ascii="仿宋" w:hAnsi="仿宋" w:eastAsia="仿宋" w:cs="仿宋"/>
          <w:color w:val="auto"/>
          <w:highlight w:val="none"/>
        </w:rPr>
      </w:pPr>
      <w:bookmarkStart w:id="76" w:name="_Toc12013"/>
      <w:r>
        <w:rPr>
          <w:rFonts w:hint="eastAsia" w:ascii="仿宋" w:hAnsi="仿宋" w:eastAsia="仿宋" w:cs="仿宋"/>
          <w:color w:val="auto"/>
          <w:highlight w:val="none"/>
        </w:rPr>
        <w:t>四、质量标准</w:t>
      </w:r>
      <w:bookmarkEnd w:id="76"/>
    </w:p>
    <w:p w14:paraId="691F859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质量标准：符合《房屋建筑和市政基础设施工程勘察文件编制深度规定》（2020 年版）、国家及地方现行的勘察标准及规范，符合本项目的可研批复及规划方案批复的要求。</w:t>
      </w:r>
    </w:p>
    <w:p w14:paraId="37FBD25E">
      <w:pPr>
        <w:spacing w:line="360" w:lineRule="auto"/>
        <w:ind w:firstLine="281"/>
        <w:outlineLvl w:val="1"/>
        <w:rPr>
          <w:rFonts w:hint="eastAsia" w:ascii="仿宋" w:hAnsi="仿宋" w:eastAsia="仿宋" w:cs="仿宋"/>
          <w:color w:val="auto"/>
          <w:highlight w:val="none"/>
        </w:rPr>
      </w:pPr>
      <w:bookmarkStart w:id="77" w:name="_Toc6715"/>
      <w:r>
        <w:rPr>
          <w:rFonts w:hint="eastAsia" w:ascii="仿宋" w:hAnsi="仿宋" w:eastAsia="仿宋" w:cs="仿宋"/>
          <w:color w:val="auto"/>
          <w:highlight w:val="none"/>
        </w:rPr>
        <w:t>五、合同价款</w:t>
      </w:r>
      <w:bookmarkEnd w:id="77"/>
    </w:p>
    <w:p w14:paraId="5B6F795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1.合同价款金额：人民币（大写）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元）；勘察费</w:t>
      </w:r>
      <w:r>
        <w:rPr>
          <w:rFonts w:hint="eastAsia" w:ascii="仿宋" w:hAnsi="仿宋" w:eastAsia="仿宋" w:cs="仿宋"/>
          <w:color w:val="auto"/>
          <w:highlight w:val="none"/>
          <w:lang w:eastAsia="zh-CN"/>
        </w:rPr>
        <w:t>中标</w:t>
      </w:r>
      <w:r>
        <w:rPr>
          <w:rFonts w:hint="eastAsia" w:ascii="仿宋" w:hAnsi="仿宋" w:eastAsia="仿宋" w:cs="仿宋"/>
          <w:color w:val="auto"/>
          <w:highlight w:val="none"/>
        </w:rPr>
        <w:t>下浮率为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%；说明：勘察费合同价= 勘察费</w:t>
      </w:r>
      <w:r>
        <w:rPr>
          <w:rFonts w:hint="eastAsia" w:ascii="仿宋" w:hAnsi="仿宋" w:eastAsia="仿宋" w:cs="仿宋"/>
          <w:color w:val="auto"/>
          <w:highlight w:val="none"/>
          <w:lang w:eastAsia="zh-CN"/>
        </w:rPr>
        <w:t>最高投标限价</w:t>
      </w:r>
      <w:r>
        <w:rPr>
          <w:rFonts w:hint="eastAsia" w:ascii="仿宋" w:hAnsi="仿宋" w:eastAsia="仿宋" w:cs="仿宋"/>
          <w:color w:val="auto"/>
          <w:highlight w:val="none"/>
        </w:rPr>
        <w:t>×（1-勘察费</w:t>
      </w:r>
      <w:r>
        <w:rPr>
          <w:rFonts w:hint="eastAsia" w:ascii="仿宋" w:hAnsi="仿宋" w:eastAsia="仿宋" w:cs="仿宋"/>
          <w:color w:val="auto"/>
          <w:highlight w:val="none"/>
          <w:lang w:eastAsia="zh-CN"/>
        </w:rPr>
        <w:t>中标</w:t>
      </w:r>
      <w:r>
        <w:rPr>
          <w:rFonts w:hint="eastAsia" w:ascii="仿宋" w:hAnsi="仿宋" w:eastAsia="仿宋" w:cs="仿宋"/>
          <w:color w:val="auto"/>
          <w:highlight w:val="none"/>
        </w:rPr>
        <w:t>下浮率），勘察费合同价为暂定价。</w:t>
      </w:r>
    </w:p>
    <w:p w14:paraId="259CEBFF">
      <w:pPr>
        <w:keepNext w:val="0"/>
        <w:keepLines w:val="0"/>
        <w:pageBreakBefore w:val="0"/>
        <w:widowControl w:val="0"/>
        <w:kinsoku/>
        <w:wordWrap/>
        <w:overflowPunct/>
        <w:topLinePunct w:val="0"/>
        <w:autoSpaceDE/>
        <w:autoSpaceDN/>
        <w:bidi w:val="0"/>
        <w:adjustRightInd/>
        <w:snapToGrid/>
        <w:spacing w:line="360" w:lineRule="auto"/>
        <w:ind w:firstLine="283"/>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 2.合同价款形式：可调价格合同</w:t>
      </w:r>
    </w:p>
    <w:p w14:paraId="31DC91B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勘察费结算时，勘察费结算价=概算审定的勘察费×（1-勘察费中标下浮率），但不超中标价。</w:t>
      </w:r>
    </w:p>
    <w:p w14:paraId="06725BBC">
      <w:pPr>
        <w:spacing w:line="360" w:lineRule="auto"/>
        <w:ind w:firstLine="281"/>
        <w:outlineLvl w:val="1"/>
        <w:rPr>
          <w:rFonts w:hint="eastAsia" w:ascii="仿宋" w:hAnsi="仿宋" w:eastAsia="仿宋" w:cs="仿宋"/>
          <w:color w:val="auto"/>
          <w:highlight w:val="none"/>
        </w:rPr>
      </w:pPr>
      <w:bookmarkStart w:id="78" w:name="_Toc29316"/>
      <w:r>
        <w:rPr>
          <w:rFonts w:hint="eastAsia" w:ascii="仿宋" w:hAnsi="仿宋" w:eastAsia="仿宋" w:cs="仿宋"/>
          <w:color w:val="auto"/>
          <w:highlight w:val="none"/>
        </w:rPr>
        <w:t>六、合同文件构成</w:t>
      </w:r>
      <w:bookmarkEnd w:id="78"/>
    </w:p>
    <w:p w14:paraId="2B28551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组成本合同的文件包括：</w:t>
      </w:r>
    </w:p>
    <w:p w14:paraId="2475DFE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（1）合同协议书；</w:t>
      </w:r>
    </w:p>
    <w:p w14:paraId="3DF97C7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（2）专用合同条款及其附件；</w:t>
      </w:r>
    </w:p>
    <w:p w14:paraId="4BF1B1B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（3）通用合同条款；</w:t>
      </w:r>
    </w:p>
    <w:p w14:paraId="5EC77F9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（4）中标通知书（如果有）；</w:t>
      </w:r>
    </w:p>
    <w:p w14:paraId="1551F71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（5）投标文件及其附件（如果有）；</w:t>
      </w:r>
    </w:p>
    <w:p w14:paraId="5978F36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（6）技术标准和要求；</w:t>
      </w:r>
    </w:p>
    <w:p w14:paraId="0A2DBA1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（7）图纸；</w:t>
      </w:r>
    </w:p>
    <w:p w14:paraId="01398AD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（8）其他合同文件。</w:t>
      </w:r>
    </w:p>
    <w:p w14:paraId="3DC48EB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在合同履行过程中形成的与合同有关的文件构成合同文件组成部分。</w:t>
      </w:r>
    </w:p>
    <w:p w14:paraId="5CA7F3E6">
      <w:pPr>
        <w:spacing w:line="360" w:lineRule="auto"/>
        <w:ind w:firstLine="281"/>
        <w:outlineLvl w:val="1"/>
        <w:rPr>
          <w:rFonts w:hint="eastAsia" w:ascii="仿宋" w:hAnsi="仿宋" w:eastAsia="仿宋" w:cs="仿宋"/>
          <w:color w:val="auto"/>
          <w:highlight w:val="none"/>
        </w:rPr>
      </w:pPr>
      <w:bookmarkStart w:id="79" w:name="_Toc26746"/>
      <w:r>
        <w:rPr>
          <w:rFonts w:hint="eastAsia" w:ascii="仿宋" w:hAnsi="仿宋" w:eastAsia="仿宋" w:cs="仿宋"/>
          <w:color w:val="auto"/>
          <w:highlight w:val="none"/>
        </w:rPr>
        <w:t>七、承诺</w:t>
      </w:r>
      <w:bookmarkEnd w:id="79"/>
    </w:p>
    <w:p w14:paraId="7B6C641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1.发包人承诺按照法律规定履行项目审批手续，按照合同约定提供工程勘察条件和相关资料，并按照合同约定的期限和方式支付合同价款。</w:t>
      </w:r>
    </w:p>
    <w:p w14:paraId="03266D6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2.勘察人承诺按照法律法规和技术标准规定及合同约定提供勘察技术服务。</w:t>
      </w:r>
    </w:p>
    <w:p w14:paraId="62DA7F3E">
      <w:pPr>
        <w:spacing w:line="360" w:lineRule="auto"/>
        <w:ind w:firstLine="281"/>
        <w:outlineLvl w:val="1"/>
        <w:rPr>
          <w:rFonts w:hint="eastAsia" w:ascii="仿宋" w:hAnsi="仿宋" w:eastAsia="仿宋" w:cs="仿宋"/>
          <w:color w:val="auto"/>
          <w:highlight w:val="none"/>
        </w:rPr>
      </w:pPr>
      <w:bookmarkStart w:id="80" w:name="_Toc25041"/>
      <w:r>
        <w:rPr>
          <w:rFonts w:hint="eastAsia" w:ascii="仿宋" w:hAnsi="仿宋" w:eastAsia="仿宋" w:cs="仿宋"/>
          <w:color w:val="auto"/>
          <w:highlight w:val="none"/>
        </w:rPr>
        <w:t>八、词语定义</w:t>
      </w:r>
      <w:bookmarkEnd w:id="80"/>
    </w:p>
    <w:p w14:paraId="191CE3C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本合同协议书中词语含义与合同第二部分《通用合同条款》中的词语含义相同。</w:t>
      </w:r>
    </w:p>
    <w:p w14:paraId="0E6B21AD">
      <w:pPr>
        <w:spacing w:line="360" w:lineRule="auto"/>
        <w:ind w:firstLine="281"/>
        <w:outlineLvl w:val="1"/>
        <w:rPr>
          <w:rFonts w:hint="eastAsia" w:ascii="仿宋" w:hAnsi="仿宋" w:eastAsia="仿宋" w:cs="仿宋"/>
          <w:color w:val="auto"/>
          <w:highlight w:val="none"/>
        </w:rPr>
      </w:pPr>
      <w:bookmarkStart w:id="81" w:name="_Toc7440"/>
      <w:r>
        <w:rPr>
          <w:rFonts w:hint="eastAsia" w:ascii="仿宋" w:hAnsi="仿宋" w:eastAsia="仿宋" w:cs="仿宋"/>
          <w:color w:val="auto"/>
          <w:highlight w:val="none"/>
        </w:rPr>
        <w:t>九、签订时间</w:t>
      </w:r>
      <w:bookmarkEnd w:id="81"/>
    </w:p>
    <w:p w14:paraId="7C723C6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日签订。</w:t>
      </w:r>
    </w:p>
    <w:p w14:paraId="27CF2BFF">
      <w:pPr>
        <w:spacing w:line="360" w:lineRule="auto"/>
        <w:ind w:firstLine="281"/>
        <w:outlineLvl w:val="1"/>
        <w:rPr>
          <w:rFonts w:hint="eastAsia" w:ascii="仿宋" w:hAnsi="仿宋" w:eastAsia="仿宋" w:cs="仿宋"/>
          <w:color w:val="auto"/>
          <w:highlight w:val="none"/>
        </w:rPr>
      </w:pPr>
      <w:bookmarkStart w:id="82" w:name="_Toc2746"/>
      <w:r>
        <w:rPr>
          <w:rFonts w:hint="eastAsia" w:ascii="仿宋" w:hAnsi="仿宋" w:eastAsia="仿宋" w:cs="仿宋"/>
          <w:color w:val="auto"/>
          <w:highlight w:val="none"/>
        </w:rPr>
        <w:t>十、签订地点</w:t>
      </w:r>
      <w:bookmarkEnd w:id="82"/>
    </w:p>
    <w:p w14:paraId="291A66B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w:t>
      </w:r>
    </w:p>
    <w:p w14:paraId="02097DAC">
      <w:pPr>
        <w:spacing w:line="360" w:lineRule="auto"/>
        <w:ind w:firstLine="281"/>
        <w:outlineLvl w:val="1"/>
        <w:rPr>
          <w:rFonts w:hint="eastAsia" w:ascii="仿宋" w:hAnsi="仿宋" w:eastAsia="仿宋" w:cs="仿宋"/>
          <w:color w:val="auto"/>
          <w:highlight w:val="none"/>
        </w:rPr>
      </w:pPr>
      <w:bookmarkStart w:id="83" w:name="_Toc25596"/>
      <w:r>
        <w:rPr>
          <w:rFonts w:hint="eastAsia" w:ascii="仿宋" w:hAnsi="仿宋" w:eastAsia="仿宋" w:cs="仿宋"/>
          <w:color w:val="auto"/>
          <w:highlight w:val="none"/>
        </w:rPr>
        <w:t>十一、合同生效</w:t>
      </w:r>
      <w:bookmarkEnd w:id="83"/>
    </w:p>
    <w:p w14:paraId="319CBDA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本合同自</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生效。</w:t>
      </w:r>
    </w:p>
    <w:p w14:paraId="56694E08">
      <w:pPr>
        <w:spacing w:line="360" w:lineRule="auto"/>
        <w:ind w:firstLine="281"/>
        <w:outlineLvl w:val="1"/>
        <w:rPr>
          <w:rFonts w:hint="eastAsia" w:ascii="仿宋" w:hAnsi="仿宋" w:eastAsia="仿宋" w:cs="仿宋"/>
          <w:color w:val="auto"/>
          <w:highlight w:val="none"/>
        </w:rPr>
      </w:pPr>
      <w:bookmarkStart w:id="84" w:name="_Toc12325"/>
      <w:r>
        <w:rPr>
          <w:rFonts w:hint="eastAsia" w:ascii="仿宋" w:hAnsi="仿宋" w:eastAsia="仿宋" w:cs="仿宋"/>
          <w:color w:val="auto"/>
          <w:highlight w:val="none"/>
        </w:rPr>
        <w:t>十二、合同份数</w:t>
      </w:r>
      <w:bookmarkEnd w:id="84"/>
    </w:p>
    <w:p w14:paraId="52371F9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本合同一式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份，具有同等法律效力，发包人执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份，勘察人执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w:t>
      </w:r>
    </w:p>
    <w:p w14:paraId="5C4C780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90BA89E">
      <w:pPr>
        <w:pStyle w:val="12"/>
        <w:rPr>
          <w:rFonts w:hint="eastAsia" w:ascii="仿宋" w:hAnsi="仿宋" w:eastAsia="仿宋" w:cs="仿宋"/>
          <w:color w:val="auto"/>
          <w:highlight w:val="none"/>
        </w:rPr>
      </w:pPr>
    </w:p>
    <w:tbl>
      <w:tblPr>
        <w:tblStyle w:val="4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5"/>
        <w:gridCol w:w="4976"/>
      </w:tblGrid>
      <w:tr w14:paraId="601B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5" w:type="dxa"/>
            <w:tcBorders>
              <w:top w:val="nil"/>
              <w:left w:val="nil"/>
              <w:bottom w:val="nil"/>
              <w:right w:val="nil"/>
            </w:tcBorders>
            <w:noWrap w:val="0"/>
            <w:vAlign w:val="top"/>
          </w:tcPr>
          <w:p w14:paraId="7F8E12E8">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发包人</w:t>
            </w:r>
            <w:r>
              <w:rPr>
                <w:rFonts w:hint="eastAsia" w:ascii="仿宋" w:hAnsi="仿宋" w:eastAsia="仿宋" w:cs="仿宋"/>
                <w:color w:val="auto"/>
                <w:spacing w:val="-10"/>
                <w:sz w:val="20"/>
                <w:szCs w:val="20"/>
                <w:highlight w:val="none"/>
              </w:rPr>
              <w:t>（</w:t>
            </w:r>
            <w:r>
              <w:rPr>
                <w:rFonts w:hint="eastAsia" w:ascii="仿宋" w:hAnsi="仿宋" w:eastAsia="仿宋" w:cs="仿宋"/>
                <w:color w:val="auto"/>
                <w:spacing w:val="9"/>
                <w:sz w:val="20"/>
                <w:szCs w:val="20"/>
                <w:highlight w:val="none"/>
              </w:rPr>
              <w:t>印章）</w:t>
            </w:r>
            <w:r>
              <w:rPr>
                <w:rFonts w:hint="eastAsia" w:ascii="仿宋" w:hAnsi="仿宋" w:eastAsia="仿宋" w:cs="仿宋"/>
                <w:color w:val="auto"/>
                <w:spacing w:val="-10"/>
                <w:sz w:val="20"/>
                <w:szCs w:val="20"/>
                <w:highlight w:val="none"/>
              </w:rPr>
              <w:t>：</w:t>
            </w:r>
          </w:p>
          <w:p w14:paraId="20BD509F">
            <w:pPr>
              <w:spacing w:line="360" w:lineRule="auto"/>
              <w:rPr>
                <w:rFonts w:hint="eastAsia" w:ascii="仿宋" w:hAnsi="仿宋" w:eastAsia="仿宋" w:cs="仿宋"/>
                <w:color w:val="auto"/>
                <w:spacing w:val="7"/>
                <w:sz w:val="20"/>
                <w:szCs w:val="20"/>
                <w:highlight w:val="none"/>
              </w:rPr>
            </w:pPr>
          </w:p>
          <w:p w14:paraId="5D31EC74">
            <w:pPr>
              <w:spacing w:line="360" w:lineRule="auto"/>
              <w:rPr>
                <w:rFonts w:hint="eastAsia" w:ascii="仿宋" w:hAnsi="仿宋" w:eastAsia="仿宋" w:cs="仿宋"/>
                <w:color w:val="auto"/>
                <w:spacing w:val="7"/>
                <w:sz w:val="20"/>
                <w:szCs w:val="20"/>
                <w:highlight w:val="none"/>
              </w:rPr>
            </w:pPr>
            <w:r>
              <w:rPr>
                <w:rFonts w:hint="eastAsia" w:ascii="仿宋" w:hAnsi="仿宋" w:eastAsia="仿宋" w:cs="仿宋"/>
                <w:color w:val="auto"/>
                <w:spacing w:val="7"/>
                <w:sz w:val="20"/>
                <w:szCs w:val="20"/>
                <w:highlight w:val="none"/>
              </w:rPr>
              <w:t>法定代表人或其委托代理人（签字）：</w:t>
            </w:r>
          </w:p>
          <w:p w14:paraId="0DE8B329">
            <w:pPr>
              <w:spacing w:line="360" w:lineRule="auto"/>
              <w:rPr>
                <w:rFonts w:hint="eastAsia" w:ascii="仿宋" w:hAnsi="仿宋" w:eastAsia="仿宋" w:cs="仿宋"/>
                <w:color w:val="auto"/>
                <w:spacing w:val="8"/>
                <w:sz w:val="20"/>
                <w:szCs w:val="20"/>
                <w:highlight w:val="none"/>
              </w:rPr>
            </w:pPr>
          </w:p>
          <w:p w14:paraId="09C3FB20">
            <w:pPr>
              <w:spacing w:line="360" w:lineRule="auto"/>
              <w:rPr>
                <w:rFonts w:hint="eastAsia" w:ascii="仿宋" w:hAnsi="仿宋" w:eastAsia="仿宋" w:cs="仿宋"/>
                <w:color w:val="auto"/>
                <w:spacing w:val="8"/>
                <w:sz w:val="20"/>
                <w:szCs w:val="20"/>
                <w:highlight w:val="none"/>
              </w:rPr>
            </w:pPr>
            <w:r>
              <w:rPr>
                <w:rFonts w:hint="eastAsia" w:ascii="仿宋" w:hAnsi="仿宋" w:eastAsia="仿宋" w:cs="仿宋"/>
                <w:color w:val="auto"/>
                <w:spacing w:val="8"/>
                <w:sz w:val="20"/>
                <w:szCs w:val="20"/>
                <w:highlight w:val="none"/>
              </w:rPr>
              <w:t>统一社会信用代码：</w:t>
            </w:r>
          </w:p>
          <w:p w14:paraId="7DD8ADE7">
            <w:pPr>
              <w:spacing w:line="360" w:lineRule="auto"/>
              <w:rPr>
                <w:rFonts w:hint="eastAsia" w:ascii="仿宋" w:hAnsi="仿宋" w:eastAsia="仿宋" w:cs="仿宋"/>
                <w:color w:val="auto"/>
                <w:spacing w:val="5"/>
                <w:sz w:val="20"/>
                <w:szCs w:val="20"/>
                <w:highlight w:val="none"/>
              </w:rPr>
            </w:pPr>
            <w:r>
              <w:rPr>
                <w:rFonts w:hint="eastAsia" w:ascii="仿宋" w:hAnsi="仿宋" w:eastAsia="仿宋" w:cs="仿宋"/>
                <w:color w:val="auto"/>
                <w:spacing w:val="5"/>
                <w:sz w:val="20"/>
                <w:szCs w:val="20"/>
                <w:highlight w:val="none"/>
              </w:rPr>
              <w:t>地址：</w:t>
            </w:r>
          </w:p>
          <w:p w14:paraId="7E8739B3">
            <w:pPr>
              <w:spacing w:line="360" w:lineRule="auto"/>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邮政编码：</w:t>
            </w:r>
          </w:p>
          <w:p w14:paraId="0348B6EB">
            <w:pPr>
              <w:spacing w:line="360" w:lineRule="auto"/>
              <w:rPr>
                <w:rFonts w:hint="eastAsia" w:ascii="仿宋" w:hAnsi="仿宋" w:eastAsia="仿宋" w:cs="仿宋"/>
                <w:color w:val="auto"/>
                <w:spacing w:val="-2"/>
                <w:sz w:val="20"/>
                <w:szCs w:val="20"/>
                <w:highlight w:val="none"/>
              </w:rPr>
            </w:pPr>
            <w:r>
              <w:rPr>
                <w:rFonts w:hint="eastAsia" w:ascii="仿宋" w:hAnsi="仿宋" w:eastAsia="仿宋" w:cs="仿宋"/>
                <w:color w:val="auto"/>
                <w:spacing w:val="-2"/>
                <w:sz w:val="20"/>
                <w:szCs w:val="20"/>
                <w:highlight w:val="none"/>
              </w:rPr>
              <w:t>电话：</w:t>
            </w:r>
          </w:p>
          <w:p w14:paraId="708EF170">
            <w:pPr>
              <w:spacing w:line="360" w:lineRule="auto"/>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传真：</w:t>
            </w:r>
          </w:p>
          <w:p w14:paraId="701CACBA">
            <w:pPr>
              <w:spacing w:line="360" w:lineRule="auto"/>
              <w:rPr>
                <w:rFonts w:hint="eastAsia" w:ascii="仿宋" w:hAnsi="仿宋" w:eastAsia="仿宋" w:cs="仿宋"/>
                <w:color w:val="auto"/>
                <w:spacing w:val="2"/>
                <w:sz w:val="20"/>
                <w:szCs w:val="20"/>
                <w:highlight w:val="none"/>
              </w:rPr>
            </w:pPr>
            <w:r>
              <w:rPr>
                <w:rFonts w:hint="eastAsia" w:ascii="仿宋" w:hAnsi="仿宋" w:eastAsia="仿宋" w:cs="仿宋"/>
                <w:color w:val="auto"/>
                <w:spacing w:val="2"/>
                <w:sz w:val="20"/>
                <w:szCs w:val="20"/>
                <w:highlight w:val="none"/>
              </w:rPr>
              <w:t>电子邮箱：</w:t>
            </w:r>
          </w:p>
          <w:p w14:paraId="4171DAB3">
            <w:pPr>
              <w:spacing w:line="360" w:lineRule="auto"/>
              <w:rPr>
                <w:rFonts w:hint="eastAsia" w:ascii="仿宋" w:hAnsi="仿宋" w:eastAsia="仿宋" w:cs="仿宋"/>
                <w:color w:val="auto"/>
                <w:spacing w:val="7"/>
                <w:sz w:val="20"/>
                <w:szCs w:val="20"/>
                <w:highlight w:val="none"/>
              </w:rPr>
            </w:pPr>
            <w:r>
              <w:rPr>
                <w:rFonts w:hint="eastAsia" w:ascii="仿宋" w:hAnsi="仿宋" w:eastAsia="仿宋" w:cs="仿宋"/>
                <w:color w:val="auto"/>
                <w:spacing w:val="7"/>
                <w:sz w:val="20"/>
                <w:szCs w:val="20"/>
                <w:highlight w:val="none"/>
              </w:rPr>
              <w:t>开户银行：</w:t>
            </w:r>
          </w:p>
          <w:p w14:paraId="56B30CBE">
            <w:pPr>
              <w:spacing w:line="360" w:lineRule="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账号：</w:t>
            </w:r>
          </w:p>
          <w:p w14:paraId="5CEFECA6">
            <w:pPr>
              <w:spacing w:line="360" w:lineRule="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9"/>
                <w:sz w:val="20"/>
                <w:szCs w:val="20"/>
                <w:highlight w:val="none"/>
              </w:rPr>
              <w:t>日期：       年    月    日</w:t>
            </w:r>
          </w:p>
        </w:tc>
        <w:tc>
          <w:tcPr>
            <w:tcW w:w="4976" w:type="dxa"/>
            <w:tcBorders>
              <w:top w:val="nil"/>
              <w:left w:val="nil"/>
              <w:bottom w:val="nil"/>
              <w:right w:val="nil"/>
            </w:tcBorders>
            <w:noWrap w:val="0"/>
            <w:vAlign w:val="top"/>
          </w:tcPr>
          <w:p w14:paraId="7C92A91D">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勘察人（联合体由勘察方盖章</w:t>
            </w:r>
            <w:r>
              <w:rPr>
                <w:rFonts w:hint="eastAsia" w:ascii="仿宋" w:hAnsi="仿宋" w:eastAsia="仿宋" w:cs="仿宋"/>
                <w:color w:val="auto"/>
                <w:spacing w:val="-10"/>
                <w:sz w:val="20"/>
                <w:szCs w:val="20"/>
                <w:highlight w:val="none"/>
              </w:rPr>
              <w:t>）</w:t>
            </w:r>
            <w:r>
              <w:rPr>
                <w:rFonts w:hint="eastAsia" w:ascii="仿宋" w:hAnsi="仿宋" w:eastAsia="仿宋" w:cs="仿宋"/>
                <w:color w:val="auto"/>
                <w:spacing w:val="-59"/>
                <w:sz w:val="20"/>
                <w:szCs w:val="20"/>
                <w:highlight w:val="none"/>
              </w:rPr>
              <w:t xml:space="preserve"> </w:t>
            </w:r>
            <w:r>
              <w:rPr>
                <w:rFonts w:hint="eastAsia" w:ascii="仿宋" w:hAnsi="仿宋" w:eastAsia="仿宋" w:cs="仿宋"/>
                <w:color w:val="auto"/>
                <w:spacing w:val="-10"/>
                <w:sz w:val="20"/>
                <w:szCs w:val="20"/>
                <w:highlight w:val="none"/>
              </w:rPr>
              <w:t>：</w:t>
            </w:r>
          </w:p>
          <w:p w14:paraId="480F6805">
            <w:pPr>
              <w:spacing w:line="360" w:lineRule="auto"/>
              <w:rPr>
                <w:rFonts w:hint="eastAsia" w:ascii="仿宋" w:hAnsi="仿宋" w:eastAsia="仿宋" w:cs="仿宋"/>
                <w:color w:val="auto"/>
                <w:spacing w:val="5"/>
                <w:sz w:val="20"/>
                <w:szCs w:val="20"/>
                <w:highlight w:val="none"/>
              </w:rPr>
            </w:pPr>
          </w:p>
          <w:p w14:paraId="1C2C264D">
            <w:pPr>
              <w:spacing w:line="360" w:lineRule="auto"/>
              <w:rPr>
                <w:rFonts w:hint="eastAsia" w:ascii="仿宋" w:hAnsi="仿宋" w:eastAsia="仿宋" w:cs="仿宋"/>
                <w:color w:val="auto"/>
                <w:spacing w:val="8"/>
                <w:sz w:val="20"/>
                <w:szCs w:val="20"/>
                <w:highlight w:val="none"/>
              </w:rPr>
            </w:pPr>
            <w:r>
              <w:rPr>
                <w:rFonts w:hint="eastAsia" w:ascii="仿宋" w:hAnsi="仿宋" w:eastAsia="仿宋" w:cs="仿宋"/>
                <w:color w:val="auto"/>
                <w:spacing w:val="5"/>
                <w:sz w:val="20"/>
                <w:szCs w:val="20"/>
                <w:highlight w:val="none"/>
              </w:rPr>
              <w:t>法定代表人或其委托代理人（签字</w:t>
            </w:r>
            <w:r>
              <w:rPr>
                <w:rFonts w:hint="eastAsia" w:ascii="仿宋" w:hAnsi="仿宋" w:eastAsia="仿宋" w:cs="仿宋"/>
                <w:color w:val="auto"/>
                <w:spacing w:val="-18"/>
                <w:sz w:val="20"/>
                <w:szCs w:val="20"/>
                <w:highlight w:val="none"/>
              </w:rPr>
              <w:t>）：</w:t>
            </w:r>
          </w:p>
          <w:p w14:paraId="67D0B113">
            <w:pPr>
              <w:spacing w:line="360" w:lineRule="auto"/>
              <w:rPr>
                <w:rFonts w:hint="eastAsia" w:ascii="仿宋" w:hAnsi="仿宋" w:eastAsia="仿宋" w:cs="仿宋"/>
                <w:color w:val="auto"/>
                <w:spacing w:val="8"/>
                <w:sz w:val="20"/>
                <w:szCs w:val="20"/>
                <w:highlight w:val="none"/>
              </w:rPr>
            </w:pPr>
          </w:p>
          <w:p w14:paraId="2292E969">
            <w:pPr>
              <w:spacing w:line="360" w:lineRule="auto"/>
              <w:rPr>
                <w:rFonts w:hint="eastAsia" w:ascii="仿宋" w:hAnsi="仿宋" w:eastAsia="仿宋" w:cs="仿宋"/>
                <w:color w:val="auto"/>
                <w:spacing w:val="8"/>
                <w:sz w:val="20"/>
                <w:szCs w:val="20"/>
                <w:highlight w:val="none"/>
              </w:rPr>
            </w:pPr>
            <w:r>
              <w:rPr>
                <w:rFonts w:hint="eastAsia" w:ascii="仿宋" w:hAnsi="仿宋" w:eastAsia="仿宋" w:cs="仿宋"/>
                <w:color w:val="auto"/>
                <w:spacing w:val="8"/>
                <w:sz w:val="20"/>
                <w:szCs w:val="20"/>
                <w:highlight w:val="none"/>
              </w:rPr>
              <w:t>统一社会信用代码：</w:t>
            </w:r>
          </w:p>
          <w:p w14:paraId="3DCFBE37">
            <w:pPr>
              <w:spacing w:line="360" w:lineRule="auto"/>
              <w:rPr>
                <w:rFonts w:hint="eastAsia" w:ascii="仿宋" w:hAnsi="仿宋" w:eastAsia="仿宋" w:cs="仿宋"/>
                <w:color w:val="auto"/>
                <w:spacing w:val="5"/>
                <w:sz w:val="20"/>
                <w:szCs w:val="20"/>
                <w:highlight w:val="none"/>
              </w:rPr>
            </w:pPr>
            <w:r>
              <w:rPr>
                <w:rFonts w:hint="eastAsia" w:ascii="仿宋" w:hAnsi="仿宋" w:eastAsia="仿宋" w:cs="仿宋"/>
                <w:color w:val="auto"/>
                <w:spacing w:val="5"/>
                <w:sz w:val="20"/>
                <w:szCs w:val="20"/>
                <w:highlight w:val="none"/>
              </w:rPr>
              <w:t>地址：</w:t>
            </w:r>
          </w:p>
          <w:p w14:paraId="27EDACA2">
            <w:pPr>
              <w:spacing w:line="360" w:lineRule="auto"/>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邮政编码：</w:t>
            </w:r>
          </w:p>
          <w:p w14:paraId="525A8339">
            <w:pPr>
              <w:spacing w:line="360" w:lineRule="auto"/>
              <w:rPr>
                <w:rFonts w:hint="eastAsia" w:ascii="仿宋" w:hAnsi="仿宋" w:eastAsia="仿宋" w:cs="仿宋"/>
                <w:color w:val="auto"/>
                <w:spacing w:val="-2"/>
                <w:sz w:val="20"/>
                <w:szCs w:val="20"/>
                <w:highlight w:val="none"/>
              </w:rPr>
            </w:pPr>
            <w:r>
              <w:rPr>
                <w:rFonts w:hint="eastAsia" w:ascii="仿宋" w:hAnsi="仿宋" w:eastAsia="仿宋" w:cs="仿宋"/>
                <w:color w:val="auto"/>
                <w:spacing w:val="-2"/>
                <w:sz w:val="20"/>
                <w:szCs w:val="20"/>
                <w:highlight w:val="none"/>
              </w:rPr>
              <w:t>电话：</w:t>
            </w:r>
          </w:p>
          <w:p w14:paraId="06888DDC">
            <w:pPr>
              <w:spacing w:line="360" w:lineRule="auto"/>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传真：</w:t>
            </w:r>
          </w:p>
          <w:p w14:paraId="50D1537B">
            <w:pPr>
              <w:spacing w:line="360" w:lineRule="auto"/>
              <w:rPr>
                <w:rFonts w:hint="eastAsia" w:ascii="仿宋" w:hAnsi="仿宋" w:eastAsia="仿宋" w:cs="仿宋"/>
                <w:color w:val="auto"/>
                <w:spacing w:val="2"/>
                <w:sz w:val="20"/>
                <w:szCs w:val="20"/>
                <w:highlight w:val="none"/>
              </w:rPr>
            </w:pPr>
            <w:r>
              <w:rPr>
                <w:rFonts w:hint="eastAsia" w:ascii="仿宋" w:hAnsi="仿宋" w:eastAsia="仿宋" w:cs="仿宋"/>
                <w:color w:val="auto"/>
                <w:spacing w:val="2"/>
                <w:sz w:val="20"/>
                <w:szCs w:val="20"/>
                <w:highlight w:val="none"/>
              </w:rPr>
              <w:t>电子邮箱：</w:t>
            </w:r>
          </w:p>
          <w:p w14:paraId="0793F3B9">
            <w:pPr>
              <w:spacing w:line="360" w:lineRule="auto"/>
              <w:rPr>
                <w:rFonts w:hint="eastAsia" w:ascii="仿宋" w:hAnsi="仿宋" w:eastAsia="仿宋" w:cs="仿宋"/>
                <w:color w:val="auto"/>
                <w:spacing w:val="7"/>
                <w:sz w:val="20"/>
                <w:szCs w:val="20"/>
                <w:highlight w:val="none"/>
              </w:rPr>
            </w:pPr>
            <w:r>
              <w:rPr>
                <w:rFonts w:hint="eastAsia" w:ascii="仿宋" w:hAnsi="仿宋" w:eastAsia="仿宋" w:cs="仿宋"/>
                <w:color w:val="auto"/>
                <w:spacing w:val="7"/>
                <w:sz w:val="20"/>
                <w:szCs w:val="20"/>
                <w:highlight w:val="none"/>
              </w:rPr>
              <w:t>开户银行：</w:t>
            </w:r>
          </w:p>
          <w:p w14:paraId="6205E3AD">
            <w:pPr>
              <w:spacing w:line="360" w:lineRule="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账号：</w:t>
            </w:r>
          </w:p>
          <w:p w14:paraId="574A2E39">
            <w:pPr>
              <w:spacing w:line="360" w:lineRule="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9"/>
                <w:sz w:val="20"/>
                <w:szCs w:val="20"/>
                <w:highlight w:val="none"/>
              </w:rPr>
              <w:t>日期：       年    月    日</w:t>
            </w:r>
          </w:p>
        </w:tc>
      </w:tr>
    </w:tbl>
    <w:p w14:paraId="14883B33">
      <w:pPr>
        <w:rPr>
          <w:rFonts w:hint="eastAsia" w:ascii="仿宋" w:hAnsi="仿宋" w:eastAsia="仿宋" w:cs="仿宋"/>
          <w:color w:val="auto"/>
          <w:highlight w:val="none"/>
        </w:rPr>
      </w:pPr>
    </w:p>
    <w:p w14:paraId="4F0E678E">
      <w:pPr>
        <w:pStyle w:val="3"/>
        <w:spacing w:line="240" w:lineRule="auto"/>
        <w:jc w:val="center"/>
        <w:rPr>
          <w:rFonts w:hint="eastAsia" w:ascii="仿宋" w:hAnsi="仿宋" w:eastAsia="仿宋" w:cs="仿宋"/>
          <w:color w:val="auto"/>
          <w:highlight w:val="none"/>
        </w:rPr>
        <w:sectPr>
          <w:footerReference r:id="rId8" w:type="default"/>
          <w:pgSz w:w="11906" w:h="16839"/>
          <w:pgMar w:top="1134" w:right="1191" w:bottom="1134" w:left="1191" w:header="0" w:footer="706" w:gutter="0"/>
          <w:pgNumType w:fmt="decimal"/>
          <w:cols w:space="720" w:num="1"/>
          <w:rtlGutter w:val="0"/>
          <w:docGrid w:linePitch="0" w:charSpace="0"/>
        </w:sectPr>
      </w:pPr>
    </w:p>
    <w:p w14:paraId="766E2273">
      <w:pPr>
        <w:pStyle w:val="3"/>
        <w:spacing w:line="240" w:lineRule="auto"/>
        <w:jc w:val="center"/>
        <w:rPr>
          <w:rFonts w:hint="eastAsia" w:ascii="仿宋" w:hAnsi="仿宋" w:eastAsia="仿宋" w:cs="仿宋"/>
          <w:color w:val="auto"/>
          <w:highlight w:val="none"/>
        </w:rPr>
      </w:pPr>
      <w:bookmarkStart w:id="85" w:name="_Toc18377"/>
      <w:r>
        <w:rPr>
          <w:rFonts w:hint="eastAsia" w:ascii="仿宋" w:hAnsi="仿宋" w:eastAsia="仿宋" w:cs="仿宋"/>
          <w:color w:val="auto"/>
          <w:highlight w:val="none"/>
        </w:rPr>
        <w:t>第二部分  通用合同条款</w:t>
      </w:r>
      <w:bookmarkEnd w:id="85"/>
    </w:p>
    <w:p w14:paraId="148D01E3">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 条 一般约定</w:t>
      </w:r>
    </w:p>
    <w:p w14:paraId="32248D7C">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1.1 词语定义</w:t>
      </w:r>
    </w:p>
    <w:p w14:paraId="10A8410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下列词语除专用合同条款另有约定外，应具有本条所赋予的含义。</w:t>
      </w:r>
    </w:p>
    <w:p w14:paraId="028AEBC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 合同：指根据法律规定和合同当事人约定具有约束力的文件，构成合同的文件包括合同协议书、专用合同条款及其附件、通用合同条款、 中标通知书（如果有） 、投标文件及其附件（如果有） 、技术标  准和要求、图纸以及其他合同文件。</w:t>
      </w:r>
    </w:p>
    <w:p w14:paraId="5A45F8B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1.1.2 合同协议书：指构成合同的由发包人和勘察人共同签署的称为“合同协议书”的书面文件。</w:t>
      </w:r>
    </w:p>
    <w:p w14:paraId="42D7D68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1.1.3 通用合同条款：是根据法律、行政法规规定及建设工程勘察的需要订立，通用于建设工程勘察的合同条款。</w:t>
      </w:r>
    </w:p>
    <w:p w14:paraId="4C856A7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1.1.4 专用合同条款：是发包人与勘察人根据法律、行政法规规定，结合具体工程实际，经协商达成一致意见的合同条款，是对通用合同条款的细化、完善、补充、修改或另行约定。</w:t>
      </w:r>
    </w:p>
    <w:p w14:paraId="71DF218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1.1.5 发包人：指与勘察人签定合同协议书的当事人以及取得该当事人资格的合法继承人。</w:t>
      </w:r>
    </w:p>
    <w:p w14:paraId="6AAC638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1.1.6 勘察人：指在合同协议书中约定，被发包人接受的具有工程勘察资质的当事人以及取得该当事人资格的合法继承人。</w:t>
      </w:r>
    </w:p>
    <w:p w14:paraId="62BBBD6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1.1.7 工程：指发包人与勘察人在合同协议书中约定的勘察范围内的项目。</w:t>
      </w:r>
    </w:p>
    <w:p w14:paraId="4144B40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1.1.8 勘察任务书：指由发包人就工程勘察范围、 内容和技术标准等提出要求的书面文件。勘察任务书构成合同文件组成部分。</w:t>
      </w:r>
    </w:p>
    <w:p w14:paraId="34DFA42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1.1.9 合同价款：指合同当事人在合同协议书中约定，发包人用以支付勘察人完成合同约定范围内工程勘察工作的款项。</w:t>
      </w:r>
    </w:p>
    <w:p w14:paraId="2F6487A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1.1.10 费用：指为履行合同所发生的或将要发生的必需的支出。</w:t>
      </w:r>
    </w:p>
    <w:p w14:paraId="7DD693E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1.1.11 工期：指合同当事人在合同协议书中约定，按总日历天数（包括法定节假日）计算的工作天数。</w:t>
      </w:r>
    </w:p>
    <w:p w14:paraId="7674B60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1.1.12 天：除特别指明外，均指日历天。约定按天计算时间的，开始当天不计入，从次日开始计算。时限的最后一天是休息日或者其他法定节假日的， 以节假日次日为时限的最后一天，时限的最后一天的截 止时间为当日 24 时。</w:t>
      </w:r>
    </w:p>
    <w:p w14:paraId="525FFE3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1.1.13 开工日期：指合同当事人在合同中约定，勘察人开始工作的绝对或相对日期。</w:t>
      </w:r>
    </w:p>
    <w:p w14:paraId="77657A5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1.1.14 成果提交日期：指合同当事人在合同中约定，勘察人完成合同范围内工作并提交成果资料的绝 对或相对日期。</w:t>
      </w:r>
    </w:p>
    <w:p w14:paraId="2632BF5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1.1.15 图纸：指由发包人提供或由勘察人提供并经发包人认可，满足勘察人开展工作需要的所有图件，包括相关说明和资料。</w:t>
      </w:r>
    </w:p>
    <w:p w14:paraId="514357D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1.1.16 作业场地：指工程勘察作业的场所以及发包人具体指定的供工程勘察作业使用的其他场所。</w:t>
      </w:r>
    </w:p>
    <w:p w14:paraId="5B8CCE9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1.1.17 书面形式：指合同书、信件和数据电文（包括电报、 电传、传真、 电子数据交换和电子邮件）等可以有形地表现所载内容的形式。</w:t>
      </w:r>
    </w:p>
    <w:p w14:paraId="4E48326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1.1.18 索赔：指在合同履行过程中，一方违反合同约定，直接或间接地给另一方造成实际损失，受损方向违约方提出经济赔偿和（或）工期顺延的要求。</w:t>
      </w:r>
    </w:p>
    <w:p w14:paraId="619DDAB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1.1.19 不利物质条件：指勘察人在作业场地遇到的不可预见的自然物质条件、非自然的物质障碍和污染物。</w:t>
      </w:r>
    </w:p>
    <w:p w14:paraId="7BF09A9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1.1.20 后期服务：指勘察人提交成果资料后，为发包人提供的后续技术服务工作和程序性工作，如报 告成果咨询、基槽检验、现场交桩和竣工验收等。</w:t>
      </w:r>
    </w:p>
    <w:p w14:paraId="580229B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1.2 合同文件及优先解释顺序</w:t>
      </w:r>
    </w:p>
    <w:p w14:paraId="261FAA1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1.2.1 合同文件应能相互解释，互为说明。除专用合同条款另有约定外，组成本合同的文件及优先解 释顺序如下：</w:t>
      </w:r>
    </w:p>
    <w:p w14:paraId="6CFC0A4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（1）合同协议书；</w:t>
      </w:r>
    </w:p>
    <w:p w14:paraId="03DEE60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（2）专用合同条款及其附件；</w:t>
      </w:r>
    </w:p>
    <w:p w14:paraId="536301C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（3）通用合同条款；</w:t>
      </w:r>
    </w:p>
    <w:p w14:paraId="3321D79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 中标通知书（如果有）；</w:t>
      </w:r>
    </w:p>
    <w:p w14:paraId="071C133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（5）投标文件及其附件（如果有）；</w:t>
      </w:r>
    </w:p>
    <w:p w14:paraId="64D650A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（6）技术标准和要求；</w:t>
      </w:r>
    </w:p>
    <w:p w14:paraId="10E06E4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 图纸；</w:t>
      </w:r>
    </w:p>
    <w:p w14:paraId="07697BF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（8）其他合同文件。</w:t>
      </w:r>
    </w:p>
    <w:p w14:paraId="4ADE4C5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上述合同文件包括合同当事人就该项合同文件所作出的补充和修改，属于同一类内容的文件，应以最 新签署的为准。</w:t>
      </w:r>
    </w:p>
    <w:p w14:paraId="59DC18B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1.2.2 当合同文件内容含糊不清或不相一致时，在不影响工作正常进行的情况下， 由发包人和勘察人 协商解决。双方协商不成时，按第 16 条〔争议解决〕的约定处理。</w:t>
      </w:r>
    </w:p>
    <w:p w14:paraId="57A9DCE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1.3 适用法律法规、技术标准</w:t>
      </w:r>
    </w:p>
    <w:p w14:paraId="01BEED9C">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1.3.1 适用法律法规</w:t>
      </w:r>
    </w:p>
    <w:p w14:paraId="2143723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本合同文件适用中华人民共和国法律、行政法规、部门规章以及工程所在地的地方性法规、 自治条例、单行条例和地方政府规章等。其他需要明示的规范性文件， 由合同当事人在专用合同条款中约定。</w:t>
      </w:r>
    </w:p>
    <w:p w14:paraId="764866AC">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1.3.2 适用技术标准</w:t>
      </w:r>
    </w:p>
    <w:p w14:paraId="22589F5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适用于工程的现行有效国家标准、行业标准、工程所在地的地方标准以及相应的规范、规程为本合同文件适用的技术标准。合同当事人有特别要求的，应在专用合同条款中约定。</w:t>
      </w:r>
    </w:p>
    <w:p w14:paraId="27651F7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发包人要求使用国外技术标准的，应在专用合同条款中约定所使用技术标准的名称及提供方，并约定技术标准原文版、 中译本的份数、时间及费用承担等事项。</w:t>
      </w:r>
    </w:p>
    <w:p w14:paraId="2094B5A3">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1.4 语言文字</w:t>
      </w:r>
    </w:p>
    <w:p w14:paraId="17EA88A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本合同文件使用汉语语言文字书写、解释和说明。如专用合同条款约定使用两种以上（含两种）语言时，汉语为优先解释和说明本合同的语言。</w:t>
      </w:r>
    </w:p>
    <w:p w14:paraId="128ACD7D">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1.5 联络</w:t>
      </w:r>
    </w:p>
    <w:p w14:paraId="42743C3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1.5.1 与合同有关的批准文件、通知、证明、证书、指示、指令、要求、请求、意见、确定和决定等，均应采用书面形式或合同双方确认的其他形式，并应在合同约定的期限内送达接收人。</w:t>
      </w:r>
    </w:p>
    <w:p w14:paraId="3420E28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1.5.2 发包人和勘察人应在专用合同条款中约定各自的送达接收人、送达形式及联系方式。合同当事人指定的接收人、送达地点或联系方式发生变动的，应提前 3 天以书面形式通知对方，否则视为未发生变动。</w:t>
      </w:r>
    </w:p>
    <w:p w14:paraId="4D8791E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1.5.3 发包人、勘察人应及时签收对方送达至约定送达地点和指定接收人的来往信函；如确有充分证 据证明一方无正当理由拒不签收的，视为拒绝签收一方认可往来信函的内容。</w:t>
      </w:r>
    </w:p>
    <w:p w14:paraId="51491F1A">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1.6 严禁贿赂</w:t>
      </w:r>
    </w:p>
    <w:p w14:paraId="50EF410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合同当事人不得以贿赂或变相贿赂的方式，谋取非法利益或损害对方权益。 因一方的贿赂造成对方损 失的，应赔偿损失并承担相应的法律责任。</w:t>
      </w:r>
    </w:p>
    <w:p w14:paraId="7DF19DCE">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1.7 保密</w:t>
      </w:r>
    </w:p>
    <w:p w14:paraId="279B271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除法律法规规定或合同另有约定外，未经发包人同意，勘察人不得将发包人提供的图纸、文件以及声明需要保密的资料信息等商业秘密泄露给第三方。</w:t>
      </w:r>
    </w:p>
    <w:p w14:paraId="75893FA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除法律法规规定或合同另有约定外，未经勘察人同意，发包人不得将勘察人提供的技术文件、成果资料、技术秘密及声明需要保密的资料信息等商业秘密泄露给第三方。</w:t>
      </w:r>
    </w:p>
    <w:p w14:paraId="45E3FE1F">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b/>
          <w:bCs/>
          <w:color w:val="auto"/>
          <w:highlight w:val="none"/>
        </w:rPr>
        <w:t>第 2 条 发包人</w:t>
      </w:r>
    </w:p>
    <w:p w14:paraId="1ADB6F3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2.1 发包人权利</w:t>
      </w:r>
    </w:p>
    <w:p w14:paraId="56079A5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2.1.1 发包人对勘察人的勘察工作有权依照合同约定实施监督，并对勘察成果予以验收。</w:t>
      </w:r>
    </w:p>
    <w:p w14:paraId="0B3BB18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2.1.2 发包人对勘察人无法胜任工程勘察工作的人员有权提出更换。</w:t>
      </w:r>
    </w:p>
    <w:p w14:paraId="3969CD3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2.1.3 发包人拥有勘察人为其项目编制的所有文件资料的使用权，包括投标文件、成果资料和数据等。</w:t>
      </w:r>
    </w:p>
    <w:p w14:paraId="6BCCC14B">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2.2 发包人义务</w:t>
      </w:r>
    </w:p>
    <w:p w14:paraId="172D033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2.2.1 发包人应以书面形式向勘察人明确勘察任务及技术要求。</w:t>
      </w:r>
    </w:p>
    <w:p w14:paraId="09E9D88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2.2.2 发包人应提供开展工程勘察工作所需要的图纸及技术资料，包括总平面图、地形图、已有水准点和坐标控制点等，若上述资料由勘察人负责搜集时，发包人应承担相关费用。</w:t>
      </w:r>
    </w:p>
    <w:p w14:paraId="1945DCC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2.2.3 发包人应提供工程勘察作业所需的批准及许可文件，包括立项批复、 占用和挖掘道路许可等。</w:t>
      </w:r>
    </w:p>
    <w:p w14:paraId="0205C0C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2.2.4 发包人应为勘察人提供具备条件的作业场地及进场通道（包括土地征用、障碍物清除、场地平整、提供水电接口和青苗赔偿等）并承担相关费用。</w:t>
      </w:r>
    </w:p>
    <w:p w14:paraId="4F3D73D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2.2.5 发包人应为勘察人提供作业场地内地下埋藏物（包括地下管线、地下构筑物等）的资料、图纸，没有资料、图纸的地区，发包人应委托专业机构查清地下埋藏物。若因发包人未提供上述资料、图纸，或提供的资料、 图纸不实，致使勘察人在工程勘察工作过程中发生人身伤害或造成经济损失时，由发包人承担赔偿责任。</w:t>
      </w:r>
    </w:p>
    <w:p w14:paraId="50C6296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2.2.6 发包人应按照法律法规规定为勘察人安全生产提供条件并支付安全生产防护费用，发包人不得要求勘察人违反安全生产管理规定进行作业。</w:t>
      </w:r>
    </w:p>
    <w:p w14:paraId="3D5FDED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2.2.7 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14:paraId="0209DD1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2.2.8 发包人应对勘察人满足质量标准的已完工作，按照合同约定及时支付相应的工程勘察合同价款及费用。</w:t>
      </w:r>
    </w:p>
    <w:p w14:paraId="6BA14E0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2.3 发包人代表</w:t>
      </w:r>
    </w:p>
    <w:p w14:paraId="5E41627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发包人应在专用合同条款中明确其负责工程勘察的发包人代表的姓名、职务、联系方式及授权范围等事项。发包人代表在发包人的授权范围内，负责处理合同履行过程中与发包人有关的具体事宜。</w:t>
      </w:r>
    </w:p>
    <w:p w14:paraId="61450E40">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3 条 勘察人</w:t>
      </w:r>
    </w:p>
    <w:p w14:paraId="1ABE948C">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3.1 勘察人权利</w:t>
      </w:r>
    </w:p>
    <w:p w14:paraId="31F5E3B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3.1.1 勘察人在工程勘察期间，根据项目条件和技术标准、法律法规规定等方面的变化，有权向发包人提出增减合同工作量或修改技术方案的建议。</w:t>
      </w:r>
    </w:p>
    <w:p w14:paraId="4158187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3.1.2 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14:paraId="6C7B6AE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3.1.3 勘察人对其编制的所有文件资料，包括投标文件、成果资料、数据和专利技术等拥有知识产权。</w:t>
      </w:r>
    </w:p>
    <w:p w14:paraId="3456E874">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3.2 勘察人义务</w:t>
      </w:r>
    </w:p>
    <w:p w14:paraId="4B3A80B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3.2.1 勘察人应按勘察任务书和技术要求并依据有关技术标准进行工程勘察工作。</w:t>
      </w:r>
    </w:p>
    <w:p w14:paraId="0F4C3CF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3.2.2 勘察人应建立质量保证体系，按本合同约定的时间提交质量合格的成果资料，并对其质量负责。</w:t>
      </w:r>
    </w:p>
    <w:p w14:paraId="0D62934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3.2.3 勘察人在提交成果资料后，应为发包人继续提供后期服务。</w:t>
      </w:r>
    </w:p>
    <w:p w14:paraId="170F1F5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3.2.4 勘察人在工程勘察期间遇到地下文物时，应及时向发包人和文物主管部门报告并妥善保护。</w:t>
      </w:r>
    </w:p>
    <w:p w14:paraId="2056EC1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3.2.5 勘察人开展工程勘察活动时应遵守有关职业健康及安全生产方面的各项法律法规的规定，采取安全防护措施，确保人员、设备和设施的安全。</w:t>
      </w:r>
    </w:p>
    <w:p w14:paraId="1B8C4FC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3.2.6 勘察人在燃气管道、热力管道、动力设备、输水管道、输电线路、临街交通要道及地下通道（地下隧道）附近等风险性较大的地点， 以及在易燃易爆地段及放射、有毒环境中进行工程勘察作业时，应编制安全防护方案并制定应急预案。</w:t>
      </w:r>
    </w:p>
    <w:p w14:paraId="76D8182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3.2.7 勘察人应在勘察方案中列明环境保护的具体措施，并在合同履行期间采取合理措施保护作业现场环境。</w:t>
      </w:r>
    </w:p>
    <w:p w14:paraId="64D9161F">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3.3 勘察人代表</w:t>
      </w:r>
    </w:p>
    <w:p w14:paraId="4D12558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勘察人接受任务时，应在专用合同条款中明确其负责工程勘察的勘察人代表的姓名、职务、联系方式及授权范围等事项。勘察人代表在勘察人的授权范围内，负责处理合同履行过程中与勘察人有关的具体事宜。</w:t>
      </w:r>
    </w:p>
    <w:p w14:paraId="71699DFC">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b/>
          <w:bCs/>
          <w:color w:val="auto"/>
          <w:highlight w:val="none"/>
        </w:rPr>
        <w:t>第 4 条 工期</w:t>
      </w:r>
    </w:p>
    <w:p w14:paraId="1B1399A7">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4.1 开工及延期开工</w:t>
      </w:r>
    </w:p>
    <w:p w14:paraId="2513D70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4.1.1 勘察人应按合同约定的工期进行工程勘察工作，并接受发包人对工程勘察工作进度的监督、检查。</w:t>
      </w:r>
    </w:p>
    <w:p w14:paraId="3DB9071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4.1.2 因发包人原因不能按照合同约定的日期开工，发包人应以书面形式通知勘察人，推迟开工日期 并相应顺延工期。</w:t>
      </w:r>
    </w:p>
    <w:p w14:paraId="777628D5">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4.2 成果提交日期</w:t>
      </w:r>
    </w:p>
    <w:p w14:paraId="6EF3DE9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勘察人应按照合同约定的日期或双方同意顺延的工期提交成果资料，具体可在专用合同条款中约定。</w:t>
      </w:r>
    </w:p>
    <w:p w14:paraId="0F705E19">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4.3 发包人造成的工期延误</w:t>
      </w:r>
    </w:p>
    <w:p w14:paraId="73F63A0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4.3.1 因以下情形造成工期延误，勘察人有权要求发包人延长工期、增加合同价款和（或）补偿费用：（1）发包人未能按合同约定提供图纸及开工条件；</w:t>
      </w:r>
    </w:p>
    <w:p w14:paraId="446E538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（2）发包人未能按合同约定及时支付定金、预付款和（或）进度款；</w:t>
      </w:r>
    </w:p>
    <w:p w14:paraId="739E1F2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（3）变更导致合同工作量增加；</w:t>
      </w:r>
    </w:p>
    <w:p w14:paraId="78973A3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（4）发包人增加合同工作内容；</w:t>
      </w:r>
    </w:p>
    <w:p w14:paraId="1573D6D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（5）发包人改变工程勘察技术要求；</w:t>
      </w:r>
    </w:p>
    <w:p w14:paraId="6167CE7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（6）发包人导致工期延误的其他情形。</w:t>
      </w:r>
    </w:p>
    <w:p w14:paraId="3F84CC3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4.3.2 除专用合同条款对期限另有约定外，勘察人在第 4.3.1 款情形发生后 7 天内，应就延误的工期以书面形式向发包人提出报告。发包人在收到报告后 7 天内予以确认；逾期不予确认也不提出修改意见，视为同意顺延工期。补偿费用的确认程序参照第 7.1 款〔合同价款与调整〕执行。</w:t>
      </w:r>
    </w:p>
    <w:p w14:paraId="04AD01B2">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4.4 勘察人造成的工期延误</w:t>
      </w:r>
    </w:p>
    <w:p w14:paraId="0F43AED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勘察人因以下情形不能按照合同约定的日期或双方同意顺延的工期提交成果资料的，勘察人承担违约责任：</w:t>
      </w:r>
    </w:p>
    <w:p w14:paraId="6369CC8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（1）勘察人未按合同约定开工日期开展工作造成工期延误的；</w:t>
      </w:r>
    </w:p>
    <w:p w14:paraId="2E1868B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（2）勘察人管理不善、组织不力造成工期延误的；</w:t>
      </w:r>
    </w:p>
    <w:p w14:paraId="1B9BFEF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 因弥补勘察人自身原因导致的质量缺陷而造成工期延误的；</w:t>
      </w:r>
    </w:p>
    <w:p w14:paraId="339B45F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 因勘察人成果资料不合格返工造成工期延误的；</w:t>
      </w:r>
    </w:p>
    <w:p w14:paraId="5CE4FD6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（5）勘察人导致工期延误的其他情形。</w:t>
      </w:r>
    </w:p>
    <w:p w14:paraId="530571A4">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4.5 恶劣气候条件</w:t>
      </w:r>
    </w:p>
    <w:p w14:paraId="1C82DC7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恶劣气候条件影响现场作业，导致现场作业难以进行，造成工期延误的，勘察人有权要求发包人延长工期，具体可参照第 4.3.2 款处理。</w:t>
      </w:r>
    </w:p>
    <w:p w14:paraId="21C67605">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5 条 成果资料</w:t>
      </w:r>
    </w:p>
    <w:p w14:paraId="3BD82494">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5.1 成果质量</w:t>
      </w:r>
    </w:p>
    <w:p w14:paraId="70D6D68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5.1.1 成果质量应符合相关技术标准和深度规定，且满足合同约定的质量要求。</w:t>
      </w:r>
    </w:p>
    <w:p w14:paraId="073A142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5.1.2 双方对工程勘察成果质量有争议时，由双方同意的第三方机构鉴定，所需费用及因此造成的损失，由责任方承担；双方均有责任的，由双方根据其责任分别承担。</w:t>
      </w:r>
    </w:p>
    <w:p w14:paraId="166C23A8">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5.2 成果份数</w:t>
      </w:r>
    </w:p>
    <w:p w14:paraId="156E8B8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勘察人应向发包人提交成果资料四份，发包人要求增加的份数，在专用合同条款中另行约定，发包人另行支付相应的费用。</w:t>
      </w:r>
    </w:p>
    <w:p w14:paraId="757E1F19">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5.3 成果交付</w:t>
      </w:r>
    </w:p>
    <w:p w14:paraId="3B3DED7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勘察人按照约定时间和地点向发包人交付成果资料，发包人应出具书面签收单， 内容包括成果名称、成果组成、成果份数、提交和签收日期、提交人与接收人的亲笔签名等。</w:t>
      </w:r>
    </w:p>
    <w:p w14:paraId="7B6DEB11">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5.4 成果验收</w:t>
      </w:r>
    </w:p>
    <w:p w14:paraId="3AF41FE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勘察人向发包人提交成果资料后，如需对勘察成果组织验收的，发包人应及时组织验收。除专用合同条款对期限另有约定外，发包人 14 天内无正当理由不予组织验收，视为验收通过。</w:t>
      </w:r>
    </w:p>
    <w:p w14:paraId="3E6D5288">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6 条 后期服务</w:t>
      </w:r>
    </w:p>
    <w:p w14:paraId="54F3A857">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6.1 后续技术服务</w:t>
      </w:r>
    </w:p>
    <w:p w14:paraId="3FAA916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勘察人应派专业技术人员为发包人提供后续技术服务，发包人应为其提供必要的工作和生活条件，后续技术服务的内容、费用和时限应由双方在专用合同条款中另行约定。</w:t>
      </w:r>
    </w:p>
    <w:p w14:paraId="3AE14CA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6.2 竣工验收</w:t>
      </w:r>
    </w:p>
    <w:p w14:paraId="6C841FB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工程竣工验收时，勘察人应按发包人要求参加竣工验收工作，并提供竣工验收所需相关资料。</w:t>
      </w:r>
    </w:p>
    <w:p w14:paraId="2F6F934C">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7 条 合同价款与支付</w:t>
      </w:r>
    </w:p>
    <w:p w14:paraId="6D4EB41B">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7.1 合同价款与调整</w:t>
      </w:r>
    </w:p>
    <w:p w14:paraId="6693BD6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7.1.1 依照法定程序进行招标工程的合同价款由发包人和勘察人依据中标价格载明在合同协议书中；</w:t>
      </w:r>
    </w:p>
    <w:p w14:paraId="0F6F620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非招标工程的合同价款由发包人和勘察人议定，并载明在合同协议书中。合同价款在合同协议书中约定后，除合同条款约定的合同价款调整因素外，任何一方不得擅自改变。</w:t>
      </w:r>
    </w:p>
    <w:p w14:paraId="78CFF81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7.1.2 合同当事人可任选下列一种合同价款的形式，双方可在专用合同条款中约定：</w:t>
      </w:r>
    </w:p>
    <w:p w14:paraId="17D19D26">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（1）总价合同</w:t>
      </w:r>
    </w:p>
    <w:p w14:paraId="2C8074B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双方在专用合同条款中约定合同价款包含的风险范围和风险费用的计算方法，在约定的风险范围内合同价款不再调整。风险范围以外的合同价款调整因素和方法，应在专用合同条款中约定。</w:t>
      </w:r>
    </w:p>
    <w:p w14:paraId="5757BCE3">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（2）单价合同</w:t>
      </w:r>
    </w:p>
    <w:p w14:paraId="05C87F5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合同价款根据工作量的变化而调整，合同单价在风险范围内一般不予调整，双方可在专用合同条款中 约定合同单价调整因素和方法。</w:t>
      </w:r>
    </w:p>
    <w:p w14:paraId="141AF6D6">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（3）其他合同价款形式</w:t>
      </w:r>
    </w:p>
    <w:p w14:paraId="3F65B80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合同当事人可在专用合同条款中约定其他合同价格形式。</w:t>
      </w:r>
    </w:p>
    <w:p w14:paraId="0526981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7.1.3 需调整合同价款时，合同一方应及时将调整原因、调整金额以书面形式通知对方，双方共同确 认调整金额后作为追加或减少的合同价款，与进度款同期支付。除专用合同条款对期限另有约定外，一方 在收到对方的通知后 7 天内不予确认也不提出修改意见，视为已经同意该项调整。合同当事人就调整事项 不能达成一致的，则按照第 16 条〔争议解决〕的约定处理。</w:t>
      </w:r>
    </w:p>
    <w:p w14:paraId="0C0380B5">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7.2 定金或预付款</w:t>
      </w:r>
    </w:p>
    <w:p w14:paraId="56B1BD3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7.2.1 实行定金或预付款的，双方应在专用合同条款中约定发包人向勘察人支付定金或预付款数额， 支付时间应不迟于约定的开工日期前 7 天。发包人不按约定支付，勘察人向发包人发出要求支付的通知， 发包人收到通知后仍不能按要求支付，勘察人可在发出通知后推迟开工日期，并由发包人承担违约责任。</w:t>
      </w:r>
    </w:p>
    <w:p w14:paraId="7462DDC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7.2.2 定金或预付款在进度款中抵扣，抵扣办法可在专用合同条款中约定。</w:t>
      </w:r>
    </w:p>
    <w:p w14:paraId="4C6BFBA0">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7.3 进度款支付</w:t>
      </w:r>
    </w:p>
    <w:p w14:paraId="4110333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7.3.1 发包人应按照专用合同条款约定的进度款支付方式、支付条件和支付时间进行支付。</w:t>
      </w:r>
    </w:p>
    <w:p w14:paraId="62C3512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7.3.2 第 7.1 款〔合同价款与调整〕和第 8.2 款〔变更合同价款确定〕确定调整的合同价款及其他条 款中约定的追加或减少的合同价款，应与进度款同期调整支付。</w:t>
      </w:r>
    </w:p>
    <w:p w14:paraId="38B53F9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7.3.3 发包人超过约定的支付时间不支付进度款，勘察人可向发包人发出要求付款的通知，发包人收 到勘察人通知后仍不能按要求付款，可与勘察人协商签订延期付款协议，经勘察人同意后可延期支付。</w:t>
      </w:r>
    </w:p>
    <w:p w14:paraId="4921272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7.3.4 发包人不按合同约定支付进度款，双方又未达成延期付款协议，勘察人可停止工程勘察作业和 后期服务， 由发包人承担违约责任。</w:t>
      </w:r>
    </w:p>
    <w:p w14:paraId="36F4366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7.4 合同价款结算</w:t>
      </w:r>
    </w:p>
    <w:p w14:paraId="608D6C4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除专用合同条款另有约定外，发包人应在勘察人提交成果资料后 28 天内，依据第 7.1 款〔合同价款与 调整〕和第 8.2 款〔变更合同价款确定〕的约定进行最终合同价款确定，并予以全额支付。</w:t>
      </w:r>
    </w:p>
    <w:p w14:paraId="254F4A0C">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8 条 变更与调整</w:t>
      </w:r>
    </w:p>
    <w:p w14:paraId="56C8ABE5">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8.1 变更范围与确认</w:t>
      </w:r>
    </w:p>
    <w:p w14:paraId="5085BA73">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8.1.1 变更范围</w:t>
      </w:r>
    </w:p>
    <w:p w14:paraId="3CF98D9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本合同变更是指在合同签订日后发生的以下变更：</w:t>
      </w:r>
    </w:p>
    <w:p w14:paraId="7B266F0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（1）法律法规及技术标准的变化引起的变更；</w:t>
      </w:r>
    </w:p>
    <w:p w14:paraId="0C5CFB8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（2）规划方案或设计条件的变化引起的变更；</w:t>
      </w:r>
    </w:p>
    <w:p w14:paraId="4D2A3FE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（3）不利物质条件引起的变更；</w:t>
      </w:r>
    </w:p>
    <w:p w14:paraId="44BC711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（4）发包人的要求变化引起的变更；</w:t>
      </w:r>
    </w:p>
    <w:p w14:paraId="25812B5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 因政府临时禁令引起的变更；</w:t>
      </w:r>
    </w:p>
    <w:p w14:paraId="7527DB4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（6）其他专用合同条款中约定的变更。</w:t>
      </w:r>
    </w:p>
    <w:p w14:paraId="21C952A6">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8.1.2 变更确认</w:t>
      </w:r>
    </w:p>
    <w:p w14:paraId="5F33650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当引起变更的情形出现，除专用合同条款对期限另有约定外，勘察人应在 7 天内就调整后的技术方案 以书面形式向发包人提出变更要求，发包人应在收到报告后 7 天内予以确认，逾期不予确认也不提出修改 意见，视为同意变更。</w:t>
      </w:r>
    </w:p>
    <w:p w14:paraId="195C58F2">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8.2 变更合同价款确定</w:t>
      </w:r>
    </w:p>
    <w:p w14:paraId="2632532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8.2.1 变更合同价款按下列方法进行：</w:t>
      </w:r>
    </w:p>
    <w:p w14:paraId="38121C3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（1）合同中已有适用于变更工程的价格，按合同已有的价格变更合同价款；</w:t>
      </w:r>
    </w:p>
    <w:p w14:paraId="56AD08E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（2）合同中只有类似于变更工程的价格，可以参照类似价格变更合同价款；</w:t>
      </w:r>
    </w:p>
    <w:p w14:paraId="52DB8AF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（3）合同中没有适用或类似于变更工程的价格，由勘察人提出适当的变更价格，经发包人确认后执行。</w:t>
      </w:r>
    </w:p>
    <w:p w14:paraId="5032C9B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8.2.2 除专用合同条款对期限另有约定外，一方应在双方确定变更事项后 14 天内向对方提出变更合同 价款报告，否则视为该项变更不涉及合同价款的变更。</w:t>
      </w:r>
    </w:p>
    <w:p w14:paraId="7C009F4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8.2.3 除专用合同条款对期限另有约定外，一方应在收到对方提交的变更合同价款报告之日起 14 天内 予以确认。逾期无正当理由不予确认的，则视为该项变更合同价款报告已被确认。</w:t>
      </w:r>
    </w:p>
    <w:p w14:paraId="2F326F6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8.2.4 一方不同意对方提出的合同价款变更，按第 16 条〔争议解决〕的约定处理。</w:t>
      </w:r>
    </w:p>
    <w:p w14:paraId="5066CC2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8.2.5 因勘察人自身原因导致的变更，勘察人无权要求追加合同价款。</w:t>
      </w:r>
    </w:p>
    <w:p w14:paraId="08D43CCE">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9 条 知识产权</w:t>
      </w:r>
    </w:p>
    <w:p w14:paraId="52768F78">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9.1</w:t>
      </w:r>
      <w:r>
        <w:rPr>
          <w:rFonts w:hint="eastAsia" w:ascii="仿宋" w:hAnsi="仿宋" w:eastAsia="仿宋" w:cs="仿宋"/>
          <w:color w:val="auto"/>
          <w:highlight w:val="none"/>
        </w:rPr>
        <w:t xml:space="preserve"> 除专用合同条款另有约定外，发包人提供给勘察人的图纸、发包人为实施工程自行编制或委托编 制的反映发包人要求或其他类似性质的文件的著作权属于发包人，勘察人可以为实现本合同目的而复制、 使用此类文件，但不能用于与本合同无关的其他事项。未经发包人书面同意，勘察人不得为了本合同以外 的目的而复制、使用上述文件或将之提供给任何第三方。</w:t>
      </w:r>
    </w:p>
    <w:p w14:paraId="46FEACBB">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9.2</w:t>
      </w:r>
      <w:r>
        <w:rPr>
          <w:rFonts w:hint="eastAsia" w:ascii="仿宋" w:hAnsi="仿宋" w:eastAsia="仿宋" w:cs="仿宋"/>
          <w:color w:val="auto"/>
          <w:highlight w:val="none"/>
        </w:rPr>
        <w:t xml:space="preserve"> 除专用合同条款另有约定外，勘察人为实施工程所编制的成果文件的著作权属于勘察人，发包人</w:t>
      </w:r>
    </w:p>
    <w:p w14:paraId="6B21E94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可因本工程的需要而复制、使用此类文件，但不能擅自修改或用于与本合同无关的其他事项。未经勘察人 书面同意，发包人不得为了本合同以外的目的而复制、使用上述文件或将之提供给任何第三方。</w:t>
      </w:r>
    </w:p>
    <w:p w14:paraId="3BA89E99">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9.3</w:t>
      </w:r>
      <w:r>
        <w:rPr>
          <w:rFonts w:hint="eastAsia" w:ascii="仿宋" w:hAnsi="仿宋" w:eastAsia="仿宋" w:cs="仿宋"/>
          <w:color w:val="auto"/>
          <w:highlight w:val="none"/>
        </w:rPr>
        <w:t xml:space="preserve"> 合同当事人保证在履行本合同过程中不侵犯对方及第三方的知识产权。勘察人在工程勘察时， 因 侵犯他人的专利权或其他知识产权所引起的责任， 由勘察人承担； 因发包人提供的基础资料导致侵权的， 由发包人承担责任。</w:t>
      </w:r>
    </w:p>
    <w:p w14:paraId="5EFDBE24">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9.4</w:t>
      </w:r>
      <w:r>
        <w:rPr>
          <w:rFonts w:hint="eastAsia" w:ascii="仿宋" w:hAnsi="仿宋" w:eastAsia="仿宋" w:cs="仿宋"/>
          <w:color w:val="auto"/>
          <w:highlight w:val="none"/>
        </w:rPr>
        <w:t xml:space="preserve"> 在不损害对方利益情况下，合同当事人双方均有权在申报奖项、制作宣传印刷品及出版物时使用 有关项目的文字和图片材料。</w:t>
      </w:r>
    </w:p>
    <w:p w14:paraId="129F54F2">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9.5</w:t>
      </w:r>
      <w:r>
        <w:rPr>
          <w:rFonts w:hint="eastAsia" w:ascii="仿宋" w:hAnsi="仿宋" w:eastAsia="仿宋" w:cs="仿宋"/>
          <w:color w:val="auto"/>
          <w:highlight w:val="none"/>
        </w:rPr>
        <w:t xml:space="preserve"> 除专用合同条款另有约定外，勘察人在合同签订前和签订时已确定采用的专利、专有技术、技术 秘密的使用费已包含在合同价款中。</w:t>
      </w:r>
    </w:p>
    <w:p w14:paraId="478C4E7E">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10 条 不可抗力</w:t>
      </w:r>
    </w:p>
    <w:p w14:paraId="6CFC7CCF">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10.1 不可抗力的确认</w:t>
      </w:r>
    </w:p>
    <w:p w14:paraId="7E7C6B1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10.1.1 不可抗力是在订立合同时不可合理预见，在履行合同中不可避免的发生且不能克服的自然灾害 和社会突发事件，如地震、海啸、瘟疫、洪水、骚乱、暴动、战争以及专用条款约定的其他自然灾害和社  会突发事件。</w:t>
      </w:r>
    </w:p>
    <w:p w14:paraId="47D199F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10.1.2 不可抗力发生后，发包人和勘察人应收集不可抗力发生及造成损失的证据。合同当事双方对是 否属于不可抗力或其损失发生争议时，按第 16 条〔争议解决〕的约定处理。</w:t>
      </w:r>
    </w:p>
    <w:p w14:paraId="0A3114C8">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10.2 不可抗力的通知</w:t>
      </w:r>
    </w:p>
    <w:p w14:paraId="32E2293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10.2.1 遇有不可抗力发生时，发包人和勘察人应立即通知对方，双方应共同采取措施减少损失。除专 用合同条款对期限另有约定外，不可抗力持续发生，勘察人应每隔 7 天向发包人报告一次受害损失情况。</w:t>
      </w:r>
    </w:p>
    <w:p w14:paraId="5C7F41C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10.2.2 除专用合同条款对期限另有约定外，不可抗力结束后 2 天内，勘察人向发包人通报受害损失情 况及预计清理和修复的费用；不可抗力结束后 14 天内，勘察人向发包人提交清理和修复费用的正式报告及 有关资料。</w:t>
      </w:r>
    </w:p>
    <w:p w14:paraId="61613BED">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10.3 不可抗力后果的承担</w:t>
      </w:r>
    </w:p>
    <w:p w14:paraId="23410EC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10.3.1 因不可抗力发生的费用及延误的工期由双方按以下方法分别承担：</w:t>
      </w:r>
    </w:p>
    <w:p w14:paraId="12E050A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（1）发包人和勘察人人员伤亡由合同当事人双方自行负责，并承担相应费用；</w:t>
      </w:r>
    </w:p>
    <w:p w14:paraId="69B00B0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（2）勘察人机械设备损坏及停工损失， 由勘察人承担；</w:t>
      </w:r>
    </w:p>
    <w:p w14:paraId="56BE8CC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（3）停工期间，勘察人应发包人要求留在作业场地的管理人员及保卫人员的费用由发包人承担； （4）作业场地发生的清理、修复费用由发包人承担；</w:t>
      </w:r>
    </w:p>
    <w:p w14:paraId="66E44ED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（5）延误的工期相应顺延。</w:t>
      </w:r>
    </w:p>
    <w:p w14:paraId="596D809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10.3.2 因合同一方迟延履行合同后发生不可抗力的，不能免除迟延履行方的相应责任。</w:t>
      </w:r>
    </w:p>
    <w:p w14:paraId="10DC8B8C">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b/>
          <w:bCs/>
          <w:color w:val="auto"/>
          <w:highlight w:val="none"/>
        </w:rPr>
        <w:t>第 11 条 合同生效与终止</w:t>
      </w:r>
    </w:p>
    <w:p w14:paraId="35D2C9E3">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11.1</w:t>
      </w:r>
      <w:r>
        <w:rPr>
          <w:rFonts w:hint="eastAsia" w:ascii="仿宋" w:hAnsi="仿宋" w:eastAsia="仿宋" w:cs="仿宋"/>
          <w:color w:val="auto"/>
          <w:highlight w:val="none"/>
        </w:rPr>
        <w:t xml:space="preserve"> 双方在合同协议书中约定合同生效方式。</w:t>
      </w:r>
    </w:p>
    <w:p w14:paraId="56FEBD24">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11.2</w:t>
      </w:r>
      <w:r>
        <w:rPr>
          <w:rFonts w:hint="eastAsia" w:ascii="仿宋" w:hAnsi="仿宋" w:eastAsia="仿宋" w:cs="仿宋"/>
          <w:color w:val="auto"/>
          <w:highlight w:val="none"/>
        </w:rPr>
        <w:t xml:space="preserve"> 发包人、勘察人履行合同全部义务，合同价款支付完毕，本合同即告终止。</w:t>
      </w:r>
    </w:p>
    <w:p w14:paraId="6ED65B5D">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11.3</w:t>
      </w:r>
      <w:r>
        <w:rPr>
          <w:rFonts w:hint="eastAsia" w:ascii="仿宋" w:hAnsi="仿宋" w:eastAsia="仿宋" w:cs="仿宋"/>
          <w:color w:val="auto"/>
          <w:highlight w:val="none"/>
        </w:rPr>
        <w:t xml:space="preserve"> 合同的权利义务终止后，合同当事人应遵循诚实信用原则，履行通知、协助和保密等义务。</w:t>
      </w:r>
    </w:p>
    <w:p w14:paraId="59DD0D6C">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12 条 合同解除</w:t>
      </w:r>
    </w:p>
    <w:p w14:paraId="47AD4319">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12.1</w:t>
      </w:r>
      <w:r>
        <w:rPr>
          <w:rFonts w:hint="eastAsia" w:ascii="仿宋" w:hAnsi="仿宋" w:eastAsia="仿宋" w:cs="仿宋"/>
          <w:color w:val="auto"/>
          <w:highlight w:val="none"/>
        </w:rPr>
        <w:t xml:space="preserve"> 有下列情形之一的，发包人、勘察人可以解除合同：</w:t>
      </w:r>
    </w:p>
    <w:p w14:paraId="09620E8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 因不可抗力致使合同无法履行；</w:t>
      </w:r>
    </w:p>
    <w:p w14:paraId="4D548F7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（2）发生未按第 7.2 款〔定金或预付款〕或第 7.3 款〔进度款支付〕约定按时支付合同价款的情况，停止作业超过 28 天，勘察人有权解除合同， 由发包人承担违约责任；</w:t>
      </w:r>
    </w:p>
    <w:p w14:paraId="57F7100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（3）勘察人将其承包的全部工程转包给他人或者肢解以后以分包的名义分别转包给他人，发包人有权 解除合同， 由勘察人承担违约责任；</w:t>
      </w:r>
    </w:p>
    <w:p w14:paraId="18397A2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（4）发包人和勘察人协商一致可以解除合同的其他情形。</w:t>
      </w:r>
    </w:p>
    <w:p w14:paraId="014564C4">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12.2</w:t>
      </w:r>
      <w:r>
        <w:rPr>
          <w:rFonts w:hint="eastAsia" w:ascii="仿宋" w:hAnsi="仿宋" w:eastAsia="仿宋" w:cs="仿宋"/>
          <w:color w:val="auto"/>
          <w:highlight w:val="none"/>
        </w:rPr>
        <w:t xml:space="preserve"> 一方依据第 12.1 款约定要求解除合同的，应以书面形式向对方发出解除合同的通知，并在发出 通知前不少于 14 天告知对方，通知到达对方时合同解除。对解除合同有争议的，按第 16 条〔争议解决〕 的约定处理。</w:t>
      </w:r>
    </w:p>
    <w:p w14:paraId="249D4A8B">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12.3</w:t>
      </w:r>
      <w:r>
        <w:rPr>
          <w:rFonts w:hint="eastAsia" w:ascii="仿宋" w:hAnsi="仿宋" w:eastAsia="仿宋" w:cs="仿宋"/>
          <w:color w:val="auto"/>
          <w:highlight w:val="none"/>
        </w:rPr>
        <w:t xml:space="preserve"> 因不可抗力致使合同无法履行时，发包人应按合同约定向勘察人支付已完工作量相对应比例的合 同价款后解除合同。</w:t>
      </w:r>
    </w:p>
    <w:p w14:paraId="4077B196">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12.4</w:t>
      </w:r>
      <w:r>
        <w:rPr>
          <w:rFonts w:hint="eastAsia" w:ascii="仿宋" w:hAnsi="仿宋" w:eastAsia="仿宋" w:cs="仿宋"/>
          <w:color w:val="auto"/>
          <w:highlight w:val="none"/>
        </w:rPr>
        <w:t xml:space="preserve"> 合同解除后，勘察人应按发包人要求将自有设备和人员撤出作业场地，发包人应为勘察人撤出提 供必要条件。</w:t>
      </w:r>
    </w:p>
    <w:p w14:paraId="5DF011E8">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13 条 责任与保险</w:t>
      </w:r>
    </w:p>
    <w:p w14:paraId="3EA7B511">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13.1</w:t>
      </w:r>
      <w:r>
        <w:rPr>
          <w:rFonts w:hint="eastAsia" w:ascii="仿宋" w:hAnsi="仿宋" w:eastAsia="仿宋" w:cs="仿宋"/>
          <w:color w:val="auto"/>
          <w:highlight w:val="none"/>
        </w:rPr>
        <w:t xml:space="preserve"> 勘察人应运用一切合理的专业技术和经验，按照公认的职业标准尽其全部职责和谨慎、勤勉地履 行其在本合同项下的责任和义务。</w:t>
      </w:r>
    </w:p>
    <w:p w14:paraId="1F6CB41E">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13.2</w:t>
      </w:r>
      <w:r>
        <w:rPr>
          <w:rFonts w:hint="eastAsia" w:ascii="仿宋" w:hAnsi="仿宋" w:eastAsia="仿宋" w:cs="仿宋"/>
          <w:color w:val="auto"/>
          <w:highlight w:val="none"/>
        </w:rPr>
        <w:t xml:space="preserve"> 合同当事人可按照法律法规的要求在专用合同条款中约定履行本合同所需要的工程勘察责任保</w:t>
      </w:r>
    </w:p>
    <w:p w14:paraId="7DDD9D6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险，并使其于合同责任期内保持有效。</w:t>
      </w:r>
    </w:p>
    <w:p w14:paraId="68EC7B77">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13.3</w:t>
      </w:r>
      <w:r>
        <w:rPr>
          <w:rFonts w:hint="eastAsia" w:ascii="仿宋" w:hAnsi="仿宋" w:eastAsia="仿宋" w:cs="仿宋"/>
          <w:color w:val="auto"/>
          <w:highlight w:val="none"/>
        </w:rPr>
        <w:t xml:space="preserve"> 勘察人应依照法律法规的规定为勘察作业人员参加工伤保险、人身意外伤害险和其他保险。</w:t>
      </w:r>
    </w:p>
    <w:p w14:paraId="31CFB092">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14 条 违约</w:t>
      </w:r>
    </w:p>
    <w:p w14:paraId="46FC4EAA">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14.1 发包人违约</w:t>
      </w:r>
    </w:p>
    <w:p w14:paraId="49568BA5">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14.1.1 发包人违约情形</w:t>
      </w:r>
    </w:p>
    <w:p w14:paraId="05CE53F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（1）合同生效后，发包人无故要求终止或解除合同；</w:t>
      </w:r>
    </w:p>
    <w:p w14:paraId="4D9DB0F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（2）发包人未按第 7.2 款〔定金或预付款〕约定按时支付定金或预付款；</w:t>
      </w:r>
    </w:p>
    <w:p w14:paraId="12A9CE7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（3）发包人未按第 7.3 款〔进度款支付〕约定按时支付进度款；</w:t>
      </w:r>
    </w:p>
    <w:p w14:paraId="199AC0D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（4）发包人不履行合同义务或不按合同约定履行义务的其他情形。</w:t>
      </w:r>
    </w:p>
    <w:p w14:paraId="47C53B13">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14.1.2 发包人违约责任</w:t>
      </w:r>
    </w:p>
    <w:p w14:paraId="18B1E6E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（1）合同生效后，发包人无故要求终止或解除合同，勘察人未开始勘察工作的，不退还发包人已付的 定金或发包人按照专用合同条款约定向勘察人支付违约金；勘察人已开始勘察工作的，若完成计划工作量  不足 50%的，发包人应支付勘察人合同价款的 50%;完成计划工作量超过 50%的，发包人应支付勘察人合同价 款的 100%。</w:t>
      </w:r>
    </w:p>
    <w:p w14:paraId="222D87C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（2）发包人发生其他违约情形时，发包人应承担由此增加的费用和工期延误损失，并给予勘察人合理 赔偿。双方可在专用合同条款内约定发包人赔偿勘察人损失的计算方法或者发包人应支付违约金的数额或  计算方法。</w:t>
      </w:r>
    </w:p>
    <w:p w14:paraId="46D2CBC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14.2 勘察人违约</w:t>
      </w:r>
    </w:p>
    <w:p w14:paraId="7F17F93A">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14.2.1 勘察人违约情形</w:t>
      </w:r>
    </w:p>
    <w:p w14:paraId="2F103BB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（1）合同生效后，勘察人因自身原因要求终止或解除合同；</w:t>
      </w:r>
    </w:p>
    <w:p w14:paraId="1EDDBCB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（2）因勘察人原因不能按照合同约定的日期或合同当事人同意顺延的工期提交成果资料；</w:t>
      </w:r>
    </w:p>
    <w:p w14:paraId="77A322B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（3）因勘察人原因造成成果资料质量达不到合同约定的质量标准；</w:t>
      </w:r>
    </w:p>
    <w:p w14:paraId="2F44D2F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（4）勘察人不履行合同义务或未按约定履行合同义务的其他情形。</w:t>
      </w:r>
    </w:p>
    <w:p w14:paraId="6B55A43E">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14.2.2 勘察人违约责任</w:t>
      </w:r>
    </w:p>
    <w:p w14:paraId="265D965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（1）合同生效后，勘察人因自身原因要求终止或解除合同，勘察人应双倍返还发包人已支付的定金或 勘察人按照专用合同条款约定向发包人支付违约金。</w:t>
      </w:r>
    </w:p>
    <w:p w14:paraId="6CF804B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 因勘察人原因造成工期延误的，应按专用合同条款约定向发包人支付违约金。</w:t>
      </w:r>
    </w:p>
    <w:p w14:paraId="590C4B2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（3）因勘察人原因造成成果资料质量达不到合同约定的质量标准，勘察人应负责无偿给予补充完善使 其达到质量合格。 因勘察人原因导致工程质量安全事故或其他事故时，勘察人除负责采取补救措施外，应通过所投工程勘察责任保险向发包人承担赔偿责任或根据直接经济损失程度按专用合同条款约定向发包人 支付赔偿金。</w:t>
      </w:r>
    </w:p>
    <w:p w14:paraId="4C8258A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（4）勘察人发生其他违约情形时，勘察人应承担违约责任并赔偿因其违约给发包人造成的损失，双方 可在专用合同条款内约定勘察人赔偿发包人损失的计算方法和赔偿金额。</w:t>
      </w:r>
    </w:p>
    <w:p w14:paraId="41586B94">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15 条 索赔</w:t>
      </w:r>
    </w:p>
    <w:p w14:paraId="67EC6833">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15.1 发包人索赔</w:t>
      </w:r>
    </w:p>
    <w:p w14:paraId="2BAF495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勘察人未按合同约定履行义务或发生错误以及应由勘察人承担责任的其他情形，造成工期延误及发包 人的经济损失，除专用合同条款另有约定外，发包人可按下列程序以书面形式向勘察人索赔：</w:t>
      </w:r>
    </w:p>
    <w:p w14:paraId="26AF441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（1）违约事件发生后 7 天内， 向勘察人发出索赔意向通知；</w:t>
      </w:r>
    </w:p>
    <w:p w14:paraId="02829CD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（2）发出索赔意向通知后 14 天内， 向勘察人提出经济损失的索赔报告及有关资料；</w:t>
      </w:r>
    </w:p>
    <w:p w14:paraId="5ADE8A8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（3）勘察人在收到发包人送交的索赔报告和有关资料或补充索赔理由、证据后，于 28 天内给予答复；</w:t>
      </w:r>
    </w:p>
    <w:p w14:paraId="6921A7A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（4）勘察人在收到发包人送交的索赔报告和有关资料后 28 天内未予答复或未对发包人作进一步要求， 视为该项索赔已被认可；</w:t>
      </w:r>
    </w:p>
    <w:p w14:paraId="7C99EEB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 当该违约事件持续进行时，发包人应阶段性向勘察人发出索赔意向，在违约事件终了后 21 天内， 向勘察人送交索赔的有关资料和最终索赔报告。索赔答复程序与本款第（3）、（4）项约定相同。</w:t>
      </w:r>
    </w:p>
    <w:p w14:paraId="4D17A80C">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15.2 勘察人索赔</w:t>
      </w:r>
    </w:p>
    <w:p w14:paraId="22E5EB0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发包人未按合同约定履行义务或发生错误以及应由发包人承担责任的其他情形，造成工期延误和（或） 勘察人不能及时得到合同价款及勘察人的经济损失，除专用合同条款另有约定外，勘察人可按下列程序以  书面形式向发包人索赔：</w:t>
      </w:r>
    </w:p>
    <w:p w14:paraId="7057D1C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（1）违约事件发生后 7 天内，勘察人可向发包人发出要求其采取有效措施纠正违约行为的通知；发包 人收到通知 14 天内仍不履行合同义务，勘察人有权停止作业，并向发包人发出索赔意向通知。</w:t>
      </w:r>
    </w:p>
    <w:p w14:paraId="6A4554A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（2）发出索赔意向通知后 14 天内，向发包人提出延长工期和（或）补偿经济损失的索赔报告及有关资料；</w:t>
      </w:r>
    </w:p>
    <w:p w14:paraId="2A56CA1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（3）发包人在收到勘察人送交的索赔报告和有关资料或补充索赔理由、证据后，于 28 天内给予答复；</w:t>
      </w:r>
    </w:p>
    <w:p w14:paraId="5EA8264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（4）发包人在收到勘察人送交的索赔报告和有关资料后 28 天内未予答复或未对勘察人作进一步要求， 视为该项索赔已被认可；</w:t>
      </w:r>
    </w:p>
    <w:p w14:paraId="7DAA812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 当该索赔事件持续进行时，勘察人应阶段性向发包人发出索赔意向，在索赔事件终了后 21 天内， 向发包人送交索赔的有关资料和最终索赔报告。索赔答复程序与本款第（3）、（4）项约定相同。</w:t>
      </w:r>
    </w:p>
    <w:p w14:paraId="5C37EB01">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16 条 争议解决</w:t>
      </w:r>
    </w:p>
    <w:p w14:paraId="76A2202E">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16.1 和解</w:t>
      </w:r>
    </w:p>
    <w:p w14:paraId="2BCE747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因本合同以及与本合同有关事项发生争议的，双方可以就争议自行和解。 自行和解达成协议的，经签 字并盖章后作为合同补充文件，双方均应遵照执行。</w:t>
      </w:r>
    </w:p>
    <w:p w14:paraId="17D8CF4A">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16.2 调解</w:t>
      </w:r>
    </w:p>
    <w:p w14:paraId="7ED66DA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因本合同以及与本合同有关事项发生争议的，双方可以就争议请求行政主管部门、行业协会或其他第 三方进行调解。调解达成协议的，经签字并盖章后作为合同补充文件，双方均应遵照执行。</w:t>
      </w:r>
    </w:p>
    <w:p w14:paraId="14610FBC">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16.3 仲裁或诉讼</w:t>
      </w:r>
    </w:p>
    <w:p w14:paraId="207B3B9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因本合同以及与本合同有关事项发生争议的， 当事人不愿和解、调解或者和解、调解不成的，双方可 以在专用合同条款内约定以下一种方式解决争议：</w:t>
      </w:r>
    </w:p>
    <w:p w14:paraId="7BA5BBB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（1）双方达成仲裁协议， 向约定的仲裁委员会申请仲裁；（2） 向有管辖权的人民法院起诉。</w:t>
      </w:r>
    </w:p>
    <w:p w14:paraId="55B14D69">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17 条 补充条款</w:t>
      </w:r>
    </w:p>
    <w:p w14:paraId="34C6D42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双方根据有关法律法规规定，结合实际经协商一致，可对通用合同条款内容具体化、补充或修改，并 在专用合同条款内约定。</w:t>
      </w:r>
    </w:p>
    <w:p w14:paraId="56E13662">
      <w:pPr>
        <w:spacing w:line="280" w:lineRule="auto"/>
        <w:rPr>
          <w:rFonts w:hint="eastAsia" w:ascii="仿宋" w:hAnsi="仿宋" w:eastAsia="仿宋" w:cs="仿宋"/>
          <w:color w:val="auto"/>
          <w:sz w:val="20"/>
          <w:szCs w:val="20"/>
          <w:highlight w:val="none"/>
        </w:rPr>
        <w:sectPr>
          <w:pgSz w:w="11906" w:h="16839"/>
          <w:pgMar w:top="1134" w:right="1191" w:bottom="1134" w:left="1191" w:header="0" w:footer="706" w:gutter="0"/>
          <w:pgNumType w:fmt="decimal"/>
          <w:cols w:space="720" w:num="1"/>
          <w:rtlGutter w:val="0"/>
          <w:docGrid w:linePitch="0" w:charSpace="0"/>
        </w:sectPr>
      </w:pPr>
    </w:p>
    <w:p w14:paraId="4C9CAEFD">
      <w:pPr>
        <w:pStyle w:val="3"/>
        <w:spacing w:line="240" w:lineRule="auto"/>
        <w:jc w:val="center"/>
        <w:rPr>
          <w:rFonts w:hint="eastAsia" w:ascii="仿宋" w:hAnsi="仿宋" w:eastAsia="仿宋" w:cs="仿宋"/>
          <w:color w:val="auto"/>
          <w:highlight w:val="none"/>
        </w:rPr>
      </w:pPr>
      <w:bookmarkStart w:id="86" w:name="_Toc16559"/>
      <w:r>
        <w:rPr>
          <w:rFonts w:hint="eastAsia" w:ascii="仿宋" w:hAnsi="仿宋" w:eastAsia="仿宋" w:cs="仿宋"/>
          <w:color w:val="auto"/>
          <w:highlight w:val="none"/>
        </w:rPr>
        <w:t>第三部分  专用合同条款</w:t>
      </w:r>
      <w:bookmarkEnd w:id="86"/>
    </w:p>
    <w:p w14:paraId="324D69F6">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 条 一般约定</w:t>
      </w:r>
    </w:p>
    <w:p w14:paraId="143ED16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 词语定义</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58B5B77">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1.2 合同文件及优先解释顺序</w:t>
      </w:r>
    </w:p>
    <w:p w14:paraId="3C9D430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color w:val="auto"/>
          <w:highlight w:val="none"/>
        </w:rPr>
        <w:t>1.2.1 合同文件组成及优先解释顺序：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76433F3">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 适用法律法规、技术标准</w:t>
      </w:r>
    </w:p>
    <w:p w14:paraId="690D215C">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color w:val="auto"/>
          <w:highlight w:val="none"/>
        </w:rPr>
        <w:t>1.3.1 适用法律法规</w:t>
      </w:r>
    </w:p>
    <w:p w14:paraId="14CFEE0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需要明示的规范性文件：</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DE28F7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color w:val="auto"/>
          <w:highlight w:val="none"/>
        </w:rPr>
        <w:t>1.3.2 适用技术标准</w:t>
      </w:r>
    </w:p>
    <w:p w14:paraId="069BBAC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特别要求：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C8C061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使用国外技术标准的名称、提供方、原文版、 中译本的份数、时间及费用承担：</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E83AE41">
      <w:pPr>
        <w:spacing w:line="360" w:lineRule="auto"/>
        <w:ind w:firstLine="281"/>
        <w:rPr>
          <w:rFonts w:hint="eastAsia" w:ascii="仿宋" w:hAnsi="仿宋" w:eastAsia="仿宋" w:cs="仿宋"/>
          <w:b/>
          <w:bCs/>
          <w:color w:val="auto"/>
          <w:highlight w:val="none"/>
        </w:rPr>
      </w:pPr>
      <w:r>
        <w:rPr>
          <w:rFonts w:hint="eastAsia" w:ascii="仿宋" w:hAnsi="仿宋" w:eastAsia="仿宋" w:cs="仿宋"/>
          <w:b/>
          <w:bCs/>
          <w:color w:val="auto"/>
          <w:highlight w:val="none"/>
        </w:rPr>
        <w:t>1.4 语言文字</w:t>
      </w:r>
    </w:p>
    <w:p w14:paraId="43745F9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本合同除使用汉语外，还使用</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语言文字。</w:t>
      </w:r>
    </w:p>
    <w:p w14:paraId="64656855">
      <w:pPr>
        <w:spacing w:line="360" w:lineRule="auto"/>
        <w:ind w:firstLine="281"/>
        <w:rPr>
          <w:rFonts w:hint="eastAsia" w:ascii="仿宋" w:hAnsi="仿宋" w:eastAsia="仿宋" w:cs="仿宋"/>
          <w:b/>
          <w:bCs/>
          <w:color w:val="auto"/>
          <w:highlight w:val="none"/>
        </w:rPr>
      </w:pPr>
      <w:r>
        <w:rPr>
          <w:rFonts w:hint="eastAsia" w:ascii="仿宋" w:hAnsi="仿宋" w:eastAsia="仿宋" w:cs="仿宋"/>
          <w:b/>
          <w:bCs/>
          <w:color w:val="auto"/>
          <w:highlight w:val="none"/>
        </w:rPr>
        <w:t>1.5 联络</w:t>
      </w:r>
    </w:p>
    <w:p w14:paraId="75A57A0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 xml:space="preserve">1.5.1 </w:t>
      </w:r>
      <w:r>
        <w:rPr>
          <w:rFonts w:hint="eastAsia" w:ascii="仿宋" w:hAnsi="仿宋" w:eastAsia="仿宋" w:cs="仿宋"/>
          <w:color w:val="auto"/>
          <w:spacing w:val="9"/>
          <w:sz w:val="20"/>
          <w:szCs w:val="20"/>
          <w:highlight w:val="none"/>
        </w:rPr>
        <w:t>发包人和勘察人应在</w:t>
      </w:r>
      <w:r>
        <w:rPr>
          <w:rFonts w:hint="eastAsia" w:ascii="仿宋" w:hAnsi="仿宋" w:eastAsia="仿宋" w:cs="仿宋"/>
          <w:color w:val="auto"/>
          <w:spacing w:val="9"/>
          <w:sz w:val="20"/>
          <w:szCs w:val="20"/>
          <w:highlight w:val="none"/>
          <w:u w:val="single"/>
        </w:rPr>
        <w:t xml:space="preserve"> 3 </w:t>
      </w:r>
      <w:r>
        <w:rPr>
          <w:rFonts w:hint="eastAsia" w:ascii="仿宋" w:hAnsi="仿宋" w:eastAsia="仿宋" w:cs="仿宋"/>
          <w:color w:val="auto"/>
          <w:spacing w:val="9"/>
          <w:sz w:val="20"/>
          <w:szCs w:val="20"/>
          <w:highlight w:val="none"/>
        </w:rPr>
        <w:t>天内将与合同有关的通知、批准、证明、证书、指示</w:t>
      </w:r>
      <w:r>
        <w:rPr>
          <w:rFonts w:hint="eastAsia" w:ascii="仿宋" w:hAnsi="仿宋" w:eastAsia="仿宋" w:cs="仿宋"/>
          <w:color w:val="auto"/>
          <w:spacing w:val="8"/>
          <w:sz w:val="20"/>
          <w:szCs w:val="20"/>
          <w:highlight w:val="none"/>
        </w:rPr>
        <w:t>、指令、要求、请求、同意、意见、确定和决定等书面函件送达对方当事人。</w:t>
      </w:r>
    </w:p>
    <w:p w14:paraId="4E98B4F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发包人指定的接收人：</w:t>
      </w:r>
      <w:r>
        <w:rPr>
          <w:rFonts w:hint="eastAsia" w:ascii="仿宋" w:hAnsi="仿宋" w:eastAsia="仿宋" w:cs="仿宋"/>
          <w:color w:val="auto"/>
          <w:highlight w:val="none"/>
          <w:u w:val="single"/>
        </w:rPr>
        <w:t xml:space="preserve">                                     </w:t>
      </w:r>
    </w:p>
    <w:p w14:paraId="0B1F7E47">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发包人指定的联系方式：</w:t>
      </w:r>
      <w:r>
        <w:rPr>
          <w:rFonts w:hint="eastAsia" w:ascii="仿宋" w:hAnsi="仿宋" w:eastAsia="仿宋" w:cs="仿宋"/>
          <w:color w:val="auto"/>
          <w:highlight w:val="none"/>
          <w:u w:val="single"/>
        </w:rPr>
        <w:t xml:space="preserve">                                   </w:t>
      </w:r>
    </w:p>
    <w:p w14:paraId="358C4E2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勘察人接收文件的地点：</w:t>
      </w:r>
      <w:r>
        <w:rPr>
          <w:rFonts w:hint="eastAsia" w:ascii="仿宋" w:hAnsi="仿宋" w:eastAsia="仿宋" w:cs="仿宋"/>
          <w:color w:val="auto"/>
          <w:highlight w:val="none"/>
          <w:u w:val="single"/>
        </w:rPr>
        <w:t xml:space="preserve">                                   </w:t>
      </w:r>
    </w:p>
    <w:p w14:paraId="105B2AC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勘察人指定的接收人：</w:t>
      </w:r>
      <w:r>
        <w:rPr>
          <w:rFonts w:hint="eastAsia" w:ascii="仿宋" w:hAnsi="仿宋" w:eastAsia="仿宋" w:cs="仿宋"/>
          <w:color w:val="auto"/>
          <w:highlight w:val="none"/>
          <w:u w:val="single"/>
        </w:rPr>
        <w:t xml:space="preserve">                                     </w:t>
      </w:r>
    </w:p>
    <w:p w14:paraId="43E9969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勘察人指定的联系方式：</w:t>
      </w:r>
      <w:r>
        <w:rPr>
          <w:rFonts w:hint="eastAsia" w:ascii="仿宋" w:hAnsi="仿宋" w:eastAsia="仿宋" w:cs="仿宋"/>
          <w:color w:val="auto"/>
          <w:highlight w:val="none"/>
          <w:u w:val="single"/>
        </w:rPr>
        <w:t xml:space="preserve">                                   </w:t>
      </w:r>
    </w:p>
    <w:p w14:paraId="21C4F22E">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1.7 保密</w:t>
      </w:r>
    </w:p>
    <w:p w14:paraId="62CB426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合同当事人关于保密的约定：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4027F1D">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2 条 发包人</w:t>
      </w:r>
    </w:p>
    <w:p w14:paraId="57D6B878">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2.2 发包人义务</w:t>
      </w:r>
    </w:p>
    <w:p w14:paraId="28774BB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2.2.2 发包人委托勘察人搜集的资料：</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90B90D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2.2.7 发包人对安全文明施工的特别要求：</w:t>
      </w:r>
      <w:r>
        <w:rPr>
          <w:rFonts w:hint="eastAsia" w:ascii="仿宋" w:hAnsi="仿宋" w:eastAsia="仿宋" w:cs="仿宋"/>
          <w:b/>
          <w:bCs/>
          <w:color w:val="auto"/>
          <w:highlight w:val="none"/>
          <w:u w:val="single"/>
        </w:rPr>
        <w:t>满足运输的道路按现状，勘察人运输不得损坏公共道路，如因勘察人原因损坏或污染公共道路，由勘察人负责修复并承担相关费用；</w:t>
      </w:r>
    </w:p>
    <w:p w14:paraId="23385083">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2.3 发包人代表</w:t>
      </w:r>
    </w:p>
    <w:p w14:paraId="4776ECF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联系方式：</w:t>
      </w:r>
      <w:r>
        <w:rPr>
          <w:rFonts w:hint="eastAsia" w:ascii="仿宋" w:hAnsi="仿宋" w:eastAsia="仿宋" w:cs="仿宋"/>
          <w:color w:val="auto"/>
          <w:highlight w:val="none"/>
          <w:u w:val="single"/>
        </w:rPr>
        <w:t xml:space="preserve">                  </w:t>
      </w:r>
    </w:p>
    <w:p w14:paraId="220DCF45">
      <w:pPr>
        <w:spacing w:line="360" w:lineRule="auto"/>
        <w:ind w:firstLine="281"/>
        <w:rPr>
          <w:rFonts w:hint="eastAsia" w:ascii="仿宋" w:hAnsi="仿宋" w:eastAsia="仿宋" w:cs="仿宋"/>
          <w:b/>
          <w:bCs/>
          <w:color w:val="auto"/>
          <w:highlight w:val="none"/>
        </w:rPr>
      </w:pPr>
      <w:r>
        <w:rPr>
          <w:rFonts w:hint="eastAsia" w:ascii="仿宋" w:hAnsi="仿宋" w:eastAsia="仿宋" w:cs="仿宋"/>
          <w:color w:val="auto"/>
          <w:highlight w:val="none"/>
        </w:rPr>
        <w:t>授权范围：</w:t>
      </w:r>
      <w:r>
        <w:rPr>
          <w:rFonts w:hint="eastAsia" w:ascii="仿宋" w:hAnsi="仿宋" w:eastAsia="仿宋" w:cs="仿宋"/>
          <w:b/>
          <w:bCs/>
          <w:color w:val="auto"/>
          <w:highlight w:val="none"/>
          <w:u w:val="single"/>
        </w:rPr>
        <w:t>①督促勘察人按照勘察合同完成工作；②协调各有关单位工作；③工程勘察进度与勘察工程量的确认；④督促并控制勘察工程进度、质量等内容。</w:t>
      </w:r>
    </w:p>
    <w:p w14:paraId="3DAE918C">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3 条 勘察人</w:t>
      </w:r>
    </w:p>
    <w:p w14:paraId="0FB78820">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3.1 勘察人权利</w:t>
      </w:r>
    </w:p>
    <w:p w14:paraId="750B801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3.1.2 关于分包的约定：</w:t>
      </w:r>
      <w:r>
        <w:rPr>
          <w:rFonts w:hint="eastAsia" w:ascii="仿宋" w:hAnsi="仿宋" w:eastAsia="仿宋" w:cs="仿宋"/>
          <w:b/>
          <w:bCs/>
          <w:color w:val="auto"/>
          <w:highlight w:val="none"/>
          <w:u w:val="single"/>
        </w:rPr>
        <w:t>不允许分包。</w:t>
      </w:r>
    </w:p>
    <w:p w14:paraId="12E637C2">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3.3 勘察人代表</w:t>
      </w:r>
    </w:p>
    <w:p w14:paraId="0D07197C">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联系方式：</w:t>
      </w:r>
      <w:r>
        <w:rPr>
          <w:rFonts w:hint="eastAsia" w:ascii="仿宋" w:hAnsi="仿宋" w:eastAsia="仿宋" w:cs="仿宋"/>
          <w:color w:val="auto"/>
          <w:highlight w:val="none"/>
          <w:u w:val="single"/>
        </w:rPr>
        <w:t xml:space="preserve">                   </w:t>
      </w:r>
    </w:p>
    <w:p w14:paraId="3DC3D93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授权范围：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378C141">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4 条 工期</w:t>
      </w:r>
    </w:p>
    <w:p w14:paraId="123408C4">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4.2 成果提交日期</w:t>
      </w:r>
    </w:p>
    <w:p w14:paraId="1F7241C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双方约定工期顺延的其他情况：</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2A51760">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4.3 发包人造成的工期延误</w:t>
      </w:r>
    </w:p>
    <w:p w14:paraId="025AFA3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4.3.2 双方就工期顺延确定期限的约定：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C857D90">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5 条 成果资料</w:t>
      </w:r>
    </w:p>
    <w:p w14:paraId="089BAA3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5.2 成果份数</w:t>
      </w:r>
    </w:p>
    <w:p w14:paraId="5EA77C5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勘察人应向发包人提交成果资料四份，发包人要求增加的份数到</w:t>
      </w:r>
      <w:r>
        <w:rPr>
          <w:rFonts w:hint="eastAsia" w:ascii="仿宋" w:hAnsi="仿宋" w:eastAsia="仿宋" w:cs="仿宋"/>
          <w:color w:val="auto"/>
          <w:highlight w:val="none"/>
          <w:u w:val="single"/>
        </w:rPr>
        <w:t xml:space="preserve"> 八 </w:t>
      </w:r>
      <w:r>
        <w:rPr>
          <w:rFonts w:hint="eastAsia" w:ascii="仿宋" w:hAnsi="仿宋" w:eastAsia="仿宋" w:cs="仿宋"/>
          <w:color w:val="auto"/>
          <w:highlight w:val="none"/>
        </w:rPr>
        <w:t>份，发包人不另行支付费用。</w:t>
      </w:r>
    </w:p>
    <w:p w14:paraId="30373E6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发包人要求勘察人提交电子版勘察文件的具体形式为：</w:t>
      </w:r>
      <w:r>
        <w:rPr>
          <w:rFonts w:hint="eastAsia" w:ascii="仿宋" w:hAnsi="仿宋" w:eastAsia="仿宋" w:cs="仿宋"/>
          <w:color w:val="auto"/>
          <w:highlight w:val="none"/>
          <w:u w:val="single"/>
        </w:rPr>
        <w:t>可编辑的</w:t>
      </w:r>
      <w:r>
        <w:rPr>
          <w:rFonts w:hint="eastAsia" w:ascii="仿宋" w:hAnsi="仿宋" w:eastAsia="仿宋" w:cs="仿宋"/>
          <w:color w:val="auto"/>
          <w:highlight w:val="none"/>
          <w:u w:val="single"/>
          <w:lang w:val="en-US" w:eastAsia="zh-CN"/>
        </w:rPr>
        <w:t>CAD、</w:t>
      </w:r>
      <w:r>
        <w:rPr>
          <w:rFonts w:hint="eastAsia" w:ascii="仿宋" w:hAnsi="仿宋" w:eastAsia="仿宋" w:cs="仿宋"/>
          <w:color w:val="auto"/>
          <w:highlight w:val="none"/>
          <w:u w:val="single"/>
        </w:rPr>
        <w:t xml:space="preserve"> PDF电子版</w:t>
      </w:r>
      <w:r>
        <w:rPr>
          <w:rFonts w:hint="eastAsia" w:ascii="仿宋" w:hAnsi="仿宋" w:eastAsia="仿宋" w:cs="仿宋"/>
          <w:color w:val="auto"/>
          <w:highlight w:val="none"/>
        </w:rPr>
        <w:t>。</w:t>
      </w:r>
    </w:p>
    <w:p w14:paraId="48575854">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5.4 成果验收</w:t>
      </w:r>
    </w:p>
    <w:p w14:paraId="5F3DCD3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双方就成果验收期限的约定：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5799468">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6 条 后期服务</w:t>
      </w:r>
    </w:p>
    <w:p w14:paraId="5018A1C4">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6.1 后续技术服务</w:t>
      </w:r>
    </w:p>
    <w:p w14:paraId="15321896">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后续技术服务内容约定:</w:t>
      </w:r>
      <w:r>
        <w:rPr>
          <w:rFonts w:hint="eastAsia" w:ascii="仿宋" w:hAnsi="仿宋" w:eastAsia="仿宋" w:cs="仿宋"/>
          <w:color w:val="auto"/>
          <w:highlight w:val="none"/>
          <w:u w:val="single"/>
        </w:rPr>
        <w:t xml:space="preserve">                                       </w:t>
      </w:r>
    </w:p>
    <w:p w14:paraId="64C6B4BD">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后续技术服务费用约定：</w:t>
      </w:r>
      <w:r>
        <w:rPr>
          <w:rFonts w:hint="eastAsia" w:ascii="仿宋" w:hAnsi="仿宋" w:eastAsia="仿宋" w:cs="仿宋"/>
          <w:color w:val="auto"/>
          <w:highlight w:val="none"/>
          <w:u w:val="single"/>
        </w:rPr>
        <w:t xml:space="preserve">                                      </w:t>
      </w:r>
    </w:p>
    <w:p w14:paraId="74D21271">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后续技术服务时限约定：</w:t>
      </w:r>
      <w:r>
        <w:rPr>
          <w:rFonts w:hint="eastAsia" w:ascii="仿宋" w:hAnsi="仿宋" w:eastAsia="仿宋" w:cs="仿宋"/>
          <w:color w:val="auto"/>
          <w:highlight w:val="none"/>
          <w:u w:val="single"/>
        </w:rPr>
        <w:t xml:space="preserve">                                       </w:t>
      </w:r>
    </w:p>
    <w:p w14:paraId="3CF09FB7">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7 条 合同价款与支付</w:t>
      </w:r>
    </w:p>
    <w:p w14:paraId="0F3C948E">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7.1 合同价款与调整</w:t>
      </w:r>
    </w:p>
    <w:p w14:paraId="75BEE14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7.1.1 双方约定的合同价款调整因素和方法：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789B84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7.1.2 本合同价款采用  （1）   方式确定。</w:t>
      </w:r>
    </w:p>
    <w:p w14:paraId="137C483F">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color w:val="auto"/>
          <w:highlight w:val="none"/>
        </w:rPr>
        <w:t>（1）采用总价合同，合同价款中包括的风险范围：</w:t>
      </w:r>
      <w:r>
        <w:rPr>
          <w:rFonts w:hint="eastAsia" w:ascii="仿宋" w:hAnsi="仿宋" w:eastAsia="仿宋" w:cs="仿宋"/>
          <w:b/>
          <w:bCs/>
          <w:color w:val="auto"/>
          <w:highlight w:val="none"/>
          <w:u w:val="single"/>
        </w:rPr>
        <w:t>结算时，勘察费结算价=概算审定的勘察费×（1-勘察费中标下浮率）</w:t>
      </w:r>
      <w:r>
        <w:rPr>
          <w:rFonts w:hint="eastAsia" w:ascii="仿宋" w:hAnsi="仿宋" w:eastAsia="仿宋" w:cs="仿宋"/>
          <w:b/>
          <w:bCs/>
          <w:color w:val="auto"/>
          <w:highlight w:val="none"/>
          <w:u w:val="single"/>
          <w:lang w:eastAsia="zh-CN"/>
        </w:rPr>
        <w:t>，但不超中标价</w:t>
      </w:r>
      <w:r>
        <w:rPr>
          <w:rFonts w:hint="eastAsia" w:ascii="仿宋" w:hAnsi="仿宋" w:eastAsia="仿宋" w:cs="仿宋"/>
          <w:b/>
          <w:bCs/>
          <w:color w:val="auto"/>
          <w:highlight w:val="none"/>
          <w:u w:val="single"/>
        </w:rPr>
        <w:t>。</w:t>
      </w:r>
    </w:p>
    <w:p w14:paraId="4BAA801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风险费用的计算方法：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597835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风险范围以外合同价款调整因素和方法：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35E125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（2）采用单价合同，合同价款中包括的风险范围：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F06886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风险范围以外合同单价调整因素和方法：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9D4CB0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（3）采用的其他合同价款形式及调整因素和方法：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2F029D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7.1.3 双方就合同价款调整确认期限的约定：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DD88D81">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7.2 定金或预付款</w:t>
      </w:r>
    </w:p>
    <w:p w14:paraId="5B722E2F">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color w:val="auto"/>
          <w:highlight w:val="none"/>
        </w:rPr>
        <w:t>7.2.1 发包人向勘察人支付定金金额: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或预付款的金额：</w:t>
      </w:r>
      <w:r>
        <w:rPr>
          <w:rFonts w:hint="eastAsia" w:ascii="仿宋" w:hAnsi="仿宋" w:eastAsia="仿宋" w:cs="仿宋"/>
          <w:b/>
          <w:bCs/>
          <w:color w:val="auto"/>
          <w:highlight w:val="none"/>
          <w:u w:val="single"/>
        </w:rPr>
        <w:t>勘察费合同价的 30%，合同生效并提交完整的支付申请资料后</w:t>
      </w:r>
      <w:r>
        <w:rPr>
          <w:rFonts w:hint="eastAsia" w:ascii="仿宋" w:hAnsi="仿宋" w:eastAsia="仿宋" w:cs="仿宋"/>
          <w:b/>
          <w:bCs/>
          <w:color w:val="auto"/>
          <w:highlight w:val="none"/>
          <w:u w:val="single"/>
          <w:lang w:val="en-US" w:eastAsia="zh-CN"/>
        </w:rPr>
        <w:t>15个工作日内</w:t>
      </w:r>
      <w:r>
        <w:rPr>
          <w:rFonts w:hint="eastAsia" w:ascii="仿宋" w:hAnsi="仿宋" w:eastAsia="仿宋" w:cs="仿宋"/>
          <w:b/>
          <w:bCs/>
          <w:color w:val="auto"/>
          <w:highlight w:val="none"/>
          <w:u w:val="single"/>
        </w:rPr>
        <w:t>支付。</w:t>
      </w:r>
    </w:p>
    <w:p w14:paraId="2C116CC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7.2.2 定金或预付款在进度款中的抵扣办法：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9F91ED7">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7.3 进度款支付</w:t>
      </w:r>
    </w:p>
    <w:p w14:paraId="3BA0EEA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7.3.1 双方约定的进度款支付方式、支付条件和支付时间：</w:t>
      </w:r>
    </w:p>
    <w:p w14:paraId="5FF49BF1">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(1) 勘察人提交勘察成果资料且审核的概算批复后1</w:t>
      </w:r>
      <w:r>
        <w:rPr>
          <w:rFonts w:hint="eastAsia" w:ascii="仿宋" w:hAnsi="仿宋" w:eastAsia="仿宋" w:cs="仿宋"/>
          <w:b/>
          <w:bCs/>
          <w:color w:val="auto"/>
          <w:highlight w:val="none"/>
          <w:u w:val="single"/>
          <w:lang w:eastAsia="zh-CN"/>
        </w:rPr>
        <w:t>5</w:t>
      </w:r>
      <w:r>
        <w:rPr>
          <w:rFonts w:hint="eastAsia" w:ascii="仿宋" w:hAnsi="仿宋" w:eastAsia="仿宋" w:cs="仿宋"/>
          <w:b/>
          <w:bCs/>
          <w:color w:val="auto"/>
          <w:highlight w:val="none"/>
          <w:u w:val="single"/>
        </w:rPr>
        <w:t>个工作日内，发包人累计支付至勘察合同价的70%；</w:t>
      </w:r>
    </w:p>
    <w:p w14:paraId="64D50FF8">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(2) 勘察人提交的勘察成果资料通过图审后1</w:t>
      </w:r>
      <w:r>
        <w:rPr>
          <w:rFonts w:hint="eastAsia" w:ascii="仿宋" w:hAnsi="仿宋" w:eastAsia="仿宋" w:cs="仿宋"/>
          <w:b/>
          <w:bCs/>
          <w:color w:val="auto"/>
          <w:highlight w:val="none"/>
          <w:u w:val="single"/>
          <w:lang w:eastAsia="zh-CN"/>
        </w:rPr>
        <w:t>5</w:t>
      </w:r>
      <w:r>
        <w:rPr>
          <w:rFonts w:hint="eastAsia" w:ascii="仿宋" w:hAnsi="仿宋" w:eastAsia="仿宋" w:cs="仿宋"/>
          <w:b/>
          <w:bCs/>
          <w:color w:val="auto"/>
          <w:highlight w:val="none"/>
          <w:u w:val="single"/>
        </w:rPr>
        <w:t>个工作日内，发包人累计支付至勘察合同价的90%；</w:t>
      </w:r>
    </w:p>
    <w:p w14:paraId="688B32A2">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(3) 工程竣工验收后15个工作日内，发包人支付剩余全部勘察费给勘察单位。</w:t>
      </w:r>
    </w:p>
    <w:p w14:paraId="268B20E4">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注：如果本项目不需要第三方公司图纸审查则（1）和（2）合并支付。</w:t>
      </w:r>
    </w:p>
    <w:p w14:paraId="2E19C81E">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补充事项:</w:t>
      </w:r>
    </w:p>
    <w:p w14:paraId="4529E7B6">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（1）项目若发包人因土地征用、拆迁、后续建设资金未落实的造成工程工期延误，工期应按规定进行调整、延长，不因工期影响而增加相关酬金、不得追究发包人任何经济赔偿等索赔事项。</w:t>
      </w:r>
    </w:p>
    <w:p w14:paraId="4897E33B">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（2）项目若发包人因建设资金未落实的造成工程终止，双方协商应无偿终止并解除合同；签订解除合同后，中标的勘察、设计单位不得追究发包人任何经济赔偿等索赔事项。</w:t>
      </w:r>
    </w:p>
    <w:p w14:paraId="4497ECEC">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（3）勘察资料须按发包人或政府主管部门的要求无条件进行优化勘察、变更勘察等，优化勘察、变更勘察等不增加勘察费。</w:t>
      </w:r>
    </w:p>
    <w:p w14:paraId="52604718">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7.4 合同价款结算</w:t>
      </w:r>
    </w:p>
    <w:p w14:paraId="5F99CB23">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color w:val="auto"/>
          <w:highlight w:val="none"/>
        </w:rPr>
        <w:t>最终合同价款支付的约定：</w:t>
      </w:r>
      <w:r>
        <w:rPr>
          <w:rFonts w:hint="eastAsia" w:ascii="仿宋" w:hAnsi="仿宋" w:eastAsia="仿宋" w:cs="仿宋"/>
          <w:b/>
          <w:bCs/>
          <w:color w:val="auto"/>
          <w:highlight w:val="none"/>
          <w:u w:val="single"/>
        </w:rPr>
        <w:t>本项目竣工验收并提交相关资料后</w:t>
      </w:r>
      <w:r>
        <w:rPr>
          <w:rFonts w:hint="eastAsia" w:ascii="仿宋" w:hAnsi="仿宋" w:eastAsia="仿宋" w:cs="仿宋"/>
          <w:b/>
          <w:bCs/>
          <w:color w:val="auto"/>
          <w:highlight w:val="none"/>
          <w:u w:val="single"/>
          <w:lang w:val="en-US" w:eastAsia="zh-CN"/>
        </w:rPr>
        <w:t>15个工作日内</w:t>
      </w:r>
      <w:r>
        <w:rPr>
          <w:rFonts w:hint="eastAsia" w:ascii="仿宋" w:hAnsi="仿宋" w:eastAsia="仿宋" w:cs="仿宋"/>
          <w:b/>
          <w:bCs/>
          <w:color w:val="auto"/>
          <w:highlight w:val="none"/>
          <w:u w:val="single"/>
        </w:rPr>
        <w:t>，支付至勘察费</w:t>
      </w:r>
      <w:r>
        <w:rPr>
          <w:rFonts w:hint="eastAsia" w:ascii="仿宋" w:hAnsi="仿宋" w:eastAsia="仿宋" w:cs="仿宋"/>
          <w:b/>
          <w:bCs/>
          <w:color w:val="auto"/>
          <w:highlight w:val="none"/>
          <w:u w:val="single"/>
          <w:lang w:eastAsia="zh-CN"/>
        </w:rPr>
        <w:t>结算</w:t>
      </w:r>
      <w:r>
        <w:rPr>
          <w:rFonts w:hint="eastAsia" w:ascii="仿宋" w:hAnsi="仿宋" w:eastAsia="仿宋" w:cs="仿宋"/>
          <w:b/>
          <w:bCs/>
          <w:color w:val="auto"/>
          <w:highlight w:val="none"/>
          <w:u w:val="single"/>
        </w:rPr>
        <w:t>价的 100%；勘察费结算时，勘察费结算价=概算审定的勘察费×（1-勘察费中标下浮率），但不超中标价。</w:t>
      </w:r>
    </w:p>
    <w:p w14:paraId="1C9A0610">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8 条 变更与调整</w:t>
      </w:r>
    </w:p>
    <w:p w14:paraId="6EA06BED">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8.1  变更范围与确认</w:t>
      </w:r>
    </w:p>
    <w:p w14:paraId="40DFA5FA">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8.1.1 变更范围</w:t>
      </w:r>
    </w:p>
    <w:p w14:paraId="733597A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变更范围的其他约定：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2CFEA25">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8.1.2 变更确认</w:t>
      </w:r>
    </w:p>
    <w:p w14:paraId="2644FFB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变更提出和确认期限的约定：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2B5E17F">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8.2  变更合同价款确定</w:t>
      </w:r>
    </w:p>
    <w:p w14:paraId="4B5C69A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8.2.2 提出变更合同价款报告期限的约定：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6CBC31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8.2.3 确认变更合同价款报告时限的约定：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733F2E9">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9 条 知识产权</w:t>
      </w:r>
    </w:p>
    <w:p w14:paraId="53BD4751">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9.1</w:t>
      </w:r>
      <w:r>
        <w:rPr>
          <w:rFonts w:hint="eastAsia" w:ascii="仿宋" w:hAnsi="仿宋" w:eastAsia="仿宋" w:cs="仿宋"/>
          <w:color w:val="auto"/>
          <w:highlight w:val="none"/>
        </w:rPr>
        <w:t xml:space="preserve"> 关于发包人提供给勘察人的图纸、发包人为实施工程自行编制或委托编制的反映发包人要求或其他 类似性质的文件的著作权的归属：发包人。</w:t>
      </w:r>
    </w:p>
    <w:p w14:paraId="70929E1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关于发包人提供的上述文件的使用限制的要求：仅限于本项目使用。</w:t>
      </w:r>
    </w:p>
    <w:p w14:paraId="22549539">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9.2</w:t>
      </w:r>
      <w:r>
        <w:rPr>
          <w:rFonts w:hint="eastAsia" w:ascii="仿宋" w:hAnsi="仿宋" w:eastAsia="仿宋" w:cs="仿宋"/>
          <w:color w:val="auto"/>
          <w:highlight w:val="none"/>
        </w:rPr>
        <w:t xml:space="preserve"> 关于勘察人为实施工程所编制文件的著作权的归属：发包人。</w:t>
      </w:r>
    </w:p>
    <w:p w14:paraId="0BFB7F4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关于勘察人提供的上述文件的使用限制的要求：仅限于本项目使用。</w:t>
      </w:r>
    </w:p>
    <w:p w14:paraId="1BB37314">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9.5</w:t>
      </w:r>
      <w:r>
        <w:rPr>
          <w:rFonts w:hint="eastAsia" w:ascii="仿宋" w:hAnsi="仿宋" w:eastAsia="仿宋" w:cs="仿宋"/>
          <w:color w:val="auto"/>
          <w:highlight w:val="none"/>
        </w:rPr>
        <w:t xml:space="preserve">  勘察人在工作过程中所采用的专利、专有技术、技术秘密的使用费的承担方式：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62036CA">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b/>
          <w:bCs/>
          <w:color w:val="auto"/>
          <w:highlight w:val="none"/>
        </w:rPr>
        <w:t>第 10 条 不可抗力</w:t>
      </w:r>
    </w:p>
    <w:p w14:paraId="0BE711DF">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10.1 不可抗力的确认</w:t>
      </w:r>
    </w:p>
    <w:p w14:paraId="342B8FF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10.1.1 双方关于不可抗力的其他约定（如政府临时禁令）：</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7592D71">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10.2 不可抗力的通知</w:t>
      </w:r>
    </w:p>
    <w:p w14:paraId="1107B4F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10.2.1 不可抗力持续发生，勘察人报告受害损失期限的约定：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E18EE1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10.2.2 勘察人向发包人通报受害损失情况及费用期限的约定：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9BBB81E">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13 条 责任与保险</w:t>
      </w:r>
    </w:p>
    <w:p w14:paraId="3D7698B9">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13.2 工程勘察责任保险的约定</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E0808AF">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14 条 违约</w:t>
      </w:r>
    </w:p>
    <w:p w14:paraId="748FBD0B">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14.1 发包人违约</w:t>
      </w:r>
    </w:p>
    <w:p w14:paraId="397987F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14.1.2 发包人违约责任</w:t>
      </w:r>
    </w:p>
    <w:p w14:paraId="25C4D88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（1）发包人支付勘察人的违约金：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B846D2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（2）发包人发生其他违约情形应承担的违约责任：</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72868EF">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14.2 勘察人违约</w:t>
      </w:r>
    </w:p>
    <w:p w14:paraId="7D2C7F3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14.2.2 勘察人违约责任</w:t>
      </w:r>
    </w:p>
    <w:p w14:paraId="069E142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（1）勘察人支付发包人的违约金：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2A278A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（2）勘察人造成工期延误应承担的违约责任：</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F8BC6B0">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color w:val="auto"/>
          <w:highlight w:val="none"/>
        </w:rPr>
        <w:t>（3）因勘察人原因导致工程质量安全事故或其他事故时的赔偿金上限：</w:t>
      </w:r>
      <w:r>
        <w:rPr>
          <w:rFonts w:hint="eastAsia" w:ascii="仿宋" w:hAnsi="仿宋" w:eastAsia="仿宋" w:cs="仿宋"/>
          <w:b/>
          <w:bCs/>
          <w:color w:val="auto"/>
          <w:highlight w:val="none"/>
          <w:u w:val="single"/>
        </w:rPr>
        <w:t>承包人除负责采取补救措施外，应免收受损失部分的勘察费，赔偿金=直接经济损失×正常工作酬金÷工程概算投资额（或建筑安装工程费）。</w:t>
      </w:r>
    </w:p>
    <w:p w14:paraId="70CB1ED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（4）勘察人发生其他违约情形应承担的违约责任：</w:t>
      </w:r>
    </w:p>
    <w:p w14:paraId="5658F689">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①由于勘察人原因工程勘察质量达不到约定的质量标准，不合格的勘察工程不予办理结算及支付勘察款，并承担给发包人造成的一切经济损失，直至追究法律责任。勘察人勘察质量不合格的损失赔偿责任上限为勘察费合同签约价。</w:t>
      </w:r>
    </w:p>
    <w:p w14:paraId="6116F963">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②因勘察人原因不能按合同约定的日期或发包人签证同意顺延的工期完成的，超过合同规定工期，勘察人向发包人支付赔偿金以 2000 元/日计算，最高赔偿金额不超过合同总价的 3％ 。</w:t>
      </w:r>
    </w:p>
    <w:p w14:paraId="0866C0AC">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③勘察人派出参加发包人有关会议的项目负责人员与投标文件承诺人员不符的，处以 2000 元/次罚款，累计超过 3 次的，暂停当期工程勘察款支付；累计超过 5 次的，视为勘察人严重违约，发包人有权 要求其承担合同价款 3％的违约责任，并解除合同。</w:t>
      </w:r>
    </w:p>
    <w:p w14:paraId="6E99FD50">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④在本工程勘察过程中，由于勘察人质量问题、安全事故、劳务纠纷、拖欠民工工资等，受到报纸、电视等媒体的曝光或政府有关主管部门的通报批评，给发包人的形象和声誉造成损失，每发生一次则由勘察人向发包人支付 2 万元作为违约金，并应采取积极措施消除不良影响。</w:t>
      </w:r>
    </w:p>
    <w:p w14:paraId="13E4EE4B">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⑤关于承包人违约解除合同的特别约定：</w:t>
      </w:r>
    </w:p>
    <w:p w14:paraId="4C832F8C">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勘察人有下列情形之一者，发包人可以解除合同：</w:t>
      </w:r>
    </w:p>
    <w:p w14:paraId="00962A39">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勘察人未能在规定的开工期限内开工，经发包人催告后的 7 天内仍未开工的；</w:t>
      </w:r>
    </w:p>
    <w:p w14:paraId="36FD328D">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勘察人破产或清偿的，但为机构重组或联合的目的除外；</w:t>
      </w:r>
    </w:p>
    <w:p w14:paraId="3DCA504E">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勘察人拖延完工而可偿付的误期赔偿费已达专用条款约定最高限额的；</w:t>
      </w:r>
    </w:p>
    <w:p w14:paraId="39E95C08">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勘察人明确表示不履行合同规定主要义务的；</w:t>
      </w:r>
    </w:p>
    <w:p w14:paraId="6A7DD52D">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勘察人未遵守合同约定或发包人的指令，经发包人书面指出后仍未按要求改正的； 合同约定的勘察人严重违约的其他情形。</w:t>
      </w:r>
    </w:p>
    <w:p w14:paraId="7FB3E604">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15 条 索赔</w:t>
      </w:r>
    </w:p>
    <w:p w14:paraId="4D32E795">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15.1 发包人索赔</w:t>
      </w:r>
    </w:p>
    <w:p w14:paraId="52BBC43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索赔程序和期限的约定：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FE1BAF4">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15.2 勘察人索赔</w:t>
      </w:r>
    </w:p>
    <w:p w14:paraId="00F48C2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索赔程序和期限的约定：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C4A2A4F">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第 16 条 争议解决</w:t>
      </w:r>
    </w:p>
    <w:p w14:paraId="62D4F2F8">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16.3 仲裁或诉讼</w:t>
      </w:r>
    </w:p>
    <w:p w14:paraId="2FD2021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双方约定在履行合同过程中产生争议时，采取下列第</w:t>
      </w:r>
      <w:r>
        <w:rPr>
          <w:rFonts w:hint="eastAsia" w:ascii="仿宋" w:hAnsi="仿宋" w:eastAsia="仿宋" w:cs="仿宋"/>
          <w:color w:val="auto"/>
          <w:highlight w:val="none"/>
          <w:u w:val="single"/>
        </w:rPr>
        <w:t xml:space="preserve">   （2）    </w:t>
      </w:r>
      <w:r>
        <w:rPr>
          <w:rFonts w:hint="eastAsia" w:ascii="仿宋" w:hAnsi="仿宋" w:eastAsia="仿宋" w:cs="仿宋"/>
          <w:color w:val="auto"/>
          <w:highlight w:val="none"/>
        </w:rPr>
        <w:t>种方式解决：</w:t>
      </w:r>
    </w:p>
    <w:p w14:paraId="510E485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 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仲裁委员会提请仲裁；</w:t>
      </w:r>
    </w:p>
    <w:p w14:paraId="3C4148D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 向</w:t>
      </w:r>
      <w:r>
        <w:rPr>
          <w:rFonts w:hint="eastAsia" w:ascii="仿宋" w:hAnsi="仿宋" w:eastAsia="仿宋" w:cs="仿宋"/>
          <w:b/>
          <w:bCs/>
          <w:color w:val="auto"/>
          <w:highlight w:val="none"/>
          <w:u w:val="single"/>
        </w:rPr>
        <w:t>工程所在地有管辖权</w:t>
      </w:r>
      <w:r>
        <w:rPr>
          <w:rFonts w:hint="eastAsia" w:ascii="仿宋" w:hAnsi="仿宋" w:eastAsia="仿宋" w:cs="仿宋"/>
          <w:color w:val="auto"/>
          <w:highlight w:val="none"/>
        </w:rPr>
        <w:t>人民法院提起诉讼。</w:t>
      </w:r>
    </w:p>
    <w:p w14:paraId="4E7F329E">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b/>
          <w:bCs/>
          <w:color w:val="auto"/>
          <w:highlight w:val="none"/>
        </w:rPr>
        <w:t>第 17 条 补充条款</w:t>
      </w:r>
    </w:p>
    <w:p w14:paraId="5E25FD2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双方根据有关法律法规规定，结合实际经协商一致，补充约定如下：</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A5FD44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C57BB78">
      <w:pPr>
        <w:pStyle w:val="18"/>
        <w:spacing w:before="97" w:line="181" w:lineRule="auto"/>
        <w:rPr>
          <w:rFonts w:hint="eastAsia" w:ascii="仿宋" w:hAnsi="仿宋" w:eastAsia="仿宋" w:cs="仿宋"/>
          <w:color w:val="auto"/>
          <w:sz w:val="30"/>
          <w:szCs w:val="30"/>
          <w:highlight w:val="none"/>
        </w:rPr>
      </w:pPr>
      <w:r>
        <w:rPr>
          <w:rFonts w:hint="eastAsia" w:ascii="仿宋" w:hAnsi="仿宋" w:eastAsia="仿宋" w:cs="仿宋"/>
          <w:color w:val="auto"/>
          <w:spacing w:val="-1"/>
          <w:sz w:val="30"/>
          <w:szCs w:val="30"/>
          <w:highlight w:val="none"/>
        </w:rPr>
        <w:t>GF—2015—0210</w:t>
      </w:r>
    </w:p>
    <w:p w14:paraId="584007CF">
      <w:pPr>
        <w:pStyle w:val="18"/>
        <w:spacing w:before="278" w:line="224" w:lineRule="auto"/>
        <w:ind w:left="5738"/>
        <w:rPr>
          <w:rFonts w:hint="eastAsia" w:ascii="仿宋" w:hAnsi="仿宋" w:eastAsia="仿宋" w:cs="仿宋"/>
          <w:color w:val="auto"/>
          <w:sz w:val="30"/>
          <w:szCs w:val="30"/>
          <w:highlight w:val="none"/>
        </w:rPr>
      </w:pPr>
      <w:r>
        <w:rPr>
          <w:rFonts w:hint="eastAsia" w:ascii="仿宋" w:hAnsi="仿宋" w:eastAsia="仿宋" w:cs="仿宋"/>
          <w:color w:val="auto"/>
          <w:spacing w:val="-6"/>
          <w:sz w:val="30"/>
          <w:szCs w:val="30"/>
          <w:highlight w:val="none"/>
        </w:rPr>
        <w:t>合同编号：</w:t>
      </w:r>
    </w:p>
    <w:p w14:paraId="3DCC552D">
      <w:pPr>
        <w:spacing w:line="254" w:lineRule="auto"/>
        <w:rPr>
          <w:rFonts w:hint="eastAsia" w:ascii="仿宋" w:hAnsi="仿宋" w:eastAsia="仿宋" w:cs="仿宋"/>
          <w:color w:val="auto"/>
          <w:highlight w:val="none"/>
        </w:rPr>
      </w:pPr>
    </w:p>
    <w:p w14:paraId="299401AC">
      <w:pPr>
        <w:spacing w:line="254" w:lineRule="auto"/>
        <w:rPr>
          <w:rFonts w:hint="eastAsia" w:ascii="仿宋" w:hAnsi="仿宋" w:eastAsia="仿宋" w:cs="仿宋"/>
          <w:color w:val="auto"/>
          <w:highlight w:val="none"/>
        </w:rPr>
      </w:pPr>
    </w:p>
    <w:p w14:paraId="59B78600">
      <w:pPr>
        <w:spacing w:line="254" w:lineRule="auto"/>
        <w:rPr>
          <w:rFonts w:hint="eastAsia" w:ascii="仿宋" w:hAnsi="仿宋" w:eastAsia="仿宋" w:cs="仿宋"/>
          <w:color w:val="auto"/>
          <w:highlight w:val="none"/>
        </w:rPr>
      </w:pPr>
    </w:p>
    <w:p w14:paraId="43ABC0FC">
      <w:pPr>
        <w:spacing w:line="254" w:lineRule="auto"/>
        <w:rPr>
          <w:rFonts w:hint="eastAsia" w:ascii="仿宋" w:hAnsi="仿宋" w:eastAsia="仿宋" w:cs="仿宋"/>
          <w:color w:val="auto"/>
          <w:highlight w:val="none"/>
        </w:rPr>
      </w:pPr>
    </w:p>
    <w:p w14:paraId="72545F44">
      <w:pPr>
        <w:spacing w:line="255" w:lineRule="auto"/>
        <w:rPr>
          <w:rFonts w:hint="eastAsia" w:ascii="仿宋" w:hAnsi="仿宋" w:eastAsia="仿宋" w:cs="仿宋"/>
          <w:color w:val="auto"/>
          <w:highlight w:val="none"/>
        </w:rPr>
      </w:pPr>
    </w:p>
    <w:p w14:paraId="6BFCB066">
      <w:pPr>
        <w:spacing w:line="255" w:lineRule="auto"/>
        <w:rPr>
          <w:rFonts w:hint="eastAsia" w:ascii="仿宋" w:hAnsi="仿宋" w:eastAsia="仿宋" w:cs="仿宋"/>
          <w:color w:val="auto"/>
          <w:highlight w:val="none"/>
        </w:rPr>
      </w:pPr>
    </w:p>
    <w:p w14:paraId="4ACEDC61">
      <w:pPr>
        <w:pStyle w:val="18"/>
        <w:spacing w:before="231" w:line="936" w:lineRule="exact"/>
        <w:jc w:val="center"/>
        <w:rPr>
          <w:rFonts w:hint="eastAsia" w:ascii="仿宋" w:hAnsi="仿宋" w:eastAsia="仿宋" w:cs="仿宋"/>
          <w:color w:val="auto"/>
          <w:sz w:val="71"/>
          <w:szCs w:val="71"/>
          <w:highlight w:val="none"/>
        </w:rPr>
      </w:pPr>
      <w:r>
        <w:rPr>
          <w:rFonts w:hint="eastAsia" w:ascii="仿宋" w:hAnsi="仿宋" w:eastAsia="仿宋" w:cs="仿宋"/>
          <w:color w:val="auto"/>
          <w:spacing w:val="6"/>
          <w:position w:val="13"/>
          <w:sz w:val="71"/>
          <w:szCs w:val="71"/>
          <w:highlight w:val="none"/>
        </w:rPr>
        <w:t>建设工程设计合同</w:t>
      </w:r>
    </w:p>
    <w:p w14:paraId="67611AA3">
      <w:pPr>
        <w:pStyle w:val="18"/>
        <w:spacing w:before="2" w:line="225" w:lineRule="auto"/>
        <w:jc w:val="center"/>
        <w:rPr>
          <w:rFonts w:hint="eastAsia" w:ascii="仿宋" w:hAnsi="仿宋" w:eastAsia="仿宋" w:cs="仿宋"/>
          <w:color w:val="auto"/>
          <w:sz w:val="71"/>
          <w:szCs w:val="71"/>
          <w:highlight w:val="none"/>
        </w:rPr>
      </w:pPr>
      <w:r>
        <w:rPr>
          <w:rFonts w:hint="eastAsia" w:ascii="仿宋" w:hAnsi="仿宋" w:eastAsia="仿宋" w:cs="仿宋"/>
          <w:color w:val="auto"/>
          <w:spacing w:val="4"/>
          <w:sz w:val="71"/>
          <w:szCs w:val="71"/>
          <w:highlight w:val="none"/>
        </w:rPr>
        <w:t>（专业建设工程）</w:t>
      </w:r>
    </w:p>
    <w:p w14:paraId="31C10E6D">
      <w:pPr>
        <w:spacing w:before="5"/>
        <w:rPr>
          <w:rFonts w:hint="eastAsia" w:ascii="仿宋" w:hAnsi="仿宋" w:eastAsia="仿宋" w:cs="仿宋"/>
          <w:color w:val="auto"/>
          <w:highlight w:val="none"/>
        </w:rPr>
      </w:pPr>
    </w:p>
    <w:p w14:paraId="36E74ED9">
      <w:pPr>
        <w:spacing w:before="5"/>
        <w:rPr>
          <w:rFonts w:hint="eastAsia" w:ascii="仿宋" w:hAnsi="仿宋" w:eastAsia="仿宋" w:cs="仿宋"/>
          <w:color w:val="auto"/>
          <w:highlight w:val="none"/>
        </w:rPr>
      </w:pPr>
    </w:p>
    <w:p w14:paraId="6D38D80F">
      <w:pPr>
        <w:spacing w:before="5"/>
        <w:rPr>
          <w:rFonts w:hint="eastAsia" w:ascii="仿宋" w:hAnsi="仿宋" w:eastAsia="仿宋" w:cs="仿宋"/>
          <w:color w:val="auto"/>
          <w:highlight w:val="none"/>
        </w:rPr>
      </w:pPr>
    </w:p>
    <w:p w14:paraId="3E0C53E3">
      <w:pPr>
        <w:spacing w:before="5"/>
        <w:rPr>
          <w:rFonts w:hint="eastAsia" w:ascii="仿宋" w:hAnsi="仿宋" w:eastAsia="仿宋" w:cs="仿宋"/>
          <w:color w:val="auto"/>
          <w:highlight w:val="none"/>
        </w:rPr>
      </w:pPr>
    </w:p>
    <w:p w14:paraId="474B8447">
      <w:pPr>
        <w:spacing w:before="5"/>
        <w:rPr>
          <w:rFonts w:hint="eastAsia" w:ascii="仿宋" w:hAnsi="仿宋" w:eastAsia="仿宋" w:cs="仿宋"/>
          <w:color w:val="auto"/>
          <w:highlight w:val="none"/>
        </w:rPr>
      </w:pPr>
    </w:p>
    <w:p w14:paraId="60A82A50">
      <w:pPr>
        <w:spacing w:before="5"/>
        <w:rPr>
          <w:rFonts w:hint="eastAsia" w:ascii="仿宋" w:hAnsi="仿宋" w:eastAsia="仿宋" w:cs="仿宋"/>
          <w:color w:val="auto"/>
          <w:highlight w:val="none"/>
        </w:rPr>
      </w:pPr>
    </w:p>
    <w:p w14:paraId="7DCEE112">
      <w:pPr>
        <w:spacing w:before="5"/>
        <w:rPr>
          <w:rFonts w:hint="eastAsia" w:ascii="仿宋" w:hAnsi="仿宋" w:eastAsia="仿宋" w:cs="仿宋"/>
          <w:color w:val="auto"/>
          <w:highlight w:val="none"/>
        </w:rPr>
      </w:pPr>
    </w:p>
    <w:p w14:paraId="6542314E">
      <w:pPr>
        <w:spacing w:before="4"/>
        <w:rPr>
          <w:rFonts w:hint="eastAsia" w:ascii="仿宋" w:hAnsi="仿宋" w:eastAsia="仿宋" w:cs="仿宋"/>
          <w:color w:val="auto"/>
          <w:highlight w:val="none"/>
        </w:rPr>
      </w:pPr>
    </w:p>
    <w:p w14:paraId="448C9B9F">
      <w:pPr>
        <w:spacing w:before="4"/>
        <w:rPr>
          <w:rFonts w:hint="eastAsia" w:ascii="仿宋" w:hAnsi="仿宋" w:eastAsia="仿宋" w:cs="仿宋"/>
          <w:color w:val="auto"/>
          <w:highlight w:val="none"/>
        </w:rPr>
      </w:pPr>
    </w:p>
    <w:p w14:paraId="1A3A4EA4">
      <w:pPr>
        <w:spacing w:before="4"/>
        <w:rPr>
          <w:rFonts w:hint="eastAsia" w:ascii="仿宋" w:hAnsi="仿宋" w:eastAsia="仿宋" w:cs="仿宋"/>
          <w:color w:val="auto"/>
          <w:highlight w:val="none"/>
        </w:rPr>
      </w:pPr>
    </w:p>
    <w:p w14:paraId="66AE2AFC">
      <w:pPr>
        <w:spacing w:before="4"/>
        <w:rPr>
          <w:rFonts w:hint="eastAsia" w:ascii="仿宋" w:hAnsi="仿宋" w:eastAsia="仿宋" w:cs="仿宋"/>
          <w:color w:val="auto"/>
          <w:highlight w:val="none"/>
        </w:rPr>
      </w:pPr>
    </w:p>
    <w:p w14:paraId="2B72337D">
      <w:pPr>
        <w:spacing w:before="4"/>
        <w:rPr>
          <w:rFonts w:hint="eastAsia" w:ascii="仿宋" w:hAnsi="仿宋" w:eastAsia="仿宋" w:cs="仿宋"/>
          <w:color w:val="auto"/>
          <w:highlight w:val="none"/>
        </w:rPr>
      </w:pPr>
    </w:p>
    <w:p w14:paraId="4079AFD7">
      <w:pPr>
        <w:spacing w:before="4"/>
        <w:rPr>
          <w:rFonts w:hint="eastAsia" w:ascii="仿宋" w:hAnsi="仿宋" w:eastAsia="仿宋" w:cs="仿宋"/>
          <w:color w:val="auto"/>
          <w:highlight w:val="none"/>
        </w:rPr>
      </w:pPr>
    </w:p>
    <w:p w14:paraId="201CC927">
      <w:pPr>
        <w:spacing w:before="4"/>
        <w:rPr>
          <w:rFonts w:hint="eastAsia" w:ascii="仿宋" w:hAnsi="仿宋" w:eastAsia="仿宋" w:cs="仿宋"/>
          <w:color w:val="auto"/>
          <w:highlight w:val="none"/>
        </w:rPr>
      </w:pPr>
    </w:p>
    <w:p w14:paraId="0F7E4D78">
      <w:pPr>
        <w:spacing w:before="4"/>
        <w:rPr>
          <w:rFonts w:hint="eastAsia" w:ascii="仿宋" w:hAnsi="仿宋" w:eastAsia="仿宋" w:cs="仿宋"/>
          <w:color w:val="auto"/>
          <w:highlight w:val="none"/>
        </w:rPr>
      </w:pPr>
    </w:p>
    <w:p w14:paraId="15E46D5F">
      <w:pPr>
        <w:spacing w:before="4"/>
        <w:rPr>
          <w:rFonts w:hint="eastAsia" w:ascii="仿宋" w:hAnsi="仿宋" w:eastAsia="仿宋" w:cs="仿宋"/>
          <w:color w:val="auto"/>
          <w:highlight w:val="none"/>
        </w:rPr>
      </w:pPr>
    </w:p>
    <w:p w14:paraId="7ED1EEDA">
      <w:pPr>
        <w:spacing w:before="4"/>
        <w:rPr>
          <w:rFonts w:hint="eastAsia" w:ascii="仿宋" w:hAnsi="仿宋" w:eastAsia="仿宋" w:cs="仿宋"/>
          <w:color w:val="auto"/>
          <w:highlight w:val="none"/>
        </w:rPr>
      </w:pPr>
    </w:p>
    <w:p w14:paraId="2C310695">
      <w:pPr>
        <w:spacing w:before="4"/>
        <w:rPr>
          <w:rFonts w:hint="eastAsia" w:ascii="仿宋" w:hAnsi="仿宋" w:eastAsia="仿宋" w:cs="仿宋"/>
          <w:color w:val="auto"/>
          <w:highlight w:val="none"/>
        </w:rPr>
      </w:pPr>
    </w:p>
    <w:p w14:paraId="7112A7A9">
      <w:pPr>
        <w:spacing w:before="4"/>
        <w:rPr>
          <w:rFonts w:hint="eastAsia" w:ascii="仿宋" w:hAnsi="仿宋" w:eastAsia="仿宋" w:cs="仿宋"/>
          <w:color w:val="auto"/>
          <w:highlight w:val="none"/>
        </w:rPr>
      </w:pPr>
    </w:p>
    <w:p w14:paraId="5FAA7494">
      <w:pPr>
        <w:rPr>
          <w:rFonts w:hint="eastAsia" w:ascii="仿宋" w:hAnsi="仿宋" w:eastAsia="仿宋" w:cs="仿宋"/>
          <w:color w:val="auto"/>
          <w:highlight w:val="none"/>
        </w:rPr>
        <w:sectPr>
          <w:footerReference r:id="rId9" w:type="default"/>
          <w:pgSz w:w="11906" w:h="16839"/>
          <w:pgMar w:top="1134" w:right="1191" w:bottom="1134" w:left="1191" w:header="0" w:footer="706" w:gutter="0"/>
          <w:pgNumType w:fmt="decimal"/>
          <w:cols w:space="720" w:num="1"/>
          <w:rtlGutter w:val="0"/>
          <w:docGrid w:linePitch="0" w:charSpace="0"/>
        </w:sectPr>
      </w:pPr>
    </w:p>
    <w:p w14:paraId="51390BBD">
      <w:pPr>
        <w:pStyle w:val="18"/>
        <w:spacing w:before="65" w:line="567" w:lineRule="exact"/>
        <w:ind w:left="2757"/>
        <w:rPr>
          <w:rFonts w:hint="eastAsia" w:ascii="仿宋" w:hAnsi="仿宋" w:eastAsia="仿宋" w:cs="仿宋"/>
          <w:color w:val="auto"/>
          <w:sz w:val="31"/>
          <w:szCs w:val="31"/>
          <w:highlight w:val="none"/>
        </w:rPr>
      </w:pPr>
      <w:r>
        <w:rPr>
          <w:rFonts w:hint="eastAsia" w:ascii="仿宋" w:hAnsi="仿宋" w:eastAsia="仿宋" w:cs="仿宋"/>
          <w:color w:val="auto"/>
          <w:spacing w:val="-17"/>
          <w:position w:val="18"/>
          <w:sz w:val="31"/>
          <w:szCs w:val="31"/>
          <w:highlight w:val="none"/>
        </w:rPr>
        <w:t>住</w:t>
      </w:r>
      <w:r>
        <w:rPr>
          <w:rFonts w:hint="eastAsia" w:ascii="仿宋" w:hAnsi="仿宋" w:eastAsia="仿宋" w:cs="仿宋"/>
          <w:color w:val="auto"/>
          <w:spacing w:val="-43"/>
          <w:position w:val="18"/>
          <w:sz w:val="31"/>
          <w:szCs w:val="31"/>
          <w:highlight w:val="none"/>
        </w:rPr>
        <w:t xml:space="preserve"> </w:t>
      </w:r>
      <w:r>
        <w:rPr>
          <w:rFonts w:hint="eastAsia" w:ascii="仿宋" w:hAnsi="仿宋" w:eastAsia="仿宋" w:cs="仿宋"/>
          <w:color w:val="auto"/>
          <w:spacing w:val="-17"/>
          <w:position w:val="18"/>
          <w:sz w:val="31"/>
          <w:szCs w:val="31"/>
          <w:highlight w:val="none"/>
        </w:rPr>
        <w:t>房</w:t>
      </w:r>
      <w:r>
        <w:rPr>
          <w:rFonts w:hint="eastAsia" w:ascii="仿宋" w:hAnsi="仿宋" w:eastAsia="仿宋" w:cs="仿宋"/>
          <w:color w:val="auto"/>
          <w:spacing w:val="-52"/>
          <w:position w:val="18"/>
          <w:sz w:val="31"/>
          <w:szCs w:val="31"/>
          <w:highlight w:val="none"/>
        </w:rPr>
        <w:t xml:space="preserve"> </w:t>
      </w:r>
      <w:r>
        <w:rPr>
          <w:rFonts w:hint="eastAsia" w:ascii="仿宋" w:hAnsi="仿宋" w:eastAsia="仿宋" w:cs="仿宋"/>
          <w:color w:val="auto"/>
          <w:spacing w:val="-17"/>
          <w:position w:val="18"/>
          <w:sz w:val="31"/>
          <w:szCs w:val="31"/>
          <w:highlight w:val="none"/>
        </w:rPr>
        <w:t>和</w:t>
      </w:r>
      <w:r>
        <w:rPr>
          <w:rFonts w:hint="eastAsia" w:ascii="仿宋" w:hAnsi="仿宋" w:eastAsia="仿宋" w:cs="仿宋"/>
          <w:color w:val="auto"/>
          <w:spacing w:val="-43"/>
          <w:position w:val="18"/>
          <w:sz w:val="31"/>
          <w:szCs w:val="31"/>
          <w:highlight w:val="none"/>
        </w:rPr>
        <w:t xml:space="preserve"> </w:t>
      </w:r>
      <w:r>
        <w:rPr>
          <w:rFonts w:hint="eastAsia" w:ascii="仿宋" w:hAnsi="仿宋" w:eastAsia="仿宋" w:cs="仿宋"/>
          <w:color w:val="auto"/>
          <w:spacing w:val="-17"/>
          <w:position w:val="18"/>
          <w:sz w:val="31"/>
          <w:szCs w:val="31"/>
          <w:highlight w:val="none"/>
        </w:rPr>
        <w:t>城 乡</w:t>
      </w:r>
      <w:r>
        <w:rPr>
          <w:rFonts w:hint="eastAsia" w:ascii="仿宋" w:hAnsi="仿宋" w:eastAsia="仿宋" w:cs="仿宋"/>
          <w:color w:val="auto"/>
          <w:spacing w:val="-52"/>
          <w:position w:val="18"/>
          <w:sz w:val="31"/>
          <w:szCs w:val="31"/>
          <w:highlight w:val="none"/>
        </w:rPr>
        <w:t xml:space="preserve"> </w:t>
      </w:r>
      <w:r>
        <w:rPr>
          <w:rFonts w:hint="eastAsia" w:ascii="仿宋" w:hAnsi="仿宋" w:eastAsia="仿宋" w:cs="仿宋"/>
          <w:color w:val="auto"/>
          <w:spacing w:val="-17"/>
          <w:position w:val="18"/>
          <w:sz w:val="31"/>
          <w:szCs w:val="31"/>
          <w:highlight w:val="none"/>
        </w:rPr>
        <w:t>建</w:t>
      </w:r>
      <w:r>
        <w:rPr>
          <w:rFonts w:hint="eastAsia" w:ascii="仿宋" w:hAnsi="仿宋" w:eastAsia="仿宋" w:cs="仿宋"/>
          <w:color w:val="auto"/>
          <w:spacing w:val="-53"/>
          <w:position w:val="18"/>
          <w:sz w:val="31"/>
          <w:szCs w:val="31"/>
          <w:highlight w:val="none"/>
        </w:rPr>
        <w:t xml:space="preserve"> </w:t>
      </w:r>
      <w:r>
        <w:rPr>
          <w:rFonts w:hint="eastAsia" w:ascii="仿宋" w:hAnsi="仿宋" w:eastAsia="仿宋" w:cs="仿宋"/>
          <w:color w:val="auto"/>
          <w:spacing w:val="-17"/>
          <w:position w:val="18"/>
          <w:sz w:val="31"/>
          <w:szCs w:val="31"/>
          <w:highlight w:val="none"/>
        </w:rPr>
        <w:t>设</w:t>
      </w:r>
      <w:r>
        <w:rPr>
          <w:rFonts w:hint="eastAsia" w:ascii="仿宋" w:hAnsi="仿宋" w:eastAsia="仿宋" w:cs="仿宋"/>
          <w:color w:val="auto"/>
          <w:spacing w:val="-51"/>
          <w:position w:val="18"/>
          <w:sz w:val="31"/>
          <w:szCs w:val="31"/>
          <w:highlight w:val="none"/>
        </w:rPr>
        <w:t xml:space="preserve"> </w:t>
      </w:r>
      <w:r>
        <w:rPr>
          <w:rFonts w:hint="eastAsia" w:ascii="仿宋" w:hAnsi="仿宋" w:eastAsia="仿宋" w:cs="仿宋"/>
          <w:color w:val="auto"/>
          <w:spacing w:val="-17"/>
          <w:position w:val="18"/>
          <w:sz w:val="31"/>
          <w:szCs w:val="31"/>
          <w:highlight w:val="none"/>
        </w:rPr>
        <w:t>部</w:t>
      </w:r>
    </w:p>
    <w:p w14:paraId="0186F8AF">
      <w:pPr>
        <w:pStyle w:val="18"/>
        <w:keepNext w:val="0"/>
        <w:keepLines w:val="0"/>
        <w:pageBreakBefore w:val="0"/>
        <w:widowControl w:val="0"/>
        <w:kinsoku/>
        <w:wordWrap/>
        <w:overflowPunct/>
        <w:topLinePunct w:val="0"/>
        <w:autoSpaceDE/>
        <w:autoSpaceDN/>
        <w:bidi w:val="0"/>
        <w:adjustRightInd/>
        <w:snapToGrid/>
        <w:spacing w:line="195" w:lineRule="auto"/>
        <w:ind w:left="2795"/>
        <w:textAlignment w:val="auto"/>
        <w:outlineLvl w:val="9"/>
        <w:rPr>
          <w:rFonts w:hint="eastAsia" w:ascii="仿宋" w:hAnsi="仿宋" w:eastAsia="仿宋" w:cs="仿宋"/>
          <w:color w:val="auto"/>
          <w:sz w:val="31"/>
          <w:szCs w:val="31"/>
          <w:highlight w:val="none"/>
        </w:rPr>
      </w:pPr>
      <w:r>
        <w:rPr>
          <w:rFonts w:hint="eastAsia" w:ascii="仿宋" w:hAnsi="仿宋" w:eastAsia="仿宋" w:cs="仿宋"/>
          <w:color w:val="auto"/>
          <w:spacing w:val="5"/>
          <w:sz w:val="31"/>
          <w:szCs w:val="31"/>
          <w:highlight w:val="none"/>
        </w:rPr>
        <w:t>国家工商行政管理总局</w:t>
      </w:r>
    </w:p>
    <w:p w14:paraId="4A38724E">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4D783ECB">
      <w:pPr>
        <w:spacing w:line="244" w:lineRule="auto"/>
        <w:rPr>
          <w:rFonts w:hint="eastAsia" w:ascii="仿宋" w:hAnsi="仿宋" w:eastAsia="仿宋" w:cs="仿宋"/>
          <w:color w:val="auto"/>
          <w:highlight w:val="none"/>
        </w:rPr>
      </w:pPr>
    </w:p>
    <w:p w14:paraId="722392CC">
      <w:pPr>
        <w:pStyle w:val="18"/>
        <w:spacing w:before="102" w:line="227" w:lineRule="auto"/>
        <w:rPr>
          <w:rFonts w:hint="eastAsia" w:ascii="仿宋" w:hAnsi="仿宋" w:eastAsia="仿宋" w:cs="仿宋"/>
          <w:color w:val="auto"/>
          <w:sz w:val="31"/>
          <w:szCs w:val="31"/>
          <w:highlight w:val="none"/>
        </w:rPr>
      </w:pPr>
      <w:r>
        <w:rPr>
          <w:rFonts w:hint="eastAsia" w:ascii="仿宋" w:hAnsi="仿宋" w:eastAsia="仿宋" w:cs="仿宋"/>
          <w:color w:val="auto"/>
          <w:spacing w:val="-1"/>
          <w:sz w:val="31"/>
          <w:szCs w:val="31"/>
          <w:highlight w:val="none"/>
        </w:rPr>
        <w:t>制定</w:t>
      </w:r>
    </w:p>
    <w:p w14:paraId="72D11D53">
      <w:pPr>
        <w:spacing w:line="227" w:lineRule="auto"/>
        <w:rPr>
          <w:rFonts w:hint="eastAsia" w:ascii="仿宋" w:hAnsi="仿宋" w:eastAsia="仿宋" w:cs="仿宋"/>
          <w:color w:val="auto"/>
          <w:sz w:val="31"/>
          <w:szCs w:val="31"/>
          <w:highlight w:val="none"/>
        </w:rPr>
        <w:sectPr>
          <w:type w:val="continuous"/>
          <w:pgSz w:w="11906" w:h="16839"/>
          <w:pgMar w:top="1134" w:right="1191" w:bottom="1134" w:left="1191" w:header="0" w:footer="706" w:gutter="0"/>
          <w:pgNumType w:fmt="decimal"/>
          <w:cols w:equalWidth="0" w:num="2">
            <w:col w:w="6111" w:space="100"/>
            <w:col w:w="3312"/>
          </w:cols>
          <w:rtlGutter w:val="0"/>
          <w:docGrid w:linePitch="0" w:charSpace="0"/>
        </w:sectPr>
      </w:pPr>
    </w:p>
    <w:p w14:paraId="7C973C1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本章内容的协议书、通用条件直接引用中华人民共和国住房和城乡建设部和国家工商行政管理总局制定的《建设工程设计合同》（GF－2015－0210）。</w:t>
      </w:r>
    </w:p>
    <w:p w14:paraId="337F9D53">
      <w:pPr>
        <w:spacing w:line="360" w:lineRule="auto"/>
        <w:ind w:firstLine="281"/>
        <w:rPr>
          <w:rFonts w:hint="eastAsia" w:ascii="仿宋" w:hAnsi="仿宋" w:eastAsia="仿宋" w:cs="仿宋"/>
          <w:color w:val="auto"/>
          <w:highlight w:val="none"/>
        </w:rPr>
      </w:pPr>
    </w:p>
    <w:p w14:paraId="6A557AC3">
      <w:pPr>
        <w:pStyle w:val="3"/>
        <w:spacing w:line="240" w:lineRule="auto"/>
        <w:jc w:val="center"/>
        <w:rPr>
          <w:rFonts w:hint="eastAsia" w:ascii="仿宋" w:hAnsi="仿宋" w:eastAsia="仿宋" w:cs="仿宋"/>
          <w:color w:val="auto"/>
          <w:highlight w:val="none"/>
        </w:rPr>
      </w:pPr>
      <w:bookmarkStart w:id="87" w:name="_Toc14840"/>
      <w:r>
        <w:rPr>
          <w:rFonts w:hint="eastAsia" w:ascii="仿宋" w:hAnsi="仿宋" w:eastAsia="仿宋" w:cs="仿宋"/>
          <w:color w:val="auto"/>
          <w:highlight w:val="none"/>
        </w:rPr>
        <w:t>第一部分 合同协议书</w:t>
      </w:r>
      <w:bookmarkEnd w:id="87"/>
    </w:p>
    <w:p w14:paraId="614C074B">
      <w:pPr>
        <w:spacing w:line="360" w:lineRule="auto"/>
        <w:ind w:firstLine="281"/>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发包人（全称）：</w:t>
      </w:r>
      <w:r>
        <w:rPr>
          <w:rFonts w:hint="eastAsia" w:ascii="仿宋" w:hAnsi="仿宋" w:eastAsia="仿宋" w:cs="仿宋"/>
          <w:color w:val="auto"/>
          <w:highlight w:val="none"/>
          <w:u w:val="single"/>
          <w:lang w:val="en-US" w:eastAsia="zh-CN"/>
        </w:rPr>
        <w:t>罗定市建昊工程管理有限公司</w:t>
      </w:r>
    </w:p>
    <w:p w14:paraId="5041A265">
      <w:pPr>
        <w:spacing w:line="360" w:lineRule="auto"/>
        <w:ind w:firstLine="281"/>
        <w:rPr>
          <w:rFonts w:hint="eastAsia" w:ascii="仿宋" w:hAnsi="仿宋" w:eastAsia="仿宋" w:cs="仿宋"/>
          <w:color w:val="auto"/>
          <w:highlight w:val="none"/>
          <w:u w:val="single"/>
        </w:rPr>
      </w:pPr>
      <w:r>
        <w:rPr>
          <w:rFonts w:hint="eastAsia" w:ascii="仿宋" w:hAnsi="仿宋" w:eastAsia="仿宋" w:cs="仿宋"/>
          <w:color w:val="auto"/>
          <w:highlight w:val="none"/>
        </w:rPr>
        <w:t>设计人（全称）：</w:t>
      </w:r>
      <w:r>
        <w:rPr>
          <w:rFonts w:hint="eastAsia" w:ascii="仿宋" w:hAnsi="仿宋" w:eastAsia="仿宋" w:cs="仿宋"/>
          <w:color w:val="auto"/>
          <w:highlight w:val="none"/>
          <w:u w:val="single"/>
        </w:rPr>
        <w:t xml:space="preserve">                     </w:t>
      </w:r>
    </w:p>
    <w:p w14:paraId="33EE597B">
      <w:pPr>
        <w:spacing w:line="360" w:lineRule="auto"/>
        <w:ind w:firstLine="281"/>
        <w:rPr>
          <w:rFonts w:hint="eastAsia" w:ascii="仿宋" w:hAnsi="仿宋" w:eastAsia="仿宋" w:cs="仿宋"/>
          <w:color w:val="auto"/>
          <w:highlight w:val="none"/>
        </w:rPr>
      </w:pPr>
    </w:p>
    <w:p w14:paraId="205CBC3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根据《中华人民共和国民法典》、《中华人民共和国建筑法》及有关法律规定，遵循平等、自愿、公平和诚实信用的原则，双方就</w:t>
      </w:r>
      <w:r>
        <w:rPr>
          <w:rFonts w:hint="eastAsia" w:ascii="仿宋" w:hAnsi="仿宋" w:eastAsia="仿宋" w:cs="仿宋"/>
          <w:b/>
          <w:bCs/>
          <w:color w:val="auto"/>
          <w:sz w:val="20"/>
          <w:szCs w:val="20"/>
          <w:highlight w:val="none"/>
          <w:u w:val="single"/>
          <w:lang w:val="en-US" w:eastAsia="zh-CN"/>
        </w:rPr>
        <w:t>罗定市城区老旧居住区宜居改造项目</w:t>
      </w:r>
      <w:r>
        <w:rPr>
          <w:rFonts w:hint="eastAsia" w:ascii="仿宋" w:hAnsi="仿宋" w:eastAsia="仿宋" w:cs="仿宋"/>
          <w:b/>
          <w:bCs/>
          <w:color w:val="auto"/>
          <w:sz w:val="20"/>
          <w:szCs w:val="20"/>
          <w:highlight w:val="none"/>
          <w:u w:val="none"/>
          <w:lang w:val="en-US" w:eastAsia="zh-CN"/>
        </w:rPr>
        <w:t>初步设计</w:t>
      </w:r>
      <w:r>
        <w:rPr>
          <w:rFonts w:hint="eastAsia" w:ascii="仿宋" w:hAnsi="仿宋" w:eastAsia="仿宋" w:cs="仿宋"/>
          <w:color w:val="auto"/>
          <w:highlight w:val="none"/>
        </w:rPr>
        <w:t>及有关事项协商一致，共同达成如下协议：</w:t>
      </w:r>
    </w:p>
    <w:p w14:paraId="558F4910">
      <w:pPr>
        <w:spacing w:line="360" w:lineRule="auto"/>
        <w:ind w:firstLine="281"/>
        <w:outlineLvl w:val="1"/>
        <w:rPr>
          <w:rFonts w:hint="eastAsia" w:ascii="仿宋" w:hAnsi="仿宋" w:eastAsia="仿宋" w:cs="仿宋"/>
          <w:color w:val="auto"/>
          <w:szCs w:val="21"/>
          <w:highlight w:val="none"/>
        </w:rPr>
      </w:pPr>
      <w:bookmarkStart w:id="88" w:name="_Toc30687"/>
      <w:r>
        <w:rPr>
          <w:rFonts w:hint="eastAsia" w:ascii="仿宋" w:hAnsi="仿宋" w:eastAsia="仿宋" w:cs="仿宋"/>
          <w:color w:val="auto"/>
          <w:szCs w:val="21"/>
          <w:highlight w:val="none"/>
        </w:rPr>
        <w:t>一、工程概况</w:t>
      </w:r>
      <w:bookmarkEnd w:id="88"/>
    </w:p>
    <w:p w14:paraId="51022F05">
      <w:pPr>
        <w:keepNext w:val="0"/>
        <w:keepLines w:val="0"/>
        <w:pageBreakBefore w:val="0"/>
        <w:widowControl w:val="0"/>
        <w:kinsoku/>
        <w:wordWrap/>
        <w:overflowPunct/>
        <w:topLinePunct w:val="0"/>
        <w:autoSpaceDE/>
        <w:autoSpaceDN/>
        <w:bidi w:val="0"/>
        <w:adjustRightInd/>
        <w:snapToGrid/>
        <w:spacing w:line="360" w:lineRule="auto"/>
        <w:ind w:firstLine="283"/>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1.工程名称：</w:t>
      </w:r>
      <w:r>
        <w:rPr>
          <w:rFonts w:hint="eastAsia" w:ascii="仿宋" w:hAnsi="仿宋" w:eastAsia="仿宋" w:cs="仿宋"/>
          <w:b/>
          <w:bCs/>
          <w:color w:val="auto"/>
          <w:szCs w:val="21"/>
          <w:highlight w:val="none"/>
          <w:u w:val="single"/>
          <w:lang w:val="en-US" w:eastAsia="zh-CN"/>
        </w:rPr>
        <w:t>罗定市城区老旧居住区宜居改造项目</w:t>
      </w:r>
      <w:r>
        <w:rPr>
          <w:rFonts w:hint="eastAsia" w:ascii="仿宋" w:hAnsi="仿宋" w:eastAsia="仿宋" w:cs="仿宋"/>
          <w:color w:val="auto"/>
          <w:szCs w:val="21"/>
          <w:highlight w:val="none"/>
        </w:rPr>
        <w:t>。</w:t>
      </w:r>
    </w:p>
    <w:p w14:paraId="475F18CE">
      <w:pPr>
        <w:spacing w:line="360" w:lineRule="auto"/>
        <w:ind w:firstLine="281"/>
        <w:rPr>
          <w:rFonts w:hint="eastAsia" w:ascii="仿宋" w:hAnsi="仿宋" w:eastAsia="仿宋" w:cs="仿宋"/>
          <w:color w:val="auto"/>
          <w:szCs w:val="21"/>
          <w:highlight w:val="none"/>
        </w:rPr>
      </w:pPr>
      <w:r>
        <w:rPr>
          <w:rFonts w:hint="eastAsia" w:ascii="仿宋" w:hAnsi="仿宋" w:eastAsia="仿宋" w:cs="仿宋"/>
          <w:color w:val="auto"/>
          <w:szCs w:val="21"/>
          <w:highlight w:val="none"/>
        </w:rPr>
        <w:t>2.工程批准、核准或备案文号：</w:t>
      </w:r>
      <w:r>
        <w:rPr>
          <w:rFonts w:hint="eastAsia" w:ascii="仿宋" w:hAnsi="仿宋" w:eastAsia="仿宋" w:cs="仿宋"/>
          <w:b/>
          <w:bCs/>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050B4AE9">
      <w:pPr>
        <w:spacing w:line="360" w:lineRule="auto"/>
        <w:ind w:firstLine="281"/>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3.工程内容及规模：</w:t>
      </w:r>
      <w:r>
        <w:rPr>
          <w:rFonts w:hint="eastAsia" w:ascii="仿宋" w:hAnsi="仿宋" w:eastAsia="仿宋" w:cs="仿宋"/>
          <w:b/>
          <w:bCs/>
          <w:color w:val="auto"/>
          <w:szCs w:val="21"/>
          <w:highlight w:val="none"/>
          <w:u w:val="single"/>
          <w:lang w:val="en-US" w:eastAsia="zh-CN"/>
        </w:rPr>
        <w:t>项目共分三个子项，包括：1、城中北片老旧居住区改造工程(含北区、区屋、中区、东区)；2、城东南片老旧居住区改造工程(含细坑、城东、柑园)；3、城西片老旧居住区改造工程(含西区、南区、石围)。主要内容包含改造及新建道路面积约100500平方米；改造污水管约86000米、排水管道约 98000米；建设安装路灯约7200盏；电力线、通信线、有线电视线等三线整理；人居环境整治约20000平方米；建设社区综合服务、文化体育设施、消防设施、自行车棚等。</w:t>
      </w:r>
    </w:p>
    <w:p w14:paraId="7B5117A3">
      <w:pPr>
        <w:spacing w:line="360" w:lineRule="auto"/>
        <w:ind w:firstLine="281"/>
        <w:rPr>
          <w:rFonts w:hint="eastAsia" w:ascii="仿宋" w:hAnsi="仿宋" w:eastAsia="仿宋" w:cs="仿宋"/>
          <w:color w:val="auto"/>
          <w:szCs w:val="21"/>
          <w:highlight w:val="none"/>
        </w:rPr>
      </w:pPr>
      <w:r>
        <w:rPr>
          <w:rFonts w:hint="eastAsia" w:ascii="仿宋" w:hAnsi="仿宋" w:eastAsia="仿宋" w:cs="仿宋"/>
          <w:color w:val="auto"/>
          <w:szCs w:val="21"/>
          <w:highlight w:val="none"/>
        </w:rPr>
        <w:t>4.工程所在地详细地址：</w:t>
      </w:r>
      <w:r>
        <w:rPr>
          <w:rFonts w:hint="eastAsia" w:ascii="仿宋" w:hAnsi="仿宋" w:eastAsia="仿宋" w:cs="仿宋"/>
          <w:b/>
          <w:bCs/>
          <w:color w:val="auto"/>
          <w:szCs w:val="21"/>
          <w:highlight w:val="none"/>
          <w:u w:val="single"/>
          <w:lang w:val="en-US" w:eastAsia="zh-CN"/>
        </w:rPr>
        <w:t>广东省云浮市罗定市罗城街道</w:t>
      </w:r>
      <w:r>
        <w:rPr>
          <w:rFonts w:hint="eastAsia" w:ascii="仿宋" w:hAnsi="仿宋" w:eastAsia="仿宋" w:cs="仿宋"/>
          <w:color w:val="auto"/>
          <w:szCs w:val="21"/>
          <w:highlight w:val="none"/>
        </w:rPr>
        <w:t>。</w:t>
      </w:r>
    </w:p>
    <w:p w14:paraId="1576A79B">
      <w:pPr>
        <w:spacing w:line="360" w:lineRule="auto"/>
        <w:ind w:firstLine="281"/>
        <w:rPr>
          <w:rFonts w:hint="eastAsia" w:ascii="仿宋" w:hAnsi="仿宋" w:eastAsia="仿宋" w:cs="仿宋"/>
          <w:color w:val="auto"/>
          <w:szCs w:val="21"/>
          <w:highlight w:val="none"/>
        </w:rPr>
      </w:pPr>
      <w:r>
        <w:rPr>
          <w:rFonts w:hint="eastAsia" w:ascii="仿宋" w:hAnsi="仿宋" w:eastAsia="仿宋" w:cs="仿宋"/>
          <w:color w:val="auto"/>
          <w:szCs w:val="21"/>
          <w:highlight w:val="none"/>
        </w:rPr>
        <w:t>5.工程投资估算：</w:t>
      </w:r>
      <w:r>
        <w:rPr>
          <w:rFonts w:hint="eastAsia" w:ascii="仿宋" w:hAnsi="仿宋" w:eastAsia="仿宋" w:cs="仿宋"/>
          <w:b/>
          <w:bCs/>
          <w:color w:val="auto"/>
          <w:szCs w:val="21"/>
          <w:highlight w:val="none"/>
          <w:u w:val="single"/>
          <w:lang w:val="en-US" w:eastAsia="zh-CN"/>
        </w:rPr>
        <w:t>42000万元</w:t>
      </w:r>
      <w:r>
        <w:rPr>
          <w:rFonts w:hint="eastAsia" w:ascii="仿宋" w:hAnsi="仿宋" w:eastAsia="仿宋" w:cs="仿宋"/>
          <w:color w:val="auto"/>
          <w:szCs w:val="21"/>
          <w:highlight w:val="none"/>
        </w:rPr>
        <w:t>。</w:t>
      </w:r>
    </w:p>
    <w:p w14:paraId="5A0D4351">
      <w:pPr>
        <w:spacing w:line="360" w:lineRule="auto"/>
        <w:ind w:firstLine="281"/>
        <w:rPr>
          <w:rFonts w:hint="eastAsia" w:ascii="仿宋" w:hAnsi="仿宋" w:eastAsia="仿宋" w:cs="仿宋"/>
          <w:color w:val="auto"/>
          <w:szCs w:val="21"/>
          <w:highlight w:val="none"/>
        </w:rPr>
      </w:pPr>
      <w:r>
        <w:rPr>
          <w:rFonts w:hint="eastAsia" w:ascii="仿宋" w:hAnsi="仿宋" w:eastAsia="仿宋" w:cs="仿宋"/>
          <w:color w:val="auto"/>
          <w:szCs w:val="21"/>
          <w:highlight w:val="none"/>
        </w:rPr>
        <w:t>6.工程进度安排：</w:t>
      </w:r>
      <w:r>
        <w:rPr>
          <w:rFonts w:hint="eastAsia" w:ascii="仿宋" w:hAnsi="仿宋" w:eastAsia="仿宋" w:cs="仿宋"/>
          <w:b/>
          <w:bCs/>
          <w:color w:val="auto"/>
          <w:szCs w:val="21"/>
          <w:highlight w:val="none"/>
          <w:u w:val="single"/>
        </w:rPr>
        <w:t>合同工期总日历天数</w:t>
      </w:r>
      <w:r>
        <w:rPr>
          <w:rFonts w:hint="eastAsia" w:ascii="仿宋" w:hAnsi="仿宋" w:eastAsia="仿宋" w:cs="仿宋"/>
          <w:b/>
          <w:bCs/>
          <w:color w:val="auto"/>
          <w:szCs w:val="21"/>
          <w:highlight w:val="none"/>
          <w:u w:val="single"/>
          <w:lang w:val="en-US" w:eastAsia="zh-CN"/>
        </w:rPr>
        <w:t>50</w:t>
      </w:r>
      <w:r>
        <w:rPr>
          <w:rFonts w:hint="eastAsia" w:ascii="仿宋" w:hAnsi="仿宋" w:eastAsia="仿宋" w:cs="仿宋"/>
          <w:b/>
          <w:bCs/>
          <w:color w:val="auto"/>
          <w:szCs w:val="21"/>
          <w:highlight w:val="none"/>
          <w:u w:val="single"/>
        </w:rPr>
        <w:t>天，招标人在合同约定的限期按实际工程进度通知中标人进行工程勘察设计。中标人应在工程勘察设计合同签订后</w:t>
      </w:r>
      <w:r>
        <w:rPr>
          <w:rFonts w:hint="eastAsia" w:ascii="仿宋" w:hAnsi="仿宋" w:eastAsia="仿宋" w:cs="仿宋"/>
          <w:b/>
          <w:bCs/>
          <w:color w:val="auto"/>
          <w:szCs w:val="21"/>
          <w:highlight w:val="none"/>
          <w:u w:val="single"/>
          <w:lang w:val="en-US" w:eastAsia="zh-CN"/>
        </w:rPr>
        <w:t>45</w:t>
      </w:r>
      <w:r>
        <w:rPr>
          <w:rFonts w:hint="eastAsia" w:ascii="仿宋" w:hAnsi="仿宋" w:eastAsia="仿宋" w:cs="仿宋"/>
          <w:b/>
          <w:bCs/>
          <w:color w:val="auto"/>
          <w:szCs w:val="21"/>
          <w:highlight w:val="none"/>
          <w:u w:val="single"/>
        </w:rPr>
        <w:t>日内完成工程勘察、初步设计；工程勘察、初步设计文件经审查发现问题后</w:t>
      </w:r>
      <w:r>
        <w:rPr>
          <w:rFonts w:hint="eastAsia" w:ascii="仿宋" w:hAnsi="仿宋" w:eastAsia="仿宋" w:cs="仿宋"/>
          <w:b/>
          <w:bCs/>
          <w:color w:val="auto"/>
          <w:szCs w:val="21"/>
          <w:highlight w:val="none"/>
          <w:u w:val="single"/>
          <w:lang w:val="en-US" w:eastAsia="zh-CN"/>
        </w:rPr>
        <w:t>5</w:t>
      </w:r>
      <w:r>
        <w:rPr>
          <w:rFonts w:hint="eastAsia" w:ascii="仿宋" w:hAnsi="仿宋" w:eastAsia="仿宋" w:cs="仿宋"/>
          <w:b/>
          <w:bCs/>
          <w:color w:val="auto"/>
          <w:szCs w:val="21"/>
          <w:highlight w:val="none"/>
          <w:u w:val="single"/>
        </w:rPr>
        <w:t>日内完成补充、修改。因勘察人、设计人原因导致工程勘察、设计进度延误超过</w:t>
      </w:r>
      <w:r>
        <w:rPr>
          <w:rFonts w:hint="eastAsia" w:ascii="仿宋" w:hAnsi="仿宋" w:eastAsia="仿宋" w:cs="仿宋"/>
          <w:b/>
          <w:bCs/>
          <w:color w:val="auto"/>
          <w:szCs w:val="21"/>
          <w:highlight w:val="none"/>
          <w:u w:val="single"/>
          <w:lang w:val="en-US" w:eastAsia="zh-CN"/>
        </w:rPr>
        <w:t>15</w:t>
      </w:r>
      <w:r>
        <w:rPr>
          <w:rFonts w:hint="eastAsia" w:ascii="仿宋" w:hAnsi="仿宋" w:eastAsia="仿宋" w:cs="仿宋"/>
          <w:b/>
          <w:bCs/>
          <w:color w:val="auto"/>
          <w:szCs w:val="21"/>
          <w:highlight w:val="none"/>
          <w:u w:val="single"/>
        </w:rPr>
        <w:t>日的，发包人可以解除合同，不予支付勘察设计费</w:t>
      </w:r>
      <w:r>
        <w:rPr>
          <w:rFonts w:hint="eastAsia" w:ascii="仿宋" w:hAnsi="仿宋" w:eastAsia="仿宋" w:cs="仿宋"/>
          <w:color w:val="auto"/>
          <w:szCs w:val="21"/>
          <w:highlight w:val="none"/>
        </w:rPr>
        <w:t>。</w:t>
      </w:r>
    </w:p>
    <w:p w14:paraId="5F796B64">
      <w:pPr>
        <w:spacing w:line="360" w:lineRule="auto"/>
        <w:ind w:firstLine="281"/>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7.工程主要技术标准：</w:t>
      </w:r>
      <w:r>
        <w:rPr>
          <w:rFonts w:hint="eastAsia" w:ascii="仿宋" w:hAnsi="仿宋" w:eastAsia="仿宋" w:cs="仿宋"/>
          <w:b/>
          <w:bCs/>
          <w:color w:val="auto"/>
          <w:szCs w:val="21"/>
          <w:highlight w:val="none"/>
          <w:u w:val="single"/>
        </w:rPr>
        <w:t>符合建质函[2016]247号《建筑工程设计文件编制深度规定》(2016年版)、建质[2013]57号《市政公用工程设计文件编制深度规定》 (2013年版)、 国家及地方现行的设计标准及规范，符合本项目的可研批复及规划方案批复的要求</w:t>
      </w:r>
      <w:r>
        <w:rPr>
          <w:rFonts w:hint="eastAsia" w:ascii="仿宋" w:hAnsi="仿宋" w:eastAsia="仿宋" w:cs="仿宋"/>
          <w:color w:val="auto"/>
          <w:szCs w:val="21"/>
          <w:highlight w:val="none"/>
        </w:rPr>
        <w:t>。</w:t>
      </w:r>
    </w:p>
    <w:p w14:paraId="51EDC58F">
      <w:pPr>
        <w:spacing w:line="360" w:lineRule="auto"/>
        <w:ind w:firstLine="281"/>
        <w:outlineLvl w:val="1"/>
        <w:rPr>
          <w:rFonts w:hint="eastAsia" w:ascii="仿宋" w:hAnsi="仿宋" w:eastAsia="仿宋" w:cs="仿宋"/>
          <w:color w:val="auto"/>
          <w:szCs w:val="21"/>
          <w:highlight w:val="none"/>
        </w:rPr>
      </w:pPr>
      <w:bookmarkStart w:id="89" w:name="_Toc32721"/>
      <w:r>
        <w:rPr>
          <w:rFonts w:hint="eastAsia" w:ascii="仿宋" w:hAnsi="仿宋" w:eastAsia="仿宋" w:cs="仿宋"/>
          <w:color w:val="auto"/>
          <w:szCs w:val="21"/>
          <w:highlight w:val="none"/>
        </w:rPr>
        <w:t>二、工程设计范围、阶段与服务内容</w:t>
      </w:r>
      <w:bookmarkEnd w:id="89"/>
    </w:p>
    <w:p w14:paraId="55A1833C">
      <w:pPr>
        <w:spacing w:line="360" w:lineRule="auto"/>
        <w:ind w:firstLine="281"/>
        <w:rPr>
          <w:rFonts w:hint="eastAsia" w:ascii="仿宋" w:hAnsi="仿宋" w:eastAsia="仿宋" w:cs="仿宋"/>
          <w:color w:val="auto"/>
          <w:szCs w:val="21"/>
          <w:highlight w:val="none"/>
        </w:rPr>
      </w:pPr>
      <w:r>
        <w:rPr>
          <w:rFonts w:hint="eastAsia" w:ascii="仿宋" w:hAnsi="仿宋" w:eastAsia="仿宋" w:cs="仿宋"/>
          <w:color w:val="auto"/>
          <w:szCs w:val="21"/>
          <w:highlight w:val="none"/>
        </w:rPr>
        <w:t>1.工程设计范围：</w:t>
      </w:r>
      <w:r>
        <w:rPr>
          <w:rFonts w:hint="eastAsia" w:ascii="仿宋" w:hAnsi="仿宋" w:eastAsia="仿宋" w:cs="仿宋"/>
          <w:b/>
          <w:bCs/>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25E4C3AD">
      <w:pPr>
        <w:keepNext w:val="0"/>
        <w:keepLines w:val="0"/>
        <w:pageBreakBefore w:val="0"/>
        <w:widowControl w:val="0"/>
        <w:kinsoku/>
        <w:wordWrap/>
        <w:overflowPunct/>
        <w:topLinePunct w:val="0"/>
        <w:autoSpaceDE/>
        <w:autoSpaceDN/>
        <w:bidi w:val="0"/>
        <w:adjustRightInd/>
        <w:snapToGrid/>
        <w:spacing w:line="360" w:lineRule="auto"/>
        <w:ind w:firstLine="283"/>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2.工程设计阶段：</w:t>
      </w:r>
      <w:r>
        <w:rPr>
          <w:rFonts w:hint="eastAsia" w:ascii="仿宋" w:hAnsi="仿宋" w:eastAsia="仿宋" w:cs="仿宋"/>
          <w:b/>
          <w:bCs/>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11E64692">
      <w:pPr>
        <w:spacing w:line="360" w:lineRule="auto"/>
        <w:ind w:firstLine="281"/>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3.工程设计服务内容：</w:t>
      </w:r>
      <w:r>
        <w:rPr>
          <w:rFonts w:hint="eastAsia" w:ascii="仿宋" w:hAnsi="仿宋" w:eastAsia="仿宋" w:cs="仿宋"/>
          <w:b/>
          <w:bCs/>
          <w:color w:val="auto"/>
          <w:szCs w:val="21"/>
          <w:highlight w:val="none"/>
          <w:u w:val="single"/>
        </w:rPr>
        <w:t>初步设计以及后续服务和现场指导与监督等</w:t>
      </w:r>
      <w:r>
        <w:rPr>
          <w:rFonts w:hint="eastAsia" w:ascii="仿宋" w:hAnsi="仿宋" w:eastAsia="仿宋" w:cs="仿宋"/>
          <w:color w:val="auto"/>
          <w:szCs w:val="21"/>
          <w:highlight w:val="none"/>
        </w:rPr>
        <w:t>。</w:t>
      </w:r>
    </w:p>
    <w:p w14:paraId="15C93181">
      <w:pPr>
        <w:spacing w:line="360" w:lineRule="auto"/>
        <w:ind w:firstLine="281"/>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工程设计范围、阶段与服务内容详见专用合同条款附件 1。</w:t>
      </w:r>
    </w:p>
    <w:p w14:paraId="12CA5DAA">
      <w:pPr>
        <w:numPr>
          <w:ilvl w:val="0"/>
          <w:numId w:val="10"/>
        </w:numPr>
        <w:spacing w:line="360" w:lineRule="auto"/>
        <w:ind w:firstLine="281"/>
        <w:outlineLvl w:val="1"/>
        <w:rPr>
          <w:rFonts w:hint="eastAsia" w:ascii="仿宋" w:hAnsi="仿宋" w:eastAsia="仿宋" w:cs="仿宋"/>
          <w:color w:val="auto"/>
          <w:highlight w:val="none"/>
        </w:rPr>
      </w:pPr>
      <w:bookmarkStart w:id="90" w:name="_Toc9784"/>
      <w:r>
        <w:rPr>
          <w:rFonts w:hint="eastAsia" w:ascii="仿宋" w:hAnsi="仿宋" w:eastAsia="仿宋" w:cs="仿宋"/>
          <w:color w:val="auto"/>
          <w:highlight w:val="none"/>
        </w:rPr>
        <w:t>工程设计周期</w:t>
      </w:r>
      <w:bookmarkEnd w:id="90"/>
    </w:p>
    <w:p w14:paraId="405659E1">
      <w:pPr>
        <w:numPr>
          <w:ilvl w:val="-1"/>
          <w:numId w:val="0"/>
        </w:numPr>
        <w:spacing w:line="360" w:lineRule="auto"/>
        <w:ind w:firstLine="210" w:firstLineChars="100"/>
        <w:outlineLvl w:val="1"/>
        <w:rPr>
          <w:rFonts w:hint="eastAsia" w:ascii="仿宋" w:hAnsi="仿宋" w:eastAsia="仿宋" w:cs="仿宋"/>
          <w:color w:val="auto"/>
          <w:highlight w:val="none"/>
        </w:rPr>
      </w:pPr>
      <w:r>
        <w:rPr>
          <w:rFonts w:hint="eastAsia" w:ascii="仿宋" w:hAnsi="仿宋" w:eastAsia="仿宋" w:cs="仿宋"/>
          <w:color w:val="auto"/>
          <w:highlight w:val="none"/>
        </w:rPr>
        <w:t>合同工期 (总日历天数)：50 天，其中：设计工期35个日历天。</w:t>
      </w:r>
    </w:p>
    <w:p w14:paraId="0FFE726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计划开始设计日期：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65F6174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计划完成设计日期：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5D85BF8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具体工程设计周期以专用合同条款及其附件的约定为准。</w:t>
      </w:r>
    </w:p>
    <w:p w14:paraId="11DCB7AF">
      <w:pPr>
        <w:spacing w:line="360" w:lineRule="auto"/>
        <w:ind w:firstLine="281"/>
        <w:outlineLvl w:val="1"/>
        <w:rPr>
          <w:rFonts w:hint="eastAsia" w:ascii="仿宋" w:hAnsi="仿宋" w:eastAsia="仿宋" w:cs="仿宋"/>
          <w:color w:val="auto"/>
          <w:highlight w:val="none"/>
        </w:rPr>
      </w:pPr>
      <w:bookmarkStart w:id="91" w:name="_Toc11970"/>
      <w:r>
        <w:rPr>
          <w:rFonts w:hint="eastAsia" w:ascii="仿宋" w:hAnsi="仿宋" w:eastAsia="仿宋" w:cs="仿宋"/>
          <w:color w:val="auto"/>
          <w:highlight w:val="none"/>
        </w:rPr>
        <w:t>四、合同价格形式与签约合同价</w:t>
      </w:r>
      <w:bookmarkEnd w:id="91"/>
    </w:p>
    <w:p w14:paraId="5CA9AAE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1.合同价格形式：其他价格形式；</w:t>
      </w:r>
      <w:r>
        <w:rPr>
          <w:rFonts w:hint="eastAsia" w:ascii="仿宋" w:hAnsi="仿宋" w:eastAsia="仿宋" w:cs="仿宋"/>
          <w:b/>
          <w:bCs/>
          <w:color w:val="auto"/>
          <w:highlight w:val="none"/>
          <w:u w:val="single"/>
        </w:rPr>
        <w:t>初步设计费合同价 = 初步设计费</w:t>
      </w:r>
      <w:r>
        <w:rPr>
          <w:rFonts w:hint="eastAsia" w:ascii="仿宋" w:hAnsi="仿宋" w:eastAsia="仿宋" w:cs="仿宋"/>
          <w:b/>
          <w:bCs/>
          <w:color w:val="auto"/>
          <w:highlight w:val="none"/>
          <w:u w:val="single"/>
          <w:lang w:eastAsia="zh-CN"/>
        </w:rPr>
        <w:t>最高投标限</w:t>
      </w:r>
      <w:r>
        <w:rPr>
          <w:rFonts w:hint="eastAsia" w:ascii="仿宋" w:hAnsi="仿宋" w:eastAsia="仿宋" w:cs="仿宋"/>
          <w:b/>
          <w:bCs/>
          <w:color w:val="auto"/>
          <w:highlight w:val="none"/>
          <w:u w:val="single"/>
        </w:rPr>
        <w:t>价×（1-初步设计费</w:t>
      </w:r>
      <w:r>
        <w:rPr>
          <w:rFonts w:hint="eastAsia" w:ascii="仿宋" w:hAnsi="仿宋" w:eastAsia="仿宋" w:cs="仿宋"/>
          <w:b/>
          <w:bCs/>
          <w:color w:val="auto"/>
          <w:highlight w:val="none"/>
          <w:u w:val="single"/>
          <w:lang w:eastAsia="zh-CN"/>
        </w:rPr>
        <w:t>中标</w:t>
      </w:r>
      <w:r>
        <w:rPr>
          <w:rFonts w:hint="eastAsia" w:ascii="仿宋" w:hAnsi="仿宋" w:eastAsia="仿宋" w:cs="仿宋"/>
          <w:b/>
          <w:bCs/>
          <w:color w:val="auto"/>
          <w:highlight w:val="none"/>
          <w:u w:val="single"/>
        </w:rPr>
        <w:t>下浮率）；初步设计费签约合同价为暂定价，初步设计费结算时，以经罗定市财政投资审核机构审定的设计费概算价为基础计算，即：初步设计费结算价=[（审定设计费概算价×初步设计费比例 40%）]×（1 -初步设计费中标下浮率）</w:t>
      </w:r>
      <w:r>
        <w:rPr>
          <w:rFonts w:hint="eastAsia" w:ascii="仿宋" w:hAnsi="仿宋" w:eastAsia="仿宋" w:cs="仿宋"/>
          <w:color w:val="auto"/>
          <w:highlight w:val="none"/>
        </w:rPr>
        <w:t xml:space="preserve"> ，结算总价不超出中标价。注：本设计的专业调整系数按1.0计算、工程复杂程度调整系数按1.0计算，附加调整系数按1.0计算。</w:t>
      </w:r>
    </w:p>
    <w:p w14:paraId="6F1BCB9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2.签约合同价为：</w:t>
      </w:r>
      <w:r>
        <w:rPr>
          <w:rFonts w:hint="eastAsia" w:ascii="仿宋" w:hAnsi="仿宋" w:eastAsia="仿宋" w:cs="仿宋"/>
          <w:b/>
          <w:bCs/>
          <w:color w:val="auto"/>
          <w:highlight w:val="none"/>
        </w:rPr>
        <w:t>人民币（大写）</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元）。初步设计费</w:t>
      </w:r>
      <w:r>
        <w:rPr>
          <w:rFonts w:hint="eastAsia" w:ascii="仿宋" w:hAnsi="仿宋" w:eastAsia="仿宋" w:cs="仿宋"/>
          <w:b/>
          <w:bCs/>
          <w:color w:val="auto"/>
          <w:highlight w:val="none"/>
          <w:lang w:eastAsia="zh-CN"/>
        </w:rPr>
        <w:t>中标</w:t>
      </w:r>
      <w:r>
        <w:rPr>
          <w:rFonts w:hint="eastAsia" w:ascii="仿宋" w:hAnsi="仿宋" w:eastAsia="仿宋" w:cs="仿宋"/>
          <w:b/>
          <w:bCs/>
          <w:color w:val="auto"/>
          <w:highlight w:val="none"/>
        </w:rPr>
        <w:t>下浮率为</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w:t>
      </w:r>
      <w:r>
        <w:rPr>
          <w:rFonts w:hint="eastAsia" w:ascii="仿宋" w:hAnsi="仿宋" w:eastAsia="仿宋" w:cs="仿宋"/>
          <w:color w:val="auto"/>
          <w:highlight w:val="none"/>
        </w:rPr>
        <w:t>。</w:t>
      </w:r>
    </w:p>
    <w:p w14:paraId="0E0BD043">
      <w:pPr>
        <w:spacing w:line="360" w:lineRule="auto"/>
        <w:ind w:firstLine="281"/>
        <w:outlineLvl w:val="1"/>
        <w:rPr>
          <w:rFonts w:hint="eastAsia" w:ascii="仿宋" w:hAnsi="仿宋" w:eastAsia="仿宋" w:cs="仿宋"/>
          <w:color w:val="auto"/>
          <w:highlight w:val="none"/>
        </w:rPr>
      </w:pPr>
      <w:bookmarkStart w:id="92" w:name="_Toc16022"/>
      <w:r>
        <w:rPr>
          <w:rFonts w:hint="eastAsia" w:ascii="仿宋" w:hAnsi="仿宋" w:eastAsia="仿宋" w:cs="仿宋"/>
          <w:color w:val="auto"/>
          <w:highlight w:val="none"/>
        </w:rPr>
        <w:t>五、发包人代表与设计人项目负责人</w:t>
      </w:r>
      <w:bookmarkEnd w:id="92"/>
    </w:p>
    <w:p w14:paraId="2C9C9AA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DA5E94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设计人项目负责人：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77B23F3">
      <w:pPr>
        <w:spacing w:line="360" w:lineRule="auto"/>
        <w:ind w:firstLine="281"/>
        <w:outlineLvl w:val="1"/>
        <w:rPr>
          <w:rFonts w:hint="eastAsia" w:ascii="仿宋" w:hAnsi="仿宋" w:eastAsia="仿宋" w:cs="仿宋"/>
          <w:color w:val="auto"/>
          <w:highlight w:val="none"/>
        </w:rPr>
      </w:pPr>
      <w:bookmarkStart w:id="93" w:name="_Toc31924"/>
      <w:r>
        <w:rPr>
          <w:rFonts w:hint="eastAsia" w:ascii="仿宋" w:hAnsi="仿宋" w:eastAsia="仿宋" w:cs="仿宋"/>
          <w:color w:val="auto"/>
          <w:highlight w:val="none"/>
        </w:rPr>
        <w:t>六、合同文件构成</w:t>
      </w:r>
      <w:bookmarkEnd w:id="93"/>
    </w:p>
    <w:p w14:paraId="76ACEC1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本协议书与下列文件一起构成合同文件：</w:t>
      </w:r>
    </w:p>
    <w:p w14:paraId="599D76D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（1）专用合同条款及其附件；</w:t>
      </w:r>
    </w:p>
    <w:p w14:paraId="2C00D39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（2）通用合同条款；</w:t>
      </w:r>
    </w:p>
    <w:p w14:paraId="5218223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（3）中标通知书（如果有）；</w:t>
      </w:r>
    </w:p>
    <w:p w14:paraId="7F8095A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（4）投标函及其附录（如果有）；</w:t>
      </w:r>
    </w:p>
    <w:p w14:paraId="1104406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（5）发包人要求；</w:t>
      </w:r>
    </w:p>
    <w:p w14:paraId="3D76F03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（6）技术标准；</w:t>
      </w:r>
    </w:p>
    <w:p w14:paraId="4F3C583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（7）发包人提供的上一阶段图纸（如果有）；</w:t>
      </w:r>
    </w:p>
    <w:p w14:paraId="0845ADB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（8）其他合同文件。</w:t>
      </w:r>
    </w:p>
    <w:p w14:paraId="0F147FA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在合同履行过程中形成的与合同有关的文件均构成合同文件组成部分。</w:t>
      </w:r>
    </w:p>
    <w:p w14:paraId="4FC27DC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上述各项合同文件包括合同当事人就该项合同文件所作出的补充和修改，属于同一类内容的文件，应以最新签署的为准。</w:t>
      </w:r>
    </w:p>
    <w:p w14:paraId="535A7D5B">
      <w:pPr>
        <w:spacing w:line="360" w:lineRule="auto"/>
        <w:ind w:firstLine="281"/>
        <w:outlineLvl w:val="1"/>
        <w:rPr>
          <w:rFonts w:hint="eastAsia" w:ascii="仿宋" w:hAnsi="仿宋" w:eastAsia="仿宋" w:cs="仿宋"/>
          <w:color w:val="auto"/>
          <w:highlight w:val="none"/>
        </w:rPr>
      </w:pPr>
      <w:bookmarkStart w:id="94" w:name="_Toc31673"/>
      <w:r>
        <w:rPr>
          <w:rFonts w:hint="eastAsia" w:ascii="仿宋" w:hAnsi="仿宋" w:eastAsia="仿宋" w:cs="仿宋"/>
          <w:color w:val="auto"/>
          <w:highlight w:val="none"/>
        </w:rPr>
        <w:t>七、承诺</w:t>
      </w:r>
      <w:bookmarkEnd w:id="94"/>
    </w:p>
    <w:p w14:paraId="66F99C6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1.发包人承诺按照法律规定履行项目审批手续，按照合同约定提供设计依据，并按合同约定的期限和方式支付合同价款。</w:t>
      </w:r>
    </w:p>
    <w:p w14:paraId="1DFC0AA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2.设计人承诺按照法律和技术标准规定及合同约定提供工程设计服务。</w:t>
      </w:r>
    </w:p>
    <w:p w14:paraId="338A2677">
      <w:pPr>
        <w:spacing w:line="360" w:lineRule="auto"/>
        <w:ind w:firstLine="281"/>
        <w:outlineLvl w:val="1"/>
        <w:rPr>
          <w:rFonts w:hint="eastAsia" w:ascii="仿宋" w:hAnsi="仿宋" w:eastAsia="仿宋" w:cs="仿宋"/>
          <w:color w:val="auto"/>
          <w:highlight w:val="none"/>
        </w:rPr>
      </w:pPr>
      <w:bookmarkStart w:id="95" w:name="_Toc3067"/>
      <w:r>
        <w:rPr>
          <w:rFonts w:hint="eastAsia" w:ascii="仿宋" w:hAnsi="仿宋" w:eastAsia="仿宋" w:cs="仿宋"/>
          <w:color w:val="auto"/>
          <w:highlight w:val="none"/>
        </w:rPr>
        <w:t>八、词语含义</w:t>
      </w:r>
      <w:bookmarkEnd w:id="95"/>
    </w:p>
    <w:p w14:paraId="21A7D86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本协议书中词语含义与第二部分通用合同条款中赋予的含义相同。</w:t>
      </w:r>
    </w:p>
    <w:p w14:paraId="5826590B">
      <w:pPr>
        <w:spacing w:line="360" w:lineRule="auto"/>
        <w:ind w:firstLine="281"/>
        <w:outlineLvl w:val="1"/>
        <w:rPr>
          <w:rFonts w:hint="eastAsia" w:ascii="仿宋" w:hAnsi="仿宋" w:eastAsia="仿宋" w:cs="仿宋"/>
          <w:color w:val="auto"/>
          <w:highlight w:val="none"/>
        </w:rPr>
      </w:pPr>
      <w:bookmarkStart w:id="96" w:name="_Toc18161"/>
      <w:r>
        <w:rPr>
          <w:rFonts w:hint="eastAsia" w:ascii="仿宋" w:hAnsi="仿宋" w:eastAsia="仿宋" w:cs="仿宋"/>
          <w:color w:val="auto"/>
          <w:highlight w:val="none"/>
        </w:rPr>
        <w:t>九、签订地点</w:t>
      </w:r>
      <w:bookmarkEnd w:id="96"/>
    </w:p>
    <w:p w14:paraId="72BC433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w:t>
      </w:r>
    </w:p>
    <w:p w14:paraId="48408B1D">
      <w:pPr>
        <w:spacing w:line="360" w:lineRule="auto"/>
        <w:ind w:firstLine="281"/>
        <w:outlineLvl w:val="1"/>
        <w:rPr>
          <w:rFonts w:hint="eastAsia" w:ascii="仿宋" w:hAnsi="仿宋" w:eastAsia="仿宋" w:cs="仿宋"/>
          <w:color w:val="auto"/>
          <w:highlight w:val="none"/>
        </w:rPr>
      </w:pPr>
      <w:bookmarkStart w:id="97" w:name="_Toc22476"/>
      <w:r>
        <w:rPr>
          <w:rFonts w:hint="eastAsia" w:ascii="仿宋" w:hAnsi="仿宋" w:eastAsia="仿宋" w:cs="仿宋"/>
          <w:color w:val="auto"/>
          <w:highlight w:val="none"/>
        </w:rPr>
        <w:t>十、补充协议</w:t>
      </w:r>
      <w:bookmarkEnd w:id="97"/>
    </w:p>
    <w:p w14:paraId="7374E78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合同未尽事宜，合同当事人另行签订补充协议，补充协议是合同的组成部分。</w:t>
      </w:r>
    </w:p>
    <w:p w14:paraId="3B35A5AA">
      <w:pPr>
        <w:spacing w:line="360" w:lineRule="auto"/>
        <w:ind w:firstLine="281"/>
        <w:outlineLvl w:val="1"/>
        <w:rPr>
          <w:rFonts w:hint="eastAsia" w:ascii="仿宋" w:hAnsi="仿宋" w:eastAsia="仿宋" w:cs="仿宋"/>
          <w:color w:val="auto"/>
          <w:highlight w:val="none"/>
        </w:rPr>
      </w:pPr>
      <w:bookmarkStart w:id="98" w:name="_Toc4411"/>
      <w:r>
        <w:rPr>
          <w:rFonts w:hint="eastAsia" w:ascii="仿宋" w:hAnsi="仿宋" w:eastAsia="仿宋" w:cs="仿宋"/>
          <w:color w:val="auto"/>
          <w:highlight w:val="none"/>
        </w:rPr>
        <w:t>十一、合同生效</w:t>
      </w:r>
      <w:bookmarkEnd w:id="98"/>
    </w:p>
    <w:p w14:paraId="6BC9799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本合同自</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生效。</w:t>
      </w:r>
    </w:p>
    <w:p w14:paraId="76CE3269">
      <w:pPr>
        <w:spacing w:line="360" w:lineRule="auto"/>
        <w:ind w:firstLine="281"/>
        <w:outlineLvl w:val="1"/>
        <w:rPr>
          <w:rFonts w:hint="eastAsia" w:ascii="仿宋" w:hAnsi="仿宋" w:eastAsia="仿宋" w:cs="仿宋"/>
          <w:color w:val="auto"/>
          <w:highlight w:val="none"/>
        </w:rPr>
      </w:pPr>
      <w:bookmarkStart w:id="99" w:name="_Toc19803"/>
      <w:r>
        <w:rPr>
          <w:rFonts w:hint="eastAsia" w:ascii="仿宋" w:hAnsi="仿宋" w:eastAsia="仿宋" w:cs="仿宋"/>
          <w:color w:val="auto"/>
          <w:highlight w:val="none"/>
        </w:rPr>
        <w:t>十二、合同份数</w:t>
      </w:r>
      <w:bookmarkEnd w:id="99"/>
    </w:p>
    <w:p w14:paraId="0111738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本合同正本一式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份、副本一式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份，均具有同等法律效力，发包人执正本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份、副本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份，设计人执正本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份、副本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w:t>
      </w:r>
    </w:p>
    <w:p w14:paraId="4D8F3206">
      <w:pPr>
        <w:rPr>
          <w:rFonts w:hint="eastAsia" w:ascii="仿宋" w:hAnsi="仿宋" w:eastAsia="仿宋" w:cs="仿宋"/>
          <w:color w:val="auto"/>
          <w:highlight w:val="none"/>
        </w:rPr>
      </w:pPr>
    </w:p>
    <w:p w14:paraId="693F0EF4">
      <w:pPr>
        <w:rPr>
          <w:rFonts w:hint="eastAsia" w:ascii="仿宋" w:hAnsi="仿宋" w:eastAsia="仿宋" w:cs="仿宋"/>
          <w:color w:val="auto"/>
          <w:highlight w:val="none"/>
        </w:rPr>
      </w:pPr>
    </w:p>
    <w:tbl>
      <w:tblPr>
        <w:tblStyle w:val="49"/>
        <w:tblW w:w="19966"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5"/>
        <w:gridCol w:w="4976"/>
        <w:gridCol w:w="5007"/>
        <w:gridCol w:w="5008"/>
      </w:tblGrid>
      <w:tr w14:paraId="0852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5" w:type="dxa"/>
            <w:tcBorders>
              <w:top w:val="nil"/>
              <w:left w:val="nil"/>
              <w:bottom w:val="nil"/>
              <w:right w:val="nil"/>
            </w:tcBorders>
            <w:noWrap w:val="0"/>
            <w:vAlign w:val="top"/>
          </w:tcPr>
          <w:p w14:paraId="231C303D">
            <w:pPr>
              <w:spacing w:line="360" w:lineRule="auto"/>
              <w:rPr>
                <w:rFonts w:hint="eastAsia" w:ascii="仿宋" w:hAnsi="仿宋" w:eastAsia="仿宋" w:cs="仿宋"/>
                <w:color w:val="auto"/>
                <w:spacing w:val="9"/>
                <w:sz w:val="20"/>
                <w:szCs w:val="20"/>
                <w:highlight w:val="none"/>
              </w:rPr>
            </w:pPr>
          </w:p>
          <w:p w14:paraId="3DCE4870">
            <w:pPr>
              <w:spacing w:line="360" w:lineRule="auto"/>
              <w:rPr>
                <w:rFonts w:hint="eastAsia" w:ascii="仿宋" w:hAnsi="仿宋" w:eastAsia="仿宋" w:cs="仿宋"/>
                <w:color w:val="auto"/>
                <w:spacing w:val="9"/>
                <w:sz w:val="20"/>
                <w:szCs w:val="20"/>
                <w:highlight w:val="none"/>
              </w:rPr>
            </w:pPr>
          </w:p>
          <w:p w14:paraId="5CECF58D">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发包人（印章）：</w:t>
            </w:r>
          </w:p>
          <w:p w14:paraId="5368B8DB">
            <w:pPr>
              <w:spacing w:line="360" w:lineRule="auto"/>
              <w:rPr>
                <w:rFonts w:hint="eastAsia" w:ascii="仿宋" w:hAnsi="仿宋" w:eastAsia="仿宋" w:cs="仿宋"/>
                <w:color w:val="auto"/>
                <w:spacing w:val="9"/>
                <w:sz w:val="20"/>
                <w:szCs w:val="20"/>
                <w:highlight w:val="none"/>
              </w:rPr>
            </w:pPr>
          </w:p>
          <w:p w14:paraId="0DA83B9E">
            <w:pPr>
              <w:spacing w:line="360" w:lineRule="auto"/>
              <w:rPr>
                <w:rFonts w:hint="eastAsia" w:ascii="仿宋" w:hAnsi="仿宋" w:eastAsia="仿宋" w:cs="仿宋"/>
                <w:color w:val="auto"/>
                <w:spacing w:val="9"/>
                <w:sz w:val="20"/>
                <w:szCs w:val="20"/>
                <w:highlight w:val="none"/>
              </w:rPr>
            </w:pPr>
          </w:p>
          <w:p w14:paraId="7FAB1303">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法定代表人或其委托代理人（签字）：</w:t>
            </w:r>
          </w:p>
          <w:p w14:paraId="7CE4806C">
            <w:pPr>
              <w:spacing w:line="360" w:lineRule="auto"/>
              <w:rPr>
                <w:rFonts w:hint="eastAsia" w:ascii="仿宋" w:hAnsi="仿宋" w:eastAsia="仿宋" w:cs="仿宋"/>
                <w:color w:val="auto"/>
                <w:spacing w:val="9"/>
                <w:sz w:val="20"/>
                <w:szCs w:val="20"/>
                <w:highlight w:val="none"/>
              </w:rPr>
            </w:pPr>
          </w:p>
          <w:p w14:paraId="764D5E23">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统一社会信用代码：</w:t>
            </w:r>
          </w:p>
          <w:p w14:paraId="6E8E344A">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纳税人识别码：</w:t>
            </w:r>
          </w:p>
          <w:p w14:paraId="32475A2B">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地址：</w:t>
            </w:r>
          </w:p>
          <w:p w14:paraId="37BC8F92">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邮政编码：</w:t>
            </w:r>
          </w:p>
          <w:p w14:paraId="7ACD8B6F">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法定代表人：</w:t>
            </w:r>
          </w:p>
          <w:p w14:paraId="3315FA49">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委托代理人：</w:t>
            </w:r>
          </w:p>
          <w:p w14:paraId="5F64A81A">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电话：</w:t>
            </w:r>
          </w:p>
          <w:p w14:paraId="05207EC6">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传真：</w:t>
            </w:r>
          </w:p>
          <w:p w14:paraId="63192593">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电子邮箱：</w:t>
            </w:r>
          </w:p>
          <w:p w14:paraId="17BEFBC6">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开户银行：</w:t>
            </w:r>
          </w:p>
          <w:p w14:paraId="3B920D36">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账号：</w:t>
            </w:r>
          </w:p>
          <w:p w14:paraId="1CEE1830">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日期：       年    月    日</w:t>
            </w:r>
          </w:p>
        </w:tc>
        <w:tc>
          <w:tcPr>
            <w:tcW w:w="4976" w:type="dxa"/>
            <w:tcBorders>
              <w:top w:val="nil"/>
              <w:left w:val="nil"/>
              <w:bottom w:val="nil"/>
              <w:right w:val="nil"/>
            </w:tcBorders>
            <w:noWrap w:val="0"/>
            <w:vAlign w:val="top"/>
          </w:tcPr>
          <w:p w14:paraId="32840AA9">
            <w:pPr>
              <w:spacing w:line="360" w:lineRule="auto"/>
              <w:rPr>
                <w:rFonts w:hint="eastAsia" w:ascii="仿宋" w:hAnsi="仿宋" w:eastAsia="仿宋" w:cs="仿宋"/>
                <w:color w:val="auto"/>
                <w:spacing w:val="9"/>
                <w:sz w:val="20"/>
                <w:szCs w:val="20"/>
                <w:highlight w:val="none"/>
              </w:rPr>
            </w:pPr>
          </w:p>
          <w:p w14:paraId="56782EAA">
            <w:pPr>
              <w:spacing w:line="360" w:lineRule="auto"/>
              <w:rPr>
                <w:rFonts w:hint="eastAsia" w:ascii="仿宋" w:hAnsi="仿宋" w:eastAsia="仿宋" w:cs="仿宋"/>
                <w:color w:val="auto"/>
                <w:spacing w:val="9"/>
                <w:sz w:val="20"/>
                <w:szCs w:val="20"/>
                <w:highlight w:val="none"/>
              </w:rPr>
            </w:pPr>
          </w:p>
          <w:p w14:paraId="162A7999">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lang w:val="en-US" w:eastAsia="zh-CN"/>
              </w:rPr>
              <w:t>承包</w:t>
            </w:r>
            <w:r>
              <w:rPr>
                <w:rFonts w:hint="eastAsia" w:ascii="仿宋" w:hAnsi="仿宋" w:eastAsia="仿宋" w:cs="仿宋"/>
                <w:color w:val="auto"/>
                <w:spacing w:val="9"/>
                <w:sz w:val="20"/>
                <w:szCs w:val="20"/>
                <w:highlight w:val="none"/>
              </w:rPr>
              <w:t>人（联合体由设计方盖章） ：</w:t>
            </w:r>
          </w:p>
          <w:p w14:paraId="4AD69B96">
            <w:pPr>
              <w:spacing w:line="360" w:lineRule="auto"/>
              <w:rPr>
                <w:rFonts w:hint="eastAsia" w:ascii="仿宋" w:hAnsi="仿宋" w:eastAsia="仿宋" w:cs="仿宋"/>
                <w:color w:val="auto"/>
                <w:spacing w:val="9"/>
                <w:sz w:val="20"/>
                <w:szCs w:val="20"/>
                <w:highlight w:val="none"/>
              </w:rPr>
            </w:pPr>
          </w:p>
          <w:p w14:paraId="3EFF0858">
            <w:pPr>
              <w:spacing w:line="360" w:lineRule="auto"/>
              <w:rPr>
                <w:rFonts w:hint="eastAsia" w:ascii="仿宋" w:hAnsi="仿宋" w:eastAsia="仿宋" w:cs="仿宋"/>
                <w:color w:val="auto"/>
                <w:spacing w:val="9"/>
                <w:sz w:val="20"/>
                <w:szCs w:val="20"/>
                <w:highlight w:val="none"/>
              </w:rPr>
            </w:pPr>
          </w:p>
          <w:p w14:paraId="386CCF70">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法定代表人或其委托代理人（签字）：</w:t>
            </w:r>
          </w:p>
          <w:p w14:paraId="1DA32E06">
            <w:pPr>
              <w:spacing w:line="360" w:lineRule="auto"/>
              <w:rPr>
                <w:rFonts w:hint="eastAsia" w:ascii="仿宋" w:hAnsi="仿宋" w:eastAsia="仿宋" w:cs="仿宋"/>
                <w:color w:val="auto"/>
                <w:spacing w:val="9"/>
                <w:sz w:val="20"/>
                <w:szCs w:val="20"/>
                <w:highlight w:val="none"/>
              </w:rPr>
            </w:pPr>
          </w:p>
          <w:p w14:paraId="6160729A">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统一社会信用代码：</w:t>
            </w:r>
          </w:p>
          <w:p w14:paraId="0A3AFA93">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纳税人识别码：</w:t>
            </w:r>
          </w:p>
          <w:p w14:paraId="58C461A4">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地址：</w:t>
            </w:r>
          </w:p>
          <w:p w14:paraId="350F386A">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邮政编码：</w:t>
            </w:r>
          </w:p>
          <w:p w14:paraId="37FEC137">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法定代表人：</w:t>
            </w:r>
          </w:p>
          <w:p w14:paraId="401925C1">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委托代理人：</w:t>
            </w:r>
          </w:p>
          <w:p w14:paraId="25EC2207">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电话：</w:t>
            </w:r>
          </w:p>
          <w:p w14:paraId="7BC0B5E7">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传真：</w:t>
            </w:r>
          </w:p>
          <w:p w14:paraId="3524196C">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电子邮箱：</w:t>
            </w:r>
          </w:p>
          <w:p w14:paraId="4D0F911C">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开户银行：</w:t>
            </w:r>
          </w:p>
          <w:p w14:paraId="37AD1D04">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账号：</w:t>
            </w:r>
          </w:p>
          <w:p w14:paraId="348C92A4">
            <w:pPr>
              <w:spacing w:line="360" w:lineRule="auto"/>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日期：       年    月    日</w:t>
            </w:r>
          </w:p>
        </w:tc>
        <w:tc>
          <w:tcPr>
            <w:tcW w:w="5007" w:type="dxa"/>
            <w:tcBorders>
              <w:top w:val="nil"/>
              <w:left w:val="nil"/>
              <w:bottom w:val="nil"/>
              <w:right w:val="nil"/>
            </w:tcBorders>
            <w:noWrap w:val="0"/>
            <w:vAlign w:val="top"/>
          </w:tcPr>
          <w:p w14:paraId="3F39812F">
            <w:pPr>
              <w:rPr>
                <w:rFonts w:hint="eastAsia" w:ascii="仿宋" w:hAnsi="仿宋" w:eastAsia="仿宋" w:cs="仿宋"/>
                <w:color w:val="auto"/>
                <w:highlight w:val="none"/>
              </w:rPr>
            </w:pPr>
          </w:p>
        </w:tc>
        <w:tc>
          <w:tcPr>
            <w:tcW w:w="5008" w:type="dxa"/>
            <w:tcBorders>
              <w:top w:val="nil"/>
              <w:left w:val="nil"/>
              <w:bottom w:val="nil"/>
              <w:right w:val="nil"/>
            </w:tcBorders>
            <w:noWrap w:val="0"/>
            <w:vAlign w:val="top"/>
          </w:tcPr>
          <w:p w14:paraId="1FA00649">
            <w:pPr>
              <w:rPr>
                <w:rFonts w:hint="eastAsia" w:ascii="仿宋" w:hAnsi="仿宋" w:eastAsia="仿宋" w:cs="仿宋"/>
                <w:color w:val="auto"/>
                <w:highlight w:val="none"/>
              </w:rPr>
            </w:pPr>
          </w:p>
        </w:tc>
      </w:tr>
    </w:tbl>
    <w:p w14:paraId="60F97129">
      <w:pPr>
        <w:rPr>
          <w:rFonts w:hint="eastAsia" w:ascii="仿宋" w:hAnsi="仿宋" w:eastAsia="仿宋" w:cs="仿宋"/>
          <w:color w:val="auto"/>
          <w:highlight w:val="none"/>
        </w:rPr>
      </w:pPr>
    </w:p>
    <w:p w14:paraId="44CFCAFB">
      <w:pPr>
        <w:rPr>
          <w:rFonts w:hint="eastAsia" w:ascii="仿宋" w:hAnsi="仿宋" w:eastAsia="仿宋" w:cs="仿宋"/>
          <w:color w:val="auto"/>
          <w:highlight w:val="none"/>
        </w:rPr>
        <w:sectPr>
          <w:footerReference r:id="rId10" w:type="default"/>
          <w:pgSz w:w="11906" w:h="16839"/>
          <w:pgMar w:top="1134" w:right="1191" w:bottom="1134" w:left="1191" w:header="0" w:footer="706" w:gutter="0"/>
          <w:pgNumType w:fmt="decimal"/>
          <w:cols w:space="720" w:num="1"/>
          <w:rtlGutter w:val="0"/>
          <w:docGrid w:linePitch="0" w:charSpace="0"/>
        </w:sectPr>
      </w:pPr>
    </w:p>
    <w:p w14:paraId="6DDE7AFA">
      <w:pPr>
        <w:pStyle w:val="3"/>
        <w:spacing w:line="240" w:lineRule="auto"/>
        <w:jc w:val="center"/>
        <w:rPr>
          <w:rFonts w:hint="eastAsia" w:ascii="仿宋" w:hAnsi="仿宋" w:eastAsia="仿宋" w:cs="仿宋"/>
          <w:color w:val="auto"/>
          <w:sz w:val="40"/>
          <w:szCs w:val="40"/>
          <w:highlight w:val="none"/>
        </w:rPr>
      </w:pPr>
      <w:bookmarkStart w:id="100" w:name="_Toc6750"/>
      <w:r>
        <w:rPr>
          <w:rFonts w:hint="eastAsia" w:ascii="仿宋" w:hAnsi="仿宋" w:eastAsia="仿宋" w:cs="仿宋"/>
          <w:color w:val="auto"/>
          <w:sz w:val="40"/>
          <w:szCs w:val="40"/>
          <w:highlight w:val="none"/>
        </w:rPr>
        <w:t>第二部分 通用合同条款</w:t>
      </w:r>
      <w:bookmarkEnd w:id="100"/>
    </w:p>
    <w:p w14:paraId="542AB7DC">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 一般约定</w:t>
      </w:r>
    </w:p>
    <w:p w14:paraId="21BF857E">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1.1 词语定义与解释</w:t>
      </w:r>
    </w:p>
    <w:p w14:paraId="6739339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合同协议书、通用合同条款、专用合同条款中的下列词语具有本款所赋予的含义：</w:t>
      </w:r>
    </w:p>
    <w:p w14:paraId="4AE62011">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1.1.1 合同</w:t>
      </w:r>
    </w:p>
    <w:p w14:paraId="0E68942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Files/wxid_8928719287022/FileStorage/File/2023-08/1.1.1.1"</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合同：是指根据法律规定和合同当事人约定具有约束力的文件，构成合同的文件包括合同协议书、专用合同条款及其附件、通用合同条款、 中标通知书（如果有） 、投标函及其附录（如果有）、发包人要求、技术标准、发包人提供的上一阶段图纸（如果有） 以及其他合同文件。</w:t>
      </w:r>
    </w:p>
    <w:p w14:paraId="18F0150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Files/wxid_8928719287022/FileStorage/File/2023-08/1.1.1.2"</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合同协议书：是指构成合同的由发包人和设计人共同签署的称为“合同协议书 ”的书面文件。</w:t>
      </w:r>
    </w:p>
    <w:p w14:paraId="497C77E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Files/wxid_8928719287022/FileStorage/File/2023-08/1.1.1.3"</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中标通知书：是指构成合同的由发包人通知设计人中标的书面文件。</w:t>
      </w:r>
    </w:p>
    <w:p w14:paraId="46ADF91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Files/wxid_8928719287022/FileStorage/File/2023-08/1.1.1.4"</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投标函：是指构成合同的由设计人填写并签署的用于投标的称为“投标函 ”的文件。</w:t>
      </w:r>
    </w:p>
    <w:p w14:paraId="552807C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Files/wxid_8928719287022/FileStorage/File/2023-08/1.1.1.5"</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投标函附录：是指构成合同的附在投标函后的称为“投标函附录 ”的文件。</w:t>
      </w:r>
    </w:p>
    <w:p w14:paraId="37E55C2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Files/wxid_8928719287022/FileStorage/File/2023-08/1.1.1.6"</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发包人要求：是指构成合同文件组成部分的， 由发包人就工程项目的目的、范围、功能要求 及工程设计文件审查的范围和内容等提出相应要求的书面文件，又称设计任务书。</w:t>
      </w:r>
    </w:p>
    <w:p w14:paraId="695B731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Files/wxid_8928719287022/FileStorage/File/2023-08/1.1.1.7"</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技术标准：是指构成合同的设计应当遵守的或指导设计的国家、行业或地方的技术标准和要 求， 以及合同约定的技术标准和要求。</w:t>
      </w:r>
    </w:p>
    <w:p w14:paraId="5F357ED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Files/wxid_8928719287022/FileStorage/File/2023-08/1.1.1.8"</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其他合同文件：是指经合同当事人约定的与工程设计有关的具有合同约束力的文件或书面协 议。合同当事人可以在专用合同条款中进行约定。</w:t>
      </w:r>
    </w:p>
    <w:p w14:paraId="2BA5B188">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1.1.2 合同当事人及其他相关方</w:t>
      </w:r>
    </w:p>
    <w:p w14:paraId="3142169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Files/wxid_8928719287022/FileStorage/File/2023-08/1.1.2.1"</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1.1.2.1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合同当事人：是指发包人和（或）设计人。</w:t>
      </w:r>
    </w:p>
    <w:p w14:paraId="76B117A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Files/wxid_8928719287022/FileStorage/File/2023-08/1.1.2.2"</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1.1.2.2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发包人：是指与设计人签订合同协议书的当事人及取得该当事人资格的合法继承人。</w:t>
      </w:r>
    </w:p>
    <w:p w14:paraId="6D0A9B2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Files/wxid_8928719287022/FileStorage/File/2023-08/1.1.2.3"</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1.1.2.3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设计人：是指与发包人签订合同协议书的，具有相应工程设计资质的当事人及取得该当事人资格的合法继承人。</w:t>
      </w:r>
    </w:p>
    <w:p w14:paraId="53355B5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Files/wxid_8928719287022/FileStorage/File/2023-08/1.1.2.4"</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1.1.2.4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分包人：是指按照法律规定和合同约定，分包部分工程设计工作，并与设计人签订分包合同的具有相应资质的法人。</w:t>
      </w:r>
    </w:p>
    <w:p w14:paraId="532AF4D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Files/wxid_8928719287022/FileStorage/File/2023-08/1.1.2.5"</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1.1.2.5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发包人代表：是指由发包人指定负责工程设计方面在发包人授权范围内行使发包人权利的人。</w:t>
      </w:r>
    </w:p>
    <w:p w14:paraId="252C535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Files/wxid_8928719287022/FileStorage/File/2023-08/1.1.2.6"</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1.1.2.6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项目负责人：是指由设计人任命负责工程设计，在设计人授权范围内负责合同履行，且按照法律规定具有相应资格的项目主持人。</w:t>
      </w:r>
    </w:p>
    <w:p w14:paraId="2C6EF42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Files/wxid_8928719287022/FileStorage/File/2023-08/1.1.2.7"</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1.1.2.7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联合体：是指两个以上设计人联合， 以一个设计人身份为发包人提供工程设计服务的临时性组织。</w:t>
      </w:r>
    </w:p>
    <w:p w14:paraId="3C9545A3">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1.1.3 工程设计服务、资料与文件</w:t>
      </w:r>
    </w:p>
    <w:p w14:paraId="05C8561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Files/wxid_8928719287022/FileStorage/File/2023-08/1.1.3.1"</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1.1.3.1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工程设计服务：是指设计人按照合同约定履行的服务，包括工程设计基本服务、工程设计其他服务。</w:t>
      </w:r>
    </w:p>
    <w:p w14:paraId="7DE3EEA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Files/wxid_8928719287022/FileStorage/File/2023-08/1.1.3.2"</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1.1.3.2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工程设计基本服务：是指设计人根据发包人的委托，提供编制专业建设工程初步设计文件（含初步设计概算） 、施工图设计文件服务，并相应提供设计技术交底、解决施工中的设计技术问题、参加试车（试运行）考核和竣工验收等服务。基本服务费用包含在设计费中。</w:t>
      </w:r>
    </w:p>
    <w:p w14:paraId="14290ED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Files/wxid_8928719287022/FileStorage/File/2023-08/1.1.3.3"</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1.1.3.3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3276C6B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Files/wxid_8928719287022/FileStorage/File/2023-08/1.1.3.4"</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1.1.3.4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暂停设计：是指发生设计人不能按照合同约定履行全部或部分义务情形而暂时中断工程设计服务的行为。</w:t>
      </w:r>
    </w:p>
    <w:p w14:paraId="424FB4A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Files/wxid_8928719287022/FileStorage/File/2023-08/1.1.3.5"</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1.1.3.5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 、协议（如燃料、水、 电、气、运输等）和有关数据等其他基础资料。现场障碍资料包括地上和  地下已有的建筑物、构筑物、线缆、管道、受保护的古建筑、古树木等坐标方位、数据和其他相关资料。</w:t>
      </w:r>
    </w:p>
    <w:p w14:paraId="2AD8D76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Files/wxid_8928719287022/FileStorage/File/2023-08/1.1.3.6"</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1.1.3.6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工程设计文件：指按照合同约定和技术要求，由设计人向发包人提供的阶段性成果、最终工作成果等，且应当采用合同中双方约定的载体。</w:t>
      </w:r>
    </w:p>
    <w:p w14:paraId="7C6AEA3A">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1.1.4 日期和期限</w:t>
      </w:r>
    </w:p>
    <w:p w14:paraId="11EBFA7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Files/wxid_8928719287022/FileStorage/File/2023-08/1.1.4.1"</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1.1.4.1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开始设计日期：包括计划开始设计日期和实际开始设计日期。计划开始设计日期是指合同协议书约定的开始设计日期；实际开始设计日期是指发包人发出的开始设计通知中载明的开始设计日期。</w:t>
      </w:r>
    </w:p>
    <w:p w14:paraId="64F4ED1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Files/wxid_8928719287022/FileStorage/File/2023-08/1.1.4.2"</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1.1.4.2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完成设计日期：包括计划完成设计日期和实际完成设计日期。计划完成设计日期是指合同协议书约定的完成设计及相关服务的日期；实际完成设计日期是指设计人交付全部或阶段性设计成果及提供相关服务日期。</w:t>
      </w:r>
    </w:p>
    <w:p w14:paraId="1DF2B31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Files/wxid_8928719287022/FileStorage/File/2023-08/1.1.4.3"</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1.1.4.3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设计周期又称设计工期：是指在合同协议书约定的设计人完成工程设计及相关服务所需的期</w:t>
      </w:r>
    </w:p>
    <w:p w14:paraId="446E4E7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限，包括按照合同约定所作的期限变更。</w:t>
      </w:r>
    </w:p>
    <w:p w14:paraId="461E53E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Files/wxid_8928719287022/FileStorage/File/2023-08/1.1.4.4"</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1.1.4.4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基准日期：招标发包的工程设计以投标截止日前 28 天的日期为基准日期，直接发包的工程设计以合同签订日前 28 天的日期为基准日期。</w:t>
      </w:r>
    </w:p>
    <w:p w14:paraId="1F4EA88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Files/wxid_8928719287022/FileStorage/File/2023-08/1.1.4.5"</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1.1.4.5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天：除特别指明外，均指日历天。合同中按天计算时间的，开始当天不计入，从次日开始计</w:t>
      </w:r>
    </w:p>
    <w:p w14:paraId="5CF83CA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算，期限最后一天的截止时间为当天 24:00 时。</w:t>
      </w:r>
    </w:p>
    <w:p w14:paraId="6E4322FC">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1.1.5 合同价格</w:t>
      </w:r>
    </w:p>
    <w:p w14:paraId="74F088E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Files/wxid_8928719287022/FileStorage/File/2023-08/1.1.5.1"</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1.1.5.1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签约合同价：是指发包人和设计人在合同协议书中确定的总金额。</w:t>
      </w:r>
    </w:p>
    <w:p w14:paraId="1F53AA1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Files/wxid_8928719287022/FileStorage/File/2023-08/1.1.5.2"</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1.1.5.2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合同价格又称设计费：是指发包人用于支付设计人按照合同约定完成工程设计范围内全部工</w:t>
      </w:r>
    </w:p>
    <w:p w14:paraId="6A2D77C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作的金额，包括合同履行过程中按合同约定发生的价格变化。</w:t>
      </w:r>
    </w:p>
    <w:p w14:paraId="3447BC59">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1.1.6 其他</w:t>
      </w:r>
    </w:p>
    <w:p w14:paraId="06D18F0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Files/wxid_8928719287022/FileStorage/File/2023-08/1.1.6.1"</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1.1.6.1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书面形式：是指合同书、信件和数据电文（包括电报、电传、传真、电子数据交换和电子邮</w:t>
      </w:r>
    </w:p>
    <w:p w14:paraId="3AB7E67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件）等可以有形地表现所载内容的形式。</w:t>
      </w:r>
    </w:p>
    <w:p w14:paraId="18E37693">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1.2 语言文字</w:t>
      </w:r>
    </w:p>
    <w:p w14:paraId="57B15AB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合同以中国的汉语简体文字编写、解释和说明。合同当事人在专用合同条款中约定使用两种以上语言时，汉语为优先解释和说明合同的语言。</w:t>
      </w:r>
    </w:p>
    <w:p w14:paraId="1315D04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1.3 法律</w:t>
      </w:r>
    </w:p>
    <w:p w14:paraId="4401F88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合同所称法律是指中华人民共和国法律、行政法规、部门规章，以及工程所在地的地方性法规、自治条例、单行条例和地方政府规章等。</w:t>
      </w:r>
    </w:p>
    <w:p w14:paraId="1FFD291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合同当事人可以在专用合同条款中约定合同适用的其他规范性文件。</w:t>
      </w:r>
    </w:p>
    <w:p w14:paraId="2C184E13">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1.4 技术标准</w:t>
      </w:r>
    </w:p>
    <w:p w14:paraId="3C2E744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1.4.1 适用于工程的现行有效的国家标准、行业标准、工程所在地的地方性标准， 以及相应的规范、规程等，合同当事人有特别要求的，应在专用合同条款中约定。</w:t>
      </w:r>
    </w:p>
    <w:p w14:paraId="10E4099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1.4.2 发包人要求使用国外技术标准的，发包人与设计人在专用合同条款中约定原文版本和中文译本提供方及提供标准的名称、份数、时间及费用承担等事项。</w:t>
      </w:r>
    </w:p>
    <w:p w14:paraId="5A08C70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149A9EA2">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1.5 合同文件的优先顺序</w:t>
      </w:r>
    </w:p>
    <w:p w14:paraId="4017DFA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组成合同的各项文件应互相解释，互为说明。除专用合同条款另有约定外，解释合同文件的优先顺序如下：</w:t>
      </w:r>
    </w:p>
    <w:p w14:paraId="5600604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（1）合同协议书；</w:t>
      </w:r>
    </w:p>
    <w:p w14:paraId="30E3E7A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（2）专用合同条款及其附件；</w:t>
      </w:r>
    </w:p>
    <w:p w14:paraId="7C68E65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（3）通用合同条款；</w:t>
      </w:r>
    </w:p>
    <w:p w14:paraId="12238E8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 中标通知书（如果有）；</w:t>
      </w:r>
    </w:p>
    <w:p w14:paraId="7E70225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（5）投标函及其附录（如果有）；</w:t>
      </w:r>
    </w:p>
    <w:p w14:paraId="5D3DCA4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（6）发包人要求；</w:t>
      </w:r>
    </w:p>
    <w:p w14:paraId="643A71F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（7）技术标准；</w:t>
      </w:r>
    </w:p>
    <w:p w14:paraId="0C9381A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（8）发包人提供的上一阶段图纸（如果有）；</w:t>
      </w:r>
    </w:p>
    <w:p w14:paraId="3925422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（9）其他合同文件。</w:t>
      </w:r>
    </w:p>
    <w:p w14:paraId="7235385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上述各项合同文件包括合同当事人就该项合同文件所作出的补充和修改，属于同一类内容的文件，应以最新签署的为准。</w:t>
      </w:r>
    </w:p>
    <w:p w14:paraId="3A34B1F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在合同履行过程中形成的与合同有关的文件均构成合同文件组成部分，并根据其性质确定优先解释顺序。</w:t>
      </w:r>
    </w:p>
    <w:p w14:paraId="30E3CFF3">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1.6 联络</w:t>
      </w:r>
    </w:p>
    <w:p w14:paraId="70B5F34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1.6.1 与合同有关的通知、批准、证明、证书、指示、指令、要求、请求、同意、确定和决定等，均应采用书面形式，并应在合同约定的期限内送达接收人和送达地点。</w:t>
      </w:r>
    </w:p>
    <w:p w14:paraId="36FCBAE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1.6.2 发包人和设计人应在专用合同条款中约定各自的送达接收人、送达地点、电子邮箱。任何一方合同当事人指定的接收人或送达地点或电子邮箱发生变动的，应提前 3 天以书面形式通知对方，否则视为未发生变动。</w:t>
      </w:r>
    </w:p>
    <w:p w14:paraId="3D0C067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1.6.3 发包人和设计人应当及时签收另一方送达至送达地点和指定接收人的来往信函，如确有充分证据证明一方无正当理由拒不签收的，视为拒绝签收一方认可往来信函的内容。</w:t>
      </w:r>
    </w:p>
    <w:p w14:paraId="0EA14A1A">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1.7 严禁贿赂</w:t>
      </w:r>
    </w:p>
    <w:p w14:paraId="5F5E6ED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合同当事人不得以贿赂或变相贿赂的方式，谋取非法利益或损害对方权益。 因一方合同当事人的贿赂造成对方损失的，应赔偿损失，并承担相应的法律责任。</w:t>
      </w:r>
    </w:p>
    <w:p w14:paraId="5FAF5665">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color w:val="auto"/>
          <w:highlight w:val="none"/>
        </w:rPr>
        <w:t>1.8 保密</w:t>
      </w:r>
    </w:p>
    <w:p w14:paraId="5BACDC3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除法律规定或合同另有约定外，未经发包人同意，设计人不得将发包人提供的图纸、文件以及声明需要保密的资料信息等商业秘密泄露给第三方。</w:t>
      </w:r>
    </w:p>
    <w:p w14:paraId="29382B8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除法律规定或合同另有约定外，未经设计人同意，发包人不得将设计人提供的技术文件、技术成果、技术秘密及声明需要保密的资料信息等商业秘密泄露给第三方。</w:t>
      </w:r>
    </w:p>
    <w:p w14:paraId="25799CD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保密期限由发包人与设计人在专用合同条款中约定。</w:t>
      </w:r>
    </w:p>
    <w:p w14:paraId="6855984C">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2. 发包人</w:t>
      </w:r>
    </w:p>
    <w:p w14:paraId="1F9CDD65">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2.1 发包人一般义务</w:t>
      </w:r>
    </w:p>
    <w:p w14:paraId="7846ED2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2.1.1 发包人应遵守法律，并办理法律规定由其办理的许可、核准或备案，包括但不限于建设用地规 划许可证、建设工程规划许可证等许可、核准或备案。</w:t>
      </w:r>
    </w:p>
    <w:p w14:paraId="4419B09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负责本项目各阶段设计文件向有关管理部门的送审报批工作，并负责将报批结果书面通知设计人。因发包人原因未能及时办理完毕前述许可、核准或备案手续，导致设计工作量增加和（或）设计周期延长时， 由发包人承担由此增加的设计费用和（或）延长的设计周期。</w:t>
      </w:r>
    </w:p>
    <w:p w14:paraId="36E4778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2.1.2 发包人应当负责工程设计的所有外部关系的协调（包括但不限于当地政府主管部门等），为设计人履行合同提供必要的外部条件。</w:t>
      </w:r>
    </w:p>
    <w:p w14:paraId="02DDBAB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2.1.3 专用合同条款约定的其他义务。</w:t>
      </w:r>
    </w:p>
    <w:p w14:paraId="4DD3C9D4">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2.2 发包人代表</w:t>
      </w:r>
    </w:p>
    <w:p w14:paraId="4CAE959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46852A0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发包人代表不能按照合同约定履行其职责及义务，并导致合同无法继续正常履行的，设计人可以要求发包人撤换发包人代表。</w:t>
      </w:r>
    </w:p>
    <w:p w14:paraId="7BD752E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2.3 发包人决定</w:t>
      </w:r>
    </w:p>
    <w:p w14:paraId="44CBE59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2.3.1 发包人在法律允许的范围内有权对设计人的设计工作、设计项目和/或设计文件作出处理决定，设计人应按照发包人的决定执行，涉及设计周期或设计费用等问题按本合同第 11 条〔工程设计变更与索赔〕 的约定处理。</w:t>
      </w:r>
    </w:p>
    <w:p w14:paraId="0531A3C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2.3.2 发包人应在专用合同条款约定的期限内对设计人书面提出的事项作出书面决定，如发包人不在确定时间内作出书面决定，设计人的设计周期相应延长。</w:t>
      </w:r>
    </w:p>
    <w:p w14:paraId="760A28F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2.4 支付合同价款</w:t>
      </w:r>
    </w:p>
    <w:p w14:paraId="3BBF398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发包人应按合同约定向设计人及时足额支付合同价款。</w:t>
      </w:r>
    </w:p>
    <w:p w14:paraId="4A1946B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2.5 设计文件接收</w:t>
      </w:r>
    </w:p>
    <w:p w14:paraId="2D8ECAA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发包人应按合同约定及时接收设计人提交的工程设计文件。</w:t>
      </w:r>
    </w:p>
    <w:p w14:paraId="2738CC01">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3. 设计人</w:t>
      </w:r>
    </w:p>
    <w:p w14:paraId="540F17ED">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3.1 设计人一般义务</w:t>
      </w:r>
    </w:p>
    <w:p w14:paraId="3A1E021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3.1.1 设计人应遵守法律和有关技术标准的强制性规定，完成合同约定范围内的专业建设工程初步设计、施工图设计，提供符合技术标准及合同要求的工程设计文件，提供施工配合服务。</w:t>
      </w:r>
    </w:p>
    <w:p w14:paraId="4EF72FC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562A9DB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3.1.2 设计人应当完成合同约定的工程设计其他服务。</w:t>
      </w:r>
    </w:p>
    <w:p w14:paraId="298D64E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3.1.3 专用合同条款约定的其他义务。</w:t>
      </w:r>
    </w:p>
    <w:p w14:paraId="12A54AAB">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3.2 项目负责人</w:t>
      </w:r>
    </w:p>
    <w:p w14:paraId="380E4FC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3.2.1 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14:paraId="62AC755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3.2.2 设计人需要更换项目负责人的，应在专用合同条款约定的期限内提前书面通知发包人，并征得发包人书面同意。通知中应当载明继任项目负责人的注册执业资格或职称、管理经验等资料，继任项目负责人继续履行第 3.2.1 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2602669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3.2.3 发包人有权书面通知设计人更换其认为不称职的项目负责人，通知中应当载明要求更换的理由。对于发包人有理由的更换要求，设计人应在收到书面更换通知后在专用合同条款约定的期限内进行更换，</w:t>
      </w:r>
    </w:p>
    <w:p w14:paraId="456CE38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并将新任命的项目负责人的注册执业资格或职称、管理经验等资料书面通知发包人。继任项目负责人继续 履行第 3.2.1 项约定的职责。设计人无正当理由拒绝更换项目负责人的，应按照专用合同条款的约定承担 违约责任。</w:t>
      </w:r>
    </w:p>
    <w:p w14:paraId="670F87DD">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3.3 设计人人员</w:t>
      </w:r>
    </w:p>
    <w:p w14:paraId="72D7206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3.3.1 除专用合同条款对期限另有约定外，设计人应在接到开始设计通知后7天内，向发包人提交设计人项目管理机构及人员安排的报告，其内容应包括工艺、土建、设备等专业负责人名单及其岗位、注册执业资格或职称等。</w:t>
      </w:r>
    </w:p>
    <w:p w14:paraId="6733C60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3.3.2 设计人委派到工程设计中的设计人员应相对稳定。设计过程中如有变动，设计人应及时向发包人提交工程设计人员变动情况的报告。设计人更换专业负责人时，应提前 7 天书面通知发包人，除专业负责人无法正常履职情形外，还应征得发包人书面同意。通知中应当载明继任人员的注册执业资格或职称、执业经验等资料。</w:t>
      </w:r>
    </w:p>
    <w:p w14:paraId="7EFD71D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63AA0C32">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3.4 设计分包</w:t>
      </w:r>
    </w:p>
    <w:p w14:paraId="6C133D42">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3.4.1 设计分包的一般约定</w:t>
      </w:r>
    </w:p>
    <w:p w14:paraId="3D7A72A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4B877F2F">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3.4.2 设计分包的确定</w:t>
      </w:r>
    </w:p>
    <w:p w14:paraId="295907D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3D6BEF4C">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3.4.3 设计分包管理</w:t>
      </w:r>
    </w:p>
    <w:p w14:paraId="6A8E35D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设计人应按照专用合同条款的约定向发包人提交分包人的主要工程设计人员名单、注册执业资格或职称及执业经历等。</w:t>
      </w:r>
    </w:p>
    <w:p w14:paraId="51C3482D">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3.4.4 分包工程设计费</w:t>
      </w:r>
    </w:p>
    <w:p w14:paraId="67351BA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（1）除本项第（2） 目约定的情况或专用合同条款另有约定外，分包工程设计费由设计人与分包人结算，未经设计人同意，发包人不得向分包人支付分包工程设计费；</w:t>
      </w:r>
    </w:p>
    <w:p w14:paraId="78110AC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（2）生效的法院判决书或仲裁裁决书要求发包人向分包人支付分包工程设计费的，发包人有权从应付设计人合同价款中扣除该部分费用。</w:t>
      </w:r>
    </w:p>
    <w:p w14:paraId="31EEB538">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3.5 联合体</w:t>
      </w:r>
    </w:p>
    <w:p w14:paraId="3318CFD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3.5.1 联合体各方应共同与发包人签订合同协议书。联合体各方应为履行合同向发包人承担连带责任。</w:t>
      </w:r>
    </w:p>
    <w:p w14:paraId="50472E1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3.5.2 联合体协议，应当约定联合体各成员工作分工，经发包人确认后作为合同附件。在履行合同过程中，未经发包人同意，不得修改联合体协议。</w:t>
      </w:r>
    </w:p>
    <w:p w14:paraId="4E1AD96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3.5.3 联合体牵头人负责与发包人联系，并接受指示，负责组织联合体各成员全面履行合同。</w:t>
      </w:r>
    </w:p>
    <w:p w14:paraId="02EF559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3.5.4 发包人向联合体支付设计费用的方式在专用合同条款中约定。</w:t>
      </w:r>
    </w:p>
    <w:p w14:paraId="5B04E4B9">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4. 工程设计资料</w:t>
      </w:r>
    </w:p>
    <w:p w14:paraId="56420D87">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4.1 提供工程设计资料</w:t>
      </w:r>
    </w:p>
    <w:p w14:paraId="2B9CBC1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发包人应当在工程设计前或专用合同条款附件 2 约定的时间向设计人提供工程设计所必需的工程设计资料，并对所提供资料的真实性、准确性和完整性负责。</w:t>
      </w:r>
    </w:p>
    <w:p w14:paraId="6C6AB47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按照法律规定确需在工程设计开始后方能提供的设计资料，发包人应及时地在相应工程设计文件提交给发包人前的合理期限内提供，合理期限应以不影响设计人的正常设计为限。</w:t>
      </w:r>
    </w:p>
    <w:p w14:paraId="6113B187">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4.2 逾期提供的责任</w:t>
      </w:r>
    </w:p>
    <w:p w14:paraId="7460635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发包人提交上述文件和资料超过约定期限的，超过约定期限 15 天以内，设计人按本合同约定的交付工程设计文件时间相应顺延；超过约定期限 15 天以外时，设计人有权重新确定提交工程设计文件的时间。工 程设计资料逾期提供导致增加了设计工作量的，设计人可以要求发包人另行支付相应设计费用，并相应延长设计周期。</w:t>
      </w:r>
    </w:p>
    <w:p w14:paraId="3D18E2FB">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5. 工程设计要求</w:t>
      </w:r>
    </w:p>
    <w:p w14:paraId="4C726CBC">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5.1 工程设计一般要求</w:t>
      </w:r>
    </w:p>
    <w:p w14:paraId="3960D572">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5.1.1 对发包人的要求</w:t>
      </w:r>
    </w:p>
    <w:p w14:paraId="2C78C20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14:paraId="0D7BD99A">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5.1.2 对设计人的要求</w:t>
      </w:r>
    </w:p>
    <w:p w14:paraId="0C74F3B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Files/wxid_8928719287022/FileStorage/File/2023-08/5.1.2.1"</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5.1.2.1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设计人应当按法律和技术标准的强制性规定及发包人要求进行工程设计。有关工程设计的特殊</w:t>
      </w:r>
    </w:p>
    <w:p w14:paraId="61159FD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标准或要求由合同当事人在专用合同条款中约定。</w:t>
      </w:r>
    </w:p>
    <w:p w14:paraId="5BF1ED1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设计人发现发包人提供的工程设计资料有问题的，设计人应当及时通知发包人并经发包人确认。</w:t>
      </w:r>
    </w:p>
    <w:p w14:paraId="0C3806D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Files/wxid_8928719287022/FileStorage/File/2023-08/5.1.2.2"</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5.1.2.2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 因发包人采纳设计人的建议或遵守基准日期后新的强制性的规定或标准，导致增加设计费用和（或）设计周期延长的，由发包人承担。</w:t>
      </w:r>
    </w:p>
    <w:p w14:paraId="66ED981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Files/wxid_8928719287022/FileStorage/File/2023-08/5.1.2.3"</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5.1.2.3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设计人在工程设计中应当采用合同约定的技术、工艺和设备，满足质量、安全、节能、环保等要求。</w:t>
      </w:r>
    </w:p>
    <w:p w14:paraId="2F2AF7C2">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5.2 工程设计保证措施</w:t>
      </w:r>
    </w:p>
    <w:p w14:paraId="6F21DFD9">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5.2.1 发包人的保证措施</w:t>
      </w:r>
    </w:p>
    <w:p w14:paraId="5210658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发包人应按照法律规定及合同约定完成与工程设计有关的各项工作。</w:t>
      </w:r>
    </w:p>
    <w:p w14:paraId="4F876ED8">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5.2.2 设计人的保证措施</w:t>
      </w:r>
    </w:p>
    <w:p w14:paraId="080C01E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设计人应做好工程设计的质量与技术管理工作，建立健全工程设计质量保证体系，加强工程设计全过程的质量控制，建立完整的设计文件的设计、复核、审核、会签和批准制度，明确各阶段的责任人。</w:t>
      </w:r>
    </w:p>
    <w:p w14:paraId="3CCF1D45">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5.3 工程设计文件的要求</w:t>
      </w:r>
    </w:p>
    <w:p w14:paraId="3CA8C43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5.3.1 工程设计文件的编制应符合法律、技术标准的强制性规定及合同的要求。</w:t>
      </w:r>
    </w:p>
    <w:p w14:paraId="2523879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5.3.2 工程设计依据应完整、准确、可靠，设计方案论证充分，计算成果可靠，并能够实施。</w:t>
      </w:r>
    </w:p>
    <w:p w14:paraId="21BB51A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5.3.3 工程设计文件的深度应满足本合同相应设计阶段的规定要求，并符合国家和行业现行有效的相关规定。</w:t>
      </w:r>
    </w:p>
    <w:p w14:paraId="2A32CA7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5.3.4 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w:t>
      </w:r>
    </w:p>
    <w:p w14:paraId="2734CFF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5.3.5 应根据法律、技术标准要求，保证专业建设工程的合理使用寿命年限，并应在工程设计文件中注明相应的合理使用寿命年限。</w:t>
      </w:r>
    </w:p>
    <w:p w14:paraId="453D5A8F">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5.4 不合格工程设计文件的处理</w:t>
      </w:r>
    </w:p>
    <w:p w14:paraId="4F02820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5.4.1 因设计人原因造成工程设计文件不合格的，发包人有权要求设计人采取补救措施，直至达到合同要求的质量标准，并按第 14.2 款〔设计人违约责任〕的约定承担责任。</w:t>
      </w:r>
    </w:p>
    <w:p w14:paraId="3DD7773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5.4.2 因发包人原因造成工程设计文件不合格的，设计人应当采取补救措施，直至达到合同要求的质量标准， 由此增加的设计费用和（或）设计周期的延长由发包人承担。</w:t>
      </w:r>
    </w:p>
    <w:p w14:paraId="253E9795">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6. 工程设计进度与周期</w:t>
      </w:r>
    </w:p>
    <w:p w14:paraId="6175327A">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6.1 工程设计进度计划</w:t>
      </w:r>
    </w:p>
    <w:p w14:paraId="6FEBDAC7">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6.1.1 工程设计进度计划的编制</w:t>
      </w:r>
    </w:p>
    <w:p w14:paraId="2DE8603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4187E44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14:paraId="5B1F88D0">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6.1.2 工程设计进度计划的修订</w:t>
      </w:r>
    </w:p>
    <w:p w14:paraId="418A547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 5 天内完成审核和批准或提出修改意见，否则视为发包人同意设计人提交的修订的工程设计进度计划。</w:t>
      </w:r>
    </w:p>
    <w:p w14:paraId="2F75726E">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6.2 工程设计开始</w:t>
      </w:r>
    </w:p>
    <w:p w14:paraId="79E0344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发包人应按照法律规定获得工程设计所需的许可。发包人发出的开始设计通知应符合法律规定，一般应在计划开始设计日期 7 天前向设计人发出开始工程设计工作通知，工程设计周期自开始设计通知中载明的开始设计的日期起算。</w:t>
      </w:r>
    </w:p>
    <w:p w14:paraId="0924D41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设计人应当在收到发包人提供的工程设计资料及专用合同条款约定的定金或预付款后，开始工程设计工作。</w:t>
      </w:r>
    </w:p>
    <w:p w14:paraId="2BB5B8C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各设计阶段的开始时间均以设计人收到的发包人发出开始设计工作的书面通知书中载明的开始设计的日期起算。</w:t>
      </w:r>
    </w:p>
    <w:p w14:paraId="0D86D52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6.3 工程设计进度延误</w:t>
      </w:r>
    </w:p>
    <w:p w14:paraId="7D3F4D99">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6.3.1 因发包人原因导致工程设计进度延误</w:t>
      </w:r>
    </w:p>
    <w:p w14:paraId="023528F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在合同履行过程中，发包人导致工程设计进度延误的情形主要有：</w:t>
      </w:r>
    </w:p>
    <w:p w14:paraId="68510E5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（1）发包人未能按合同约定提供工程设计资料或所提供的工程设计资料不符合合同约定或存在错误或疏漏的；</w:t>
      </w:r>
    </w:p>
    <w:p w14:paraId="6555E9B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（2）发包人未能按合同约定日期足额支付定金或预付款、进度款的；</w:t>
      </w:r>
    </w:p>
    <w:p w14:paraId="3E00D27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（3）发包人提出影响设计周期的设计变更要求的；</w:t>
      </w:r>
    </w:p>
    <w:p w14:paraId="74A15B3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（4）专用合同条款中约定的其他情形。</w:t>
      </w:r>
    </w:p>
    <w:p w14:paraId="2DD413C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因发包人原因未按计划开始设计日期开始设计的，发包人应按实际开始设计日期顺延完成设计日期。</w:t>
      </w:r>
    </w:p>
    <w:p w14:paraId="3D78368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除专用合同条款对期限另有约定外，设计人应在发生上述情况后 5 天内向发包人发出要求延期的书面通知，在发生上述情况后 10 天内提交要求延期的详细说明供发包人审查。除专用合同条款对期限另有约定 外，发包人收到设计人要求延期的详细说明后，应在 5 天内进行审查并就是否延长设计周期及延期天数向  设计人进行书面答复。</w:t>
      </w:r>
    </w:p>
    <w:p w14:paraId="19D9873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14:paraId="239A367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发包人上述工程设计进度延误情形导致增加了设计工作量的，发包人应当另行支付相应设计费用。</w:t>
      </w:r>
    </w:p>
    <w:p w14:paraId="399C0F3C">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6.3.2 因设计人原因导致工程设计进度延误</w:t>
      </w:r>
    </w:p>
    <w:p w14:paraId="6FF13DE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因设计人原因导致工程设计进度延误的，设计人应当按照第 14.2 款〔设计人违约责任〕承担责任。设计人支付逾期完成工程设计违约金后，不免除设计人继续完成工程设计的义务。</w:t>
      </w:r>
    </w:p>
    <w:p w14:paraId="1980FF61">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6.4 暂停设计</w:t>
      </w:r>
    </w:p>
    <w:p w14:paraId="63653129">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6.4.1 发包人原因引起的暂停设计</w:t>
      </w:r>
    </w:p>
    <w:p w14:paraId="68D2D4B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因发包人原因引起暂停设计的，发包人应及时下达暂停设计指示。</w:t>
      </w:r>
    </w:p>
    <w:p w14:paraId="48C2794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因发包人原因引起的暂停设计，发包人应承担由此增加的设计费用和（或）延长的设计周期。</w:t>
      </w:r>
    </w:p>
    <w:p w14:paraId="44BE5EF8">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6.4.2 设计人原因引起的暂停设计</w:t>
      </w:r>
    </w:p>
    <w:p w14:paraId="4F7B722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因设计人原因引起的暂停设计，设计人应当尽快向发包人发出书面通知并按第 14.2 款〔设计人违约责任〕承担责任，且设计人在收到发包人复工指示后 15 天内仍未复工的，视为设计人无法继续履行合同的情 形，设计人应按第 16 条〔合同解除〕的约定承担责任。</w:t>
      </w:r>
    </w:p>
    <w:p w14:paraId="5EF9EA9A">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6.4.3 其他原因引起的暂停设计</w:t>
      </w:r>
    </w:p>
    <w:p w14:paraId="2007332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当出现非设计人原因造成的暂停设计，设计人应当尽快向发包人发出书面通知。</w:t>
      </w:r>
    </w:p>
    <w:p w14:paraId="0EEAFFD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在上述情形下设计人的设计服务暂停，设计人的设计周期应当相应延长，复工应有发包人与设计人共同确认的合理期限。</w:t>
      </w:r>
    </w:p>
    <w:p w14:paraId="511BBEC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当发生本项约定的情况，导致设计人增加设计工作量的，发包人应当另行支付相应设计费用。</w:t>
      </w:r>
    </w:p>
    <w:p w14:paraId="4F0E5B61">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6.4.4 暂停设计后的复工</w:t>
      </w:r>
    </w:p>
    <w:p w14:paraId="7C54FFF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暂停设计后，发包人和设计人应采取有效措施积极消除暂停设计的影响。 当工程具备复工条件时，发包人向设计人发出复工通知，设计人应按照复工通知要求复工。</w:t>
      </w:r>
    </w:p>
    <w:p w14:paraId="127137B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除设计人原因导致暂停设计外，设计人暂停设计后复工所增加的设计工作量，发包人应当另行支付相应设计费用。</w:t>
      </w:r>
    </w:p>
    <w:p w14:paraId="119344EE">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6.5 提前交付工程设计文件</w:t>
      </w:r>
    </w:p>
    <w:p w14:paraId="28AE9BA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 由此增加的设计费用由发包人承担。设计人认为提前交付工程设计文件的指示无法执行的，应向发包人提出书面异议，发包人应在收到异议后 7 天内予以答复。任何情况下，发包人不得压缩合理设计周期。</w:t>
      </w:r>
    </w:p>
    <w:p w14:paraId="259C561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6.5.2 发包人要求设计人提前交付工程设计文件，或设计人提出提前交付工程设计文件的建议能够给发包人带来效益的，合同当事人可以在专用合同条款中约定提前交付工程设计文件的奖励。</w:t>
      </w:r>
    </w:p>
    <w:p w14:paraId="7D5EDA1E">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7. 工程设计文件交付</w:t>
      </w:r>
    </w:p>
    <w:p w14:paraId="3098CAAC">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7.1 工程设计文件交付的内容</w:t>
      </w:r>
    </w:p>
    <w:p w14:paraId="03923B0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7.1.1 工程设计图纸及设计说明。</w:t>
      </w:r>
    </w:p>
    <w:p w14:paraId="1D0DE7C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7.1.2 发包人可以要求设计人提交专用合同条款约定的具体形式的电子版设计文件。</w:t>
      </w:r>
    </w:p>
    <w:p w14:paraId="1867E498">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7.2 工程设计文件的交付方式</w:t>
      </w:r>
    </w:p>
    <w:p w14:paraId="7C0C40F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设计人交付工程设计文件给发包人，发包人应当出具书面签收单，内容包括图纸名称、图纸内容、图纸形式、份数、提交和签收日期、提交人与接收人的亲笔签名。</w:t>
      </w:r>
    </w:p>
    <w:p w14:paraId="5AF0E650">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7.3 工程设计文件交付的时间和份数</w:t>
      </w:r>
    </w:p>
    <w:p w14:paraId="052D2BB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工程设计文件交付的名称、时间和份数在专用合同条款附件 3 中约定。</w:t>
      </w:r>
    </w:p>
    <w:p w14:paraId="6661160F">
      <w:pPr>
        <w:spacing w:line="360" w:lineRule="auto"/>
        <w:ind w:firstLine="281"/>
        <w:rPr>
          <w:rFonts w:hint="eastAsia" w:ascii="仿宋" w:hAnsi="仿宋" w:eastAsia="仿宋" w:cs="仿宋"/>
          <w:color w:val="auto"/>
          <w:highlight w:val="none"/>
        </w:rPr>
      </w:pPr>
    </w:p>
    <w:p w14:paraId="6FA46B2E">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b/>
          <w:bCs/>
          <w:color w:val="auto"/>
          <w:highlight w:val="none"/>
        </w:rPr>
        <w:t>8. 工程设计文件审查</w:t>
      </w:r>
    </w:p>
    <w:p w14:paraId="4DECFDBE">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8.1</w:t>
      </w:r>
      <w:r>
        <w:rPr>
          <w:rFonts w:hint="eastAsia" w:ascii="仿宋" w:hAnsi="仿宋" w:eastAsia="仿宋" w:cs="仿宋"/>
          <w:color w:val="auto"/>
          <w:highlight w:val="none"/>
        </w:rPr>
        <w:t xml:space="preserve"> 设计人的工程设计文件应报发包人审查同意。审查的范围和内容在发包人要求中约定。审查的具体标准应符合法律规定、技术标准要求和本合同约定。</w:t>
      </w:r>
    </w:p>
    <w:p w14:paraId="46AF3C8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除专用合同条款对期限另有约定外， 自发包人收到设计人的工程设计文件以及设计人的通知之日起，发包人对设计人的工程设计文件审查期不超过 15 天。</w:t>
      </w:r>
    </w:p>
    <w:p w14:paraId="2A5CA16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发包人不同意工程设计文件的，应以书面形式通知设计人，并说明不符合合同要求的具体内容。设计人应根据发包人的书面说明，对工程设计文件进行修改后重新报送发包人审查，审查期重新起算。</w:t>
      </w:r>
    </w:p>
    <w:p w14:paraId="1865C40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合同约定的审查期满，发包人没有做出审查结论也没有提出异议的，视为设计人的工程设计文件已获发包人同意。</w:t>
      </w:r>
    </w:p>
    <w:p w14:paraId="30DC2A66">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8.2</w:t>
      </w:r>
      <w:r>
        <w:rPr>
          <w:rFonts w:hint="eastAsia" w:ascii="仿宋" w:hAnsi="仿宋" w:eastAsia="仿宋" w:cs="仿宋"/>
          <w:color w:val="auto"/>
          <w:highlight w:val="none"/>
        </w:rPr>
        <w:t xml:space="preserve"> 设计人的工程设计文件不需要政府有关部门审查或批准的，设计人应当严格按照经发包人审查同意的工程设计文件进行修改，如果发包人的修改意见超出或更改了发包人要求，发包人应当根据第 11 条〔工 程设计变更与索赔〕的约定， 向设计人另行支付费用。</w:t>
      </w:r>
    </w:p>
    <w:p w14:paraId="443D3EAF">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8.3</w:t>
      </w:r>
      <w:r>
        <w:rPr>
          <w:rFonts w:hint="eastAsia" w:ascii="仿宋" w:hAnsi="仿宋" w:eastAsia="仿宋" w:cs="仿宋"/>
          <w:color w:val="auto"/>
          <w:highlight w:val="none"/>
        </w:rPr>
        <w:t xml:space="preserve"> 工程设计文件需政府有关部门审查或批准的，发包人应在审查同意设计人的工程设计文件后在专用合同条款约定的期限内， 向政府有关部门报送工程设计文件，设计人应予以协助。</w:t>
      </w:r>
    </w:p>
    <w:p w14:paraId="0BF85D0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 11 条〔工程设计变更与索赔〕的约定，向设计人另行支付费用。</w:t>
      </w:r>
    </w:p>
    <w:p w14:paraId="7F8BBCCF">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8.4</w:t>
      </w:r>
      <w:r>
        <w:rPr>
          <w:rFonts w:hint="eastAsia" w:ascii="仿宋" w:hAnsi="仿宋" w:eastAsia="仿宋" w:cs="仿宋"/>
          <w:color w:val="auto"/>
          <w:highlight w:val="none"/>
        </w:rPr>
        <w:t xml:space="preserve">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387B4D2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设计人按第 7 条〔工程设计文件交付〕的约定向发包人提交工程设计文件，有义务参加发包人组织的设计审查会议， 向审查者介绍、解答、解释其工程设计文件，并提供有关补充资料。</w:t>
      </w:r>
    </w:p>
    <w:p w14:paraId="2EFC8AA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发包人有义务向设计人提供设计审查会议的批准文件和纪要。设计人有义务按照相关设计审查会议批准的文件和纪要，并依据合同约定及相关技术标准，对工程设计文件进行修改、补充和完善。</w:t>
      </w:r>
    </w:p>
    <w:p w14:paraId="6C7E6431">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8.5</w:t>
      </w:r>
      <w:r>
        <w:rPr>
          <w:rFonts w:hint="eastAsia" w:ascii="仿宋" w:hAnsi="仿宋" w:eastAsia="仿宋" w:cs="仿宋"/>
          <w:color w:val="auto"/>
          <w:highlight w:val="none"/>
        </w:rPr>
        <w:t xml:space="preserve"> 因设计人原因，未能按第 7 条〔工程设计文件交付〕约定的时间向发包人提交工程设计文件，致使工程设计文件审查无法进行或无法按期进行，造成设计周期延长、窝工损失及发包人增加费用的，设计人按第 14.2 款〔设计人违约责任〕的约定承担责任。</w:t>
      </w:r>
    </w:p>
    <w:p w14:paraId="37363A1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因发包人原因，致使工程设计文件审查无法进行或无法按期进行，造成设计周期延长、窝工损失及设计人增加的费用， 由发包人承担。</w:t>
      </w:r>
    </w:p>
    <w:p w14:paraId="60133FB2">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8.6</w:t>
      </w:r>
      <w:r>
        <w:rPr>
          <w:rFonts w:hint="eastAsia" w:ascii="仿宋" w:hAnsi="仿宋" w:eastAsia="仿宋" w:cs="仿宋"/>
          <w:color w:val="auto"/>
          <w:highlight w:val="none"/>
        </w:rPr>
        <w:t xml:space="preserve"> 因设计人原因造成工程设计文件不合格致使工程设计文件审查无法通过的，发包人有权要求设计人采取补救措施，直至达到合同要求的质量标准，并按第 14.2 款〔设计人违约责任〕的约定承担责任。因发包人原因造成工程设计文件不合格致使工程设计文件审查无法通过的， 由此增加的设计费用和（或）延长的设计周期由发包人承担。</w:t>
      </w:r>
    </w:p>
    <w:p w14:paraId="5D97138C">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8.7</w:t>
      </w:r>
      <w:r>
        <w:rPr>
          <w:rFonts w:hint="eastAsia" w:ascii="仿宋" w:hAnsi="仿宋" w:eastAsia="仿宋" w:cs="仿宋"/>
          <w:color w:val="auto"/>
          <w:highlight w:val="none"/>
        </w:rPr>
        <w:t xml:space="preserve"> 工程设计文件的审查，不减轻或免除设计人依据法律应当承担的责任。</w:t>
      </w:r>
    </w:p>
    <w:p w14:paraId="57236478">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9. 施工现场配合服务</w:t>
      </w:r>
    </w:p>
    <w:p w14:paraId="1B84A53D">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9.1</w:t>
      </w:r>
      <w:r>
        <w:rPr>
          <w:rFonts w:hint="eastAsia" w:ascii="仿宋" w:hAnsi="仿宋" w:eastAsia="仿宋" w:cs="仿宋"/>
          <w:color w:val="auto"/>
          <w:highlight w:val="none"/>
        </w:rPr>
        <w:t xml:space="preserve"> 除专用合同条款另有约定外，发包人应为设计人派赴现场的工作人员提供工作、生活及交通等方面的便利条件。</w:t>
      </w:r>
    </w:p>
    <w:p w14:paraId="75933A21">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9.2</w:t>
      </w:r>
      <w:r>
        <w:rPr>
          <w:rFonts w:hint="eastAsia" w:ascii="仿宋" w:hAnsi="仿宋" w:eastAsia="仿宋" w:cs="仿宋"/>
          <w:color w:val="auto"/>
          <w:highlight w:val="none"/>
        </w:rPr>
        <w:t xml:space="preserve">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14:paraId="4A926118">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b/>
          <w:bCs/>
          <w:color w:val="auto"/>
          <w:highlight w:val="none"/>
        </w:rPr>
        <w:t>10. 合同价款与支付</w:t>
      </w:r>
    </w:p>
    <w:p w14:paraId="503DE0E3">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10.1 合同价款组成</w:t>
      </w:r>
    </w:p>
    <w:p w14:paraId="490A970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发包人和设计人应当在专用合同条款附件 6 中明确约定合同价款各组成部分的具体数额，主要包括：</w:t>
      </w:r>
    </w:p>
    <w:p w14:paraId="680D8EB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（1）工程设计基本服务费用；</w:t>
      </w:r>
    </w:p>
    <w:p w14:paraId="45128CB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（2）工程设计其他服务费用；</w:t>
      </w:r>
    </w:p>
    <w:p w14:paraId="5897BEA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（3）在未签订合同前发包人已经同意或接受或已使用的设计人为发包人所做的各项工作的相应费用等。</w:t>
      </w:r>
    </w:p>
    <w:p w14:paraId="02C38B2E">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10.2 合同价格形式</w:t>
      </w:r>
    </w:p>
    <w:p w14:paraId="65BD754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发包人和设计人应在合同协议书中选择下列一种合同价格形式：</w:t>
      </w:r>
    </w:p>
    <w:p w14:paraId="2D36A777">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（1）单价合同</w:t>
      </w:r>
    </w:p>
    <w:p w14:paraId="631B631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单价合同是指合同当事人约定以建筑面积（包括地上建筑面积和地下建筑面积）每平方米单价或实际投资总额的一定比例等双方认可方式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14:paraId="671729DC">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（2）总价合同</w:t>
      </w:r>
    </w:p>
    <w:p w14:paraId="7DF6BCD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14:paraId="141B8FB4">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（3）其它价格形式</w:t>
      </w:r>
    </w:p>
    <w:p w14:paraId="119400B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合同当事人可在专用合同条款中约定其他合同价格形式。</w:t>
      </w:r>
    </w:p>
    <w:p w14:paraId="5105675C">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10.3 定金或预付款</w:t>
      </w:r>
    </w:p>
    <w:p w14:paraId="2EAA8141">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10.3.1 定金或预付款的比例</w:t>
      </w:r>
    </w:p>
    <w:p w14:paraId="22638E8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定金的比例不应超过合同总价款的 20%。预付款的比例由发包人与设计人协商确定，一般不低于合同总价款的 20%。</w:t>
      </w:r>
    </w:p>
    <w:p w14:paraId="11699E32">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10.3.2 定金或预付款的支付</w:t>
      </w:r>
    </w:p>
    <w:p w14:paraId="05D0BF8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定金或预付款的支付按照专用合同条款约定执行，但最迟应在开始设计通知载明的开始设计日期前专用合同条款约定的期限内支付。</w:t>
      </w:r>
    </w:p>
    <w:p w14:paraId="3CF506E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发包人逾期支付定金或预付款超过专用合同条款约定的期限的，设计人有权向发包人发出要求支付定金或预付款的催告通知，发包人收到通知后 7 天内仍未支付的，设计人有权不开始设计工作或暂停设计工作。</w:t>
      </w:r>
    </w:p>
    <w:p w14:paraId="179FB6EF">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10.4 进度款支付</w:t>
      </w:r>
    </w:p>
    <w:p w14:paraId="34283A9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10.4.1 发包人应当按照专用合同条款附件 6 约定的付款条件及时向设计人支付进度款。</w:t>
      </w:r>
    </w:p>
    <w:p w14:paraId="6F35A89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10.4.2 进度付款的修正</w:t>
      </w:r>
    </w:p>
    <w:p w14:paraId="1F1BD20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在对已付进度款进行汇总和复核中发现错误、遗漏或重复的，发包人和设计人均有权提出修正申请。经发包人和设计人同意的修正，应在下期进度付款中支付或扣除。</w:t>
      </w:r>
    </w:p>
    <w:p w14:paraId="163C136B">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10.5 合同价款的结算与支付</w:t>
      </w:r>
    </w:p>
    <w:p w14:paraId="255F2AE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10.5.1 对于采取固定总价形式的合同，发包人应当按照专用合同条款附件 6 的约定及时支付尾款。</w:t>
      </w:r>
    </w:p>
    <w:p w14:paraId="77796AC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10.5.2 对于采取固定单价形式的合同，发包人与设计人应当按照专用合同条款附件 6 约定的结算方式</w:t>
      </w:r>
    </w:p>
    <w:p w14:paraId="721E653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及时结清工程设计费，并将结清未支付的款项一次性支付给设计人。</w:t>
      </w:r>
    </w:p>
    <w:p w14:paraId="79204B5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10.5.3 对于采取其他价格形式的，也应按专用合同条款的约定及时结算和支付。</w:t>
      </w:r>
    </w:p>
    <w:p w14:paraId="707928F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10.6 支付账户</w:t>
      </w:r>
    </w:p>
    <w:p w14:paraId="7D4E716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发包人应将合同价款支付至合同协议书中约定的设计人账户。</w:t>
      </w:r>
    </w:p>
    <w:p w14:paraId="412B5818">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11. 工程设计变更与索赔</w:t>
      </w:r>
    </w:p>
    <w:p w14:paraId="413E2183">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11.1</w:t>
      </w:r>
      <w:r>
        <w:rPr>
          <w:rFonts w:hint="eastAsia" w:ascii="仿宋" w:hAnsi="仿宋" w:eastAsia="仿宋" w:cs="仿宋"/>
          <w:color w:val="auto"/>
          <w:highlight w:val="none"/>
        </w:rPr>
        <w:t xml:space="preserve"> 发包人变更工程设计的内容、规模、功能、条件等，应当向设计人提供书面要求，设计人在不违反法律规定以及技术标准强制性规定的前提下应当按照发包人要求变更工程设计。</w:t>
      </w:r>
    </w:p>
    <w:p w14:paraId="465AC2F6">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11.2</w:t>
      </w:r>
      <w:r>
        <w:rPr>
          <w:rFonts w:hint="eastAsia" w:ascii="仿宋" w:hAnsi="仿宋" w:eastAsia="仿宋" w:cs="仿宋"/>
          <w:color w:val="auto"/>
          <w:highlight w:val="none"/>
        </w:rPr>
        <w:t xml:space="preserve"> 发包人变更工程设计的内容、规模、功能、条件或因提交的设计资料存在错误或作较大修改时，发包人应按设计人所耗工作量向设计人增付设计费，设计人可按本条约定和专用合同条款附件 7 的约定，与发包人协商对合同价格和/或完工时间做可共同接受的修改。</w:t>
      </w:r>
    </w:p>
    <w:p w14:paraId="4A9E82BA">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11.3</w:t>
      </w:r>
      <w:r>
        <w:rPr>
          <w:rFonts w:hint="eastAsia" w:ascii="仿宋" w:hAnsi="仿宋" w:eastAsia="仿宋" w:cs="仿宋"/>
          <w:color w:val="auto"/>
          <w:highlight w:val="none"/>
        </w:rPr>
        <w:t xml:space="preserve"> 如果由于发包人要求更改而造成的项目复杂性的变更或性质的变更使得设计人的设计工作减少，发包人可按本条约定和专用合同条款附件 7 的约定，与设计人协商对合同价格和/或完工时间做可共同接受 的修改。</w:t>
      </w:r>
    </w:p>
    <w:p w14:paraId="42B3BE28">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11.4</w:t>
      </w:r>
      <w:r>
        <w:rPr>
          <w:rFonts w:hint="eastAsia" w:ascii="仿宋" w:hAnsi="仿宋" w:eastAsia="仿宋" w:cs="仿宋"/>
          <w:color w:val="auto"/>
          <w:highlight w:val="none"/>
        </w:rPr>
        <w:t xml:space="preserve"> 基准日期后，与工程设计服务有关的法律、技术标准的强制性规定的颁布及修改， 由此增加的设计费用和（或）延长的设计周期由发包人承担。</w:t>
      </w:r>
    </w:p>
    <w:p w14:paraId="6B11BB6E">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11.5</w:t>
      </w:r>
      <w:r>
        <w:rPr>
          <w:rFonts w:hint="eastAsia" w:ascii="仿宋" w:hAnsi="仿宋" w:eastAsia="仿宋" w:cs="仿宋"/>
          <w:color w:val="auto"/>
          <w:highlight w:val="none"/>
        </w:rPr>
        <w:t xml:space="preserve"> 如果发生设计人认为有理由提出增加合同价款或延长设计周期的要求事项，除专用合同条款对期限另有约定外，设计人应于该事项发生后 5 天内书面通知发包人。除专用合同条款对期限另有约定外，在该事项发生后 10 天内，设计人应向发包人提供证明设计人要求的书面声明，其中包括设计人关于因该事项 引起的合同价款和设计周期的变化的详细计算。除专用合同条款对期限另有约定外，发包人应在接到设计人书面声明后的 5 天内，予以书面答复。逾期未答复的，视为发包人同意设计人关于增加合同价款或延长设计周期的要求。</w:t>
      </w:r>
    </w:p>
    <w:p w14:paraId="415D47AA">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12. 专业责任与保险</w:t>
      </w:r>
    </w:p>
    <w:p w14:paraId="34EB3B02">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12.1</w:t>
      </w:r>
      <w:r>
        <w:rPr>
          <w:rFonts w:hint="eastAsia" w:ascii="仿宋" w:hAnsi="仿宋" w:eastAsia="仿宋" w:cs="仿宋"/>
          <w:color w:val="auto"/>
          <w:highlight w:val="none"/>
        </w:rPr>
        <w:t xml:space="preserve"> 设计人应运用一切合理的专业技术和经验知识，按照公认的职业标准尽其全部职责和谨慎、勤勉地履行其在本合同项下的责任和义务。</w:t>
      </w:r>
    </w:p>
    <w:p w14:paraId="2B3D58AA">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12.2</w:t>
      </w:r>
      <w:r>
        <w:rPr>
          <w:rFonts w:hint="eastAsia" w:ascii="仿宋" w:hAnsi="仿宋" w:eastAsia="仿宋" w:cs="仿宋"/>
          <w:color w:val="auto"/>
          <w:highlight w:val="none"/>
        </w:rPr>
        <w:t xml:space="preserve"> 除专用合同条款另有约定外，设计人应具有发包人认可的、履行本合同所需要的工程设计责任保险并使其于合同责任期内保持有效。</w:t>
      </w:r>
    </w:p>
    <w:p w14:paraId="0C7D03E8">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12.3</w:t>
      </w:r>
      <w:r>
        <w:rPr>
          <w:rFonts w:hint="eastAsia" w:ascii="仿宋" w:hAnsi="仿宋" w:eastAsia="仿宋" w:cs="仿宋"/>
          <w:color w:val="auto"/>
          <w:highlight w:val="none"/>
        </w:rPr>
        <w:t xml:space="preserve"> 工程设计责任保险应承担由于设计人的疏忽或过失而引发的工程质量事故所造成的建设工程本身的物质损失以及第三者人身伤亡、财产损失或费用的赔偿责任。</w:t>
      </w:r>
    </w:p>
    <w:p w14:paraId="20D5D4CE">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13. 知识产权</w:t>
      </w:r>
    </w:p>
    <w:p w14:paraId="3E4AD209">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13.1</w:t>
      </w:r>
      <w:r>
        <w:rPr>
          <w:rFonts w:hint="eastAsia" w:ascii="仿宋" w:hAnsi="仿宋" w:eastAsia="仿宋" w:cs="仿宋"/>
          <w:color w:val="auto"/>
          <w:highlight w:val="none"/>
        </w:rPr>
        <w:t xml:space="preserve">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51A7C4D3">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13.2</w:t>
      </w:r>
      <w:r>
        <w:rPr>
          <w:rFonts w:hint="eastAsia" w:ascii="仿宋" w:hAnsi="仿宋" w:eastAsia="仿宋" w:cs="仿宋"/>
          <w:color w:val="auto"/>
          <w:highlight w:val="none"/>
        </w:rPr>
        <w:t xml:space="preserve">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6EE99551">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13.3</w:t>
      </w:r>
      <w:r>
        <w:rPr>
          <w:rFonts w:hint="eastAsia" w:ascii="仿宋" w:hAnsi="仿宋" w:eastAsia="仿宋" w:cs="仿宋"/>
          <w:color w:val="auto"/>
          <w:highlight w:val="none"/>
        </w:rPr>
        <w:t xml:space="preserve"> 合同当事人保证在履行合同过程中不侵犯对方及第三方的知识产权。设计人在工程设计时，因侵犯他人的专利权或其他知识产权所引起的责任， 由设计人承担； 因发包人提供的基础资料导致侵权的，由  发包人承担责任。</w:t>
      </w:r>
    </w:p>
    <w:p w14:paraId="0E2BD305">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13.4</w:t>
      </w:r>
      <w:r>
        <w:rPr>
          <w:rFonts w:hint="eastAsia" w:ascii="仿宋" w:hAnsi="仿宋" w:eastAsia="仿宋" w:cs="仿宋"/>
          <w:color w:val="auto"/>
          <w:highlight w:val="none"/>
        </w:rPr>
        <w:t xml:space="preserve"> 合同当事人双方均有权在不损害对方利益和保密约定的前提下，在自己宣传用的印刷品或其他出版物上，或申报奖项时等情形下公布有关项目的文字和图片材料。</w:t>
      </w:r>
    </w:p>
    <w:p w14:paraId="6A69F44B">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13.5</w:t>
      </w:r>
      <w:r>
        <w:rPr>
          <w:rFonts w:hint="eastAsia" w:ascii="仿宋" w:hAnsi="仿宋" w:eastAsia="仿宋" w:cs="仿宋"/>
          <w:color w:val="auto"/>
          <w:highlight w:val="none"/>
        </w:rPr>
        <w:t xml:space="preserve"> 除专用合同条款另有约定外，设计人在合同签订前和签订时已确定采用的专利、专有技术的使用费应包含在签约合同价中。</w:t>
      </w:r>
    </w:p>
    <w:p w14:paraId="527FA4E7">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14. 违约责任</w:t>
      </w:r>
    </w:p>
    <w:p w14:paraId="6A590038">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14.1 发包人违约责任</w:t>
      </w:r>
    </w:p>
    <w:p w14:paraId="2BC6724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14.1.1 合同生效后，发包人因非设计人原因要求终止或解除合同，设计人未开始设计工作的，不退还发包人已付的定金或发包人按照专用合同条款的约定向设计人支付违约金； 已开始设计工作的，发包人应按照设计人已完成的实际工作量计算设计费，完成工作量不足一半时，按该阶段设计费的一半支付设计费；超过一半时，按该阶段设计费的全部支付设计费。</w:t>
      </w:r>
    </w:p>
    <w:p w14:paraId="22EDB44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14.1.2 发包人未按专用合同条款附件 6 约定的金额和期限向设计人支付设计费的，应按专用合同条款约定向设计人支付违约金。逾期超过 15 天时，设计人有权书面通知发包人中止设计工作。 自中止设计工作 之日起 15 天内发包人支付相应费用的，设计人应及时根据发包人要求恢复设计工作； 自中止设计工作之日 起超过 15 天后发包人支付相应费用的，设计人有权确定重新恢复设计工作的时间，且设计周期相应延长。</w:t>
      </w:r>
    </w:p>
    <w:p w14:paraId="17FFB26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14.1.3 发包人的上级或设计审批部门对设计文件不进行审批或本合同工程停建、缓建，发包人应在事件发生之日起 15 天内按本合同第 16 条〔合同解除〕的约定向设计人结算并支付设计费。</w:t>
      </w:r>
    </w:p>
    <w:p w14:paraId="6AB1A6E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14.1.4 发包人擅自将设计人的设计文件用于本工程以外的工程或交第三方使用时，应承担相应法律责</w:t>
      </w:r>
    </w:p>
    <w:p w14:paraId="656D73A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任，并应赔偿设计人因此遭受的损失。</w:t>
      </w:r>
    </w:p>
    <w:p w14:paraId="5133D709">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14.2 设计人违约责任</w:t>
      </w:r>
    </w:p>
    <w:p w14:paraId="32B8BFC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14.2.1 合同生效后，设计人因自身原因要求终止或解除合同，设计人应按发包人已支付的定金金额双倍返还给发包人或设计人按照专用合同条款的约定向发包人支付违约金。</w:t>
      </w:r>
    </w:p>
    <w:p w14:paraId="423B312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14.2.2 由于设计人原因，未按专用合同条款附件 3 约定的时间交付工程设计文件的，应按专用合同条款的约定向发包人支付违约金，前述违约金经双方确认后可在发包人应付设计费中扣减。</w:t>
      </w:r>
    </w:p>
    <w:p w14:paraId="3918A31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2083216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14.2.4 设计人未经发包人同意擅自对工程设计进行分包的，发包人有权要求设计人解除未经发包人同意的设计分包合同，设计人应当按照专用合同条款的约定承担违约责任。</w:t>
      </w:r>
    </w:p>
    <w:p w14:paraId="0216113D">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15. 不可抗力</w:t>
      </w:r>
    </w:p>
    <w:p w14:paraId="6188D253">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15.1 不可抗力的确认</w:t>
      </w:r>
    </w:p>
    <w:p w14:paraId="275319B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769E308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不可抗力发生后，发包人和设计人应收集证明不可抗力发生及不可抗力造成损失的证据，并及时认真统计所造成的损失。合同当事人对是否属于不可抗力或其损失发生争议时，按第 17 条〔争议解决〕的约定 处理。</w:t>
      </w:r>
    </w:p>
    <w:p w14:paraId="660AC4F7">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15.2 不可抗力的通知</w:t>
      </w:r>
    </w:p>
    <w:p w14:paraId="61AF7D1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合同一方当事人遇到不可抗力事件，使其履行合同义务受到阻碍时，应立即通知合同另一方当事人，书面说明不可抗力和受阻碍的详细情况，并在合理期限内提供必要的证明。</w:t>
      </w:r>
    </w:p>
    <w:p w14:paraId="3D8F842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不可抗力持续发生的，合同一方当事人应及时向合同另一方当事人提交中间报告，说明不可抗力和履行合同受阻的情况，并于不可抗力事件结束后 28 天内提交最终报告及有关资料。</w:t>
      </w:r>
    </w:p>
    <w:p w14:paraId="71A653A8">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15.3 不可抗力后果的承担</w:t>
      </w:r>
    </w:p>
    <w:p w14:paraId="417F988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不可抗力引起的后果及造成的损失由合同当事人按照法律规定及合同约定各自承担。不可抗力发生前已完成的工程设计应当按照合同约定进行支付。</w:t>
      </w:r>
    </w:p>
    <w:p w14:paraId="155A605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不可抗力发生后，合同当事人均应采取措施尽量避免和减少损失的扩大，任何一方当事人没有采取有效措施导致损失扩大的，应对扩大的损失承担责任。</w:t>
      </w:r>
    </w:p>
    <w:p w14:paraId="667F137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因合同一方迟延履行合同义务，在迟延履行期间遭遇不可抗力的，不免除其违约责任。</w:t>
      </w:r>
    </w:p>
    <w:p w14:paraId="3D9C8C91">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16. 合同解除</w:t>
      </w:r>
    </w:p>
    <w:p w14:paraId="74DB2DC0">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16.1</w:t>
      </w:r>
      <w:r>
        <w:rPr>
          <w:rFonts w:hint="eastAsia" w:ascii="仿宋" w:hAnsi="仿宋" w:eastAsia="仿宋" w:cs="仿宋"/>
          <w:color w:val="auto"/>
          <w:highlight w:val="none"/>
        </w:rPr>
        <w:t xml:space="preserve"> 发包人与设计人协商一致，可以解除合同。</w:t>
      </w:r>
    </w:p>
    <w:p w14:paraId="31BBBB28">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16.2</w:t>
      </w:r>
      <w:r>
        <w:rPr>
          <w:rFonts w:hint="eastAsia" w:ascii="仿宋" w:hAnsi="仿宋" w:eastAsia="仿宋" w:cs="仿宋"/>
          <w:color w:val="auto"/>
          <w:highlight w:val="none"/>
        </w:rPr>
        <w:t xml:space="preserve"> 有下列情形之一的，合同当事人一方或双方可以解除合同：</w:t>
      </w:r>
    </w:p>
    <w:p w14:paraId="41F5B11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（1）设计人工程设计文件存在重大质量问题，经发包人催告后，在合理期限内修改后仍不能满足国家现行深度要求或不能达到合同约定的设计质量要求的，发包人可以解除合同；</w:t>
      </w:r>
    </w:p>
    <w:p w14:paraId="14D59A9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（2）发包人未按合同约定支付设计费用，经设计人催告后，在 30 天内仍未支付的，设计人可以解除合同；</w:t>
      </w:r>
    </w:p>
    <w:p w14:paraId="7E05324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（3）暂停设计期限已连续超过 180 天，专用合同条款另有约定的除外；</w:t>
      </w:r>
    </w:p>
    <w:p w14:paraId="2336F1C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 因不可抗力致使合同无法履行；</w:t>
      </w:r>
    </w:p>
    <w:p w14:paraId="0B57A6F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 因一方违约致使合同无法实际履行或实际履行已无必要；</w:t>
      </w:r>
    </w:p>
    <w:p w14:paraId="67E11A7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 因本工程项目条件发生重大变化，使合同无法继续履行。</w:t>
      </w:r>
    </w:p>
    <w:p w14:paraId="188020B0">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16.3</w:t>
      </w:r>
      <w:r>
        <w:rPr>
          <w:rFonts w:hint="eastAsia" w:ascii="仿宋" w:hAnsi="仿宋" w:eastAsia="仿宋" w:cs="仿宋"/>
          <w:color w:val="auto"/>
          <w:highlight w:val="none"/>
        </w:rPr>
        <w:t xml:space="preserve"> 任何一方因故需解除合同时，应提前 30 天书面通知对方，对合同中的遗留问题应取得一致意见并形成书面协议。</w:t>
      </w:r>
    </w:p>
    <w:p w14:paraId="2FC96136">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16.4</w:t>
      </w:r>
      <w:r>
        <w:rPr>
          <w:rFonts w:hint="eastAsia" w:ascii="仿宋" w:hAnsi="仿宋" w:eastAsia="仿宋" w:cs="仿宋"/>
          <w:color w:val="auto"/>
          <w:highlight w:val="none"/>
        </w:rPr>
        <w:t xml:space="preserve"> 合同解除后，发包人除应按第 14.1.1 项的约定及专用合同条款约定期限内向设计人支付已完工作的设计费外，应当向设计人支付由于非设计人原因合同解除导致设计人增加的设计费用，违约一方应当承担相应的违约责任。</w:t>
      </w:r>
    </w:p>
    <w:p w14:paraId="7995D6D9">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17. 争议解决</w:t>
      </w:r>
    </w:p>
    <w:p w14:paraId="2F845583">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17.1 和解</w:t>
      </w:r>
    </w:p>
    <w:p w14:paraId="73A025E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合同当事人可以就争议自行和解， 自行和解达成协议的经双方签字并盖章后作为合同补充文件，双方均应遵照执行。</w:t>
      </w:r>
    </w:p>
    <w:p w14:paraId="6A2AD0EE">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17.2 调解</w:t>
      </w:r>
    </w:p>
    <w:p w14:paraId="0998302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合同当事人可以就争议请求相关行政主管部门、行业协会或其他第三方进行调解，调解达成协议的，经双方签字并盖章后作为合同补充文件，双方均应遵照执行。</w:t>
      </w:r>
    </w:p>
    <w:p w14:paraId="76353A30">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17.3 争议评审</w:t>
      </w:r>
    </w:p>
    <w:p w14:paraId="0CFDFEA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合同当事人在专用合同条款中约定采取争议评审方式解决争议以及评审规则，并按下列约定执行：</w:t>
      </w:r>
    </w:p>
    <w:p w14:paraId="5CB4B4B3">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17.3.1 争议评审小组的确定</w:t>
      </w:r>
    </w:p>
    <w:p w14:paraId="5406A0E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合同当事人可以共同选择一名或三名争议评审员，组成争议评审小组。除专用合同条款另有约定外，合同当事人应当自合同签订后 28 天内，或者争议发生后 14 天内，选定争议评审员。</w:t>
      </w:r>
    </w:p>
    <w:p w14:paraId="3B73DA6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选择一名争议评审员的， 由合同当事人共同确定；选择三名争议评审员的，各自选定一名，第三名成员为首席争议评审员， 由合同当事人共同确定或由合同当事人委托已选定的争议评审员共同确定，或由专用合同条款约定的评审机构指定第三名首席争议评审员。</w:t>
      </w:r>
    </w:p>
    <w:p w14:paraId="1E5A9CE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除专用合同条款另有约定外，评审所发生的费用由发包人和设计人各承担一半。</w:t>
      </w:r>
    </w:p>
    <w:p w14:paraId="43FF4E6E">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17.3.2 争议评审小组的决定</w:t>
      </w:r>
    </w:p>
    <w:p w14:paraId="574CC36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合同当事人可在任何时间将与合同有关的任何争议共同提请争议评审小组进行评审。争议评审小组应秉持客观、公正原则，充分听取合同当事人的意见，依据相关法律、技术标准、行业惯例等， 自收到争议评审申请报告后 14 天内作出书面决定，并说明理由。合同当事人可以在专用合同条款中对本事项另行约定。</w:t>
      </w:r>
    </w:p>
    <w:p w14:paraId="63F48F0C">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17.3.3 争议评审小组决定的效力</w:t>
      </w:r>
    </w:p>
    <w:p w14:paraId="0525DC3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争议评审小组作出的书面决定经合同当事人签字确认后，对双方具有约束力，双方应遵照执行。</w:t>
      </w:r>
    </w:p>
    <w:p w14:paraId="2438657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任何一方当事人不接受争议评审小组决定或不履行争议评审小组决定的，双方可选择采用其他争议解决方式。</w:t>
      </w:r>
    </w:p>
    <w:p w14:paraId="01917A9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17.4 仲裁或诉讼</w:t>
      </w:r>
    </w:p>
    <w:p w14:paraId="5418CBA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因合同及合同有关事项产生的争议，合同当事人可以在专用合同条款中约定以下一种方式解决争议：</w:t>
      </w:r>
    </w:p>
    <w:p w14:paraId="181B9CD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 向约定的仲裁委员会申请仲裁；</w:t>
      </w:r>
    </w:p>
    <w:p w14:paraId="30F0785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 向有管辖权的人民法院起诉。</w:t>
      </w:r>
    </w:p>
    <w:p w14:paraId="58BF76B8">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17.5 争议解决条款效力</w:t>
      </w:r>
    </w:p>
    <w:p w14:paraId="573FD013">
      <w:pPr>
        <w:spacing w:line="360" w:lineRule="auto"/>
        <w:ind w:firstLine="281"/>
        <w:rPr>
          <w:rFonts w:hint="eastAsia" w:ascii="仿宋" w:hAnsi="仿宋" w:eastAsia="仿宋" w:cs="仿宋"/>
          <w:color w:val="auto"/>
          <w:szCs w:val="20"/>
          <w:highlight w:val="none"/>
        </w:rPr>
      </w:pPr>
      <w:r>
        <w:rPr>
          <w:rFonts w:hint="eastAsia" w:ascii="仿宋" w:hAnsi="仿宋" w:eastAsia="仿宋" w:cs="仿宋"/>
          <w:color w:val="auto"/>
          <w:highlight w:val="none"/>
        </w:rPr>
        <w:t>合同有关争议解决的条款独立存在，合同的变更、解除、终止、无效或者被撤销均不影响其效力。</w:t>
      </w:r>
    </w:p>
    <w:p w14:paraId="3885A268">
      <w:pPr>
        <w:spacing w:line="228" w:lineRule="auto"/>
        <w:rPr>
          <w:rFonts w:hint="eastAsia" w:ascii="仿宋" w:hAnsi="仿宋" w:eastAsia="仿宋" w:cs="仿宋"/>
          <w:color w:val="auto"/>
          <w:sz w:val="20"/>
          <w:szCs w:val="20"/>
          <w:highlight w:val="none"/>
        </w:rPr>
        <w:sectPr>
          <w:footerReference r:id="rId11" w:type="default"/>
          <w:pgSz w:w="11906" w:h="16839"/>
          <w:pgMar w:top="1134" w:right="1191" w:bottom="1134" w:left="1191" w:header="0" w:footer="706" w:gutter="0"/>
          <w:pgNumType w:fmt="decimal"/>
          <w:cols w:space="720" w:num="1"/>
          <w:rtlGutter w:val="0"/>
          <w:docGrid w:linePitch="0" w:charSpace="0"/>
        </w:sectPr>
      </w:pPr>
    </w:p>
    <w:p w14:paraId="20E09AFA">
      <w:pPr>
        <w:pStyle w:val="3"/>
        <w:jc w:val="center"/>
        <w:rPr>
          <w:rFonts w:hint="eastAsia" w:ascii="仿宋" w:hAnsi="仿宋" w:eastAsia="仿宋" w:cs="仿宋"/>
          <w:color w:val="auto"/>
          <w:szCs w:val="43"/>
          <w:highlight w:val="none"/>
        </w:rPr>
      </w:pPr>
      <w:bookmarkStart w:id="101" w:name="_Toc16156"/>
      <w:r>
        <w:rPr>
          <w:rFonts w:hint="eastAsia" w:ascii="仿宋" w:hAnsi="仿宋" w:eastAsia="仿宋" w:cs="仿宋"/>
          <w:color w:val="auto"/>
          <w:highlight w:val="none"/>
        </w:rPr>
        <w:t>第三部分 专用合同条款</w:t>
      </w:r>
      <w:bookmarkEnd w:id="101"/>
    </w:p>
    <w:p w14:paraId="7984EAC5">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 一般约定</w:t>
      </w:r>
    </w:p>
    <w:p w14:paraId="6FA7F276">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1.1 词语定义与解释</w:t>
      </w:r>
    </w:p>
    <w:p w14:paraId="0CF2F1F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1.1.1 合同</w:t>
      </w:r>
    </w:p>
    <w:p w14:paraId="73981B6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Files/wxid_8928719287022/FileStorage/File/2023-08/1.1.1.8"</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其他合同文件包括：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6D2F67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1.3 法律</w:t>
      </w:r>
    </w:p>
    <w:p w14:paraId="03B95EB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适用于合同的其他规范性文件：</w:t>
      </w:r>
      <w:r>
        <w:rPr>
          <w:rFonts w:hint="eastAsia" w:ascii="仿宋" w:hAnsi="仿宋" w:eastAsia="仿宋" w:cs="仿宋"/>
          <w:b/>
          <w:bCs/>
          <w:color w:val="auto"/>
          <w:highlight w:val="none"/>
          <w:u w:val="single"/>
        </w:rPr>
        <w:t>用于工程的国家标准、行业标准、工程所在地的地方性标准，以及相应的规范、规程等</w:t>
      </w:r>
      <w:r>
        <w:rPr>
          <w:rFonts w:hint="eastAsia" w:ascii="仿宋" w:hAnsi="仿宋" w:eastAsia="仿宋" w:cs="仿宋"/>
          <w:color w:val="auto"/>
          <w:highlight w:val="none"/>
        </w:rPr>
        <w:t>。</w:t>
      </w:r>
    </w:p>
    <w:p w14:paraId="73432F02">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1.4 技术标准</w:t>
      </w:r>
    </w:p>
    <w:p w14:paraId="4C31D9F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1.4.1 适用于工程的技术标准包括：现行相关规定。</w:t>
      </w:r>
    </w:p>
    <w:p w14:paraId="093E661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1.4.2 国外技术标准原文版本和中文译本的提供方：</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提供国外技术标准的名称：   /   ；</w:t>
      </w:r>
    </w:p>
    <w:p w14:paraId="02DBE03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提供国外技术标准的份数：</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F78DD5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提供国外技术标准的时间：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984D55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提供国外技术标准的费用承担：</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95886A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1.4.3 发包人对工程的技术标准和功能要求的特殊要求：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E3313A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1.5 合同文件的优先顺序</w:t>
      </w:r>
    </w:p>
    <w:p w14:paraId="48D8E80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合同文件组成及优先顺序为：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23F146A">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1.6 联络</w:t>
      </w:r>
    </w:p>
    <w:p w14:paraId="4B14E72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1.6.1 发包人和设计人应当在</w:t>
      </w:r>
      <w:r>
        <w:rPr>
          <w:rFonts w:hint="eastAsia" w:ascii="仿宋" w:hAnsi="仿宋" w:eastAsia="仿宋" w:cs="仿宋"/>
          <w:color w:val="auto"/>
          <w:highlight w:val="none"/>
          <w:u w:val="single"/>
        </w:rPr>
        <w:t xml:space="preserve">   3    </w:t>
      </w:r>
      <w:r>
        <w:rPr>
          <w:rFonts w:hint="eastAsia" w:ascii="仿宋" w:hAnsi="仿宋" w:eastAsia="仿宋" w:cs="仿宋"/>
          <w:color w:val="auto"/>
          <w:highlight w:val="none"/>
        </w:rPr>
        <w:t>天内将与合同有关的通知、批准、证明、证书、指示、指令、要求、请求、同意、确定和决定等书面函件送达对方当事人。</w:t>
      </w:r>
    </w:p>
    <w:p w14:paraId="3119090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1.6.2 发包人和设计人联系信息</w:t>
      </w:r>
    </w:p>
    <w:p w14:paraId="565FF6F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发包人接收文件的地点：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5FED52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D52E88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发包人指定的联系电话及传真号码：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1D7C1F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发包人指定的电子邮箱：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D05B65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设计人接收文件的地点：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741182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3EFE64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设计人指定的联系电话及传真号码：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AF4430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设计人指定的电子邮箱：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BFE759C">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1.8 保密</w:t>
      </w:r>
    </w:p>
    <w:p w14:paraId="6020A89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保密期限：</w:t>
      </w:r>
      <w:r>
        <w:rPr>
          <w:rFonts w:hint="eastAsia" w:ascii="仿宋" w:hAnsi="仿宋" w:eastAsia="仿宋" w:cs="仿宋"/>
          <w:b/>
          <w:bCs/>
          <w:color w:val="auto"/>
          <w:highlight w:val="none"/>
          <w:u w:val="single"/>
        </w:rPr>
        <w:t>本工程竣工验收通过后一年</w:t>
      </w:r>
      <w:r>
        <w:rPr>
          <w:rFonts w:hint="eastAsia" w:ascii="仿宋" w:hAnsi="仿宋" w:eastAsia="仿宋" w:cs="仿宋"/>
          <w:color w:val="auto"/>
          <w:highlight w:val="none"/>
        </w:rPr>
        <w:t>。</w:t>
      </w:r>
    </w:p>
    <w:p w14:paraId="1C6ADBA4">
      <w:pPr>
        <w:spacing w:line="360" w:lineRule="auto"/>
        <w:ind w:firstLine="281"/>
        <w:rPr>
          <w:rFonts w:hint="eastAsia" w:ascii="仿宋" w:hAnsi="仿宋" w:eastAsia="仿宋" w:cs="仿宋"/>
          <w:color w:val="auto"/>
          <w:highlight w:val="none"/>
        </w:rPr>
      </w:pPr>
    </w:p>
    <w:p w14:paraId="17EF0724">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2. 发包人</w:t>
      </w:r>
    </w:p>
    <w:p w14:paraId="652DE5C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2.1 发包人一般义务</w:t>
      </w:r>
    </w:p>
    <w:p w14:paraId="007822B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2.1.3 发包人其它义务：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4CC3EE7">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2.2 发包人代表</w:t>
      </w:r>
      <w:r>
        <w:rPr>
          <w:rFonts w:hint="eastAsia" w:ascii="仿宋" w:hAnsi="仿宋" w:eastAsia="仿宋" w:cs="仿宋"/>
          <w:color w:val="auto"/>
          <w:highlight w:val="none"/>
        </w:rPr>
        <w:t xml:space="preserve"> </w:t>
      </w:r>
    </w:p>
    <w:p w14:paraId="2B98E9B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2.2.1发包人代表</w:t>
      </w:r>
    </w:p>
    <w:p w14:paraId="137369F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87CFFE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5223B3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564F7A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C651D9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7B865C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03B0AA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发包人对发包人代表的授权范围如下：</w:t>
      </w:r>
      <w:r>
        <w:rPr>
          <w:rFonts w:hint="eastAsia" w:ascii="仿宋" w:hAnsi="仿宋" w:eastAsia="仿宋" w:cs="仿宋"/>
          <w:b/>
          <w:bCs/>
          <w:color w:val="auto"/>
          <w:highlight w:val="none"/>
          <w:u w:val="single"/>
        </w:rPr>
        <w:t>①督促设计人按照设计合同完成工作；②协调各有关单位工作；③工程设计进度与设计工程量的确认；④督促并控制设计工程进度、质量等内容</w:t>
      </w:r>
      <w:r>
        <w:rPr>
          <w:rFonts w:hint="eastAsia" w:ascii="仿宋" w:hAnsi="仿宋" w:eastAsia="仿宋" w:cs="仿宋"/>
          <w:color w:val="auto"/>
          <w:highlight w:val="none"/>
        </w:rPr>
        <w:t>。</w:t>
      </w:r>
    </w:p>
    <w:p w14:paraId="41A11BB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发包人更换发包人代表的，应当提前</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天书面通知设计人。</w:t>
      </w:r>
    </w:p>
    <w:p w14:paraId="6D46B4AD">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2.3 发包人决定</w:t>
      </w:r>
    </w:p>
    <w:p w14:paraId="11ADAC6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2.3.2 发包人应在</w:t>
      </w:r>
      <w:r>
        <w:rPr>
          <w:rFonts w:hint="eastAsia" w:ascii="仿宋" w:hAnsi="仿宋" w:eastAsia="仿宋" w:cs="仿宋"/>
          <w:color w:val="auto"/>
          <w:highlight w:val="none"/>
          <w:u w:val="single"/>
        </w:rPr>
        <w:t xml:space="preserve">  3    </w:t>
      </w:r>
      <w:r>
        <w:rPr>
          <w:rFonts w:hint="eastAsia" w:ascii="仿宋" w:hAnsi="仿宋" w:eastAsia="仿宋" w:cs="仿宋"/>
          <w:color w:val="auto"/>
          <w:highlight w:val="none"/>
        </w:rPr>
        <w:t>天内对设计人书面提出的事项作出书面决定。</w:t>
      </w:r>
    </w:p>
    <w:p w14:paraId="5D39FFF3">
      <w:pPr>
        <w:spacing w:line="360" w:lineRule="auto"/>
        <w:ind w:firstLine="281"/>
        <w:rPr>
          <w:rFonts w:hint="eastAsia" w:ascii="仿宋" w:hAnsi="仿宋" w:eastAsia="仿宋" w:cs="仿宋"/>
          <w:color w:val="auto"/>
          <w:highlight w:val="none"/>
        </w:rPr>
      </w:pPr>
    </w:p>
    <w:p w14:paraId="315CDB3D">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b/>
          <w:bCs/>
          <w:color w:val="auto"/>
          <w:highlight w:val="none"/>
        </w:rPr>
        <w:t>3. 设计人</w:t>
      </w:r>
    </w:p>
    <w:p w14:paraId="724BAD6A">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3.1 设计人一般义务</w:t>
      </w:r>
    </w:p>
    <w:p w14:paraId="0660BB1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3.1.1 设计人</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需</w:t>
      </w:r>
      <w:r>
        <w:rPr>
          <w:rFonts w:hint="eastAsia" w:ascii="仿宋" w:hAnsi="仿宋" w:eastAsia="仿宋" w:cs="仿宋"/>
          <w:color w:val="auto"/>
          <w:highlight w:val="none"/>
          <w:u w:val="single"/>
        </w:rPr>
        <w:t xml:space="preserve">   （需/不需）</w:t>
      </w:r>
      <w:r>
        <w:rPr>
          <w:rFonts w:hint="eastAsia" w:ascii="仿宋" w:hAnsi="仿宋" w:eastAsia="仿宋" w:cs="仿宋"/>
          <w:color w:val="auto"/>
          <w:highlight w:val="none"/>
        </w:rPr>
        <w:t>配合发包人办理有关许可、批准或备案手续。</w:t>
      </w:r>
    </w:p>
    <w:p w14:paraId="6399DFB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3.1.3 设计人其他义务：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8666E52">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3.2 项目负责人</w:t>
      </w:r>
    </w:p>
    <w:p w14:paraId="57802B7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3.2.1 项目负责人</w:t>
      </w:r>
    </w:p>
    <w:p w14:paraId="0EFC8C5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AFC0EBC">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执业资格及等级：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C4802B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注册证书号：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FC051B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FE9277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7BC230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304496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设计人对项目负责人的授权范围如下：</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717617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3.2.2 设计人更换项目负责人的，应提前</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天书面通知发包人。</w:t>
      </w:r>
    </w:p>
    <w:p w14:paraId="3AD8455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设计人擅自更换项目负责人的违约责任：</w:t>
      </w:r>
      <w:r>
        <w:rPr>
          <w:rFonts w:hint="eastAsia" w:ascii="仿宋" w:hAnsi="仿宋" w:eastAsia="仿宋" w:cs="仿宋"/>
          <w:b/>
          <w:bCs/>
          <w:color w:val="auto"/>
          <w:highlight w:val="none"/>
          <w:u w:val="single"/>
        </w:rPr>
        <w:t>未经发包人批准同意擅自更换设计负责人，设计人承担违约金为合同价的 5%</w:t>
      </w:r>
      <w:r>
        <w:rPr>
          <w:rFonts w:hint="eastAsia" w:ascii="仿宋" w:hAnsi="仿宋" w:eastAsia="仿宋" w:cs="仿宋"/>
          <w:color w:val="auto"/>
          <w:highlight w:val="none"/>
        </w:rPr>
        <w:t>。</w:t>
      </w:r>
    </w:p>
    <w:p w14:paraId="6138865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3.2.3 设计人应在收到书面更换通知后</w:t>
      </w:r>
      <w:r>
        <w:rPr>
          <w:rFonts w:hint="eastAsia" w:ascii="仿宋" w:hAnsi="仿宋" w:eastAsia="仿宋" w:cs="仿宋"/>
          <w:color w:val="auto"/>
          <w:highlight w:val="none"/>
          <w:u w:val="single"/>
        </w:rPr>
        <w:t xml:space="preserve">   3    </w:t>
      </w:r>
      <w:r>
        <w:rPr>
          <w:rFonts w:hint="eastAsia" w:ascii="仿宋" w:hAnsi="仿宋" w:eastAsia="仿宋" w:cs="仿宋"/>
          <w:color w:val="auto"/>
          <w:highlight w:val="none"/>
        </w:rPr>
        <w:t>天内更换项目负责人。</w:t>
      </w:r>
    </w:p>
    <w:p w14:paraId="0A1B206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设计人无正当理由拒绝更换项目负责人的违约责任：</w:t>
      </w:r>
      <w:r>
        <w:rPr>
          <w:rFonts w:hint="eastAsia" w:ascii="仿宋" w:hAnsi="仿宋" w:eastAsia="仿宋" w:cs="仿宋"/>
          <w:b/>
          <w:bCs/>
          <w:color w:val="auto"/>
          <w:highlight w:val="none"/>
          <w:u w:val="single"/>
        </w:rPr>
        <w:t>设计人承担合同价的 5%的违约金</w:t>
      </w:r>
      <w:r>
        <w:rPr>
          <w:rFonts w:hint="eastAsia" w:ascii="仿宋" w:hAnsi="仿宋" w:eastAsia="仿宋" w:cs="仿宋"/>
          <w:color w:val="auto"/>
          <w:highlight w:val="none"/>
        </w:rPr>
        <w:t>。</w:t>
      </w:r>
    </w:p>
    <w:p w14:paraId="68E8D507">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3.3 设计人人员</w:t>
      </w:r>
    </w:p>
    <w:p w14:paraId="30E9BE9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3.3.1 设计人提交项目管理机构及人员安排报告的期限：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A3439A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3.3.3 设计人无正当理由拒绝撤换主要设计人员的违约责任：</w:t>
      </w:r>
      <w:r>
        <w:rPr>
          <w:rFonts w:hint="eastAsia" w:ascii="仿宋" w:hAnsi="仿宋" w:eastAsia="仿宋" w:cs="仿宋"/>
          <w:b/>
          <w:bCs/>
          <w:color w:val="auto"/>
          <w:highlight w:val="none"/>
          <w:u w:val="single"/>
        </w:rPr>
        <w:t>设计人承担 30000 元违约金</w:t>
      </w:r>
      <w:r>
        <w:rPr>
          <w:rFonts w:hint="eastAsia" w:ascii="仿宋" w:hAnsi="仿宋" w:eastAsia="仿宋" w:cs="仿宋"/>
          <w:color w:val="auto"/>
          <w:highlight w:val="none"/>
        </w:rPr>
        <w:t>。</w:t>
      </w:r>
    </w:p>
    <w:p w14:paraId="520E4C6B">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3.4 设计分包</w:t>
      </w:r>
    </w:p>
    <w:p w14:paraId="68264B1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3.4.1 设计分包的一般约定</w:t>
      </w:r>
    </w:p>
    <w:p w14:paraId="6E47C8C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禁止设计分包的工程包括：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817FAD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主体结构、关键性工作的范围：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DDF1A7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3.4.2 设计分包的确定</w:t>
      </w:r>
    </w:p>
    <w:p w14:paraId="0D9EBDC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允许分包的专业工程包括：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3C9885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其他关于分包的约定：分包人具备相应专业资质和能力,分包人名单及其相应资料在进场前提供给发包人。</w:t>
      </w:r>
    </w:p>
    <w:p w14:paraId="225FBBB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3.4.3 设计人向发包人提交有关分包人资料包括：营业执照、资质证书和人员名单。</w:t>
      </w:r>
    </w:p>
    <w:p w14:paraId="575CB05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3.4.4 分包工程设计费支付方式：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C77ED43">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color w:val="auto"/>
          <w:highlight w:val="none"/>
        </w:rPr>
        <w:t>3.5 联合体</w:t>
      </w:r>
    </w:p>
    <w:p w14:paraId="7B13C9C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3.5.4 发包人向联合体支付设计费用的方式：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6E80EDD">
      <w:pPr>
        <w:spacing w:line="360" w:lineRule="auto"/>
        <w:ind w:firstLine="281"/>
        <w:rPr>
          <w:rFonts w:hint="eastAsia" w:ascii="仿宋" w:hAnsi="仿宋" w:eastAsia="仿宋" w:cs="仿宋"/>
          <w:color w:val="auto"/>
          <w:highlight w:val="none"/>
        </w:rPr>
      </w:pPr>
    </w:p>
    <w:p w14:paraId="6EB2BA49">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5. 工程设计要求</w:t>
      </w:r>
    </w:p>
    <w:p w14:paraId="694BF1E5">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5.1 工程设计一般要求</w:t>
      </w:r>
    </w:p>
    <w:p w14:paraId="513281A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Files/wxid_8928719287022/FileStorage/File/2023-08/5.1.2.1"</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5.1.2.1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工程设计的特殊标准或要求：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D1BB88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"../Documents/WeChat Files/WeChat Files/WeChat Files/wxid_8928719287022/FileStorage/File/2023-08/5.1.2.2"</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5.1.2.2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工程设计适用的技术标准：</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74A605A">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5.3 工程设计文件的要求</w:t>
      </w:r>
    </w:p>
    <w:p w14:paraId="3E62B3E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5.3.3 工程设计文件深度规定：</w:t>
      </w:r>
      <w:r>
        <w:rPr>
          <w:rFonts w:hint="eastAsia" w:ascii="仿宋" w:hAnsi="仿宋" w:eastAsia="仿宋" w:cs="仿宋"/>
          <w:b/>
          <w:bCs/>
          <w:color w:val="auto"/>
          <w:highlight w:val="none"/>
          <w:u w:val="single"/>
        </w:rPr>
        <w:t>符合建质函[2016]247 号《建筑工程设计文件编制深度规定》(2016 年版)、建质[2013]57号《市政公用工程设计文件编制深度规定》(2013年版)、国家及地方现行的设计标准及规范，符合本项目的可研批复及规划方案批复的要求</w:t>
      </w:r>
      <w:r>
        <w:rPr>
          <w:rFonts w:hint="eastAsia" w:ascii="仿宋" w:hAnsi="仿宋" w:eastAsia="仿宋" w:cs="仿宋"/>
          <w:color w:val="auto"/>
          <w:highlight w:val="none"/>
        </w:rPr>
        <w:t>。</w:t>
      </w:r>
    </w:p>
    <w:p w14:paraId="700CBD5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5.3.5 工程的合理使用寿命年限：</w:t>
      </w:r>
      <w:r>
        <w:rPr>
          <w:rFonts w:hint="eastAsia" w:ascii="仿宋" w:hAnsi="仿宋" w:eastAsia="仿宋" w:cs="仿宋"/>
          <w:b/>
          <w:bCs/>
          <w:color w:val="auto"/>
          <w:highlight w:val="none"/>
          <w:u w:val="single"/>
        </w:rPr>
        <w:t>符合现行法律法规及行业规范的要求</w:t>
      </w:r>
      <w:r>
        <w:rPr>
          <w:rFonts w:hint="eastAsia" w:ascii="仿宋" w:hAnsi="仿宋" w:eastAsia="仿宋" w:cs="仿宋"/>
          <w:color w:val="auto"/>
          <w:highlight w:val="none"/>
        </w:rPr>
        <w:t>。</w:t>
      </w:r>
    </w:p>
    <w:p w14:paraId="6D97D1E7">
      <w:pPr>
        <w:spacing w:line="360" w:lineRule="auto"/>
        <w:ind w:firstLine="281"/>
        <w:rPr>
          <w:rFonts w:hint="eastAsia" w:ascii="仿宋" w:hAnsi="仿宋" w:eastAsia="仿宋" w:cs="仿宋"/>
          <w:color w:val="auto"/>
          <w:highlight w:val="none"/>
        </w:rPr>
      </w:pPr>
    </w:p>
    <w:p w14:paraId="58B7DFF3">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6. 工程设计进度与周期</w:t>
      </w:r>
    </w:p>
    <w:p w14:paraId="5CD2636B">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6.1 工程设计进度计划</w:t>
      </w:r>
    </w:p>
    <w:p w14:paraId="27917E7E">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6.1.1 工程设计进度计划的编制</w:t>
      </w:r>
    </w:p>
    <w:p w14:paraId="293A4A1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合同当事人约定的工程设计进度计划提交的时间：</w:t>
      </w:r>
      <w:r>
        <w:rPr>
          <w:rFonts w:hint="eastAsia" w:ascii="仿宋" w:hAnsi="仿宋" w:eastAsia="仿宋" w:cs="仿宋"/>
          <w:b/>
          <w:bCs/>
          <w:color w:val="auto"/>
          <w:highlight w:val="none"/>
          <w:u w:val="single"/>
        </w:rPr>
        <w:t>合同签订后 7 天内</w:t>
      </w:r>
      <w:r>
        <w:rPr>
          <w:rFonts w:hint="eastAsia" w:ascii="仿宋" w:hAnsi="仿宋" w:eastAsia="仿宋" w:cs="仿宋"/>
          <w:color w:val="auto"/>
          <w:highlight w:val="none"/>
        </w:rPr>
        <w:t>。</w:t>
      </w:r>
    </w:p>
    <w:p w14:paraId="67103A9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合同当事人约定的工程设计进度计划应包括的内容：</w:t>
      </w:r>
      <w:r>
        <w:rPr>
          <w:rFonts w:hint="eastAsia" w:ascii="仿宋" w:hAnsi="仿宋" w:eastAsia="仿宋" w:cs="仿宋"/>
          <w:b/>
          <w:bCs/>
          <w:color w:val="auto"/>
          <w:highlight w:val="none"/>
          <w:u w:val="single"/>
        </w:rPr>
        <w:t xml:space="preserve">合同工期总日历天数 </w:t>
      </w:r>
      <w:r>
        <w:rPr>
          <w:rFonts w:hint="eastAsia" w:ascii="仿宋" w:hAnsi="仿宋" w:eastAsia="仿宋" w:cs="仿宋"/>
          <w:b/>
          <w:bCs/>
          <w:color w:val="auto"/>
          <w:highlight w:val="none"/>
          <w:u w:val="single"/>
          <w:lang w:val="en-US" w:eastAsia="zh-CN"/>
        </w:rPr>
        <w:t>50</w:t>
      </w:r>
      <w:r>
        <w:rPr>
          <w:rFonts w:hint="eastAsia" w:ascii="仿宋" w:hAnsi="仿宋" w:eastAsia="仿宋" w:cs="仿宋"/>
          <w:b/>
          <w:bCs/>
          <w:color w:val="auto"/>
          <w:highlight w:val="none"/>
          <w:u w:val="single"/>
        </w:rPr>
        <w:t xml:space="preserve"> 天，招标人在合同约定的限期按实际工程进度 通知中标人进行工程勘察设计。中标人应在工程勘察设计合同签订后</w:t>
      </w:r>
      <w:r>
        <w:rPr>
          <w:rFonts w:hint="eastAsia" w:ascii="仿宋" w:hAnsi="仿宋" w:eastAsia="仿宋" w:cs="仿宋"/>
          <w:b/>
          <w:bCs/>
          <w:color w:val="auto"/>
          <w:highlight w:val="none"/>
          <w:u w:val="single"/>
          <w:lang w:val="en-US" w:eastAsia="zh-CN"/>
        </w:rPr>
        <w:t>45</w:t>
      </w:r>
      <w:r>
        <w:rPr>
          <w:rFonts w:hint="eastAsia" w:ascii="仿宋" w:hAnsi="仿宋" w:eastAsia="仿宋" w:cs="仿宋"/>
          <w:b/>
          <w:bCs/>
          <w:color w:val="auto"/>
          <w:highlight w:val="none"/>
          <w:u w:val="single"/>
        </w:rPr>
        <w:t>日内完成工程勘察、初步设计；工程勘察、初步设计文件经审查发现问题后5日内完成补充、修改。 因勘察人、设计人原因导致工程勘察、设计进度延误超过</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日的，发包人可以解除合同，不予支付勘察设计费</w:t>
      </w:r>
      <w:r>
        <w:rPr>
          <w:rFonts w:hint="eastAsia" w:ascii="仿宋" w:hAnsi="仿宋" w:eastAsia="仿宋" w:cs="仿宋"/>
          <w:color w:val="auto"/>
          <w:highlight w:val="none"/>
        </w:rPr>
        <w:t>。</w:t>
      </w:r>
    </w:p>
    <w:p w14:paraId="545C5166">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6.1.2 工程设计进度计划的修订</w:t>
      </w:r>
    </w:p>
    <w:p w14:paraId="4923C02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发包人在收到工程设计进度计划后确认或提出修改意见的期限：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52A150C4">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6.3 工程设计进度延误</w:t>
      </w:r>
    </w:p>
    <w:p w14:paraId="0512DA5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6.3.1 因发包人原因导致工程设计进度延误</w:t>
      </w:r>
    </w:p>
    <w:p w14:paraId="0A12FEC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（4） 因发包人原因导致工程设计进度延误的其他情形：</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C7A3B7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设计人应在发生进度延误的情形后</w:t>
      </w:r>
      <w:r>
        <w:rPr>
          <w:rFonts w:hint="eastAsia" w:ascii="仿宋" w:hAnsi="仿宋" w:eastAsia="仿宋" w:cs="仿宋"/>
          <w:color w:val="auto"/>
          <w:highlight w:val="none"/>
          <w:u w:val="single"/>
        </w:rPr>
        <w:t xml:space="preserve">   3    </w:t>
      </w:r>
      <w:r>
        <w:rPr>
          <w:rFonts w:hint="eastAsia" w:ascii="仿宋" w:hAnsi="仿宋" w:eastAsia="仿宋" w:cs="仿宋"/>
          <w:color w:val="auto"/>
          <w:highlight w:val="none"/>
        </w:rPr>
        <w:t>天内向发包人发出要求延期的书面通知，在发生该情形后</w:t>
      </w:r>
      <w:r>
        <w:rPr>
          <w:rFonts w:hint="eastAsia" w:ascii="仿宋" w:hAnsi="仿宋" w:eastAsia="仿宋" w:cs="仿宋"/>
          <w:color w:val="auto"/>
          <w:highlight w:val="none"/>
          <w:u w:val="single"/>
        </w:rPr>
        <w:t xml:space="preserve"> 3   </w:t>
      </w:r>
      <w:r>
        <w:rPr>
          <w:rFonts w:hint="eastAsia" w:ascii="仿宋" w:hAnsi="仿宋" w:eastAsia="仿宋" w:cs="仿宋"/>
          <w:color w:val="auto"/>
          <w:highlight w:val="none"/>
        </w:rPr>
        <w:t>天内提交要求延期的详细说明。</w:t>
      </w:r>
    </w:p>
    <w:p w14:paraId="7B1F0CB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发包人收到设计人要求延期的详细说明后，应在</w:t>
      </w:r>
      <w:r>
        <w:rPr>
          <w:rFonts w:hint="eastAsia" w:ascii="仿宋" w:hAnsi="仿宋" w:eastAsia="仿宋" w:cs="仿宋"/>
          <w:color w:val="auto"/>
          <w:highlight w:val="none"/>
          <w:u w:val="single"/>
        </w:rPr>
        <w:t xml:space="preserve">   3    </w:t>
      </w:r>
      <w:r>
        <w:rPr>
          <w:rFonts w:hint="eastAsia" w:ascii="仿宋" w:hAnsi="仿宋" w:eastAsia="仿宋" w:cs="仿宋"/>
          <w:color w:val="auto"/>
          <w:highlight w:val="none"/>
        </w:rPr>
        <w:t>天内进行审查并书面答复。</w:t>
      </w:r>
    </w:p>
    <w:p w14:paraId="3FAE8E2C">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6.5 提前交付工程设计文件</w:t>
      </w:r>
    </w:p>
    <w:p w14:paraId="6014365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6.5.2 提前交付工程设计文件的奖励：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0814CF9">
      <w:pPr>
        <w:spacing w:line="360" w:lineRule="auto"/>
        <w:ind w:firstLine="281"/>
        <w:rPr>
          <w:rFonts w:hint="eastAsia" w:ascii="仿宋" w:hAnsi="仿宋" w:eastAsia="仿宋" w:cs="仿宋"/>
          <w:color w:val="auto"/>
          <w:highlight w:val="none"/>
        </w:rPr>
      </w:pPr>
    </w:p>
    <w:p w14:paraId="5417E714">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7． 工程设计文件交付</w:t>
      </w:r>
    </w:p>
    <w:p w14:paraId="5B6A2B54">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7.1 工程设计文件交付的内容</w:t>
      </w:r>
    </w:p>
    <w:p w14:paraId="4C7E8EBB">
      <w:pPr>
        <w:spacing w:line="360" w:lineRule="auto"/>
        <w:ind w:firstLine="281"/>
        <w:jc w:val="left"/>
        <w:rPr>
          <w:rFonts w:hint="eastAsia" w:ascii="仿宋" w:hAnsi="仿宋" w:eastAsia="仿宋" w:cs="仿宋"/>
          <w:color w:val="auto"/>
          <w:highlight w:val="none"/>
        </w:rPr>
      </w:pPr>
      <w:r>
        <w:rPr>
          <w:rFonts w:hint="eastAsia" w:ascii="仿宋" w:hAnsi="仿宋" w:eastAsia="仿宋" w:cs="仿宋"/>
          <w:color w:val="auto"/>
          <w:highlight w:val="none"/>
        </w:rPr>
        <w:t>7.1.2 发包人要求设计人提交电子版设计文件的具体形式为：</w:t>
      </w:r>
      <w:r>
        <w:rPr>
          <w:rFonts w:hint="eastAsia" w:ascii="仿宋" w:hAnsi="仿宋" w:eastAsia="仿宋" w:cs="仿宋"/>
          <w:b/>
          <w:bCs/>
          <w:color w:val="auto"/>
          <w:highlight w:val="none"/>
          <w:u w:val="single"/>
        </w:rPr>
        <w:t>可编辑的 CAD、PDF 电子版</w:t>
      </w:r>
      <w:r>
        <w:rPr>
          <w:rFonts w:hint="eastAsia" w:ascii="仿宋" w:hAnsi="仿宋" w:eastAsia="仿宋" w:cs="仿宋"/>
          <w:color w:val="auto"/>
          <w:highlight w:val="none"/>
        </w:rPr>
        <w:t>。</w:t>
      </w:r>
    </w:p>
    <w:p w14:paraId="1A8C2F08">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7.3</w:t>
      </w:r>
      <w:r>
        <w:rPr>
          <w:rFonts w:hint="eastAsia" w:ascii="仿宋" w:hAnsi="仿宋" w:eastAsia="仿宋" w:cs="仿宋"/>
          <w:color w:val="auto"/>
          <w:highlight w:val="none"/>
        </w:rPr>
        <w:t xml:space="preserve"> 工程设计文件交付的名称、时间和份数：</w:t>
      </w:r>
      <w:r>
        <w:rPr>
          <w:rFonts w:hint="eastAsia" w:ascii="仿宋" w:hAnsi="仿宋" w:eastAsia="仿宋" w:cs="仿宋"/>
          <w:b/>
          <w:bCs/>
          <w:color w:val="auto"/>
          <w:highlight w:val="none"/>
          <w:u w:val="single"/>
        </w:rPr>
        <w:t>纸质版初步设计文件 10 份</w:t>
      </w:r>
      <w:r>
        <w:rPr>
          <w:rFonts w:hint="eastAsia" w:ascii="仿宋" w:hAnsi="仿宋" w:eastAsia="仿宋" w:cs="仿宋"/>
          <w:b/>
          <w:bCs/>
          <w:color w:val="auto"/>
          <w:highlight w:val="none"/>
          <w:u w:val="single"/>
          <w:lang w:eastAsia="zh-CN"/>
        </w:rPr>
        <w:t>、概算书</w:t>
      </w:r>
      <w:r>
        <w:rPr>
          <w:rFonts w:hint="eastAsia" w:ascii="仿宋" w:hAnsi="仿宋" w:eastAsia="仿宋" w:cs="仿宋"/>
          <w:b/>
          <w:bCs/>
          <w:color w:val="auto"/>
          <w:highlight w:val="none"/>
          <w:u w:val="single"/>
          <w:lang w:val="en-US" w:eastAsia="zh-CN"/>
        </w:rPr>
        <w:t>8份</w:t>
      </w:r>
      <w:r>
        <w:rPr>
          <w:rFonts w:hint="eastAsia" w:ascii="仿宋" w:hAnsi="仿宋" w:eastAsia="仿宋" w:cs="仿宋"/>
          <w:color w:val="auto"/>
          <w:highlight w:val="none"/>
        </w:rPr>
        <w:t>。</w:t>
      </w:r>
    </w:p>
    <w:p w14:paraId="74F6241D">
      <w:pPr>
        <w:spacing w:line="360" w:lineRule="auto"/>
        <w:ind w:firstLine="281"/>
        <w:rPr>
          <w:rFonts w:hint="eastAsia" w:ascii="仿宋" w:hAnsi="仿宋" w:eastAsia="仿宋" w:cs="仿宋"/>
          <w:color w:val="auto"/>
          <w:highlight w:val="none"/>
        </w:rPr>
      </w:pPr>
    </w:p>
    <w:p w14:paraId="52E69C95">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8. 工程设计文件审查</w:t>
      </w:r>
    </w:p>
    <w:p w14:paraId="07A991C2">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8.1</w:t>
      </w:r>
      <w:r>
        <w:rPr>
          <w:rFonts w:hint="eastAsia" w:ascii="仿宋" w:hAnsi="仿宋" w:eastAsia="仿宋" w:cs="仿宋"/>
          <w:color w:val="auto"/>
          <w:highlight w:val="none"/>
        </w:rPr>
        <w:t xml:space="preserve"> 发包人对设计人的设计文件审查期限不超过</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天。</w:t>
      </w:r>
    </w:p>
    <w:p w14:paraId="5BCADDF9">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8.3</w:t>
      </w:r>
      <w:r>
        <w:rPr>
          <w:rFonts w:hint="eastAsia" w:ascii="仿宋" w:hAnsi="仿宋" w:eastAsia="仿宋" w:cs="仿宋"/>
          <w:color w:val="auto"/>
          <w:highlight w:val="none"/>
        </w:rPr>
        <w:t xml:space="preserve"> 发包人应在审查同意设计人的工程设计文件后在</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天内，向政府有关部门报送工程设计文件。</w:t>
      </w:r>
    </w:p>
    <w:p w14:paraId="42C216C3">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8.4</w:t>
      </w:r>
      <w:r>
        <w:rPr>
          <w:rFonts w:hint="eastAsia" w:ascii="仿宋" w:hAnsi="仿宋" w:eastAsia="仿宋" w:cs="仿宋"/>
          <w:color w:val="auto"/>
          <w:highlight w:val="none"/>
        </w:rPr>
        <w:t xml:space="preserve"> 工程设计审查形式及时间安排：</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69C8018">
      <w:pPr>
        <w:spacing w:line="360" w:lineRule="auto"/>
        <w:ind w:firstLine="281"/>
        <w:rPr>
          <w:rFonts w:hint="eastAsia" w:ascii="仿宋" w:hAnsi="仿宋" w:eastAsia="仿宋" w:cs="仿宋"/>
          <w:color w:val="auto"/>
          <w:highlight w:val="none"/>
        </w:rPr>
      </w:pPr>
    </w:p>
    <w:p w14:paraId="018FF8D1">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9. 施工现场配合服务</w:t>
      </w:r>
    </w:p>
    <w:p w14:paraId="0C6AEC27">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9.1</w:t>
      </w:r>
      <w:r>
        <w:rPr>
          <w:rFonts w:hint="eastAsia" w:ascii="仿宋" w:hAnsi="仿宋" w:eastAsia="仿宋" w:cs="仿宋"/>
          <w:color w:val="auto"/>
          <w:highlight w:val="none"/>
        </w:rPr>
        <w:t xml:space="preserve"> 发包人为设计人派赴现场的工作人员提供便利条件的内容包括：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CA3BE3E">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9.2</w:t>
      </w:r>
      <w:r>
        <w:rPr>
          <w:rFonts w:hint="eastAsia" w:ascii="仿宋" w:hAnsi="仿宋" w:eastAsia="仿宋" w:cs="仿宋"/>
          <w:color w:val="auto"/>
          <w:highlight w:val="none"/>
        </w:rPr>
        <w:t xml:space="preserve"> 设计人应当在交付施工图设计文件并经审查合格后</w:t>
      </w:r>
      <w:r>
        <w:rPr>
          <w:rFonts w:hint="eastAsia" w:ascii="仿宋" w:hAnsi="仿宋" w:eastAsia="仿宋" w:cs="仿宋"/>
          <w:color w:val="auto"/>
          <w:highlight w:val="none"/>
          <w:u w:val="single"/>
        </w:rPr>
        <w:t xml:space="preserve"> 在施工期 </w:t>
      </w:r>
      <w:r>
        <w:rPr>
          <w:rFonts w:hint="eastAsia" w:ascii="仿宋" w:hAnsi="仿宋" w:eastAsia="仿宋" w:cs="仿宋"/>
          <w:color w:val="auto"/>
          <w:highlight w:val="none"/>
        </w:rPr>
        <w:t>时间内提供施工现场配合服务。</w:t>
      </w:r>
    </w:p>
    <w:p w14:paraId="68797A55">
      <w:pPr>
        <w:spacing w:line="360" w:lineRule="auto"/>
        <w:ind w:firstLine="281"/>
        <w:rPr>
          <w:rFonts w:hint="eastAsia" w:ascii="仿宋" w:hAnsi="仿宋" w:eastAsia="仿宋" w:cs="仿宋"/>
          <w:color w:val="auto"/>
          <w:highlight w:val="none"/>
        </w:rPr>
      </w:pPr>
    </w:p>
    <w:p w14:paraId="1C8066AA">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b/>
          <w:bCs/>
          <w:color w:val="auto"/>
          <w:highlight w:val="none"/>
        </w:rPr>
        <w:t>10. 合同价款与支付</w:t>
      </w:r>
    </w:p>
    <w:p w14:paraId="2DD778B1">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10.2 合同价格形式</w:t>
      </w:r>
    </w:p>
    <w:p w14:paraId="37F44962">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（1）单价合同</w:t>
      </w:r>
    </w:p>
    <w:p w14:paraId="6D83376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单价包含的风险范围：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330EA7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风险费用的计算方法：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8591CA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风险范围以外合同价格的调整方法：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978A47B">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（2）总价合同</w:t>
      </w:r>
    </w:p>
    <w:p w14:paraId="2D98B13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总价包含的风险范围：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5FD113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风险费用的计算方法：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204BC9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风险范围以外合同价格的调整方法：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0BC9F5">
      <w:pPr>
        <w:spacing w:line="360" w:lineRule="auto"/>
        <w:ind w:firstLine="281"/>
        <w:rPr>
          <w:rFonts w:hint="eastAsia" w:ascii="仿宋" w:hAnsi="仿宋" w:eastAsia="仿宋" w:cs="仿宋"/>
          <w:b/>
          <w:bCs/>
          <w:color w:val="auto"/>
          <w:highlight w:val="none"/>
          <w:u w:val="single"/>
          <w:lang w:eastAsia="zh-CN"/>
        </w:rPr>
      </w:pPr>
      <w:r>
        <w:rPr>
          <w:rFonts w:hint="eastAsia" w:ascii="仿宋" w:hAnsi="仿宋" w:eastAsia="仿宋" w:cs="仿宋"/>
          <w:color w:val="auto"/>
          <w:highlight w:val="none"/>
        </w:rPr>
        <w:t>（3）其他价格形式：</w:t>
      </w:r>
      <w:r>
        <w:rPr>
          <w:rFonts w:hint="eastAsia" w:ascii="仿宋" w:hAnsi="仿宋" w:eastAsia="仿宋" w:cs="仿宋"/>
          <w:b/>
          <w:bCs/>
          <w:color w:val="auto"/>
          <w:highlight w:val="none"/>
          <w:u w:val="single"/>
        </w:rPr>
        <w:t>初步设计费合同价 = 初步设计费</w:t>
      </w:r>
      <w:r>
        <w:rPr>
          <w:rFonts w:hint="eastAsia" w:ascii="仿宋" w:hAnsi="仿宋" w:eastAsia="仿宋" w:cs="仿宋"/>
          <w:b/>
          <w:bCs/>
          <w:color w:val="auto"/>
          <w:highlight w:val="none"/>
          <w:u w:val="single"/>
          <w:lang w:eastAsia="zh-CN"/>
        </w:rPr>
        <w:t>最高投标限</w:t>
      </w:r>
      <w:r>
        <w:rPr>
          <w:rFonts w:hint="eastAsia" w:ascii="仿宋" w:hAnsi="仿宋" w:eastAsia="仿宋" w:cs="仿宋"/>
          <w:b/>
          <w:bCs/>
          <w:color w:val="auto"/>
          <w:highlight w:val="none"/>
          <w:u w:val="single"/>
        </w:rPr>
        <w:t>价×（1-初步设计费</w:t>
      </w:r>
      <w:r>
        <w:rPr>
          <w:rFonts w:hint="eastAsia" w:ascii="仿宋" w:hAnsi="仿宋" w:eastAsia="仿宋" w:cs="仿宋"/>
          <w:b/>
          <w:bCs/>
          <w:color w:val="auto"/>
          <w:highlight w:val="none"/>
          <w:u w:val="single"/>
          <w:lang w:eastAsia="zh-CN"/>
        </w:rPr>
        <w:t>中标</w:t>
      </w:r>
      <w:r>
        <w:rPr>
          <w:rFonts w:hint="eastAsia" w:ascii="仿宋" w:hAnsi="仿宋" w:eastAsia="仿宋" w:cs="仿宋"/>
          <w:b/>
          <w:bCs/>
          <w:color w:val="auto"/>
          <w:highlight w:val="none"/>
          <w:u w:val="single"/>
        </w:rPr>
        <w:t>下浮率）；初步设计费签约合同价为暂定价，初步设计费结算时，以经罗定市财政投资审核机构审定的设计费概算价为基础计算，即：初步设计费结算价 = [（审定设计费概算价×初步设计费比例 40%）]×（1 -初步设计费中标下浮率），结算总价不超出中标价</w:t>
      </w:r>
      <w:r>
        <w:rPr>
          <w:rFonts w:hint="eastAsia" w:ascii="仿宋" w:hAnsi="仿宋" w:eastAsia="仿宋" w:cs="仿宋"/>
          <w:b/>
          <w:bCs/>
          <w:color w:val="auto"/>
          <w:highlight w:val="none"/>
          <w:u w:val="single"/>
          <w:lang w:eastAsia="zh-CN"/>
        </w:rPr>
        <w:t>。</w:t>
      </w:r>
      <w:r>
        <w:rPr>
          <w:rFonts w:hint="eastAsia" w:ascii="仿宋" w:hAnsi="仿宋" w:eastAsia="仿宋" w:cs="仿宋"/>
          <w:b/>
          <w:bCs/>
          <w:color w:val="auto"/>
          <w:highlight w:val="none"/>
          <w:u w:val="single"/>
        </w:rPr>
        <w:t>注：本设计的专业调整系数按1.0计算、工程复杂程度调整系数按1.0计算，附加调整系数按1.0计算。</w:t>
      </w:r>
    </w:p>
    <w:p w14:paraId="01C1A891">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10.3 定金或预付款</w:t>
      </w:r>
    </w:p>
    <w:p w14:paraId="751C1D7E">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10.3.1 定金或预付款的比例</w:t>
      </w:r>
    </w:p>
    <w:p w14:paraId="3316218D">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定金的比例</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或预付款的比例：</w:t>
      </w:r>
      <w:r>
        <w:rPr>
          <w:rFonts w:hint="eastAsia" w:ascii="仿宋" w:hAnsi="仿宋" w:eastAsia="仿宋" w:cs="仿宋"/>
          <w:b/>
          <w:bCs/>
          <w:color w:val="auto"/>
          <w:highlight w:val="none"/>
          <w:u w:val="single"/>
        </w:rPr>
        <w:t>初步设计费合同价的 30%</w:t>
      </w:r>
      <w:r>
        <w:rPr>
          <w:rFonts w:hint="eastAsia" w:ascii="仿宋" w:hAnsi="仿宋" w:eastAsia="仿宋" w:cs="仿宋"/>
          <w:color w:val="auto"/>
          <w:highlight w:val="none"/>
        </w:rPr>
        <w:t>。</w:t>
      </w:r>
    </w:p>
    <w:p w14:paraId="62D5EBCB">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10.3.2 定金或预付款的支付</w:t>
      </w:r>
    </w:p>
    <w:p w14:paraId="6338D03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定金或预付款的支付时间：</w:t>
      </w:r>
      <w:r>
        <w:rPr>
          <w:rFonts w:hint="eastAsia" w:ascii="仿宋" w:hAnsi="仿宋" w:eastAsia="仿宋" w:cs="仿宋"/>
          <w:b/>
          <w:bCs/>
          <w:color w:val="auto"/>
          <w:highlight w:val="none"/>
          <w:u w:val="single"/>
        </w:rPr>
        <w:t>合同签订并提交完整的支付申请资料后</w:t>
      </w:r>
      <w:r>
        <w:rPr>
          <w:rFonts w:hint="eastAsia" w:ascii="仿宋" w:hAnsi="仿宋" w:eastAsia="仿宋" w:cs="仿宋"/>
          <w:b/>
          <w:bCs/>
          <w:color w:val="auto"/>
          <w:highlight w:val="none"/>
          <w:u w:val="single"/>
          <w:lang w:val="en-US" w:eastAsia="zh-CN"/>
        </w:rPr>
        <w:t>15个工作日内</w:t>
      </w:r>
      <w:r>
        <w:rPr>
          <w:rFonts w:hint="eastAsia" w:ascii="仿宋" w:hAnsi="仿宋" w:eastAsia="仿宋" w:cs="仿宋"/>
          <w:color w:val="auto"/>
          <w:highlight w:val="none"/>
        </w:rPr>
        <w:t>，但最迟应在开始设计通知载明的 开始设计日期</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天前支付。</w:t>
      </w:r>
    </w:p>
    <w:p w14:paraId="1ECDC737">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color w:val="auto"/>
          <w:highlight w:val="none"/>
        </w:rPr>
        <w:t>10.4 进度款支付</w:t>
      </w:r>
    </w:p>
    <w:p w14:paraId="5BD3EF5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1.初步设计与概算完成后，提交完整的支付申请资料后1</w:t>
      </w:r>
      <w:r>
        <w:rPr>
          <w:rFonts w:hint="eastAsia" w:ascii="仿宋" w:hAnsi="仿宋" w:eastAsia="仿宋" w:cs="仿宋"/>
          <w:color w:val="auto"/>
          <w:highlight w:val="none"/>
          <w:lang w:eastAsia="zh-CN"/>
        </w:rPr>
        <w:t>5</w:t>
      </w:r>
      <w:r>
        <w:rPr>
          <w:rFonts w:hint="eastAsia" w:ascii="仿宋" w:hAnsi="仿宋" w:eastAsia="仿宋" w:cs="仿宋"/>
          <w:color w:val="auto"/>
          <w:highlight w:val="none"/>
        </w:rPr>
        <w:t>个工作日内，发包人向设计人支付至初步设计费总额的60%。</w:t>
      </w:r>
    </w:p>
    <w:p w14:paraId="538B5C6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2.初步设计完成通过评审，并提交完整的支付申请资料后1</w:t>
      </w:r>
      <w:r>
        <w:rPr>
          <w:rFonts w:hint="eastAsia" w:ascii="仿宋" w:hAnsi="仿宋" w:eastAsia="仿宋" w:cs="仿宋"/>
          <w:color w:val="auto"/>
          <w:highlight w:val="none"/>
          <w:lang w:eastAsia="zh-CN"/>
        </w:rPr>
        <w:t>5</w:t>
      </w:r>
      <w:r>
        <w:rPr>
          <w:rFonts w:hint="eastAsia" w:ascii="仿宋" w:hAnsi="仿宋" w:eastAsia="仿宋" w:cs="仿宋"/>
          <w:color w:val="auto"/>
          <w:highlight w:val="none"/>
        </w:rPr>
        <w:t>个工作日内，发包人向设计人支付至初步设计费总额的</w:t>
      </w:r>
      <w:r>
        <w:rPr>
          <w:rFonts w:hint="eastAsia" w:ascii="仿宋" w:hAnsi="仿宋" w:eastAsia="仿宋" w:cs="仿宋"/>
          <w:color w:val="auto"/>
          <w:highlight w:val="none"/>
          <w:lang w:eastAsia="zh-CN"/>
        </w:rPr>
        <w:t>8</w:t>
      </w:r>
      <w:r>
        <w:rPr>
          <w:rFonts w:hint="eastAsia" w:ascii="仿宋" w:hAnsi="仿宋" w:eastAsia="仿宋" w:cs="仿宋"/>
          <w:color w:val="auto"/>
          <w:highlight w:val="none"/>
        </w:rPr>
        <w:t>0%。</w:t>
      </w:r>
    </w:p>
    <w:p w14:paraId="519C5A2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3.概算通过政府审核部门审核，并提交完整的支付申请资料后1</w:t>
      </w:r>
      <w:r>
        <w:rPr>
          <w:rFonts w:hint="eastAsia" w:ascii="仿宋" w:hAnsi="仿宋" w:eastAsia="仿宋" w:cs="仿宋"/>
          <w:color w:val="auto"/>
          <w:highlight w:val="none"/>
          <w:lang w:eastAsia="zh-CN"/>
        </w:rPr>
        <w:t>5</w:t>
      </w:r>
      <w:r>
        <w:rPr>
          <w:rFonts w:hint="eastAsia" w:ascii="仿宋" w:hAnsi="仿宋" w:eastAsia="仿宋" w:cs="仿宋"/>
          <w:color w:val="auto"/>
          <w:highlight w:val="none"/>
        </w:rPr>
        <w:t>个工作日内，发包人向设计人支付至初步设计费结算价的</w:t>
      </w: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w:t>
      </w:r>
    </w:p>
    <w:p w14:paraId="75BBCF2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补充事项:</w:t>
      </w:r>
    </w:p>
    <w:p w14:paraId="205CF16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（1）项目若发包人因土地征用、拆迁、后续建设资金未落实的造成工程工期延误，工期应按规定进行调整、延长，不因工期影响而增加相关酬金、不得追究发包人任何经济赔偿等索赔事项。</w:t>
      </w:r>
    </w:p>
    <w:p w14:paraId="62272F2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（2）项目若发包人因建设资金未落实的造成工程终止，双方协商应无偿终止并解除合同；签订解除合同后，中标的勘察、设计单位不得追究发包人任何经济赔偿等索赔事项。</w:t>
      </w:r>
    </w:p>
    <w:p w14:paraId="16FA0E5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（3）设计图纸、文件等资料须按发包人或政府主管部门的要求无条件进行优化设计、变更设计等，优化设计、变更设计等不增加设计费。</w:t>
      </w:r>
    </w:p>
    <w:p w14:paraId="0B704496">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11. 工程设计变更与索赔</w:t>
      </w:r>
    </w:p>
    <w:p w14:paraId="4F75BCE1">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11.5</w:t>
      </w:r>
      <w:r>
        <w:rPr>
          <w:rFonts w:hint="eastAsia" w:ascii="仿宋" w:hAnsi="仿宋" w:eastAsia="仿宋" w:cs="仿宋"/>
          <w:color w:val="auto"/>
          <w:highlight w:val="none"/>
        </w:rPr>
        <w:t xml:space="preserve"> 设计人应于认为有理由提出增加合同价款或延长设计周期的要求事项发生后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天内书面通知发 包人。</w:t>
      </w:r>
    </w:p>
    <w:p w14:paraId="3708DCD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设计人应在该事项发生后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天内向发包人提供证明设计人要求的书面声明。</w:t>
      </w:r>
    </w:p>
    <w:p w14:paraId="1BECF00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发包人应在接到设计人书面声明后的</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天内，予以书面答复。</w:t>
      </w:r>
    </w:p>
    <w:p w14:paraId="21AFD1E4">
      <w:pPr>
        <w:spacing w:line="360" w:lineRule="auto"/>
        <w:ind w:firstLine="281"/>
        <w:rPr>
          <w:rFonts w:hint="eastAsia" w:ascii="仿宋" w:hAnsi="仿宋" w:eastAsia="仿宋" w:cs="仿宋"/>
          <w:color w:val="auto"/>
          <w:highlight w:val="none"/>
        </w:rPr>
      </w:pPr>
    </w:p>
    <w:p w14:paraId="6C9EAEBF">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12. 专业责任与保险</w:t>
      </w:r>
    </w:p>
    <w:p w14:paraId="642A62B5">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12.2</w:t>
      </w:r>
      <w:r>
        <w:rPr>
          <w:rFonts w:hint="eastAsia" w:ascii="仿宋" w:hAnsi="仿宋" w:eastAsia="仿宋" w:cs="仿宋"/>
          <w:color w:val="auto"/>
          <w:highlight w:val="none"/>
        </w:rPr>
        <w:t xml:space="preserve"> 设计人</w:t>
      </w:r>
      <w:r>
        <w:rPr>
          <w:rFonts w:hint="eastAsia" w:ascii="仿宋" w:hAnsi="仿宋" w:eastAsia="仿宋" w:cs="仿宋"/>
          <w:color w:val="auto"/>
          <w:highlight w:val="none"/>
          <w:u w:val="single"/>
        </w:rPr>
        <w:t xml:space="preserve">  不需  （需/不需）</w:t>
      </w:r>
      <w:r>
        <w:rPr>
          <w:rFonts w:hint="eastAsia" w:ascii="仿宋" w:hAnsi="仿宋" w:eastAsia="仿宋" w:cs="仿宋"/>
          <w:color w:val="auto"/>
          <w:highlight w:val="none"/>
        </w:rPr>
        <w:t>有发包人认可的工程设计责任保险。</w:t>
      </w:r>
    </w:p>
    <w:p w14:paraId="640FEB32">
      <w:pPr>
        <w:spacing w:line="360" w:lineRule="auto"/>
        <w:ind w:firstLine="281"/>
        <w:rPr>
          <w:rFonts w:hint="eastAsia" w:ascii="仿宋" w:hAnsi="仿宋" w:eastAsia="仿宋" w:cs="仿宋"/>
          <w:color w:val="auto"/>
          <w:highlight w:val="none"/>
        </w:rPr>
      </w:pPr>
    </w:p>
    <w:p w14:paraId="15A43A19">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13. 知识产权</w:t>
      </w:r>
    </w:p>
    <w:p w14:paraId="0C4CA253">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13.1</w:t>
      </w:r>
      <w:r>
        <w:rPr>
          <w:rFonts w:hint="eastAsia" w:ascii="仿宋" w:hAnsi="仿宋" w:eastAsia="仿宋" w:cs="仿宋"/>
          <w:color w:val="auto"/>
          <w:highlight w:val="none"/>
        </w:rPr>
        <w:t xml:space="preserve"> 关于发包人提供给设计人的图纸、发包人为实施工程自行编制或委托编制的技术规格以及反映发 包人关于合同要求或其他类似性质的文件的著作权的归属：</w:t>
      </w:r>
      <w:r>
        <w:rPr>
          <w:rFonts w:hint="eastAsia" w:ascii="仿宋" w:hAnsi="仿宋" w:eastAsia="仿宋" w:cs="仿宋"/>
          <w:b/>
          <w:bCs/>
          <w:color w:val="auto"/>
          <w:highlight w:val="none"/>
          <w:u w:val="single"/>
        </w:rPr>
        <w:t>发包人</w:t>
      </w:r>
      <w:r>
        <w:rPr>
          <w:rFonts w:hint="eastAsia" w:ascii="仿宋" w:hAnsi="仿宋" w:eastAsia="仿宋" w:cs="仿宋"/>
          <w:color w:val="auto"/>
          <w:highlight w:val="none"/>
        </w:rPr>
        <w:t>。</w:t>
      </w:r>
    </w:p>
    <w:p w14:paraId="67E1C00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关于发包人提供的上述文件的使用限制的要求：</w:t>
      </w:r>
      <w:r>
        <w:rPr>
          <w:rFonts w:hint="eastAsia" w:ascii="仿宋" w:hAnsi="仿宋" w:eastAsia="仿宋" w:cs="仿宋"/>
          <w:b/>
          <w:bCs/>
          <w:color w:val="auto"/>
          <w:highlight w:val="none"/>
          <w:u w:val="single"/>
        </w:rPr>
        <w:t>仅限于本项目使用</w:t>
      </w:r>
      <w:r>
        <w:rPr>
          <w:rFonts w:hint="eastAsia" w:ascii="仿宋" w:hAnsi="仿宋" w:eastAsia="仿宋" w:cs="仿宋"/>
          <w:color w:val="auto"/>
          <w:highlight w:val="none"/>
        </w:rPr>
        <w:t>。</w:t>
      </w:r>
    </w:p>
    <w:p w14:paraId="3A6EA734">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13.2</w:t>
      </w:r>
      <w:r>
        <w:rPr>
          <w:rFonts w:hint="eastAsia" w:ascii="仿宋" w:hAnsi="仿宋" w:eastAsia="仿宋" w:cs="仿宋"/>
          <w:color w:val="auto"/>
          <w:highlight w:val="none"/>
        </w:rPr>
        <w:t xml:space="preserve"> 关于设计人为实施工程所编制文件的著作权的归属：</w:t>
      </w:r>
      <w:r>
        <w:rPr>
          <w:rFonts w:hint="eastAsia" w:ascii="仿宋" w:hAnsi="仿宋" w:eastAsia="仿宋" w:cs="仿宋"/>
          <w:b/>
          <w:bCs/>
          <w:color w:val="auto"/>
          <w:highlight w:val="none"/>
          <w:u w:val="single"/>
        </w:rPr>
        <w:t>发包人</w:t>
      </w:r>
      <w:r>
        <w:rPr>
          <w:rFonts w:hint="eastAsia" w:ascii="仿宋" w:hAnsi="仿宋" w:eastAsia="仿宋" w:cs="仿宋"/>
          <w:color w:val="auto"/>
          <w:highlight w:val="none"/>
        </w:rPr>
        <w:t>。</w:t>
      </w:r>
    </w:p>
    <w:p w14:paraId="746E8C74">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关于设计人提供的上述文件的使用限制的要求：</w:t>
      </w:r>
      <w:r>
        <w:rPr>
          <w:rFonts w:hint="eastAsia" w:ascii="仿宋" w:hAnsi="仿宋" w:eastAsia="仿宋" w:cs="仿宋"/>
          <w:b/>
          <w:bCs/>
          <w:color w:val="auto"/>
          <w:highlight w:val="none"/>
          <w:u w:val="single"/>
        </w:rPr>
        <w:t>仅限于本项目使用</w:t>
      </w:r>
      <w:r>
        <w:rPr>
          <w:rFonts w:hint="eastAsia" w:ascii="仿宋" w:hAnsi="仿宋" w:eastAsia="仿宋" w:cs="仿宋"/>
          <w:color w:val="auto"/>
          <w:highlight w:val="none"/>
        </w:rPr>
        <w:t>。</w:t>
      </w:r>
    </w:p>
    <w:p w14:paraId="58244820">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13.5</w:t>
      </w:r>
      <w:r>
        <w:rPr>
          <w:rFonts w:hint="eastAsia" w:ascii="仿宋" w:hAnsi="仿宋" w:eastAsia="仿宋" w:cs="仿宋"/>
          <w:color w:val="auto"/>
          <w:highlight w:val="none"/>
        </w:rPr>
        <w:t xml:space="preserve"> 设计人在设计过程中所采用的专利、专有技术的使用费的承担方式：</w:t>
      </w:r>
      <w:r>
        <w:rPr>
          <w:rFonts w:hint="eastAsia" w:ascii="仿宋" w:hAnsi="仿宋" w:eastAsia="仿宋" w:cs="仿宋"/>
          <w:b/>
          <w:bCs/>
          <w:color w:val="auto"/>
          <w:highlight w:val="none"/>
          <w:u w:val="single"/>
        </w:rPr>
        <w:t>包含在签约合同价中</w:t>
      </w:r>
      <w:r>
        <w:rPr>
          <w:rFonts w:hint="eastAsia" w:ascii="仿宋" w:hAnsi="仿宋" w:eastAsia="仿宋" w:cs="仿宋"/>
          <w:color w:val="auto"/>
          <w:highlight w:val="none"/>
        </w:rPr>
        <w:t>。</w:t>
      </w:r>
    </w:p>
    <w:p w14:paraId="1E0FC04D">
      <w:pPr>
        <w:spacing w:line="360" w:lineRule="auto"/>
        <w:ind w:firstLine="281"/>
        <w:rPr>
          <w:rFonts w:hint="eastAsia" w:ascii="仿宋" w:hAnsi="仿宋" w:eastAsia="仿宋" w:cs="仿宋"/>
          <w:color w:val="auto"/>
          <w:highlight w:val="none"/>
        </w:rPr>
      </w:pPr>
    </w:p>
    <w:p w14:paraId="3018C5EC">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14. 违约责任</w:t>
      </w:r>
    </w:p>
    <w:p w14:paraId="42B2FB84">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14.1</w:t>
      </w:r>
      <w:r>
        <w:rPr>
          <w:rFonts w:hint="eastAsia" w:ascii="仿宋" w:hAnsi="仿宋" w:eastAsia="仿宋" w:cs="仿宋"/>
          <w:color w:val="auto"/>
          <w:highlight w:val="none"/>
        </w:rPr>
        <w:t xml:space="preserve"> 发包人违约责任</w:t>
      </w:r>
    </w:p>
    <w:p w14:paraId="3CEBF6A7">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14.1.1 发包人支付设计人违约金：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0E18945">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14.1.2 发包人逾期支付设计费的违约金：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4C9FA54">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14.2 设计人违约责任</w:t>
      </w:r>
    </w:p>
    <w:p w14:paraId="2E40F85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14.2.1 设计人支付发包人的违约金：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567C86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 xml:space="preserve">14.2.2 设计人逾期交付工程设计文件的违约金： </w:t>
      </w:r>
      <w:r>
        <w:rPr>
          <w:rFonts w:hint="eastAsia" w:ascii="仿宋" w:hAnsi="仿宋" w:eastAsia="仿宋" w:cs="仿宋"/>
          <w:b/>
          <w:bCs/>
          <w:color w:val="auto"/>
          <w:highlight w:val="none"/>
          <w:u w:val="single"/>
        </w:rPr>
        <w:t>因设计人原因不能按合同约定的日期或发包人签证同意顺延的工期完成的，超过合同规定工期，设计人向发包人支付赔偿金以 2000 元/日计算，最高赔偿金额不超过合同总价的 3％</w:t>
      </w:r>
      <w:r>
        <w:rPr>
          <w:rFonts w:hint="eastAsia" w:ascii="仿宋" w:hAnsi="仿宋" w:eastAsia="仿宋" w:cs="仿宋"/>
          <w:color w:val="auto"/>
          <w:highlight w:val="none"/>
        </w:rPr>
        <w:t>。</w:t>
      </w:r>
    </w:p>
    <w:p w14:paraId="3B200AE9">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设计人逾期交付工程设计文件的违约金的上限：</w:t>
      </w:r>
      <w:r>
        <w:rPr>
          <w:rFonts w:hint="eastAsia" w:ascii="仿宋" w:hAnsi="仿宋" w:eastAsia="仿宋" w:cs="仿宋"/>
          <w:b/>
          <w:bCs/>
          <w:color w:val="auto"/>
          <w:highlight w:val="none"/>
          <w:u w:val="single"/>
        </w:rPr>
        <w:t>不超过合同总价的 3％</w:t>
      </w:r>
      <w:r>
        <w:rPr>
          <w:rFonts w:hint="eastAsia" w:ascii="仿宋" w:hAnsi="仿宋" w:eastAsia="仿宋" w:cs="仿宋"/>
          <w:color w:val="auto"/>
          <w:highlight w:val="none"/>
        </w:rPr>
        <w:t>。</w:t>
      </w:r>
    </w:p>
    <w:p w14:paraId="4F298CC1">
      <w:pPr>
        <w:spacing w:line="360" w:lineRule="auto"/>
        <w:ind w:firstLine="281"/>
        <w:rPr>
          <w:rFonts w:hint="eastAsia" w:ascii="仿宋" w:hAnsi="仿宋" w:eastAsia="仿宋" w:cs="仿宋"/>
          <w:b/>
          <w:bCs/>
          <w:color w:val="auto"/>
          <w:highlight w:val="none"/>
          <w:u w:val="single"/>
        </w:rPr>
      </w:pPr>
      <w:r>
        <w:rPr>
          <w:rFonts w:hint="eastAsia" w:ascii="仿宋" w:hAnsi="仿宋" w:eastAsia="仿宋" w:cs="仿宋"/>
          <w:color w:val="auto"/>
          <w:highlight w:val="none"/>
        </w:rPr>
        <w:t>14.2.3 设计人设计文件不合格的损失赔偿金的上限：</w:t>
      </w:r>
      <w:r>
        <w:rPr>
          <w:rFonts w:hint="eastAsia" w:ascii="仿宋" w:hAnsi="仿宋" w:eastAsia="仿宋" w:cs="仿宋"/>
          <w:b/>
          <w:bCs/>
          <w:color w:val="auto"/>
          <w:highlight w:val="none"/>
          <w:u w:val="single"/>
        </w:rPr>
        <w:t>由于设计人原因工程设计质量达不到约定的质量标准，不合格的设计工程不予办理结算及支付设计款，并承担给发包人造成的一切经济损失，直至追究法律责任。设计人设计文件不合格的损失赔偿金的上限为设计费签约合同价。</w:t>
      </w:r>
    </w:p>
    <w:p w14:paraId="3CB0B1F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14.2.4 设计人未经发包人同意擅自对工程设计进行分包的违约责任：</w:t>
      </w:r>
      <w:r>
        <w:rPr>
          <w:rFonts w:hint="eastAsia" w:ascii="仿宋" w:hAnsi="仿宋" w:eastAsia="仿宋" w:cs="仿宋"/>
          <w:b/>
          <w:bCs/>
          <w:color w:val="auto"/>
          <w:highlight w:val="none"/>
          <w:u w:val="single"/>
        </w:rPr>
        <w:t>设计人承担 50000 元违约金</w:t>
      </w:r>
      <w:r>
        <w:rPr>
          <w:rFonts w:hint="eastAsia" w:ascii="仿宋" w:hAnsi="仿宋" w:eastAsia="仿宋" w:cs="仿宋"/>
          <w:color w:val="auto"/>
          <w:highlight w:val="none"/>
        </w:rPr>
        <w:t>。</w:t>
      </w:r>
    </w:p>
    <w:p w14:paraId="1C74F85C">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15. 不可抗力</w:t>
      </w:r>
    </w:p>
    <w:p w14:paraId="1A2532F7">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15.1 不可抗力的确认</w:t>
      </w:r>
    </w:p>
    <w:p w14:paraId="79A53AE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除通用合同条款约定的不可抗力事件之外，视为不可抗力的其他情形：</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2D785AD">
      <w:pPr>
        <w:spacing w:line="360" w:lineRule="auto"/>
        <w:ind w:firstLine="281"/>
        <w:rPr>
          <w:rFonts w:hint="eastAsia" w:ascii="仿宋" w:hAnsi="仿宋" w:eastAsia="仿宋" w:cs="仿宋"/>
          <w:color w:val="auto"/>
          <w:highlight w:val="none"/>
        </w:rPr>
      </w:pPr>
    </w:p>
    <w:p w14:paraId="21FDB981">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16. 合同解除</w:t>
      </w:r>
    </w:p>
    <w:p w14:paraId="7A8FDF05">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16.2</w:t>
      </w:r>
      <w:r>
        <w:rPr>
          <w:rFonts w:hint="eastAsia" w:ascii="仿宋" w:hAnsi="仿宋" w:eastAsia="仿宋" w:cs="仿宋"/>
          <w:color w:val="auto"/>
          <w:highlight w:val="none"/>
        </w:rPr>
        <w:t xml:space="preserve"> 有下列情形之一的，可以解除合同：</w:t>
      </w:r>
    </w:p>
    <w:p w14:paraId="7E054F8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（3）暂停设计期限已连续超过</w:t>
      </w:r>
      <w:r>
        <w:rPr>
          <w:rFonts w:hint="eastAsia" w:ascii="仿宋" w:hAnsi="仿宋" w:eastAsia="仿宋" w:cs="仿宋"/>
          <w:color w:val="auto"/>
          <w:highlight w:val="none"/>
          <w:u w:val="single"/>
        </w:rPr>
        <w:t xml:space="preserve">   14    </w:t>
      </w:r>
      <w:r>
        <w:rPr>
          <w:rFonts w:hint="eastAsia" w:ascii="仿宋" w:hAnsi="仿宋" w:eastAsia="仿宋" w:cs="仿宋"/>
          <w:color w:val="auto"/>
          <w:highlight w:val="none"/>
        </w:rPr>
        <w:t>天。</w:t>
      </w:r>
    </w:p>
    <w:p w14:paraId="7CEDEF8F">
      <w:pPr>
        <w:spacing w:line="360" w:lineRule="auto"/>
        <w:ind w:firstLine="281"/>
        <w:rPr>
          <w:rFonts w:hint="eastAsia" w:ascii="仿宋" w:hAnsi="仿宋" w:eastAsia="仿宋" w:cs="仿宋"/>
          <w:color w:val="auto"/>
          <w:highlight w:val="none"/>
        </w:rPr>
      </w:pPr>
      <w:r>
        <w:rPr>
          <w:rFonts w:hint="eastAsia" w:ascii="仿宋" w:hAnsi="仿宋" w:eastAsia="仿宋" w:cs="仿宋"/>
          <w:b/>
          <w:bCs/>
          <w:color w:val="auto"/>
          <w:highlight w:val="none"/>
        </w:rPr>
        <w:t>16.4</w:t>
      </w:r>
      <w:r>
        <w:rPr>
          <w:rFonts w:hint="eastAsia" w:ascii="仿宋" w:hAnsi="仿宋" w:eastAsia="仿宋" w:cs="仿宋"/>
          <w:color w:val="auto"/>
          <w:highlight w:val="none"/>
        </w:rPr>
        <w:t xml:space="preserve"> 发包人向设计人支付已完工作设计费的期限为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天内。</w:t>
      </w:r>
    </w:p>
    <w:p w14:paraId="1A5A5462">
      <w:pPr>
        <w:spacing w:line="360" w:lineRule="auto"/>
        <w:ind w:firstLine="281"/>
        <w:rPr>
          <w:rFonts w:hint="eastAsia" w:ascii="仿宋" w:hAnsi="仿宋" w:eastAsia="仿宋" w:cs="仿宋"/>
          <w:color w:val="auto"/>
          <w:highlight w:val="none"/>
        </w:rPr>
      </w:pPr>
    </w:p>
    <w:p w14:paraId="57CE6B84">
      <w:pPr>
        <w:spacing w:line="360" w:lineRule="auto"/>
        <w:ind w:firstLine="281"/>
        <w:outlineLvl w:val="3"/>
        <w:rPr>
          <w:rFonts w:hint="eastAsia" w:ascii="仿宋" w:hAnsi="仿宋" w:eastAsia="仿宋" w:cs="仿宋"/>
          <w:b/>
          <w:bCs/>
          <w:color w:val="auto"/>
          <w:highlight w:val="none"/>
        </w:rPr>
      </w:pPr>
      <w:r>
        <w:rPr>
          <w:rFonts w:hint="eastAsia" w:ascii="仿宋" w:hAnsi="仿宋" w:eastAsia="仿宋" w:cs="仿宋"/>
          <w:b/>
          <w:bCs/>
          <w:color w:val="auto"/>
          <w:highlight w:val="none"/>
        </w:rPr>
        <w:t>17. 争议解决</w:t>
      </w:r>
    </w:p>
    <w:p w14:paraId="566743A0">
      <w:pPr>
        <w:spacing w:line="360" w:lineRule="auto"/>
        <w:ind w:firstLine="281"/>
        <w:outlineLvl w:val="4"/>
        <w:rPr>
          <w:rFonts w:hint="eastAsia" w:ascii="仿宋" w:hAnsi="仿宋" w:eastAsia="仿宋" w:cs="仿宋"/>
          <w:b/>
          <w:bCs/>
          <w:color w:val="auto"/>
          <w:highlight w:val="none"/>
        </w:rPr>
      </w:pPr>
      <w:r>
        <w:rPr>
          <w:rFonts w:hint="eastAsia" w:ascii="仿宋" w:hAnsi="仿宋" w:eastAsia="仿宋" w:cs="仿宋"/>
          <w:b/>
          <w:bCs/>
          <w:color w:val="auto"/>
          <w:highlight w:val="none"/>
        </w:rPr>
        <w:t>17.3 争议评审</w:t>
      </w:r>
    </w:p>
    <w:p w14:paraId="0BD7318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合同当事人是否同意将工程争议提交争议评审小组决定：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C6E2E59">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17.3.1 争议评审小组的确定</w:t>
      </w:r>
    </w:p>
    <w:p w14:paraId="3CDB53E1">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争议评审小组成员的确定：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104DA26">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选定争议评审员的期限：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3FAB31F">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评审所发生的费用承担方式：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B5A932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其他事项的约定：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E6E93E7">
      <w:pPr>
        <w:spacing w:line="360" w:lineRule="auto"/>
        <w:ind w:firstLine="281"/>
        <w:outlineLvl w:val="5"/>
        <w:rPr>
          <w:rFonts w:hint="eastAsia" w:ascii="仿宋" w:hAnsi="仿宋" w:eastAsia="仿宋" w:cs="仿宋"/>
          <w:color w:val="auto"/>
          <w:highlight w:val="none"/>
        </w:rPr>
      </w:pPr>
      <w:r>
        <w:rPr>
          <w:rFonts w:hint="eastAsia" w:ascii="仿宋" w:hAnsi="仿宋" w:eastAsia="仿宋" w:cs="仿宋"/>
          <w:color w:val="auto"/>
          <w:highlight w:val="none"/>
        </w:rPr>
        <w:t>17.3.2 争议评审小组的决定</w:t>
      </w:r>
    </w:p>
    <w:p w14:paraId="6D78F39B">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合同当事人关于本事项的约定：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98669D6">
      <w:pPr>
        <w:spacing w:line="360" w:lineRule="auto"/>
        <w:ind w:firstLine="281"/>
        <w:outlineLvl w:val="4"/>
        <w:rPr>
          <w:rFonts w:hint="eastAsia" w:ascii="仿宋" w:hAnsi="仿宋" w:eastAsia="仿宋" w:cs="仿宋"/>
          <w:color w:val="auto"/>
          <w:highlight w:val="none"/>
        </w:rPr>
      </w:pPr>
      <w:r>
        <w:rPr>
          <w:rFonts w:hint="eastAsia" w:ascii="仿宋" w:hAnsi="仿宋" w:eastAsia="仿宋" w:cs="仿宋"/>
          <w:b/>
          <w:bCs/>
          <w:color w:val="auto"/>
          <w:highlight w:val="none"/>
        </w:rPr>
        <w:t>17.4 仲裁或诉讼</w:t>
      </w:r>
    </w:p>
    <w:p w14:paraId="0F535908">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因合同及合同有关事项发生的争议，按下列第</w:t>
      </w:r>
      <w:r>
        <w:rPr>
          <w:rFonts w:hint="eastAsia" w:ascii="仿宋" w:hAnsi="仿宋" w:eastAsia="仿宋" w:cs="仿宋"/>
          <w:color w:val="auto"/>
          <w:highlight w:val="none"/>
          <w:u w:val="single"/>
        </w:rPr>
        <w:t xml:space="preserve">  （2）  </w:t>
      </w:r>
      <w:r>
        <w:rPr>
          <w:rFonts w:hint="eastAsia" w:ascii="仿宋" w:hAnsi="仿宋" w:eastAsia="仿宋" w:cs="仿宋"/>
          <w:color w:val="auto"/>
          <w:highlight w:val="none"/>
        </w:rPr>
        <w:t>种方式解决：</w:t>
      </w:r>
    </w:p>
    <w:p w14:paraId="4D3BE7D2">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 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仲裁委员会申请仲裁；</w:t>
      </w:r>
    </w:p>
    <w:p w14:paraId="6A6FEFB3">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 向</w:t>
      </w:r>
      <w:r>
        <w:rPr>
          <w:rFonts w:hint="eastAsia" w:ascii="仿宋" w:hAnsi="仿宋" w:eastAsia="仿宋" w:cs="仿宋"/>
          <w:b/>
          <w:bCs/>
          <w:color w:val="auto"/>
          <w:highlight w:val="none"/>
          <w:u w:val="single"/>
        </w:rPr>
        <w:t>工程所在地有管辖权</w:t>
      </w:r>
      <w:r>
        <w:rPr>
          <w:rFonts w:hint="eastAsia" w:ascii="仿宋" w:hAnsi="仿宋" w:eastAsia="仿宋" w:cs="仿宋"/>
          <w:color w:val="auto"/>
          <w:highlight w:val="none"/>
        </w:rPr>
        <w:t>人民法院起诉。</w:t>
      </w:r>
    </w:p>
    <w:p w14:paraId="2220D572">
      <w:pPr>
        <w:spacing w:line="360" w:lineRule="auto"/>
        <w:ind w:firstLine="281"/>
        <w:rPr>
          <w:rFonts w:hint="eastAsia" w:ascii="仿宋" w:hAnsi="仿宋" w:eastAsia="仿宋" w:cs="仿宋"/>
          <w:color w:val="auto"/>
          <w:highlight w:val="none"/>
        </w:rPr>
      </w:pPr>
    </w:p>
    <w:p w14:paraId="28C91B0C">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color w:val="auto"/>
          <w:highlight w:val="none"/>
        </w:rPr>
        <w:t>18. 其他（如果没有，填“无 ”）</w:t>
      </w:r>
      <w:r>
        <w:rPr>
          <w:rFonts w:hint="eastAsia" w:ascii="仿宋" w:hAnsi="仿宋" w:eastAsia="仿宋" w:cs="仿宋"/>
          <w:color w:val="auto"/>
          <w:highlight w:val="none"/>
          <w:u w:val="single"/>
        </w:rPr>
        <w:t xml:space="preserve">   无   </w:t>
      </w:r>
      <w:r>
        <w:rPr>
          <w:rFonts w:hint="eastAsia" w:ascii="仿宋" w:hAnsi="仿宋" w:eastAsia="仿宋" w:cs="仿宋"/>
          <w:color w:val="auto"/>
          <w:highlight w:val="none"/>
        </w:rPr>
        <w:t>。</w:t>
      </w:r>
    </w:p>
    <w:p w14:paraId="45F7039D">
      <w:pPr>
        <w:spacing w:line="230" w:lineRule="auto"/>
        <w:rPr>
          <w:rFonts w:hint="eastAsia" w:ascii="仿宋" w:hAnsi="仿宋" w:eastAsia="仿宋" w:cs="仿宋"/>
          <w:color w:val="auto"/>
          <w:sz w:val="20"/>
          <w:szCs w:val="20"/>
          <w:highlight w:val="none"/>
        </w:rPr>
        <w:sectPr>
          <w:footerReference r:id="rId12" w:type="default"/>
          <w:pgSz w:w="11906" w:h="16839"/>
          <w:pgMar w:top="1134" w:right="1191" w:bottom="1134" w:left="1191" w:header="0" w:footer="706" w:gutter="0"/>
          <w:pgNumType w:fmt="decimal"/>
          <w:cols w:space="720" w:num="1"/>
          <w:rtlGutter w:val="0"/>
          <w:docGrid w:linePitch="0" w:charSpace="0"/>
        </w:sectPr>
      </w:pPr>
    </w:p>
    <w:p w14:paraId="194193CC">
      <w:pPr>
        <w:rPr>
          <w:rFonts w:hint="eastAsia" w:ascii="仿宋" w:hAnsi="仿宋" w:eastAsia="仿宋" w:cs="仿宋"/>
          <w:color w:val="auto"/>
          <w:highlight w:val="none"/>
        </w:rPr>
      </w:pPr>
      <w:r>
        <w:rPr>
          <w:rFonts w:hint="eastAsia" w:ascii="仿宋" w:hAnsi="仿宋" w:eastAsia="仿宋" w:cs="仿宋"/>
          <w:b/>
          <w:bCs/>
          <w:color w:val="auto"/>
          <w:highlight w:val="none"/>
        </w:rPr>
        <w:t>附件 1：</w:t>
      </w:r>
    </w:p>
    <w:p w14:paraId="06C27517">
      <w:pPr>
        <w:pStyle w:val="3"/>
        <w:spacing w:line="360" w:lineRule="auto"/>
        <w:jc w:val="center"/>
        <w:rPr>
          <w:rFonts w:hint="eastAsia" w:ascii="仿宋" w:hAnsi="仿宋" w:eastAsia="仿宋" w:cs="仿宋"/>
          <w:color w:val="auto"/>
          <w:highlight w:val="none"/>
        </w:rPr>
      </w:pPr>
      <w:bookmarkStart w:id="102" w:name="_Toc15807"/>
      <w:r>
        <w:rPr>
          <w:rFonts w:hint="eastAsia" w:ascii="仿宋" w:hAnsi="仿宋" w:eastAsia="仿宋" w:cs="仿宋"/>
          <w:color w:val="auto"/>
          <w:highlight w:val="none"/>
        </w:rPr>
        <w:t>工程设计范围、阶段与服务内容</w:t>
      </w:r>
      <w:bookmarkEnd w:id="102"/>
    </w:p>
    <w:p w14:paraId="4C302CC0">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一、本工程设计范围：</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项目全部专业的初步设计以及后续服务和现场指导与监督等</w:t>
      </w:r>
    </w:p>
    <w:p w14:paraId="0988794A">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二、本工程设计阶段划分：初步设计、施工图设计配合阶段。</w:t>
      </w:r>
    </w:p>
    <w:p w14:paraId="6E268CC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三、各阶段服务内容</w:t>
      </w:r>
    </w:p>
    <w:p w14:paraId="3A45EB03">
      <w:pPr>
        <w:spacing w:line="360" w:lineRule="auto"/>
        <w:ind w:firstLine="281"/>
        <w:outlineLvl w:val="3"/>
        <w:rPr>
          <w:rFonts w:hint="eastAsia" w:ascii="仿宋" w:hAnsi="仿宋" w:eastAsia="仿宋" w:cs="仿宋"/>
          <w:color w:val="auto"/>
          <w:highlight w:val="none"/>
        </w:rPr>
      </w:pPr>
      <w:r>
        <w:rPr>
          <w:rFonts w:hint="eastAsia" w:ascii="仿宋" w:hAnsi="仿宋" w:eastAsia="仿宋" w:cs="仿宋"/>
          <w:color w:val="auto"/>
          <w:highlight w:val="none"/>
        </w:rPr>
        <w:t>1.初步设计阶段</w:t>
      </w:r>
    </w:p>
    <w:p w14:paraId="6CB52D9E">
      <w:pPr>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2.施工图设计配合阶段（包括初步设计技术交底、解决施工图设计中关于初步设计技术问题、参加竣工验收）</w:t>
      </w:r>
    </w:p>
    <w:p w14:paraId="1B2EA1F9">
      <w:pPr>
        <w:spacing w:line="282" w:lineRule="auto"/>
        <w:rPr>
          <w:rFonts w:hint="eastAsia" w:ascii="仿宋" w:hAnsi="仿宋" w:eastAsia="仿宋" w:cs="仿宋"/>
          <w:color w:val="auto"/>
          <w:highlight w:val="none"/>
        </w:rPr>
      </w:pPr>
    </w:p>
    <w:p w14:paraId="1EEA8056">
      <w:pPr>
        <w:spacing w:line="282" w:lineRule="auto"/>
        <w:rPr>
          <w:rFonts w:hint="eastAsia" w:ascii="仿宋" w:hAnsi="仿宋" w:eastAsia="仿宋" w:cs="仿宋"/>
          <w:color w:val="auto"/>
          <w:highlight w:val="none"/>
        </w:rPr>
      </w:pPr>
    </w:p>
    <w:p w14:paraId="5C0E23C4">
      <w:pPr>
        <w:pStyle w:val="18"/>
        <w:rPr>
          <w:rFonts w:hint="eastAsia" w:ascii="仿宋" w:hAnsi="仿宋" w:eastAsia="仿宋" w:cs="仿宋"/>
          <w:b/>
          <w:bCs/>
          <w:color w:val="auto"/>
          <w:highlight w:val="none"/>
        </w:rPr>
      </w:pPr>
      <w:r>
        <w:rPr>
          <w:rFonts w:hint="eastAsia" w:ascii="仿宋" w:hAnsi="仿宋" w:eastAsia="仿宋" w:cs="仿宋"/>
          <w:b/>
          <w:bCs/>
          <w:color w:val="auto"/>
          <w:highlight w:val="none"/>
        </w:rPr>
        <w:t>附件 2：</w:t>
      </w:r>
    </w:p>
    <w:p w14:paraId="774C478A">
      <w:pPr>
        <w:pStyle w:val="3"/>
        <w:spacing w:line="240" w:lineRule="auto"/>
        <w:jc w:val="center"/>
        <w:rPr>
          <w:rFonts w:hint="eastAsia" w:ascii="仿宋" w:hAnsi="仿宋" w:eastAsia="仿宋" w:cs="仿宋"/>
          <w:color w:val="auto"/>
          <w:szCs w:val="31"/>
          <w:highlight w:val="none"/>
        </w:rPr>
      </w:pPr>
      <w:bookmarkStart w:id="103" w:name="_Toc2734"/>
      <w:r>
        <w:rPr>
          <w:rFonts w:hint="eastAsia" w:ascii="仿宋" w:hAnsi="仿宋" w:eastAsia="仿宋" w:cs="仿宋"/>
          <w:color w:val="auto"/>
          <w:highlight w:val="none"/>
        </w:rPr>
        <w:t>发包人向设计人提交的有关资料及文件一览表</w:t>
      </w:r>
      <w:bookmarkEnd w:id="103"/>
    </w:p>
    <w:p w14:paraId="5A871C2A">
      <w:pPr>
        <w:spacing w:before="162"/>
        <w:rPr>
          <w:rFonts w:hint="eastAsia" w:ascii="仿宋" w:hAnsi="仿宋" w:eastAsia="仿宋" w:cs="仿宋"/>
          <w:color w:val="auto"/>
          <w:highlight w:val="none"/>
        </w:rPr>
      </w:pPr>
    </w:p>
    <w:tbl>
      <w:tblPr>
        <w:tblStyle w:val="4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8"/>
        <w:gridCol w:w="4762"/>
        <w:gridCol w:w="907"/>
        <w:gridCol w:w="2303"/>
        <w:gridCol w:w="936"/>
      </w:tblGrid>
      <w:tr w14:paraId="41F0E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324" w:type="pct"/>
            <w:noWrap w:val="0"/>
            <w:vAlign w:val="center"/>
          </w:tcPr>
          <w:p w14:paraId="691AF6DC">
            <w:pPr>
              <w:adjustRightInd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w:t>
            </w:r>
          </w:p>
          <w:p w14:paraId="17110E2D">
            <w:pPr>
              <w:adjustRightInd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号</w:t>
            </w:r>
          </w:p>
        </w:tc>
        <w:tc>
          <w:tcPr>
            <w:tcW w:w="2498" w:type="pct"/>
            <w:noWrap w:val="0"/>
            <w:vAlign w:val="center"/>
          </w:tcPr>
          <w:p w14:paraId="6DDFFE14">
            <w:pPr>
              <w:adjustRightInd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资料及文件名称</w:t>
            </w:r>
          </w:p>
        </w:tc>
        <w:tc>
          <w:tcPr>
            <w:tcW w:w="476" w:type="pct"/>
            <w:noWrap w:val="0"/>
            <w:vAlign w:val="center"/>
          </w:tcPr>
          <w:p w14:paraId="270A25C5">
            <w:pPr>
              <w:adjustRightInd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份数</w:t>
            </w:r>
          </w:p>
        </w:tc>
        <w:tc>
          <w:tcPr>
            <w:tcW w:w="1208" w:type="pct"/>
            <w:noWrap w:val="0"/>
            <w:vAlign w:val="center"/>
          </w:tcPr>
          <w:p w14:paraId="3B9611ED">
            <w:pPr>
              <w:adjustRightInd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提交日期</w:t>
            </w:r>
          </w:p>
        </w:tc>
        <w:tc>
          <w:tcPr>
            <w:tcW w:w="491" w:type="pct"/>
            <w:noWrap w:val="0"/>
            <w:vAlign w:val="center"/>
          </w:tcPr>
          <w:p w14:paraId="5F6CC2C4">
            <w:pPr>
              <w:adjustRightInd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有关</w:t>
            </w:r>
          </w:p>
          <w:p w14:paraId="69E32879">
            <w:pPr>
              <w:adjustRightInd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事宜</w:t>
            </w:r>
          </w:p>
        </w:tc>
      </w:tr>
      <w:tr w14:paraId="30A3A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24" w:type="pct"/>
            <w:noWrap w:val="0"/>
            <w:vAlign w:val="center"/>
          </w:tcPr>
          <w:p w14:paraId="1D500455">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498" w:type="pct"/>
            <w:noWrap w:val="0"/>
            <w:vAlign w:val="center"/>
          </w:tcPr>
          <w:p w14:paraId="3B9EEA97">
            <w:pPr>
              <w:pStyle w:val="434"/>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项目立项报告和审批文件</w:t>
            </w:r>
          </w:p>
        </w:tc>
        <w:tc>
          <w:tcPr>
            <w:tcW w:w="476" w:type="pct"/>
            <w:noWrap w:val="0"/>
            <w:vAlign w:val="center"/>
          </w:tcPr>
          <w:p w14:paraId="2ADAE959">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9"/>
                <w:sz w:val="21"/>
                <w:szCs w:val="21"/>
                <w:highlight w:val="none"/>
              </w:rPr>
              <w:t>各</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9"/>
                <w:sz w:val="21"/>
                <w:szCs w:val="21"/>
                <w:highlight w:val="none"/>
              </w:rPr>
              <w:t>1</w:t>
            </w:r>
          </w:p>
        </w:tc>
        <w:tc>
          <w:tcPr>
            <w:tcW w:w="1208" w:type="pct"/>
            <w:noWrap w:val="0"/>
            <w:vAlign w:val="center"/>
          </w:tcPr>
          <w:p w14:paraId="240EE34B">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初步设计开始</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6"/>
                <w:sz w:val="21"/>
                <w:szCs w:val="21"/>
                <w:highlight w:val="none"/>
              </w:rPr>
              <w:t>3</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6"/>
                <w:sz w:val="21"/>
                <w:szCs w:val="21"/>
                <w:highlight w:val="none"/>
              </w:rPr>
              <w:t>天前</w:t>
            </w:r>
          </w:p>
        </w:tc>
        <w:tc>
          <w:tcPr>
            <w:tcW w:w="491" w:type="pct"/>
            <w:vMerge w:val="restart"/>
            <w:tcBorders>
              <w:bottom w:val="nil"/>
            </w:tcBorders>
            <w:noWrap w:val="0"/>
            <w:vAlign w:val="center"/>
          </w:tcPr>
          <w:p w14:paraId="2C384D9A">
            <w:pPr>
              <w:adjustRightInd w:val="0"/>
              <w:snapToGrid w:val="0"/>
              <w:spacing w:line="360" w:lineRule="auto"/>
              <w:jc w:val="center"/>
              <w:rPr>
                <w:rFonts w:hint="eastAsia" w:ascii="仿宋" w:hAnsi="仿宋" w:eastAsia="仿宋" w:cs="仿宋"/>
                <w:color w:val="auto"/>
                <w:sz w:val="21"/>
                <w:szCs w:val="21"/>
                <w:highlight w:val="none"/>
              </w:rPr>
            </w:pPr>
          </w:p>
        </w:tc>
      </w:tr>
      <w:tr w14:paraId="70CE0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24" w:type="pct"/>
            <w:noWrap w:val="0"/>
            <w:vAlign w:val="center"/>
          </w:tcPr>
          <w:p w14:paraId="56E0BB3A">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498" w:type="pct"/>
            <w:noWrap w:val="0"/>
            <w:vAlign w:val="center"/>
          </w:tcPr>
          <w:p w14:paraId="32118720">
            <w:pPr>
              <w:pStyle w:val="434"/>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6"/>
                <w:sz w:val="21"/>
                <w:szCs w:val="21"/>
                <w:highlight w:val="none"/>
                <w:lang w:eastAsia="zh-CN"/>
              </w:rPr>
              <w:t xml:space="preserve">发包人要求即设计任务书（含对工 </w:t>
            </w:r>
            <w:r>
              <w:rPr>
                <w:rFonts w:hint="eastAsia" w:ascii="仿宋" w:hAnsi="仿宋" w:eastAsia="仿宋" w:cs="仿宋"/>
                <w:color w:val="auto"/>
                <w:spacing w:val="-3"/>
                <w:sz w:val="21"/>
                <w:szCs w:val="21"/>
                <w:highlight w:val="none"/>
                <w:lang w:eastAsia="zh-CN"/>
              </w:rPr>
              <w:t>艺、土建、设备等专业的具体要求）</w:t>
            </w:r>
          </w:p>
        </w:tc>
        <w:tc>
          <w:tcPr>
            <w:tcW w:w="476" w:type="pct"/>
            <w:noWrap w:val="0"/>
            <w:vAlign w:val="center"/>
          </w:tcPr>
          <w:p w14:paraId="0ED6FE5A">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08" w:type="pct"/>
            <w:noWrap w:val="0"/>
            <w:vAlign w:val="center"/>
          </w:tcPr>
          <w:p w14:paraId="55C5EBB2">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初步设计开始</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6"/>
                <w:sz w:val="21"/>
                <w:szCs w:val="21"/>
                <w:highlight w:val="none"/>
              </w:rPr>
              <w:t>3</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6"/>
                <w:sz w:val="21"/>
                <w:szCs w:val="21"/>
                <w:highlight w:val="none"/>
              </w:rPr>
              <w:t>天前</w:t>
            </w:r>
          </w:p>
        </w:tc>
        <w:tc>
          <w:tcPr>
            <w:tcW w:w="491" w:type="pct"/>
            <w:vMerge w:val="continue"/>
            <w:tcBorders>
              <w:top w:val="nil"/>
              <w:bottom w:val="nil"/>
            </w:tcBorders>
            <w:noWrap w:val="0"/>
            <w:vAlign w:val="center"/>
          </w:tcPr>
          <w:p w14:paraId="4EE12D2D">
            <w:pPr>
              <w:adjustRightInd w:val="0"/>
              <w:snapToGrid w:val="0"/>
              <w:spacing w:line="360" w:lineRule="auto"/>
              <w:jc w:val="center"/>
              <w:rPr>
                <w:rFonts w:hint="eastAsia" w:ascii="仿宋" w:hAnsi="仿宋" w:eastAsia="仿宋" w:cs="仿宋"/>
                <w:color w:val="auto"/>
                <w:sz w:val="21"/>
                <w:szCs w:val="21"/>
                <w:highlight w:val="none"/>
              </w:rPr>
            </w:pPr>
          </w:p>
        </w:tc>
      </w:tr>
      <w:tr w14:paraId="716D6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24" w:type="pct"/>
            <w:noWrap w:val="0"/>
            <w:vAlign w:val="center"/>
          </w:tcPr>
          <w:p w14:paraId="3049AC5A">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498" w:type="pct"/>
            <w:noWrap w:val="0"/>
            <w:vAlign w:val="center"/>
          </w:tcPr>
          <w:p w14:paraId="103167A7">
            <w:pPr>
              <w:pStyle w:val="434"/>
              <w:adjustRightInd w:val="0"/>
              <w:snapToGrid w:val="0"/>
              <w:spacing w:line="360" w:lineRule="auto"/>
              <w:ind w:hanging="2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8"/>
                <w:sz w:val="21"/>
                <w:szCs w:val="21"/>
                <w:highlight w:val="none"/>
                <w:lang w:eastAsia="zh-CN"/>
              </w:rPr>
              <w:t>选址报告、土地使用协议、建筑红线</w:t>
            </w:r>
            <w:r>
              <w:rPr>
                <w:rFonts w:hint="eastAsia" w:ascii="仿宋" w:hAnsi="仿宋" w:eastAsia="仿宋" w:cs="仿宋"/>
                <w:color w:val="auto"/>
                <w:spacing w:val="-6"/>
                <w:sz w:val="21"/>
                <w:szCs w:val="21"/>
                <w:highlight w:val="none"/>
                <w:lang w:eastAsia="zh-CN"/>
              </w:rPr>
              <w:t>图，建筑钉桩图</w:t>
            </w:r>
          </w:p>
        </w:tc>
        <w:tc>
          <w:tcPr>
            <w:tcW w:w="476" w:type="pct"/>
            <w:noWrap w:val="0"/>
            <w:vAlign w:val="center"/>
          </w:tcPr>
          <w:p w14:paraId="3B763DAF">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9"/>
                <w:sz w:val="21"/>
                <w:szCs w:val="21"/>
                <w:highlight w:val="none"/>
              </w:rPr>
              <w:t>各</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9"/>
                <w:sz w:val="21"/>
                <w:szCs w:val="21"/>
                <w:highlight w:val="none"/>
              </w:rPr>
              <w:t>1</w:t>
            </w:r>
          </w:p>
        </w:tc>
        <w:tc>
          <w:tcPr>
            <w:tcW w:w="1208" w:type="pct"/>
            <w:noWrap w:val="0"/>
            <w:vAlign w:val="center"/>
          </w:tcPr>
          <w:p w14:paraId="28CFC068">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初步设计开始</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6"/>
                <w:sz w:val="21"/>
                <w:szCs w:val="21"/>
                <w:highlight w:val="none"/>
              </w:rPr>
              <w:t>3</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6"/>
                <w:sz w:val="21"/>
                <w:szCs w:val="21"/>
                <w:highlight w:val="none"/>
              </w:rPr>
              <w:t>天前</w:t>
            </w:r>
          </w:p>
        </w:tc>
        <w:tc>
          <w:tcPr>
            <w:tcW w:w="491" w:type="pct"/>
            <w:vMerge w:val="continue"/>
            <w:tcBorders>
              <w:top w:val="nil"/>
              <w:bottom w:val="nil"/>
            </w:tcBorders>
            <w:noWrap w:val="0"/>
            <w:vAlign w:val="center"/>
          </w:tcPr>
          <w:p w14:paraId="52C89678">
            <w:pPr>
              <w:adjustRightInd w:val="0"/>
              <w:snapToGrid w:val="0"/>
              <w:spacing w:line="360" w:lineRule="auto"/>
              <w:jc w:val="center"/>
              <w:rPr>
                <w:rFonts w:hint="eastAsia" w:ascii="仿宋" w:hAnsi="仿宋" w:eastAsia="仿宋" w:cs="仿宋"/>
                <w:color w:val="auto"/>
                <w:sz w:val="21"/>
                <w:szCs w:val="21"/>
                <w:highlight w:val="none"/>
              </w:rPr>
            </w:pPr>
          </w:p>
        </w:tc>
      </w:tr>
      <w:tr w14:paraId="68A4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324" w:type="pct"/>
            <w:noWrap w:val="0"/>
            <w:vAlign w:val="center"/>
          </w:tcPr>
          <w:p w14:paraId="0A71B559">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498" w:type="pct"/>
            <w:noWrap w:val="0"/>
            <w:vAlign w:val="center"/>
          </w:tcPr>
          <w:p w14:paraId="014B58D5">
            <w:pPr>
              <w:pStyle w:val="434"/>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4"/>
                <w:sz w:val="21"/>
                <w:szCs w:val="21"/>
                <w:highlight w:val="none"/>
                <w:lang w:eastAsia="zh-CN"/>
              </w:rPr>
              <w:t>当地规划部门的规划意见书</w:t>
            </w:r>
          </w:p>
        </w:tc>
        <w:tc>
          <w:tcPr>
            <w:tcW w:w="476" w:type="pct"/>
            <w:noWrap w:val="0"/>
            <w:vAlign w:val="center"/>
          </w:tcPr>
          <w:p w14:paraId="5E9082B3">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08" w:type="pct"/>
            <w:noWrap w:val="0"/>
            <w:vAlign w:val="center"/>
          </w:tcPr>
          <w:p w14:paraId="4BDA1336">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初步设计开始</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6"/>
                <w:sz w:val="21"/>
                <w:szCs w:val="21"/>
                <w:highlight w:val="none"/>
              </w:rPr>
              <w:t>3</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6"/>
                <w:sz w:val="21"/>
                <w:szCs w:val="21"/>
                <w:highlight w:val="none"/>
              </w:rPr>
              <w:t>天前</w:t>
            </w:r>
          </w:p>
        </w:tc>
        <w:tc>
          <w:tcPr>
            <w:tcW w:w="491" w:type="pct"/>
            <w:vMerge w:val="continue"/>
            <w:tcBorders>
              <w:top w:val="nil"/>
              <w:bottom w:val="nil"/>
            </w:tcBorders>
            <w:noWrap w:val="0"/>
            <w:vAlign w:val="center"/>
          </w:tcPr>
          <w:p w14:paraId="3B810F71">
            <w:pPr>
              <w:adjustRightInd w:val="0"/>
              <w:snapToGrid w:val="0"/>
              <w:spacing w:line="360" w:lineRule="auto"/>
              <w:jc w:val="center"/>
              <w:rPr>
                <w:rFonts w:hint="eastAsia" w:ascii="仿宋" w:hAnsi="仿宋" w:eastAsia="仿宋" w:cs="仿宋"/>
                <w:color w:val="auto"/>
                <w:sz w:val="21"/>
                <w:szCs w:val="21"/>
                <w:highlight w:val="none"/>
              </w:rPr>
            </w:pPr>
          </w:p>
        </w:tc>
      </w:tr>
      <w:tr w14:paraId="1D840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24" w:type="pct"/>
            <w:noWrap w:val="0"/>
            <w:vAlign w:val="center"/>
          </w:tcPr>
          <w:p w14:paraId="114440E8">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498" w:type="pct"/>
            <w:noWrap w:val="0"/>
            <w:vAlign w:val="center"/>
          </w:tcPr>
          <w:p w14:paraId="3BE96C97">
            <w:pPr>
              <w:pStyle w:val="434"/>
              <w:adjustRightInd w:val="0"/>
              <w:snapToGrid w:val="0"/>
              <w:spacing w:line="360" w:lineRule="auto"/>
              <w:ind w:firstLine="4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1"/>
                <w:sz w:val="21"/>
                <w:szCs w:val="21"/>
                <w:highlight w:val="none"/>
                <w:lang w:eastAsia="zh-CN"/>
              </w:rPr>
              <w:t>自然资源、气象条件、地形地貌、水</w:t>
            </w:r>
            <w:r>
              <w:rPr>
                <w:rFonts w:hint="eastAsia" w:ascii="仿宋" w:hAnsi="仿宋" w:eastAsia="仿宋" w:cs="仿宋"/>
                <w:color w:val="auto"/>
                <w:spacing w:val="6"/>
                <w:sz w:val="21"/>
                <w:szCs w:val="21"/>
                <w:highlight w:val="none"/>
                <w:lang w:eastAsia="zh-CN"/>
              </w:rPr>
              <w:t xml:space="preserve"> </w:t>
            </w:r>
            <w:r>
              <w:rPr>
                <w:rFonts w:hint="eastAsia" w:ascii="仿宋" w:hAnsi="仿宋" w:eastAsia="仿宋" w:cs="仿宋"/>
                <w:color w:val="auto"/>
                <w:spacing w:val="-2"/>
                <w:sz w:val="21"/>
                <w:szCs w:val="21"/>
                <w:highlight w:val="none"/>
                <w:lang w:eastAsia="zh-CN"/>
              </w:rPr>
              <w:t>文及工程详细地质勘察报告</w:t>
            </w:r>
          </w:p>
        </w:tc>
        <w:tc>
          <w:tcPr>
            <w:tcW w:w="476" w:type="pct"/>
            <w:noWrap w:val="0"/>
            <w:vAlign w:val="center"/>
          </w:tcPr>
          <w:p w14:paraId="1DE0DCAF">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9"/>
                <w:sz w:val="21"/>
                <w:szCs w:val="21"/>
                <w:highlight w:val="none"/>
              </w:rPr>
              <w:t>各</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9"/>
                <w:sz w:val="21"/>
                <w:szCs w:val="21"/>
                <w:highlight w:val="none"/>
              </w:rPr>
              <w:t>1</w:t>
            </w:r>
          </w:p>
        </w:tc>
        <w:tc>
          <w:tcPr>
            <w:tcW w:w="1208" w:type="pct"/>
            <w:noWrap w:val="0"/>
            <w:vAlign w:val="center"/>
          </w:tcPr>
          <w:p w14:paraId="0AD5F401">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初步设计开始</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6"/>
                <w:sz w:val="21"/>
                <w:szCs w:val="21"/>
                <w:highlight w:val="none"/>
              </w:rPr>
              <w:t>3</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6"/>
                <w:sz w:val="21"/>
                <w:szCs w:val="21"/>
                <w:highlight w:val="none"/>
              </w:rPr>
              <w:t>天前</w:t>
            </w:r>
          </w:p>
        </w:tc>
        <w:tc>
          <w:tcPr>
            <w:tcW w:w="491" w:type="pct"/>
            <w:vMerge w:val="continue"/>
            <w:tcBorders>
              <w:top w:val="nil"/>
              <w:bottom w:val="nil"/>
            </w:tcBorders>
            <w:noWrap w:val="0"/>
            <w:vAlign w:val="center"/>
          </w:tcPr>
          <w:p w14:paraId="0E8A4DEA">
            <w:pPr>
              <w:adjustRightInd w:val="0"/>
              <w:snapToGrid w:val="0"/>
              <w:spacing w:line="360" w:lineRule="auto"/>
              <w:jc w:val="center"/>
              <w:rPr>
                <w:rFonts w:hint="eastAsia" w:ascii="仿宋" w:hAnsi="仿宋" w:eastAsia="仿宋" w:cs="仿宋"/>
                <w:color w:val="auto"/>
                <w:sz w:val="21"/>
                <w:szCs w:val="21"/>
                <w:highlight w:val="none"/>
              </w:rPr>
            </w:pPr>
          </w:p>
        </w:tc>
      </w:tr>
      <w:tr w14:paraId="09475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324" w:type="pct"/>
            <w:noWrap w:val="0"/>
            <w:vAlign w:val="center"/>
          </w:tcPr>
          <w:p w14:paraId="2BD6C5A2">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498" w:type="pct"/>
            <w:noWrap w:val="0"/>
            <w:vAlign w:val="center"/>
          </w:tcPr>
          <w:p w14:paraId="5C45E39B">
            <w:pPr>
              <w:pStyle w:val="434"/>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各阶段主管部门的审批意见</w:t>
            </w:r>
          </w:p>
        </w:tc>
        <w:tc>
          <w:tcPr>
            <w:tcW w:w="476" w:type="pct"/>
            <w:noWrap w:val="0"/>
            <w:vAlign w:val="center"/>
          </w:tcPr>
          <w:p w14:paraId="446868B7">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9"/>
                <w:sz w:val="21"/>
                <w:szCs w:val="21"/>
                <w:highlight w:val="none"/>
              </w:rPr>
              <w:t>各</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9"/>
                <w:sz w:val="21"/>
                <w:szCs w:val="21"/>
                <w:highlight w:val="none"/>
              </w:rPr>
              <w:t>1</w:t>
            </w:r>
          </w:p>
        </w:tc>
        <w:tc>
          <w:tcPr>
            <w:tcW w:w="1208" w:type="pct"/>
            <w:noWrap w:val="0"/>
            <w:vAlign w:val="center"/>
          </w:tcPr>
          <w:p w14:paraId="4B8E250A">
            <w:pPr>
              <w:pStyle w:val="434"/>
              <w:adjustRightInd w:val="0"/>
              <w:snapToGrid w:val="0"/>
              <w:spacing w:line="360" w:lineRule="auto"/>
              <w:ind w:firstLine="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lang w:eastAsia="zh-CN"/>
              </w:rPr>
              <w:t>下一个阶段设计开始</w:t>
            </w:r>
            <w:r>
              <w:rPr>
                <w:rFonts w:hint="eastAsia" w:ascii="仿宋" w:hAnsi="仿宋" w:eastAsia="仿宋" w:cs="仿宋"/>
                <w:color w:val="auto"/>
                <w:spacing w:val="-45"/>
                <w:sz w:val="21"/>
                <w:szCs w:val="21"/>
                <w:highlight w:val="none"/>
                <w:lang w:eastAsia="zh-CN"/>
              </w:rPr>
              <w:t xml:space="preserve"> </w:t>
            </w:r>
            <w:r>
              <w:rPr>
                <w:rFonts w:hint="eastAsia" w:ascii="仿宋" w:hAnsi="仿宋" w:eastAsia="仿宋" w:cs="仿宋"/>
                <w:color w:val="auto"/>
                <w:spacing w:val="-3"/>
                <w:sz w:val="21"/>
                <w:szCs w:val="21"/>
                <w:highlight w:val="none"/>
                <w:lang w:eastAsia="zh-CN"/>
              </w:rPr>
              <w:t>3</w:t>
            </w:r>
            <w:r>
              <w:rPr>
                <w:rFonts w:hint="eastAsia" w:ascii="仿宋" w:hAnsi="仿宋" w:eastAsia="仿宋" w:cs="仿宋"/>
                <w:color w:val="auto"/>
                <w:spacing w:val="-43"/>
                <w:sz w:val="21"/>
                <w:szCs w:val="21"/>
                <w:highlight w:val="none"/>
                <w:lang w:eastAsia="zh-CN"/>
              </w:rPr>
              <w:t xml:space="preserve"> </w:t>
            </w:r>
            <w:r>
              <w:rPr>
                <w:rFonts w:hint="eastAsia" w:ascii="仿宋" w:hAnsi="仿宋" w:eastAsia="仿宋" w:cs="仿宋"/>
                <w:color w:val="auto"/>
                <w:spacing w:val="-3"/>
                <w:sz w:val="21"/>
                <w:szCs w:val="21"/>
                <w:highlight w:val="none"/>
                <w:lang w:eastAsia="zh-CN"/>
              </w:rPr>
              <w:t>天前提供</w:t>
            </w: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pacing w:val="-2"/>
                <w:sz w:val="21"/>
                <w:szCs w:val="21"/>
                <w:highlight w:val="none"/>
                <w:lang w:eastAsia="zh-CN"/>
              </w:rPr>
              <w:t>上一个阶段审批意见</w:t>
            </w:r>
          </w:p>
        </w:tc>
        <w:tc>
          <w:tcPr>
            <w:tcW w:w="491" w:type="pct"/>
            <w:vMerge w:val="continue"/>
            <w:tcBorders>
              <w:top w:val="nil"/>
              <w:bottom w:val="nil"/>
            </w:tcBorders>
            <w:noWrap w:val="0"/>
            <w:vAlign w:val="center"/>
          </w:tcPr>
          <w:p w14:paraId="180FA156">
            <w:pPr>
              <w:adjustRightInd w:val="0"/>
              <w:snapToGrid w:val="0"/>
              <w:spacing w:line="360" w:lineRule="auto"/>
              <w:jc w:val="center"/>
              <w:rPr>
                <w:rFonts w:hint="eastAsia" w:ascii="仿宋" w:hAnsi="仿宋" w:eastAsia="仿宋" w:cs="仿宋"/>
                <w:color w:val="auto"/>
                <w:sz w:val="21"/>
                <w:szCs w:val="21"/>
                <w:highlight w:val="none"/>
              </w:rPr>
            </w:pPr>
          </w:p>
        </w:tc>
      </w:tr>
      <w:tr w14:paraId="0B545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324" w:type="pct"/>
            <w:noWrap w:val="0"/>
            <w:vAlign w:val="center"/>
          </w:tcPr>
          <w:p w14:paraId="2608764E">
            <w:pPr>
              <w:adjustRightInd w:val="0"/>
              <w:snapToGrid w:val="0"/>
              <w:spacing w:line="360" w:lineRule="auto"/>
              <w:jc w:val="center"/>
              <w:rPr>
                <w:rFonts w:hint="eastAsia" w:ascii="仿宋" w:hAnsi="仿宋" w:eastAsia="仿宋" w:cs="仿宋"/>
                <w:color w:val="auto"/>
                <w:sz w:val="21"/>
                <w:szCs w:val="21"/>
                <w:highlight w:val="none"/>
              </w:rPr>
            </w:pPr>
          </w:p>
          <w:p w14:paraId="6419838D">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498" w:type="pct"/>
            <w:noWrap w:val="0"/>
            <w:vAlign w:val="center"/>
          </w:tcPr>
          <w:p w14:paraId="2292A30E">
            <w:pPr>
              <w:pStyle w:val="434"/>
              <w:adjustRightInd w:val="0"/>
              <w:snapToGrid w:val="0"/>
              <w:spacing w:line="360" w:lineRule="auto"/>
              <w:ind w:firstLine="1"/>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8"/>
                <w:sz w:val="21"/>
                <w:szCs w:val="21"/>
                <w:highlight w:val="none"/>
                <w:lang w:eastAsia="zh-CN"/>
              </w:rPr>
              <w:t>交通、原料、外部供水、排水、供电、</w:t>
            </w:r>
            <w:r>
              <w:rPr>
                <w:rFonts w:hint="eastAsia" w:ascii="仿宋" w:hAnsi="仿宋" w:eastAsia="仿宋" w:cs="仿宋"/>
                <w:color w:val="auto"/>
                <w:spacing w:val="11"/>
                <w:sz w:val="21"/>
                <w:szCs w:val="21"/>
                <w:highlight w:val="none"/>
                <w:lang w:eastAsia="zh-CN"/>
              </w:rPr>
              <w:t xml:space="preserve"> </w:t>
            </w:r>
            <w:r>
              <w:rPr>
                <w:rFonts w:hint="eastAsia" w:ascii="仿宋" w:hAnsi="仿宋" w:eastAsia="仿宋" w:cs="仿宋"/>
                <w:color w:val="auto"/>
                <w:spacing w:val="-9"/>
                <w:sz w:val="21"/>
                <w:szCs w:val="21"/>
                <w:highlight w:val="none"/>
                <w:lang w:eastAsia="zh-CN"/>
              </w:rPr>
              <w:t xml:space="preserve">电信等位置、标高、坐标、管径或能 </w:t>
            </w:r>
            <w:r>
              <w:rPr>
                <w:rFonts w:hint="eastAsia" w:ascii="仿宋" w:hAnsi="仿宋" w:eastAsia="仿宋" w:cs="仿宋"/>
                <w:color w:val="auto"/>
                <w:spacing w:val="-5"/>
                <w:sz w:val="21"/>
                <w:szCs w:val="21"/>
                <w:highlight w:val="none"/>
                <w:lang w:eastAsia="zh-CN"/>
              </w:rPr>
              <w:t>力等资料</w:t>
            </w:r>
          </w:p>
        </w:tc>
        <w:tc>
          <w:tcPr>
            <w:tcW w:w="476" w:type="pct"/>
            <w:noWrap w:val="0"/>
            <w:vAlign w:val="center"/>
          </w:tcPr>
          <w:p w14:paraId="54D68038">
            <w:pPr>
              <w:adjustRightInd w:val="0"/>
              <w:snapToGrid w:val="0"/>
              <w:spacing w:line="360" w:lineRule="auto"/>
              <w:jc w:val="center"/>
              <w:rPr>
                <w:rFonts w:hint="eastAsia" w:ascii="仿宋" w:hAnsi="仿宋" w:eastAsia="仿宋" w:cs="仿宋"/>
                <w:color w:val="auto"/>
                <w:sz w:val="21"/>
                <w:szCs w:val="21"/>
                <w:highlight w:val="none"/>
              </w:rPr>
            </w:pPr>
          </w:p>
          <w:p w14:paraId="54E2A06E">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08" w:type="pct"/>
            <w:noWrap w:val="0"/>
            <w:vAlign w:val="center"/>
          </w:tcPr>
          <w:p w14:paraId="08671057">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初步设计开始</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6"/>
                <w:sz w:val="21"/>
                <w:szCs w:val="21"/>
                <w:highlight w:val="none"/>
              </w:rPr>
              <w:t>3</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6"/>
                <w:sz w:val="21"/>
                <w:szCs w:val="21"/>
                <w:highlight w:val="none"/>
              </w:rPr>
              <w:t>天前</w:t>
            </w:r>
          </w:p>
        </w:tc>
        <w:tc>
          <w:tcPr>
            <w:tcW w:w="491" w:type="pct"/>
            <w:vMerge w:val="continue"/>
            <w:tcBorders>
              <w:top w:val="nil"/>
              <w:bottom w:val="nil"/>
            </w:tcBorders>
            <w:noWrap w:val="0"/>
            <w:vAlign w:val="center"/>
          </w:tcPr>
          <w:p w14:paraId="0B21DBCE">
            <w:pPr>
              <w:adjustRightInd w:val="0"/>
              <w:snapToGrid w:val="0"/>
              <w:spacing w:line="360" w:lineRule="auto"/>
              <w:jc w:val="center"/>
              <w:rPr>
                <w:rFonts w:hint="eastAsia" w:ascii="仿宋" w:hAnsi="仿宋" w:eastAsia="仿宋" w:cs="仿宋"/>
                <w:color w:val="auto"/>
                <w:sz w:val="21"/>
                <w:szCs w:val="21"/>
                <w:highlight w:val="none"/>
              </w:rPr>
            </w:pPr>
          </w:p>
        </w:tc>
      </w:tr>
      <w:tr w14:paraId="3227B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324" w:type="pct"/>
            <w:noWrap w:val="0"/>
            <w:vAlign w:val="center"/>
          </w:tcPr>
          <w:p w14:paraId="17FA3292">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498" w:type="pct"/>
            <w:noWrap w:val="0"/>
            <w:vAlign w:val="center"/>
          </w:tcPr>
          <w:p w14:paraId="4A179544">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其它设计资料</w:t>
            </w:r>
          </w:p>
        </w:tc>
        <w:tc>
          <w:tcPr>
            <w:tcW w:w="476" w:type="pct"/>
            <w:noWrap w:val="0"/>
            <w:vAlign w:val="center"/>
          </w:tcPr>
          <w:p w14:paraId="5FFB9037">
            <w:pPr>
              <w:pStyle w:val="434"/>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08" w:type="pct"/>
            <w:noWrap w:val="0"/>
            <w:vAlign w:val="center"/>
          </w:tcPr>
          <w:p w14:paraId="3F1EFD15">
            <w:pPr>
              <w:pStyle w:val="434"/>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4"/>
                <w:sz w:val="21"/>
                <w:szCs w:val="21"/>
                <w:highlight w:val="none"/>
                <w:lang w:eastAsia="zh-CN"/>
              </w:rPr>
              <w:t>各设计阶段设计开始</w:t>
            </w:r>
            <w:r>
              <w:rPr>
                <w:rFonts w:hint="eastAsia" w:ascii="仿宋" w:hAnsi="仿宋" w:eastAsia="仿宋" w:cs="仿宋"/>
                <w:color w:val="auto"/>
                <w:spacing w:val="-47"/>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3</w:t>
            </w:r>
            <w:r>
              <w:rPr>
                <w:rFonts w:hint="eastAsia" w:ascii="仿宋" w:hAnsi="仿宋" w:eastAsia="仿宋" w:cs="仿宋"/>
                <w:color w:val="auto"/>
                <w:spacing w:val="-43"/>
                <w:sz w:val="21"/>
                <w:szCs w:val="21"/>
                <w:highlight w:val="none"/>
                <w:lang w:eastAsia="zh-CN"/>
              </w:rPr>
              <w:t xml:space="preserve"> </w:t>
            </w:r>
            <w:r>
              <w:rPr>
                <w:rFonts w:hint="eastAsia" w:ascii="仿宋" w:hAnsi="仿宋" w:eastAsia="仿宋" w:cs="仿宋"/>
                <w:color w:val="auto"/>
                <w:spacing w:val="-4"/>
                <w:sz w:val="21"/>
                <w:szCs w:val="21"/>
                <w:highlight w:val="none"/>
                <w:lang w:eastAsia="zh-CN"/>
              </w:rPr>
              <w:t>天前</w:t>
            </w:r>
          </w:p>
        </w:tc>
        <w:tc>
          <w:tcPr>
            <w:tcW w:w="491" w:type="pct"/>
            <w:vMerge w:val="continue"/>
            <w:tcBorders>
              <w:top w:val="nil"/>
            </w:tcBorders>
            <w:noWrap w:val="0"/>
            <w:vAlign w:val="center"/>
          </w:tcPr>
          <w:p w14:paraId="45781860">
            <w:pPr>
              <w:adjustRightInd w:val="0"/>
              <w:snapToGrid w:val="0"/>
              <w:spacing w:line="360" w:lineRule="auto"/>
              <w:jc w:val="center"/>
              <w:rPr>
                <w:rFonts w:hint="eastAsia" w:ascii="仿宋" w:hAnsi="仿宋" w:eastAsia="仿宋" w:cs="仿宋"/>
                <w:color w:val="auto"/>
                <w:sz w:val="21"/>
                <w:szCs w:val="21"/>
                <w:highlight w:val="none"/>
              </w:rPr>
            </w:pPr>
          </w:p>
        </w:tc>
      </w:tr>
    </w:tbl>
    <w:p w14:paraId="78D77570">
      <w:pPr>
        <w:rPr>
          <w:rFonts w:hint="eastAsia" w:ascii="仿宋" w:hAnsi="仿宋" w:eastAsia="仿宋" w:cs="仿宋"/>
          <w:color w:val="auto"/>
          <w:highlight w:val="none"/>
        </w:rPr>
      </w:pPr>
    </w:p>
    <w:p w14:paraId="57343E65">
      <w:pPr>
        <w:rPr>
          <w:rFonts w:hint="eastAsia" w:ascii="仿宋" w:hAnsi="仿宋" w:eastAsia="仿宋" w:cs="仿宋"/>
          <w:color w:val="auto"/>
          <w:szCs w:val="21"/>
          <w:highlight w:val="none"/>
        </w:rPr>
        <w:sectPr>
          <w:footerReference r:id="rId13" w:type="default"/>
          <w:pgSz w:w="11906" w:h="16839"/>
          <w:pgMar w:top="1134" w:right="1191" w:bottom="1134" w:left="1191" w:header="0" w:footer="706" w:gutter="0"/>
          <w:pgNumType w:fmt="decimal"/>
          <w:cols w:space="720" w:num="1"/>
          <w:rtlGutter w:val="0"/>
          <w:docGrid w:linePitch="0" w:charSpace="0"/>
        </w:sectPr>
      </w:pPr>
    </w:p>
    <w:p w14:paraId="45EEC8F9">
      <w:pPr>
        <w:rPr>
          <w:rFonts w:hint="eastAsia" w:ascii="仿宋" w:hAnsi="仿宋" w:eastAsia="仿宋" w:cs="仿宋"/>
          <w:b/>
          <w:bCs/>
          <w:color w:val="auto"/>
          <w:highlight w:val="none"/>
        </w:rPr>
      </w:pPr>
      <w:r>
        <w:rPr>
          <w:rFonts w:hint="eastAsia" w:ascii="仿宋" w:hAnsi="仿宋" w:eastAsia="仿宋" w:cs="仿宋"/>
          <w:b/>
          <w:bCs/>
          <w:color w:val="auto"/>
          <w:highlight w:val="none"/>
        </w:rPr>
        <w:t>附件 3：</w:t>
      </w:r>
    </w:p>
    <w:p w14:paraId="4C4FE9B0">
      <w:pPr>
        <w:pStyle w:val="3"/>
        <w:jc w:val="center"/>
        <w:rPr>
          <w:rFonts w:hint="eastAsia" w:ascii="仿宋" w:hAnsi="仿宋" w:eastAsia="仿宋" w:cs="仿宋"/>
          <w:color w:val="auto"/>
          <w:highlight w:val="none"/>
        </w:rPr>
      </w:pPr>
      <w:bookmarkStart w:id="104" w:name="_Toc23303"/>
      <w:r>
        <w:rPr>
          <w:rFonts w:hint="eastAsia" w:ascii="仿宋" w:hAnsi="仿宋" w:eastAsia="仿宋" w:cs="仿宋"/>
          <w:color w:val="auto"/>
          <w:highlight w:val="none"/>
        </w:rPr>
        <w:t>设计人向发包人交付的工程设计文件目录</w:t>
      </w:r>
      <w:bookmarkEnd w:id="104"/>
    </w:p>
    <w:p w14:paraId="27F8682A">
      <w:pPr>
        <w:rPr>
          <w:rFonts w:hint="eastAsia" w:ascii="仿宋" w:hAnsi="仿宋" w:eastAsia="仿宋" w:cs="仿宋"/>
          <w:color w:val="auto"/>
          <w:highlight w:val="none"/>
        </w:rPr>
      </w:pPr>
    </w:p>
    <w:tbl>
      <w:tblPr>
        <w:tblStyle w:val="4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1"/>
        <w:gridCol w:w="2402"/>
        <w:gridCol w:w="1226"/>
        <w:gridCol w:w="2473"/>
        <w:gridCol w:w="2394"/>
      </w:tblGrid>
      <w:tr w14:paraId="553AD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41" w:type="pct"/>
            <w:noWrap w:val="0"/>
            <w:vAlign w:val="center"/>
          </w:tcPr>
          <w:p w14:paraId="42F7925B">
            <w:pPr>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260" w:type="pct"/>
            <w:noWrap w:val="0"/>
            <w:vAlign w:val="center"/>
          </w:tcPr>
          <w:p w14:paraId="729E18E7">
            <w:pPr>
              <w:jc w:val="center"/>
              <w:rPr>
                <w:rFonts w:hint="eastAsia" w:ascii="仿宋" w:hAnsi="仿宋" w:eastAsia="仿宋" w:cs="仿宋"/>
                <w:color w:val="auto"/>
                <w:highlight w:val="none"/>
              </w:rPr>
            </w:pPr>
            <w:r>
              <w:rPr>
                <w:rFonts w:hint="eastAsia" w:ascii="仿宋" w:hAnsi="仿宋" w:eastAsia="仿宋" w:cs="仿宋"/>
                <w:color w:val="auto"/>
                <w:highlight w:val="none"/>
              </w:rPr>
              <w:t>资料及文件名称</w:t>
            </w:r>
          </w:p>
        </w:tc>
        <w:tc>
          <w:tcPr>
            <w:tcW w:w="643" w:type="pct"/>
            <w:noWrap w:val="0"/>
            <w:vAlign w:val="center"/>
          </w:tcPr>
          <w:p w14:paraId="6D702AB1">
            <w:pPr>
              <w:jc w:val="center"/>
              <w:rPr>
                <w:rFonts w:hint="eastAsia" w:ascii="仿宋" w:hAnsi="仿宋" w:eastAsia="仿宋" w:cs="仿宋"/>
                <w:color w:val="auto"/>
                <w:highlight w:val="none"/>
              </w:rPr>
            </w:pPr>
            <w:r>
              <w:rPr>
                <w:rFonts w:hint="eastAsia" w:ascii="仿宋" w:hAnsi="仿宋" w:eastAsia="仿宋" w:cs="仿宋"/>
                <w:color w:val="auto"/>
                <w:highlight w:val="none"/>
              </w:rPr>
              <w:t>份数</w:t>
            </w:r>
          </w:p>
        </w:tc>
        <w:tc>
          <w:tcPr>
            <w:tcW w:w="1297" w:type="pct"/>
            <w:noWrap w:val="0"/>
            <w:vAlign w:val="center"/>
          </w:tcPr>
          <w:p w14:paraId="0C5F9C04">
            <w:pPr>
              <w:jc w:val="center"/>
              <w:rPr>
                <w:rFonts w:hint="eastAsia" w:ascii="仿宋" w:hAnsi="仿宋" w:eastAsia="仿宋" w:cs="仿宋"/>
                <w:color w:val="auto"/>
                <w:highlight w:val="none"/>
              </w:rPr>
            </w:pPr>
            <w:r>
              <w:rPr>
                <w:rFonts w:hint="eastAsia" w:ascii="仿宋" w:hAnsi="仿宋" w:eastAsia="仿宋" w:cs="仿宋"/>
                <w:color w:val="auto"/>
                <w:highlight w:val="none"/>
              </w:rPr>
              <w:t>提交日期</w:t>
            </w:r>
          </w:p>
        </w:tc>
        <w:tc>
          <w:tcPr>
            <w:tcW w:w="1256" w:type="pct"/>
            <w:noWrap w:val="0"/>
            <w:vAlign w:val="center"/>
          </w:tcPr>
          <w:p w14:paraId="22695700">
            <w:pPr>
              <w:jc w:val="center"/>
              <w:rPr>
                <w:rFonts w:hint="eastAsia" w:ascii="仿宋" w:hAnsi="仿宋" w:eastAsia="仿宋" w:cs="仿宋"/>
                <w:color w:val="auto"/>
                <w:highlight w:val="none"/>
              </w:rPr>
            </w:pPr>
            <w:r>
              <w:rPr>
                <w:rFonts w:hint="eastAsia" w:ascii="仿宋" w:hAnsi="仿宋" w:eastAsia="仿宋" w:cs="仿宋"/>
                <w:color w:val="auto"/>
                <w:highlight w:val="none"/>
              </w:rPr>
              <w:t>有关</w:t>
            </w:r>
          </w:p>
          <w:p w14:paraId="6CE16FF0">
            <w:pPr>
              <w:jc w:val="center"/>
              <w:rPr>
                <w:rFonts w:hint="eastAsia" w:ascii="仿宋" w:hAnsi="仿宋" w:eastAsia="仿宋" w:cs="仿宋"/>
                <w:color w:val="auto"/>
                <w:highlight w:val="none"/>
              </w:rPr>
            </w:pPr>
            <w:r>
              <w:rPr>
                <w:rFonts w:hint="eastAsia" w:ascii="仿宋" w:hAnsi="仿宋" w:eastAsia="仿宋" w:cs="仿宋"/>
                <w:color w:val="auto"/>
                <w:highlight w:val="none"/>
              </w:rPr>
              <w:t>事宜</w:t>
            </w:r>
          </w:p>
        </w:tc>
      </w:tr>
      <w:tr w14:paraId="75FC1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1" w:type="pct"/>
            <w:noWrap w:val="0"/>
            <w:vAlign w:val="center"/>
          </w:tcPr>
          <w:p w14:paraId="307FD719">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260" w:type="pct"/>
            <w:noWrap w:val="0"/>
            <w:vAlign w:val="center"/>
          </w:tcPr>
          <w:p w14:paraId="07A45A21">
            <w:pPr>
              <w:jc w:val="center"/>
              <w:rPr>
                <w:rFonts w:hint="eastAsia" w:ascii="仿宋" w:hAnsi="仿宋" w:eastAsia="仿宋" w:cs="仿宋"/>
                <w:color w:val="auto"/>
                <w:highlight w:val="none"/>
              </w:rPr>
            </w:pPr>
            <w:r>
              <w:rPr>
                <w:rFonts w:hint="eastAsia" w:ascii="仿宋" w:hAnsi="仿宋" w:eastAsia="仿宋" w:cs="仿宋"/>
                <w:color w:val="auto"/>
                <w:highlight w:val="none"/>
              </w:rPr>
              <w:t>初步设计文件</w:t>
            </w:r>
          </w:p>
        </w:tc>
        <w:tc>
          <w:tcPr>
            <w:tcW w:w="643" w:type="pct"/>
            <w:noWrap w:val="0"/>
            <w:vAlign w:val="center"/>
          </w:tcPr>
          <w:p w14:paraId="27D13F84">
            <w:pPr>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297" w:type="pct"/>
            <w:noWrap w:val="0"/>
            <w:vAlign w:val="center"/>
          </w:tcPr>
          <w:p w14:paraId="37A7C11A">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按合同约定</w:t>
            </w:r>
          </w:p>
        </w:tc>
        <w:tc>
          <w:tcPr>
            <w:tcW w:w="1256" w:type="pct"/>
            <w:vMerge w:val="restart"/>
            <w:tcBorders>
              <w:bottom w:val="nil"/>
            </w:tcBorders>
            <w:noWrap w:val="0"/>
            <w:vAlign w:val="top"/>
          </w:tcPr>
          <w:p w14:paraId="5D48A7CB">
            <w:pPr>
              <w:rPr>
                <w:rFonts w:hint="eastAsia" w:ascii="仿宋" w:hAnsi="仿宋" w:eastAsia="仿宋" w:cs="仿宋"/>
                <w:color w:val="auto"/>
                <w:highlight w:val="none"/>
              </w:rPr>
            </w:pPr>
          </w:p>
        </w:tc>
      </w:tr>
      <w:tr w14:paraId="7F120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1" w:type="pct"/>
            <w:noWrap w:val="0"/>
            <w:vAlign w:val="center"/>
          </w:tcPr>
          <w:p w14:paraId="519395DC">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260" w:type="pct"/>
            <w:noWrap w:val="0"/>
            <w:vAlign w:val="center"/>
          </w:tcPr>
          <w:p w14:paraId="6AB97019">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概算书</w:t>
            </w:r>
          </w:p>
        </w:tc>
        <w:tc>
          <w:tcPr>
            <w:tcW w:w="643" w:type="pct"/>
            <w:noWrap w:val="0"/>
            <w:vAlign w:val="center"/>
          </w:tcPr>
          <w:p w14:paraId="1BE6E4C3">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297" w:type="pct"/>
            <w:noWrap w:val="0"/>
            <w:vAlign w:val="center"/>
          </w:tcPr>
          <w:p w14:paraId="75601572">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按合同约定</w:t>
            </w:r>
          </w:p>
        </w:tc>
        <w:tc>
          <w:tcPr>
            <w:tcW w:w="1256" w:type="pct"/>
            <w:vMerge w:val="continue"/>
            <w:tcBorders>
              <w:top w:val="nil"/>
              <w:bottom w:val="nil"/>
            </w:tcBorders>
            <w:noWrap w:val="0"/>
            <w:vAlign w:val="top"/>
          </w:tcPr>
          <w:p w14:paraId="18C18EFD">
            <w:pPr>
              <w:rPr>
                <w:rFonts w:hint="eastAsia" w:ascii="仿宋" w:hAnsi="仿宋" w:eastAsia="仿宋" w:cs="仿宋"/>
                <w:color w:val="auto"/>
                <w:highlight w:val="none"/>
              </w:rPr>
            </w:pPr>
          </w:p>
        </w:tc>
      </w:tr>
      <w:tr w14:paraId="28040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41" w:type="pct"/>
            <w:noWrap w:val="0"/>
            <w:vAlign w:val="center"/>
          </w:tcPr>
          <w:p w14:paraId="7C55EA95">
            <w:pPr>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260" w:type="pct"/>
            <w:noWrap w:val="0"/>
            <w:vAlign w:val="center"/>
          </w:tcPr>
          <w:p w14:paraId="0E12D87E">
            <w:pPr>
              <w:jc w:val="center"/>
              <w:rPr>
                <w:rFonts w:hint="eastAsia" w:ascii="仿宋" w:hAnsi="仿宋" w:eastAsia="仿宋" w:cs="仿宋"/>
                <w:color w:val="auto"/>
                <w:highlight w:val="none"/>
              </w:rPr>
            </w:pPr>
          </w:p>
        </w:tc>
        <w:tc>
          <w:tcPr>
            <w:tcW w:w="643" w:type="pct"/>
            <w:noWrap w:val="0"/>
            <w:vAlign w:val="center"/>
          </w:tcPr>
          <w:p w14:paraId="4DAD6CBE">
            <w:pPr>
              <w:jc w:val="center"/>
              <w:rPr>
                <w:rFonts w:hint="eastAsia" w:ascii="仿宋" w:hAnsi="仿宋" w:eastAsia="仿宋" w:cs="仿宋"/>
                <w:color w:val="auto"/>
                <w:highlight w:val="none"/>
              </w:rPr>
            </w:pPr>
          </w:p>
        </w:tc>
        <w:tc>
          <w:tcPr>
            <w:tcW w:w="1297" w:type="pct"/>
            <w:noWrap w:val="0"/>
            <w:vAlign w:val="center"/>
          </w:tcPr>
          <w:p w14:paraId="78A14516">
            <w:pPr>
              <w:jc w:val="center"/>
              <w:rPr>
                <w:rFonts w:hint="eastAsia" w:ascii="仿宋" w:hAnsi="仿宋" w:eastAsia="仿宋" w:cs="仿宋"/>
                <w:color w:val="auto"/>
                <w:highlight w:val="none"/>
              </w:rPr>
            </w:pPr>
          </w:p>
        </w:tc>
        <w:tc>
          <w:tcPr>
            <w:tcW w:w="1256" w:type="pct"/>
            <w:vMerge w:val="continue"/>
            <w:tcBorders>
              <w:top w:val="nil"/>
            </w:tcBorders>
            <w:noWrap w:val="0"/>
            <w:vAlign w:val="top"/>
          </w:tcPr>
          <w:p w14:paraId="245817D0">
            <w:pPr>
              <w:rPr>
                <w:rFonts w:hint="eastAsia" w:ascii="仿宋" w:hAnsi="仿宋" w:eastAsia="仿宋" w:cs="仿宋"/>
                <w:color w:val="auto"/>
                <w:highlight w:val="none"/>
              </w:rPr>
            </w:pPr>
          </w:p>
        </w:tc>
      </w:tr>
    </w:tbl>
    <w:p w14:paraId="7DD9DB05">
      <w:pPr>
        <w:rPr>
          <w:rFonts w:hint="eastAsia" w:ascii="仿宋" w:hAnsi="仿宋" w:eastAsia="仿宋" w:cs="仿宋"/>
          <w:color w:val="auto"/>
          <w:highlight w:val="none"/>
        </w:rPr>
      </w:pPr>
    </w:p>
    <w:p w14:paraId="0151D9DC">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特别约定：</w:t>
      </w:r>
    </w:p>
    <w:p w14:paraId="4F6384D3">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1.在发包人所提供的设计资料（含设计确认单、规划部门批文、政府各部门批文等）能满足设计人进行各阶段设计的前提下开始计算各阶段的设计时间。</w:t>
      </w:r>
    </w:p>
    <w:p w14:paraId="6600BA4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2.图纸交付地点：设计人工作地（或发包人指定地）。发包人要求设计人提供电子版设计文件时，设计人不得对电子版设计文件采取加密、设置访问权限、限期使用等保护措施。</w:t>
      </w:r>
    </w:p>
    <w:p w14:paraId="48B642B8">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3.如发包人要求提供超过合同约定份数的工程设计文件，则设计人仍应按发包人的要求提供，但发包人应向设计人支付工本费。</w:t>
      </w:r>
    </w:p>
    <w:p w14:paraId="68995B8E">
      <w:pPr>
        <w:spacing w:line="283" w:lineRule="auto"/>
        <w:rPr>
          <w:rFonts w:hint="eastAsia" w:ascii="仿宋" w:hAnsi="仿宋" w:eastAsia="仿宋" w:cs="仿宋"/>
          <w:color w:val="auto"/>
          <w:highlight w:val="none"/>
        </w:rPr>
      </w:pPr>
    </w:p>
    <w:p w14:paraId="6D0AA8C2">
      <w:pPr>
        <w:pStyle w:val="18"/>
        <w:rPr>
          <w:rFonts w:hint="eastAsia" w:ascii="仿宋" w:hAnsi="仿宋" w:eastAsia="仿宋" w:cs="仿宋"/>
          <w:b/>
          <w:bCs/>
          <w:color w:val="auto"/>
          <w:highlight w:val="none"/>
        </w:rPr>
      </w:pPr>
      <w:r>
        <w:rPr>
          <w:rFonts w:hint="eastAsia" w:ascii="仿宋" w:hAnsi="仿宋" w:eastAsia="仿宋" w:cs="仿宋"/>
          <w:b/>
          <w:bCs/>
          <w:color w:val="auto"/>
          <w:highlight w:val="none"/>
        </w:rPr>
        <w:t>附件 4：</w:t>
      </w:r>
    </w:p>
    <w:p w14:paraId="59825C21">
      <w:pPr>
        <w:pStyle w:val="3"/>
        <w:spacing w:line="240" w:lineRule="auto"/>
        <w:jc w:val="center"/>
        <w:rPr>
          <w:rFonts w:hint="eastAsia" w:ascii="仿宋" w:hAnsi="仿宋" w:eastAsia="仿宋" w:cs="仿宋"/>
          <w:color w:val="auto"/>
          <w:highlight w:val="none"/>
        </w:rPr>
      </w:pPr>
      <w:bookmarkStart w:id="105" w:name="_Toc20348"/>
      <w:r>
        <w:rPr>
          <w:rFonts w:hint="eastAsia" w:ascii="仿宋" w:hAnsi="仿宋" w:eastAsia="仿宋" w:cs="仿宋"/>
          <w:color w:val="auto"/>
          <w:highlight w:val="none"/>
        </w:rPr>
        <w:t>设计人主要设计人员表</w:t>
      </w:r>
      <w:bookmarkEnd w:id="105"/>
    </w:p>
    <w:p w14:paraId="56E4F456">
      <w:pPr>
        <w:spacing w:before="160"/>
        <w:rPr>
          <w:rFonts w:hint="eastAsia" w:ascii="仿宋" w:hAnsi="仿宋" w:eastAsia="仿宋" w:cs="仿宋"/>
          <w:color w:val="auto"/>
          <w:highlight w:val="none"/>
        </w:rPr>
      </w:pPr>
    </w:p>
    <w:tbl>
      <w:tblPr>
        <w:tblStyle w:val="4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7"/>
        <w:gridCol w:w="1352"/>
        <w:gridCol w:w="1430"/>
        <w:gridCol w:w="2532"/>
        <w:gridCol w:w="2325"/>
      </w:tblGrid>
      <w:tr w14:paraId="63085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99" w:type="pct"/>
            <w:tcBorders>
              <w:top w:val="single" w:color="000000" w:sz="10" w:space="0"/>
              <w:left w:val="single" w:color="000000" w:sz="10" w:space="0"/>
            </w:tcBorders>
            <w:noWrap w:val="0"/>
            <w:vAlign w:val="center"/>
          </w:tcPr>
          <w:p w14:paraId="15B4011E">
            <w:pPr>
              <w:pStyle w:val="434"/>
              <w:spacing w:before="38" w:line="360" w:lineRule="auto"/>
              <w:ind w:left="96"/>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pacing w:val="-9"/>
                <w:sz w:val="21"/>
                <w:szCs w:val="21"/>
                <w:highlight w:val="none"/>
              </w:rPr>
              <w:t>名称</w:t>
            </w:r>
          </w:p>
        </w:tc>
        <w:tc>
          <w:tcPr>
            <w:tcW w:w="708" w:type="pct"/>
            <w:tcBorders>
              <w:top w:val="single" w:color="000000" w:sz="10" w:space="0"/>
            </w:tcBorders>
            <w:noWrap w:val="0"/>
            <w:vAlign w:val="center"/>
          </w:tcPr>
          <w:p w14:paraId="0B8FE930">
            <w:pPr>
              <w:pStyle w:val="434"/>
              <w:spacing w:before="39" w:line="360" w:lineRule="auto"/>
              <w:ind w:left="93"/>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pacing w:val="-8"/>
                <w:sz w:val="21"/>
                <w:szCs w:val="21"/>
                <w:highlight w:val="none"/>
              </w:rPr>
              <w:t>姓名</w:t>
            </w:r>
          </w:p>
        </w:tc>
        <w:tc>
          <w:tcPr>
            <w:tcW w:w="749" w:type="pct"/>
            <w:tcBorders>
              <w:top w:val="single" w:color="000000" w:sz="10" w:space="0"/>
            </w:tcBorders>
            <w:noWrap w:val="0"/>
            <w:vAlign w:val="center"/>
          </w:tcPr>
          <w:p w14:paraId="277D3319">
            <w:pPr>
              <w:pStyle w:val="434"/>
              <w:spacing w:before="38" w:line="360" w:lineRule="auto"/>
              <w:ind w:left="97"/>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pacing w:val="-8"/>
                <w:sz w:val="21"/>
                <w:szCs w:val="21"/>
                <w:highlight w:val="none"/>
              </w:rPr>
              <w:t>职务</w:t>
            </w:r>
          </w:p>
        </w:tc>
        <w:tc>
          <w:tcPr>
            <w:tcW w:w="1326" w:type="pct"/>
            <w:tcBorders>
              <w:top w:val="single" w:color="000000" w:sz="10" w:space="0"/>
            </w:tcBorders>
            <w:noWrap w:val="0"/>
            <w:vAlign w:val="center"/>
          </w:tcPr>
          <w:p w14:paraId="48A899BF">
            <w:pPr>
              <w:pStyle w:val="434"/>
              <w:spacing w:before="38" w:line="360" w:lineRule="auto"/>
              <w:ind w:left="106"/>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pacing w:val="-3"/>
                <w:sz w:val="21"/>
                <w:szCs w:val="21"/>
                <w:highlight w:val="none"/>
              </w:rPr>
              <w:t>注册执业资格或职称</w:t>
            </w:r>
          </w:p>
        </w:tc>
        <w:tc>
          <w:tcPr>
            <w:tcW w:w="1215" w:type="pct"/>
            <w:tcBorders>
              <w:top w:val="single" w:color="000000" w:sz="10" w:space="0"/>
              <w:right w:val="single" w:color="000000" w:sz="10" w:space="0"/>
            </w:tcBorders>
            <w:noWrap w:val="0"/>
            <w:vAlign w:val="center"/>
          </w:tcPr>
          <w:p w14:paraId="072E3004">
            <w:pPr>
              <w:pStyle w:val="434"/>
              <w:spacing w:before="38" w:line="360" w:lineRule="auto"/>
              <w:ind w:left="106"/>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pacing w:val="-2"/>
                <w:sz w:val="21"/>
                <w:szCs w:val="21"/>
                <w:highlight w:val="none"/>
              </w:rPr>
              <w:t>承担过的主要项目</w:t>
            </w:r>
          </w:p>
        </w:tc>
      </w:tr>
      <w:tr w14:paraId="39B10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000" w:type="pct"/>
            <w:gridSpan w:val="5"/>
            <w:tcBorders>
              <w:left w:val="single" w:color="000000" w:sz="10" w:space="0"/>
              <w:right w:val="single" w:color="000000" w:sz="10" w:space="0"/>
            </w:tcBorders>
            <w:noWrap w:val="0"/>
            <w:vAlign w:val="top"/>
          </w:tcPr>
          <w:p w14:paraId="0205C010">
            <w:pPr>
              <w:pStyle w:val="434"/>
              <w:spacing w:before="37" w:line="360" w:lineRule="auto"/>
              <w:ind w:left="9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一、总部人员</w:t>
            </w:r>
          </w:p>
        </w:tc>
      </w:tr>
      <w:tr w14:paraId="1F191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999" w:type="pct"/>
            <w:tcBorders>
              <w:left w:val="single" w:color="000000" w:sz="10" w:space="0"/>
              <w:bottom w:val="single" w:color="000000" w:sz="2" w:space="0"/>
            </w:tcBorders>
            <w:noWrap w:val="0"/>
            <w:vAlign w:val="top"/>
          </w:tcPr>
          <w:p w14:paraId="58E63D1C">
            <w:pPr>
              <w:pStyle w:val="434"/>
              <w:spacing w:before="39" w:line="360" w:lineRule="auto"/>
              <w:ind w:left="96"/>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项目主管</w:t>
            </w:r>
          </w:p>
        </w:tc>
        <w:tc>
          <w:tcPr>
            <w:tcW w:w="708" w:type="pct"/>
            <w:noWrap w:val="0"/>
            <w:vAlign w:val="top"/>
          </w:tcPr>
          <w:p w14:paraId="3FCED730">
            <w:pPr>
              <w:spacing w:line="360" w:lineRule="auto"/>
              <w:rPr>
                <w:rFonts w:hint="eastAsia" w:ascii="仿宋" w:hAnsi="仿宋" w:eastAsia="仿宋" w:cs="仿宋"/>
                <w:color w:val="auto"/>
                <w:szCs w:val="21"/>
                <w:highlight w:val="none"/>
              </w:rPr>
            </w:pPr>
          </w:p>
        </w:tc>
        <w:tc>
          <w:tcPr>
            <w:tcW w:w="749" w:type="pct"/>
            <w:noWrap w:val="0"/>
            <w:vAlign w:val="top"/>
          </w:tcPr>
          <w:p w14:paraId="7DE27B1F">
            <w:pPr>
              <w:spacing w:line="360" w:lineRule="auto"/>
              <w:rPr>
                <w:rFonts w:hint="eastAsia" w:ascii="仿宋" w:hAnsi="仿宋" w:eastAsia="仿宋" w:cs="仿宋"/>
                <w:color w:val="auto"/>
                <w:szCs w:val="21"/>
                <w:highlight w:val="none"/>
              </w:rPr>
            </w:pPr>
          </w:p>
        </w:tc>
        <w:tc>
          <w:tcPr>
            <w:tcW w:w="1326" w:type="pct"/>
            <w:noWrap w:val="0"/>
            <w:vAlign w:val="top"/>
          </w:tcPr>
          <w:p w14:paraId="26D00DD8">
            <w:pPr>
              <w:spacing w:line="360" w:lineRule="auto"/>
              <w:rPr>
                <w:rFonts w:hint="eastAsia" w:ascii="仿宋" w:hAnsi="仿宋" w:eastAsia="仿宋" w:cs="仿宋"/>
                <w:color w:val="auto"/>
                <w:szCs w:val="21"/>
                <w:highlight w:val="none"/>
              </w:rPr>
            </w:pPr>
          </w:p>
        </w:tc>
        <w:tc>
          <w:tcPr>
            <w:tcW w:w="1215" w:type="pct"/>
            <w:tcBorders>
              <w:right w:val="single" w:color="000000" w:sz="10" w:space="0"/>
            </w:tcBorders>
            <w:noWrap w:val="0"/>
            <w:vAlign w:val="top"/>
          </w:tcPr>
          <w:p w14:paraId="398E501B">
            <w:pPr>
              <w:spacing w:line="360" w:lineRule="auto"/>
              <w:rPr>
                <w:rFonts w:hint="eastAsia" w:ascii="仿宋" w:hAnsi="仿宋" w:eastAsia="仿宋" w:cs="仿宋"/>
                <w:color w:val="auto"/>
                <w:szCs w:val="21"/>
                <w:highlight w:val="none"/>
              </w:rPr>
            </w:pPr>
          </w:p>
        </w:tc>
      </w:tr>
      <w:tr w14:paraId="2DB1D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9" w:type="pct"/>
            <w:tcBorders>
              <w:top w:val="single" w:color="000000" w:sz="2" w:space="0"/>
              <w:left w:val="single" w:color="000000" w:sz="10" w:space="0"/>
            </w:tcBorders>
            <w:noWrap w:val="0"/>
            <w:vAlign w:val="top"/>
          </w:tcPr>
          <w:p w14:paraId="5474A260">
            <w:pPr>
              <w:pStyle w:val="434"/>
              <w:spacing w:before="41" w:line="360" w:lineRule="auto"/>
              <w:ind w:left="97"/>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其他人员</w:t>
            </w:r>
          </w:p>
        </w:tc>
        <w:tc>
          <w:tcPr>
            <w:tcW w:w="708" w:type="pct"/>
            <w:noWrap w:val="0"/>
            <w:vAlign w:val="top"/>
          </w:tcPr>
          <w:p w14:paraId="2E9627FE">
            <w:pPr>
              <w:spacing w:line="360" w:lineRule="auto"/>
              <w:rPr>
                <w:rFonts w:hint="eastAsia" w:ascii="仿宋" w:hAnsi="仿宋" w:eastAsia="仿宋" w:cs="仿宋"/>
                <w:color w:val="auto"/>
                <w:szCs w:val="21"/>
                <w:highlight w:val="none"/>
              </w:rPr>
            </w:pPr>
          </w:p>
        </w:tc>
        <w:tc>
          <w:tcPr>
            <w:tcW w:w="749" w:type="pct"/>
            <w:noWrap w:val="0"/>
            <w:vAlign w:val="top"/>
          </w:tcPr>
          <w:p w14:paraId="2AC94A1B">
            <w:pPr>
              <w:spacing w:line="360" w:lineRule="auto"/>
              <w:rPr>
                <w:rFonts w:hint="eastAsia" w:ascii="仿宋" w:hAnsi="仿宋" w:eastAsia="仿宋" w:cs="仿宋"/>
                <w:color w:val="auto"/>
                <w:szCs w:val="21"/>
                <w:highlight w:val="none"/>
              </w:rPr>
            </w:pPr>
          </w:p>
        </w:tc>
        <w:tc>
          <w:tcPr>
            <w:tcW w:w="1326" w:type="pct"/>
            <w:noWrap w:val="0"/>
            <w:vAlign w:val="top"/>
          </w:tcPr>
          <w:p w14:paraId="37F43F04">
            <w:pPr>
              <w:spacing w:line="360" w:lineRule="auto"/>
              <w:rPr>
                <w:rFonts w:hint="eastAsia" w:ascii="仿宋" w:hAnsi="仿宋" w:eastAsia="仿宋" w:cs="仿宋"/>
                <w:color w:val="auto"/>
                <w:szCs w:val="21"/>
                <w:highlight w:val="none"/>
              </w:rPr>
            </w:pPr>
          </w:p>
        </w:tc>
        <w:tc>
          <w:tcPr>
            <w:tcW w:w="1215" w:type="pct"/>
            <w:tcBorders>
              <w:right w:val="single" w:color="000000" w:sz="10" w:space="0"/>
            </w:tcBorders>
            <w:noWrap w:val="0"/>
            <w:vAlign w:val="top"/>
          </w:tcPr>
          <w:p w14:paraId="2006D3F1">
            <w:pPr>
              <w:spacing w:line="360" w:lineRule="auto"/>
              <w:rPr>
                <w:rFonts w:hint="eastAsia" w:ascii="仿宋" w:hAnsi="仿宋" w:eastAsia="仿宋" w:cs="仿宋"/>
                <w:color w:val="auto"/>
                <w:szCs w:val="21"/>
                <w:highlight w:val="none"/>
              </w:rPr>
            </w:pPr>
          </w:p>
        </w:tc>
      </w:tr>
      <w:tr w14:paraId="3D31A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000" w:type="pct"/>
            <w:gridSpan w:val="5"/>
            <w:tcBorders>
              <w:left w:val="single" w:color="000000" w:sz="10" w:space="0"/>
              <w:right w:val="single" w:color="000000" w:sz="10" w:space="0"/>
            </w:tcBorders>
            <w:noWrap w:val="0"/>
            <w:vAlign w:val="top"/>
          </w:tcPr>
          <w:p w14:paraId="36EAF946">
            <w:pPr>
              <w:pStyle w:val="434"/>
              <w:spacing w:before="44" w:line="360" w:lineRule="auto"/>
              <w:ind w:left="103"/>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二、项目组成员</w:t>
            </w:r>
          </w:p>
        </w:tc>
      </w:tr>
      <w:tr w14:paraId="6F651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9" w:type="pct"/>
            <w:tcBorders>
              <w:left w:val="single" w:color="000000" w:sz="10" w:space="0"/>
            </w:tcBorders>
            <w:noWrap w:val="0"/>
            <w:vAlign w:val="top"/>
          </w:tcPr>
          <w:p w14:paraId="6C3440DE">
            <w:pPr>
              <w:pStyle w:val="434"/>
              <w:spacing w:before="46" w:line="360" w:lineRule="auto"/>
              <w:ind w:left="96"/>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项目负责人</w:t>
            </w:r>
          </w:p>
        </w:tc>
        <w:tc>
          <w:tcPr>
            <w:tcW w:w="708" w:type="pct"/>
            <w:noWrap w:val="0"/>
            <w:vAlign w:val="top"/>
          </w:tcPr>
          <w:p w14:paraId="5B81C9D7">
            <w:pPr>
              <w:spacing w:line="360" w:lineRule="auto"/>
              <w:rPr>
                <w:rFonts w:hint="eastAsia" w:ascii="仿宋" w:hAnsi="仿宋" w:eastAsia="仿宋" w:cs="仿宋"/>
                <w:color w:val="auto"/>
                <w:szCs w:val="21"/>
                <w:highlight w:val="none"/>
              </w:rPr>
            </w:pPr>
          </w:p>
        </w:tc>
        <w:tc>
          <w:tcPr>
            <w:tcW w:w="749" w:type="pct"/>
            <w:noWrap w:val="0"/>
            <w:vAlign w:val="top"/>
          </w:tcPr>
          <w:p w14:paraId="59C4761C">
            <w:pPr>
              <w:spacing w:line="360" w:lineRule="auto"/>
              <w:rPr>
                <w:rFonts w:hint="eastAsia" w:ascii="仿宋" w:hAnsi="仿宋" w:eastAsia="仿宋" w:cs="仿宋"/>
                <w:color w:val="auto"/>
                <w:szCs w:val="21"/>
                <w:highlight w:val="none"/>
              </w:rPr>
            </w:pPr>
          </w:p>
        </w:tc>
        <w:tc>
          <w:tcPr>
            <w:tcW w:w="1326" w:type="pct"/>
            <w:noWrap w:val="0"/>
            <w:vAlign w:val="top"/>
          </w:tcPr>
          <w:p w14:paraId="498E89D4">
            <w:pPr>
              <w:spacing w:line="360" w:lineRule="auto"/>
              <w:rPr>
                <w:rFonts w:hint="eastAsia" w:ascii="仿宋" w:hAnsi="仿宋" w:eastAsia="仿宋" w:cs="仿宋"/>
                <w:color w:val="auto"/>
                <w:szCs w:val="21"/>
                <w:highlight w:val="none"/>
              </w:rPr>
            </w:pPr>
          </w:p>
        </w:tc>
        <w:tc>
          <w:tcPr>
            <w:tcW w:w="1215" w:type="pct"/>
            <w:tcBorders>
              <w:right w:val="single" w:color="000000" w:sz="10" w:space="0"/>
            </w:tcBorders>
            <w:noWrap w:val="0"/>
            <w:vAlign w:val="top"/>
          </w:tcPr>
          <w:p w14:paraId="5C7F304E">
            <w:pPr>
              <w:spacing w:line="360" w:lineRule="auto"/>
              <w:rPr>
                <w:rFonts w:hint="eastAsia" w:ascii="仿宋" w:hAnsi="仿宋" w:eastAsia="仿宋" w:cs="仿宋"/>
                <w:color w:val="auto"/>
                <w:szCs w:val="21"/>
                <w:highlight w:val="none"/>
              </w:rPr>
            </w:pPr>
          </w:p>
        </w:tc>
      </w:tr>
      <w:tr w14:paraId="390A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9" w:type="pct"/>
            <w:tcBorders>
              <w:left w:val="single" w:color="000000" w:sz="10" w:space="0"/>
            </w:tcBorders>
            <w:noWrap w:val="0"/>
            <w:vAlign w:val="top"/>
          </w:tcPr>
          <w:p w14:paraId="7BF6081B">
            <w:pPr>
              <w:pStyle w:val="434"/>
              <w:spacing w:before="49" w:line="360" w:lineRule="auto"/>
              <w:ind w:left="96"/>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项目副负责人</w:t>
            </w:r>
          </w:p>
        </w:tc>
        <w:tc>
          <w:tcPr>
            <w:tcW w:w="708" w:type="pct"/>
            <w:noWrap w:val="0"/>
            <w:vAlign w:val="top"/>
          </w:tcPr>
          <w:p w14:paraId="7319C213">
            <w:pPr>
              <w:spacing w:line="360" w:lineRule="auto"/>
              <w:rPr>
                <w:rFonts w:hint="eastAsia" w:ascii="仿宋" w:hAnsi="仿宋" w:eastAsia="仿宋" w:cs="仿宋"/>
                <w:color w:val="auto"/>
                <w:szCs w:val="21"/>
                <w:highlight w:val="none"/>
              </w:rPr>
            </w:pPr>
          </w:p>
        </w:tc>
        <w:tc>
          <w:tcPr>
            <w:tcW w:w="749" w:type="pct"/>
            <w:noWrap w:val="0"/>
            <w:vAlign w:val="top"/>
          </w:tcPr>
          <w:p w14:paraId="1D4152D6">
            <w:pPr>
              <w:spacing w:line="360" w:lineRule="auto"/>
              <w:rPr>
                <w:rFonts w:hint="eastAsia" w:ascii="仿宋" w:hAnsi="仿宋" w:eastAsia="仿宋" w:cs="仿宋"/>
                <w:color w:val="auto"/>
                <w:szCs w:val="21"/>
                <w:highlight w:val="none"/>
              </w:rPr>
            </w:pPr>
          </w:p>
        </w:tc>
        <w:tc>
          <w:tcPr>
            <w:tcW w:w="1326" w:type="pct"/>
            <w:noWrap w:val="0"/>
            <w:vAlign w:val="top"/>
          </w:tcPr>
          <w:p w14:paraId="3C793CAE">
            <w:pPr>
              <w:spacing w:line="360" w:lineRule="auto"/>
              <w:rPr>
                <w:rFonts w:hint="eastAsia" w:ascii="仿宋" w:hAnsi="仿宋" w:eastAsia="仿宋" w:cs="仿宋"/>
                <w:color w:val="auto"/>
                <w:szCs w:val="21"/>
                <w:highlight w:val="none"/>
              </w:rPr>
            </w:pPr>
          </w:p>
        </w:tc>
        <w:tc>
          <w:tcPr>
            <w:tcW w:w="1215" w:type="pct"/>
            <w:tcBorders>
              <w:right w:val="single" w:color="000000" w:sz="10" w:space="0"/>
            </w:tcBorders>
            <w:noWrap w:val="0"/>
            <w:vAlign w:val="top"/>
          </w:tcPr>
          <w:p w14:paraId="7371F136">
            <w:pPr>
              <w:spacing w:line="360" w:lineRule="auto"/>
              <w:rPr>
                <w:rFonts w:hint="eastAsia" w:ascii="仿宋" w:hAnsi="仿宋" w:eastAsia="仿宋" w:cs="仿宋"/>
                <w:color w:val="auto"/>
                <w:szCs w:val="21"/>
                <w:highlight w:val="none"/>
              </w:rPr>
            </w:pPr>
          </w:p>
        </w:tc>
      </w:tr>
      <w:tr w14:paraId="24AA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99" w:type="pct"/>
            <w:tcBorders>
              <w:left w:val="single" w:color="000000" w:sz="10" w:space="0"/>
            </w:tcBorders>
            <w:noWrap w:val="0"/>
            <w:vAlign w:val="top"/>
          </w:tcPr>
          <w:p w14:paraId="1C061DCF">
            <w:pPr>
              <w:pStyle w:val="434"/>
              <w:spacing w:before="51" w:line="360" w:lineRule="auto"/>
              <w:ind w:left="98"/>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专业负责人</w:t>
            </w:r>
          </w:p>
        </w:tc>
        <w:tc>
          <w:tcPr>
            <w:tcW w:w="708" w:type="pct"/>
            <w:noWrap w:val="0"/>
            <w:vAlign w:val="top"/>
          </w:tcPr>
          <w:p w14:paraId="48EDD1F6">
            <w:pPr>
              <w:spacing w:line="360" w:lineRule="auto"/>
              <w:rPr>
                <w:rFonts w:hint="eastAsia" w:ascii="仿宋" w:hAnsi="仿宋" w:eastAsia="仿宋" w:cs="仿宋"/>
                <w:color w:val="auto"/>
                <w:szCs w:val="21"/>
                <w:highlight w:val="none"/>
              </w:rPr>
            </w:pPr>
          </w:p>
        </w:tc>
        <w:tc>
          <w:tcPr>
            <w:tcW w:w="749" w:type="pct"/>
            <w:noWrap w:val="0"/>
            <w:vAlign w:val="top"/>
          </w:tcPr>
          <w:p w14:paraId="03414F39">
            <w:pPr>
              <w:spacing w:line="360" w:lineRule="auto"/>
              <w:rPr>
                <w:rFonts w:hint="eastAsia" w:ascii="仿宋" w:hAnsi="仿宋" w:eastAsia="仿宋" w:cs="仿宋"/>
                <w:color w:val="auto"/>
                <w:szCs w:val="21"/>
                <w:highlight w:val="none"/>
              </w:rPr>
            </w:pPr>
          </w:p>
        </w:tc>
        <w:tc>
          <w:tcPr>
            <w:tcW w:w="1326" w:type="pct"/>
            <w:noWrap w:val="0"/>
            <w:vAlign w:val="top"/>
          </w:tcPr>
          <w:p w14:paraId="5E15E315">
            <w:pPr>
              <w:spacing w:line="360" w:lineRule="auto"/>
              <w:rPr>
                <w:rFonts w:hint="eastAsia" w:ascii="仿宋" w:hAnsi="仿宋" w:eastAsia="仿宋" w:cs="仿宋"/>
                <w:color w:val="auto"/>
                <w:szCs w:val="21"/>
                <w:highlight w:val="none"/>
              </w:rPr>
            </w:pPr>
          </w:p>
        </w:tc>
        <w:tc>
          <w:tcPr>
            <w:tcW w:w="1215" w:type="pct"/>
            <w:tcBorders>
              <w:right w:val="single" w:color="000000" w:sz="10" w:space="0"/>
            </w:tcBorders>
            <w:noWrap w:val="0"/>
            <w:vAlign w:val="top"/>
          </w:tcPr>
          <w:p w14:paraId="1B56F7E0">
            <w:pPr>
              <w:spacing w:line="360" w:lineRule="auto"/>
              <w:rPr>
                <w:rFonts w:hint="eastAsia" w:ascii="仿宋" w:hAnsi="仿宋" w:eastAsia="仿宋" w:cs="仿宋"/>
                <w:color w:val="auto"/>
                <w:szCs w:val="21"/>
                <w:highlight w:val="none"/>
              </w:rPr>
            </w:pPr>
          </w:p>
        </w:tc>
      </w:tr>
      <w:tr w14:paraId="2217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9" w:type="pct"/>
            <w:tcBorders>
              <w:left w:val="single" w:color="000000" w:sz="10" w:space="0"/>
            </w:tcBorders>
            <w:noWrap w:val="0"/>
            <w:vAlign w:val="top"/>
          </w:tcPr>
          <w:p w14:paraId="0A64B656">
            <w:pPr>
              <w:pStyle w:val="434"/>
              <w:spacing w:before="50" w:line="360" w:lineRule="auto"/>
              <w:ind w:left="98"/>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专业负责人</w:t>
            </w:r>
          </w:p>
        </w:tc>
        <w:tc>
          <w:tcPr>
            <w:tcW w:w="708" w:type="pct"/>
            <w:noWrap w:val="0"/>
            <w:vAlign w:val="top"/>
          </w:tcPr>
          <w:p w14:paraId="03F5AA99">
            <w:pPr>
              <w:spacing w:line="360" w:lineRule="auto"/>
              <w:rPr>
                <w:rFonts w:hint="eastAsia" w:ascii="仿宋" w:hAnsi="仿宋" w:eastAsia="仿宋" w:cs="仿宋"/>
                <w:color w:val="auto"/>
                <w:szCs w:val="21"/>
                <w:highlight w:val="none"/>
              </w:rPr>
            </w:pPr>
          </w:p>
        </w:tc>
        <w:tc>
          <w:tcPr>
            <w:tcW w:w="749" w:type="pct"/>
            <w:noWrap w:val="0"/>
            <w:vAlign w:val="top"/>
          </w:tcPr>
          <w:p w14:paraId="1950D04E">
            <w:pPr>
              <w:spacing w:line="360" w:lineRule="auto"/>
              <w:rPr>
                <w:rFonts w:hint="eastAsia" w:ascii="仿宋" w:hAnsi="仿宋" w:eastAsia="仿宋" w:cs="仿宋"/>
                <w:color w:val="auto"/>
                <w:szCs w:val="21"/>
                <w:highlight w:val="none"/>
              </w:rPr>
            </w:pPr>
          </w:p>
        </w:tc>
        <w:tc>
          <w:tcPr>
            <w:tcW w:w="1326" w:type="pct"/>
            <w:noWrap w:val="0"/>
            <w:vAlign w:val="top"/>
          </w:tcPr>
          <w:p w14:paraId="7A5550BB">
            <w:pPr>
              <w:spacing w:line="360" w:lineRule="auto"/>
              <w:rPr>
                <w:rFonts w:hint="eastAsia" w:ascii="仿宋" w:hAnsi="仿宋" w:eastAsia="仿宋" w:cs="仿宋"/>
                <w:color w:val="auto"/>
                <w:szCs w:val="21"/>
                <w:highlight w:val="none"/>
              </w:rPr>
            </w:pPr>
          </w:p>
        </w:tc>
        <w:tc>
          <w:tcPr>
            <w:tcW w:w="1215" w:type="pct"/>
            <w:tcBorders>
              <w:right w:val="single" w:color="000000" w:sz="10" w:space="0"/>
            </w:tcBorders>
            <w:noWrap w:val="0"/>
            <w:vAlign w:val="top"/>
          </w:tcPr>
          <w:p w14:paraId="5975FB2F">
            <w:pPr>
              <w:spacing w:line="360" w:lineRule="auto"/>
              <w:rPr>
                <w:rFonts w:hint="eastAsia" w:ascii="仿宋" w:hAnsi="仿宋" w:eastAsia="仿宋" w:cs="仿宋"/>
                <w:color w:val="auto"/>
                <w:szCs w:val="21"/>
                <w:highlight w:val="none"/>
              </w:rPr>
            </w:pPr>
          </w:p>
        </w:tc>
      </w:tr>
      <w:tr w14:paraId="5CBD3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9" w:type="pct"/>
            <w:tcBorders>
              <w:left w:val="single" w:color="000000" w:sz="10" w:space="0"/>
            </w:tcBorders>
            <w:noWrap w:val="0"/>
            <w:vAlign w:val="top"/>
          </w:tcPr>
          <w:p w14:paraId="0F73BACD">
            <w:pPr>
              <w:pStyle w:val="434"/>
              <w:spacing w:before="53" w:line="360" w:lineRule="auto"/>
              <w:ind w:left="98"/>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专业负责人</w:t>
            </w:r>
          </w:p>
        </w:tc>
        <w:tc>
          <w:tcPr>
            <w:tcW w:w="708" w:type="pct"/>
            <w:noWrap w:val="0"/>
            <w:vAlign w:val="top"/>
          </w:tcPr>
          <w:p w14:paraId="168D9ACE">
            <w:pPr>
              <w:spacing w:line="360" w:lineRule="auto"/>
              <w:rPr>
                <w:rFonts w:hint="eastAsia" w:ascii="仿宋" w:hAnsi="仿宋" w:eastAsia="仿宋" w:cs="仿宋"/>
                <w:color w:val="auto"/>
                <w:szCs w:val="21"/>
                <w:highlight w:val="none"/>
              </w:rPr>
            </w:pPr>
          </w:p>
        </w:tc>
        <w:tc>
          <w:tcPr>
            <w:tcW w:w="749" w:type="pct"/>
            <w:noWrap w:val="0"/>
            <w:vAlign w:val="top"/>
          </w:tcPr>
          <w:p w14:paraId="4232E8A1">
            <w:pPr>
              <w:spacing w:line="360" w:lineRule="auto"/>
              <w:rPr>
                <w:rFonts w:hint="eastAsia" w:ascii="仿宋" w:hAnsi="仿宋" w:eastAsia="仿宋" w:cs="仿宋"/>
                <w:color w:val="auto"/>
                <w:szCs w:val="21"/>
                <w:highlight w:val="none"/>
              </w:rPr>
            </w:pPr>
          </w:p>
        </w:tc>
        <w:tc>
          <w:tcPr>
            <w:tcW w:w="1326" w:type="pct"/>
            <w:noWrap w:val="0"/>
            <w:vAlign w:val="top"/>
          </w:tcPr>
          <w:p w14:paraId="3BDFA18A">
            <w:pPr>
              <w:spacing w:line="360" w:lineRule="auto"/>
              <w:rPr>
                <w:rFonts w:hint="eastAsia" w:ascii="仿宋" w:hAnsi="仿宋" w:eastAsia="仿宋" w:cs="仿宋"/>
                <w:color w:val="auto"/>
                <w:szCs w:val="21"/>
                <w:highlight w:val="none"/>
              </w:rPr>
            </w:pPr>
          </w:p>
        </w:tc>
        <w:tc>
          <w:tcPr>
            <w:tcW w:w="1215" w:type="pct"/>
            <w:tcBorders>
              <w:right w:val="single" w:color="000000" w:sz="10" w:space="0"/>
            </w:tcBorders>
            <w:noWrap w:val="0"/>
            <w:vAlign w:val="top"/>
          </w:tcPr>
          <w:p w14:paraId="59B79A33">
            <w:pPr>
              <w:spacing w:line="360" w:lineRule="auto"/>
              <w:rPr>
                <w:rFonts w:hint="eastAsia" w:ascii="仿宋" w:hAnsi="仿宋" w:eastAsia="仿宋" w:cs="仿宋"/>
                <w:color w:val="auto"/>
                <w:szCs w:val="21"/>
                <w:highlight w:val="none"/>
              </w:rPr>
            </w:pPr>
          </w:p>
        </w:tc>
      </w:tr>
      <w:tr w14:paraId="3E41D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99" w:type="pct"/>
            <w:tcBorders>
              <w:left w:val="single" w:color="000000" w:sz="10" w:space="0"/>
              <w:bottom w:val="single" w:color="000000" w:sz="10" w:space="0"/>
            </w:tcBorders>
            <w:noWrap w:val="0"/>
            <w:vAlign w:val="top"/>
          </w:tcPr>
          <w:p w14:paraId="6E9E9AD2">
            <w:pPr>
              <w:pStyle w:val="434"/>
              <w:spacing w:before="57" w:line="360" w:lineRule="auto"/>
              <w:ind w:left="98"/>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专业负责人</w:t>
            </w:r>
          </w:p>
        </w:tc>
        <w:tc>
          <w:tcPr>
            <w:tcW w:w="708" w:type="pct"/>
            <w:tcBorders>
              <w:bottom w:val="single" w:color="000000" w:sz="10" w:space="0"/>
            </w:tcBorders>
            <w:noWrap w:val="0"/>
            <w:vAlign w:val="top"/>
          </w:tcPr>
          <w:p w14:paraId="3C88C5A6">
            <w:pPr>
              <w:spacing w:line="360" w:lineRule="auto"/>
              <w:rPr>
                <w:rFonts w:hint="eastAsia" w:ascii="仿宋" w:hAnsi="仿宋" w:eastAsia="仿宋" w:cs="仿宋"/>
                <w:color w:val="auto"/>
                <w:szCs w:val="21"/>
                <w:highlight w:val="none"/>
              </w:rPr>
            </w:pPr>
          </w:p>
        </w:tc>
        <w:tc>
          <w:tcPr>
            <w:tcW w:w="749" w:type="pct"/>
            <w:tcBorders>
              <w:bottom w:val="single" w:color="000000" w:sz="10" w:space="0"/>
            </w:tcBorders>
            <w:noWrap w:val="0"/>
            <w:vAlign w:val="top"/>
          </w:tcPr>
          <w:p w14:paraId="27443EC0">
            <w:pPr>
              <w:spacing w:line="360" w:lineRule="auto"/>
              <w:rPr>
                <w:rFonts w:hint="eastAsia" w:ascii="仿宋" w:hAnsi="仿宋" w:eastAsia="仿宋" w:cs="仿宋"/>
                <w:color w:val="auto"/>
                <w:szCs w:val="21"/>
                <w:highlight w:val="none"/>
              </w:rPr>
            </w:pPr>
          </w:p>
        </w:tc>
        <w:tc>
          <w:tcPr>
            <w:tcW w:w="1326" w:type="pct"/>
            <w:tcBorders>
              <w:bottom w:val="single" w:color="000000" w:sz="10" w:space="0"/>
            </w:tcBorders>
            <w:noWrap w:val="0"/>
            <w:vAlign w:val="top"/>
          </w:tcPr>
          <w:p w14:paraId="5BCB3383">
            <w:pPr>
              <w:spacing w:line="360" w:lineRule="auto"/>
              <w:rPr>
                <w:rFonts w:hint="eastAsia" w:ascii="仿宋" w:hAnsi="仿宋" w:eastAsia="仿宋" w:cs="仿宋"/>
                <w:color w:val="auto"/>
                <w:szCs w:val="21"/>
                <w:highlight w:val="none"/>
              </w:rPr>
            </w:pPr>
          </w:p>
        </w:tc>
        <w:tc>
          <w:tcPr>
            <w:tcW w:w="1215" w:type="pct"/>
            <w:tcBorders>
              <w:bottom w:val="single" w:color="000000" w:sz="10" w:space="0"/>
              <w:right w:val="single" w:color="000000" w:sz="10" w:space="0"/>
            </w:tcBorders>
            <w:noWrap w:val="0"/>
            <w:vAlign w:val="top"/>
          </w:tcPr>
          <w:p w14:paraId="15387C39">
            <w:pPr>
              <w:spacing w:line="360" w:lineRule="auto"/>
              <w:rPr>
                <w:rFonts w:hint="eastAsia" w:ascii="仿宋" w:hAnsi="仿宋" w:eastAsia="仿宋" w:cs="仿宋"/>
                <w:color w:val="auto"/>
                <w:szCs w:val="21"/>
                <w:highlight w:val="none"/>
              </w:rPr>
            </w:pPr>
          </w:p>
        </w:tc>
      </w:tr>
    </w:tbl>
    <w:p w14:paraId="2C81EDAF">
      <w:pPr>
        <w:rPr>
          <w:rFonts w:hint="eastAsia" w:ascii="仿宋" w:hAnsi="仿宋" w:eastAsia="仿宋" w:cs="仿宋"/>
          <w:color w:val="auto"/>
          <w:highlight w:val="none"/>
        </w:rPr>
      </w:pPr>
    </w:p>
    <w:p w14:paraId="1E677EDB">
      <w:pPr>
        <w:rPr>
          <w:rFonts w:hint="eastAsia" w:ascii="仿宋" w:hAnsi="仿宋" w:eastAsia="仿宋" w:cs="仿宋"/>
          <w:color w:val="auto"/>
          <w:szCs w:val="21"/>
          <w:highlight w:val="none"/>
        </w:rPr>
        <w:sectPr>
          <w:footerReference r:id="rId14" w:type="default"/>
          <w:pgSz w:w="11906" w:h="16839"/>
          <w:pgMar w:top="1134" w:right="1191" w:bottom="1134" w:left="1191" w:header="0" w:footer="706" w:gutter="0"/>
          <w:pgNumType w:fmt="decimal"/>
          <w:cols w:space="720" w:num="1"/>
          <w:rtlGutter w:val="0"/>
          <w:docGrid w:linePitch="0" w:charSpace="0"/>
        </w:sectPr>
      </w:pPr>
    </w:p>
    <w:p w14:paraId="5A42BCDD">
      <w:pPr>
        <w:pStyle w:val="18"/>
        <w:rPr>
          <w:rFonts w:hint="eastAsia" w:ascii="仿宋" w:hAnsi="仿宋" w:eastAsia="仿宋" w:cs="仿宋"/>
          <w:b/>
          <w:bCs/>
          <w:color w:val="auto"/>
          <w:highlight w:val="none"/>
        </w:rPr>
      </w:pPr>
      <w:r>
        <w:rPr>
          <w:rFonts w:hint="eastAsia" w:ascii="仿宋" w:hAnsi="仿宋" w:eastAsia="仿宋" w:cs="仿宋"/>
          <w:b/>
          <w:bCs/>
          <w:color w:val="auto"/>
          <w:highlight w:val="none"/>
        </w:rPr>
        <w:t>附件 5：</w:t>
      </w:r>
    </w:p>
    <w:p w14:paraId="1E003B11">
      <w:pPr>
        <w:pStyle w:val="3"/>
        <w:jc w:val="center"/>
        <w:rPr>
          <w:rFonts w:hint="eastAsia" w:ascii="仿宋" w:hAnsi="仿宋" w:eastAsia="仿宋" w:cs="仿宋"/>
          <w:color w:val="auto"/>
          <w:highlight w:val="none"/>
        </w:rPr>
      </w:pPr>
      <w:bookmarkStart w:id="106" w:name="bookmark46"/>
      <w:bookmarkEnd w:id="106"/>
      <w:bookmarkStart w:id="107" w:name="_Toc24786"/>
      <w:r>
        <w:rPr>
          <w:rFonts w:hint="eastAsia" w:ascii="仿宋" w:hAnsi="仿宋" w:eastAsia="仿宋" w:cs="仿宋"/>
          <w:color w:val="auto"/>
          <w:highlight w:val="none"/>
        </w:rPr>
        <w:t>设计进度表</w:t>
      </w:r>
      <w:bookmarkEnd w:id="107"/>
    </w:p>
    <w:p w14:paraId="5F103877">
      <w:pPr>
        <w:pStyle w:val="18"/>
        <w:rPr>
          <w:rFonts w:hint="eastAsia" w:ascii="仿宋" w:hAnsi="仿宋" w:eastAsia="仿宋" w:cs="仿宋"/>
          <w:color w:val="auto"/>
          <w:highlight w:val="none"/>
        </w:rPr>
      </w:pPr>
    </w:p>
    <w:p w14:paraId="541DBDAD">
      <w:pPr>
        <w:pStyle w:val="18"/>
        <w:rPr>
          <w:rFonts w:hint="eastAsia" w:ascii="仿宋" w:hAnsi="仿宋" w:eastAsia="仿宋" w:cs="仿宋"/>
          <w:color w:val="auto"/>
          <w:highlight w:val="none"/>
        </w:rPr>
      </w:pPr>
    </w:p>
    <w:p w14:paraId="1AF89A28">
      <w:pPr>
        <w:pStyle w:val="18"/>
        <w:rPr>
          <w:rFonts w:hint="eastAsia" w:ascii="仿宋" w:hAnsi="仿宋" w:eastAsia="仿宋" w:cs="仿宋"/>
          <w:color w:val="auto"/>
          <w:highlight w:val="none"/>
        </w:rPr>
      </w:pPr>
      <w:r>
        <w:rPr>
          <w:rFonts w:hint="eastAsia" w:ascii="仿宋" w:hAnsi="仿宋" w:eastAsia="仿宋" w:cs="仿宋"/>
          <w:b/>
          <w:bCs/>
          <w:color w:val="auto"/>
          <w:highlight w:val="none"/>
        </w:rPr>
        <w:t>附件 6：</w:t>
      </w:r>
    </w:p>
    <w:p w14:paraId="4A2335D5">
      <w:pPr>
        <w:pStyle w:val="3"/>
        <w:spacing w:line="240" w:lineRule="auto"/>
        <w:jc w:val="center"/>
        <w:rPr>
          <w:rFonts w:hint="eastAsia" w:ascii="仿宋" w:hAnsi="仿宋" w:eastAsia="仿宋" w:cs="仿宋"/>
          <w:color w:val="auto"/>
          <w:highlight w:val="none"/>
        </w:rPr>
      </w:pPr>
      <w:bookmarkStart w:id="108" w:name="_Toc17181"/>
      <w:r>
        <w:rPr>
          <w:rFonts w:hint="eastAsia" w:ascii="仿宋" w:hAnsi="仿宋" w:eastAsia="仿宋" w:cs="仿宋"/>
          <w:color w:val="auto"/>
          <w:highlight w:val="none"/>
        </w:rPr>
        <w:t>设计费明细及支付方式</w:t>
      </w:r>
      <w:bookmarkEnd w:id="108"/>
    </w:p>
    <w:p w14:paraId="3E1D78E8">
      <w:pPr>
        <w:pStyle w:val="18"/>
        <w:rPr>
          <w:rFonts w:hint="eastAsia" w:ascii="仿宋" w:hAnsi="仿宋" w:eastAsia="仿宋" w:cs="仿宋"/>
          <w:color w:val="auto"/>
          <w:highlight w:val="none"/>
        </w:rPr>
      </w:pPr>
    </w:p>
    <w:p w14:paraId="30DA0F8A">
      <w:pPr>
        <w:pStyle w:val="18"/>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一、初步设计费总额：初步设计费合同价= 初步设计费</w:t>
      </w:r>
      <w:r>
        <w:rPr>
          <w:rFonts w:hint="eastAsia" w:ascii="仿宋" w:hAnsi="仿宋" w:eastAsia="仿宋" w:cs="仿宋"/>
          <w:color w:val="auto"/>
          <w:highlight w:val="none"/>
          <w:lang w:eastAsia="zh-CN"/>
        </w:rPr>
        <w:t>最高投标限</w:t>
      </w:r>
      <w:r>
        <w:rPr>
          <w:rFonts w:hint="eastAsia" w:ascii="仿宋" w:hAnsi="仿宋" w:eastAsia="仿宋" w:cs="仿宋"/>
          <w:color w:val="auto"/>
          <w:highlight w:val="none"/>
        </w:rPr>
        <w:t>价×（1-初步设计费</w:t>
      </w:r>
      <w:r>
        <w:rPr>
          <w:rFonts w:hint="eastAsia" w:ascii="仿宋" w:hAnsi="仿宋" w:eastAsia="仿宋" w:cs="仿宋"/>
          <w:color w:val="auto"/>
          <w:highlight w:val="none"/>
          <w:lang w:eastAsia="zh-CN"/>
        </w:rPr>
        <w:t>中标</w:t>
      </w:r>
      <w:r>
        <w:rPr>
          <w:rFonts w:hint="eastAsia" w:ascii="仿宋" w:hAnsi="仿宋" w:eastAsia="仿宋" w:cs="仿宋"/>
          <w:color w:val="auto"/>
          <w:highlight w:val="none"/>
        </w:rPr>
        <w:t>下浮率）；</w:t>
      </w:r>
    </w:p>
    <w:p w14:paraId="5DF1D865">
      <w:pPr>
        <w:pStyle w:val="18"/>
        <w:spacing w:line="360" w:lineRule="auto"/>
        <w:ind w:firstLine="281"/>
        <w:outlineLvl w:val="1"/>
        <w:rPr>
          <w:rFonts w:hint="eastAsia" w:ascii="仿宋" w:hAnsi="仿宋" w:eastAsia="仿宋" w:cs="仿宋"/>
          <w:color w:val="auto"/>
          <w:highlight w:val="none"/>
        </w:rPr>
      </w:pPr>
      <w:bookmarkStart w:id="109" w:name="_Toc29186"/>
      <w:r>
        <w:rPr>
          <w:rFonts w:hint="eastAsia" w:ascii="仿宋" w:hAnsi="仿宋" w:eastAsia="仿宋" w:cs="仿宋"/>
          <w:color w:val="auto"/>
          <w:highlight w:val="none"/>
        </w:rPr>
        <w:t>二、设计费总额构成：</w:t>
      </w:r>
      <w:bookmarkEnd w:id="109"/>
    </w:p>
    <w:p w14:paraId="717C938F">
      <w:pPr>
        <w:pStyle w:val="18"/>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1.工程设计基本服务费用：</w:t>
      </w:r>
    </w:p>
    <w:p w14:paraId="77049F7B">
      <w:pPr>
        <w:pStyle w:val="18"/>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2.工程设计其他服务费用：</w:t>
      </w:r>
    </w:p>
    <w:p w14:paraId="34CF8E12">
      <w:pPr>
        <w:pStyle w:val="18"/>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3.合同签订前设计人已完成工作的费用：</w:t>
      </w:r>
    </w:p>
    <w:p w14:paraId="7DD86287">
      <w:pPr>
        <w:pStyle w:val="18"/>
        <w:spacing w:line="360" w:lineRule="auto"/>
        <w:ind w:firstLine="281"/>
        <w:outlineLvl w:val="1"/>
        <w:rPr>
          <w:rFonts w:hint="eastAsia" w:ascii="仿宋" w:hAnsi="仿宋" w:eastAsia="仿宋" w:cs="仿宋"/>
          <w:color w:val="auto"/>
          <w:highlight w:val="none"/>
        </w:rPr>
      </w:pPr>
      <w:bookmarkStart w:id="110" w:name="_Toc23031"/>
      <w:r>
        <w:rPr>
          <w:rFonts w:hint="eastAsia" w:ascii="仿宋" w:hAnsi="仿宋" w:eastAsia="仿宋" w:cs="仿宋"/>
          <w:color w:val="auto"/>
          <w:highlight w:val="none"/>
        </w:rPr>
        <w:t>三、初步设计费明细计算表</w:t>
      </w:r>
      <w:bookmarkEnd w:id="110"/>
    </w:p>
    <w:p w14:paraId="16DA84A6">
      <w:pPr>
        <w:pStyle w:val="18"/>
        <w:spacing w:line="360" w:lineRule="auto"/>
        <w:ind w:firstLine="281"/>
        <w:rPr>
          <w:rFonts w:hint="eastAsia" w:ascii="仿宋" w:hAnsi="仿宋" w:eastAsia="仿宋" w:cs="仿宋"/>
          <w:color w:val="auto"/>
          <w:highlight w:val="none"/>
          <w:lang w:eastAsia="zh-CN"/>
        </w:rPr>
      </w:pPr>
      <w:r>
        <w:rPr>
          <w:rFonts w:hint="eastAsia" w:ascii="仿宋" w:hAnsi="仿宋" w:eastAsia="仿宋" w:cs="仿宋"/>
          <w:color w:val="auto"/>
          <w:highlight w:val="none"/>
        </w:rPr>
        <w:t>初步设计费</w:t>
      </w:r>
      <w:r>
        <w:rPr>
          <w:rFonts w:hint="eastAsia" w:ascii="仿宋" w:hAnsi="仿宋" w:eastAsia="仿宋" w:cs="仿宋"/>
          <w:color w:val="auto"/>
          <w:highlight w:val="none"/>
          <w:lang w:eastAsia="zh-CN"/>
        </w:rPr>
        <w:t>最高投标限</w:t>
      </w:r>
      <w:r>
        <w:rPr>
          <w:rFonts w:hint="eastAsia" w:ascii="仿宋" w:hAnsi="仿宋" w:eastAsia="仿宋" w:cs="仿宋"/>
          <w:color w:val="auto"/>
          <w:highlight w:val="none"/>
        </w:rPr>
        <w:t>价</w:t>
      </w:r>
      <w:r>
        <w:rPr>
          <w:rFonts w:hint="eastAsia" w:ascii="仿宋" w:hAnsi="仿宋" w:eastAsia="仿宋" w:cs="仿宋"/>
          <w:color w:val="auto"/>
          <w:highlight w:val="none"/>
          <w:lang w:eastAsia="zh-CN"/>
        </w:rPr>
        <w:t>参照</w:t>
      </w:r>
      <w:r>
        <w:rPr>
          <w:rFonts w:hint="eastAsia" w:ascii="仿宋" w:hAnsi="仿宋" w:eastAsia="仿宋" w:cs="仿宋"/>
          <w:color w:val="auto"/>
          <w:highlight w:val="none"/>
        </w:rPr>
        <w:t>经罗定市发改局批复的</w:t>
      </w:r>
      <w:r>
        <w:rPr>
          <w:rFonts w:hint="eastAsia" w:ascii="仿宋" w:hAnsi="仿宋" w:eastAsia="仿宋" w:cs="仿宋"/>
          <w:color w:val="auto"/>
          <w:highlight w:val="none"/>
          <w:lang w:eastAsia="zh-CN"/>
        </w:rPr>
        <w:t>立项的可研报告</w:t>
      </w:r>
      <w:r>
        <w:rPr>
          <w:rFonts w:hint="eastAsia" w:ascii="仿宋" w:hAnsi="仿宋" w:eastAsia="仿宋" w:cs="仿宋"/>
          <w:color w:val="auto"/>
          <w:highlight w:val="none"/>
        </w:rPr>
        <w:t>设计费</w:t>
      </w:r>
      <w:r>
        <w:rPr>
          <w:rFonts w:hint="eastAsia" w:ascii="仿宋" w:hAnsi="仿宋" w:eastAsia="仿宋" w:cs="仿宋"/>
          <w:color w:val="auto"/>
          <w:highlight w:val="none"/>
          <w:lang w:eastAsia="zh-CN"/>
        </w:rPr>
        <w:t>估算</w:t>
      </w:r>
      <w:r>
        <w:rPr>
          <w:rFonts w:hint="eastAsia" w:ascii="仿宋" w:hAnsi="仿宋" w:eastAsia="仿宋" w:cs="仿宋"/>
          <w:color w:val="auto"/>
          <w:highlight w:val="none"/>
        </w:rPr>
        <w:t>价设定（参考执行国家计委、建设部关于发布《工程勘察设计收费管理规定》的通知计价格〔2002〕10号文，初步设计费比例为设计费的40%）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注：本设计的专业调整系数按1.0计算、工程复杂程度调整系数按1.0计算，附加调整系数按1.0计算。</w:t>
      </w:r>
    </w:p>
    <w:p w14:paraId="2F1ABA50">
      <w:pPr>
        <w:pStyle w:val="18"/>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初步设计费结算时，以经财政投资审核机构审定的设计费概算价为基础计算，即：初步设计费结算价= [（审定设计费概算价×初步设计费比例 40%）]×（1-初步设计费中标下浮率），结算总价不超出中标价。</w:t>
      </w:r>
    </w:p>
    <w:p w14:paraId="33F572A2">
      <w:pPr>
        <w:pStyle w:val="18"/>
        <w:spacing w:line="360" w:lineRule="auto"/>
        <w:ind w:firstLine="281"/>
        <w:outlineLvl w:val="1"/>
        <w:rPr>
          <w:rFonts w:hint="eastAsia" w:ascii="仿宋" w:hAnsi="仿宋" w:eastAsia="仿宋" w:cs="仿宋"/>
          <w:color w:val="auto"/>
          <w:highlight w:val="none"/>
        </w:rPr>
      </w:pPr>
      <w:bookmarkStart w:id="111" w:name="_Toc8802"/>
      <w:r>
        <w:rPr>
          <w:rFonts w:hint="eastAsia" w:ascii="仿宋" w:hAnsi="仿宋" w:eastAsia="仿宋" w:cs="仿宋"/>
          <w:color w:val="auto"/>
          <w:highlight w:val="none"/>
        </w:rPr>
        <w:t>四、初步设计费支付方式</w:t>
      </w:r>
      <w:bookmarkEnd w:id="111"/>
    </w:p>
    <w:p w14:paraId="7F5C8396">
      <w:pPr>
        <w:pStyle w:val="18"/>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1.初步设计与概算完成后，提交完整的支付申请资料后15个工作日内，发包人向设计人支付至初步设计费总额的60%。</w:t>
      </w:r>
    </w:p>
    <w:p w14:paraId="6E7154A6">
      <w:pPr>
        <w:pStyle w:val="18"/>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2.初步设计完成通过评审，并提交完整的支付申请资料后15个工作日内，发包人向设计人支付至初步设计费总额的80%。</w:t>
      </w:r>
    </w:p>
    <w:p w14:paraId="73478458">
      <w:pPr>
        <w:pStyle w:val="18"/>
        <w:spacing w:line="360" w:lineRule="auto"/>
        <w:ind w:firstLine="281"/>
        <w:rPr>
          <w:rFonts w:hint="eastAsia" w:ascii="仿宋" w:hAnsi="仿宋" w:eastAsia="仿宋" w:cs="仿宋"/>
          <w:color w:val="auto"/>
          <w:highlight w:val="none"/>
        </w:rPr>
      </w:pPr>
      <w:r>
        <w:rPr>
          <w:rFonts w:hint="eastAsia" w:ascii="仿宋" w:hAnsi="仿宋" w:eastAsia="仿宋" w:cs="仿宋"/>
          <w:color w:val="auto"/>
          <w:highlight w:val="none"/>
        </w:rPr>
        <w:t>3.概算通过政府审核部门审核，并提交完整的支付申请资料后15个工作日内，发包人向设计人支付至初步设计费结算价的95%</w:t>
      </w:r>
    </w:p>
    <w:p w14:paraId="5339C186">
      <w:pPr>
        <w:pStyle w:val="18"/>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4.施工图完成并通过审查，并提交完整的支付申请资料后15个工作日内，发包人向设计人支付至初步设计费结算价的 100%（同时扣减已实际支付的设计费）。</w:t>
      </w:r>
    </w:p>
    <w:p w14:paraId="1E5309D6">
      <w:pPr>
        <w:pStyle w:val="18"/>
        <w:rPr>
          <w:rFonts w:hint="eastAsia" w:ascii="仿宋" w:hAnsi="仿宋" w:eastAsia="仿宋" w:cs="仿宋"/>
          <w:b/>
          <w:bCs/>
          <w:color w:val="auto"/>
          <w:highlight w:val="none"/>
        </w:rPr>
      </w:pPr>
      <w:r>
        <w:rPr>
          <w:rFonts w:hint="eastAsia" w:ascii="仿宋" w:hAnsi="仿宋" w:eastAsia="仿宋" w:cs="仿宋"/>
          <w:b/>
          <w:bCs/>
          <w:color w:val="auto"/>
          <w:highlight w:val="none"/>
        </w:rPr>
        <w:t>附件 7 ：</w:t>
      </w:r>
    </w:p>
    <w:p w14:paraId="0EBAA555">
      <w:pPr>
        <w:jc w:val="center"/>
        <w:outlineLvl w:val="0"/>
        <w:rPr>
          <w:rFonts w:hint="eastAsia" w:ascii="仿宋" w:hAnsi="仿宋" w:eastAsia="仿宋" w:cs="仿宋"/>
          <w:color w:val="auto"/>
          <w:highlight w:val="none"/>
        </w:rPr>
      </w:pPr>
      <w:bookmarkStart w:id="112" w:name="_Toc28079"/>
      <w:bookmarkStart w:id="113" w:name="_Toc17741"/>
      <w:r>
        <w:rPr>
          <w:rFonts w:hint="eastAsia" w:ascii="仿宋" w:hAnsi="仿宋" w:eastAsia="仿宋" w:cs="仿宋"/>
          <w:b/>
          <w:color w:val="auto"/>
          <w:sz w:val="32"/>
          <w:szCs w:val="32"/>
          <w:highlight w:val="none"/>
        </w:rPr>
        <w:t>设计变更计费依据和方法</w:t>
      </w:r>
      <w:bookmarkEnd w:id="112"/>
      <w:bookmarkEnd w:id="113"/>
    </w:p>
    <w:p w14:paraId="4175DC82">
      <w:pPr>
        <w:pStyle w:val="18"/>
        <w:rPr>
          <w:rFonts w:hint="eastAsia" w:ascii="仿宋" w:hAnsi="仿宋" w:eastAsia="仿宋" w:cs="仿宋"/>
          <w:color w:val="auto"/>
          <w:highlight w:val="none"/>
        </w:rPr>
      </w:pPr>
    </w:p>
    <w:p w14:paraId="5E5A7680">
      <w:pPr>
        <w:pStyle w:val="18"/>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无</w:t>
      </w:r>
    </w:p>
    <w:p w14:paraId="755A183C">
      <w:pPr>
        <w:rPr>
          <w:color w:val="auto"/>
          <w:highlight w:val="none"/>
        </w:rPr>
      </w:pPr>
    </w:p>
    <w:p w14:paraId="20C2B623">
      <w:pPr>
        <w:spacing w:line="440" w:lineRule="exact"/>
        <w:jc w:val="center"/>
        <w:rPr>
          <w:rFonts w:hint="eastAsia" w:ascii="仿宋" w:hAnsi="仿宋" w:eastAsia="仿宋" w:cs="仿宋"/>
          <w:color w:val="auto"/>
          <w:sz w:val="20"/>
          <w:highlight w:val="none"/>
        </w:rPr>
      </w:pPr>
    </w:p>
    <w:p w14:paraId="0FAF5FB6">
      <w:pPr>
        <w:spacing w:line="440" w:lineRule="exact"/>
        <w:jc w:val="center"/>
        <w:rPr>
          <w:rFonts w:hint="eastAsia" w:ascii="仿宋" w:hAnsi="仿宋" w:eastAsia="仿宋" w:cs="仿宋"/>
          <w:color w:val="auto"/>
          <w:sz w:val="20"/>
          <w:highlight w:val="none"/>
        </w:rPr>
      </w:pPr>
    </w:p>
    <w:p w14:paraId="5936834C">
      <w:pPr>
        <w:spacing w:line="440" w:lineRule="exact"/>
        <w:jc w:val="center"/>
        <w:rPr>
          <w:rFonts w:hint="eastAsia" w:ascii="仿宋" w:hAnsi="仿宋" w:eastAsia="仿宋" w:cs="仿宋"/>
          <w:color w:val="auto"/>
          <w:sz w:val="20"/>
          <w:highlight w:val="none"/>
        </w:rPr>
      </w:pPr>
    </w:p>
    <w:p w14:paraId="1A4C9A4B">
      <w:pPr>
        <w:spacing w:line="440" w:lineRule="exact"/>
        <w:jc w:val="center"/>
        <w:rPr>
          <w:rFonts w:hint="eastAsia" w:ascii="仿宋" w:hAnsi="仿宋" w:eastAsia="仿宋" w:cs="仿宋"/>
          <w:color w:val="auto"/>
          <w:sz w:val="20"/>
          <w:highlight w:val="none"/>
        </w:rPr>
      </w:pPr>
    </w:p>
    <w:p w14:paraId="69C9C65C">
      <w:pPr>
        <w:spacing w:line="440" w:lineRule="exact"/>
        <w:jc w:val="center"/>
        <w:rPr>
          <w:rFonts w:hint="eastAsia" w:ascii="仿宋" w:hAnsi="仿宋" w:eastAsia="仿宋" w:cs="仿宋"/>
          <w:color w:val="auto"/>
          <w:sz w:val="20"/>
          <w:highlight w:val="none"/>
        </w:rPr>
      </w:pPr>
    </w:p>
    <w:p w14:paraId="2F5009AB">
      <w:pPr>
        <w:spacing w:line="440" w:lineRule="exact"/>
        <w:jc w:val="center"/>
        <w:rPr>
          <w:rFonts w:hint="eastAsia" w:ascii="仿宋" w:hAnsi="仿宋" w:eastAsia="仿宋" w:cs="仿宋"/>
          <w:color w:val="auto"/>
          <w:sz w:val="20"/>
          <w:highlight w:val="none"/>
        </w:rPr>
      </w:pPr>
    </w:p>
    <w:p w14:paraId="680B38A3">
      <w:pPr>
        <w:spacing w:line="440" w:lineRule="exact"/>
        <w:jc w:val="center"/>
        <w:rPr>
          <w:rFonts w:hint="eastAsia" w:ascii="仿宋" w:hAnsi="仿宋" w:eastAsia="仿宋" w:cs="仿宋"/>
          <w:color w:val="auto"/>
          <w:sz w:val="20"/>
          <w:highlight w:val="none"/>
        </w:rPr>
      </w:pPr>
    </w:p>
    <w:p w14:paraId="0092BCC0">
      <w:pPr>
        <w:spacing w:line="440" w:lineRule="exact"/>
        <w:jc w:val="center"/>
        <w:rPr>
          <w:rFonts w:hint="eastAsia" w:ascii="仿宋" w:hAnsi="仿宋" w:eastAsia="仿宋" w:cs="仿宋"/>
          <w:color w:val="auto"/>
          <w:sz w:val="20"/>
          <w:highlight w:val="none"/>
        </w:rPr>
      </w:pPr>
    </w:p>
    <w:p w14:paraId="3719FAE2">
      <w:pPr>
        <w:spacing w:line="440" w:lineRule="exact"/>
        <w:jc w:val="center"/>
        <w:rPr>
          <w:rFonts w:hint="eastAsia" w:ascii="仿宋" w:hAnsi="仿宋" w:eastAsia="仿宋" w:cs="仿宋"/>
          <w:color w:val="auto"/>
          <w:sz w:val="20"/>
          <w:highlight w:val="none"/>
        </w:rPr>
      </w:pPr>
    </w:p>
    <w:p w14:paraId="781E6F9E">
      <w:pPr>
        <w:spacing w:line="440" w:lineRule="exact"/>
        <w:jc w:val="center"/>
        <w:rPr>
          <w:rFonts w:hint="eastAsia" w:ascii="仿宋" w:hAnsi="仿宋" w:eastAsia="仿宋" w:cs="仿宋"/>
          <w:color w:val="auto"/>
          <w:sz w:val="20"/>
          <w:highlight w:val="none"/>
        </w:rPr>
      </w:pPr>
    </w:p>
    <w:p w14:paraId="522C8097">
      <w:pPr>
        <w:spacing w:line="440" w:lineRule="exact"/>
        <w:jc w:val="center"/>
        <w:rPr>
          <w:rFonts w:hint="eastAsia" w:ascii="仿宋" w:hAnsi="仿宋" w:eastAsia="仿宋" w:cs="仿宋"/>
          <w:color w:val="auto"/>
          <w:sz w:val="20"/>
          <w:highlight w:val="none"/>
        </w:rPr>
      </w:pPr>
    </w:p>
    <w:p w14:paraId="1D6900A5">
      <w:pPr>
        <w:spacing w:line="440" w:lineRule="exact"/>
        <w:jc w:val="center"/>
        <w:rPr>
          <w:rFonts w:hint="eastAsia" w:ascii="仿宋" w:hAnsi="仿宋" w:eastAsia="仿宋" w:cs="仿宋"/>
          <w:color w:val="auto"/>
          <w:sz w:val="20"/>
          <w:highlight w:val="none"/>
        </w:rPr>
      </w:pPr>
    </w:p>
    <w:p w14:paraId="2132826C">
      <w:pPr>
        <w:spacing w:line="440" w:lineRule="exact"/>
        <w:jc w:val="center"/>
        <w:rPr>
          <w:rFonts w:hint="eastAsia" w:ascii="仿宋" w:hAnsi="仿宋" w:eastAsia="仿宋" w:cs="仿宋"/>
          <w:color w:val="auto"/>
          <w:sz w:val="20"/>
          <w:highlight w:val="none"/>
        </w:rPr>
      </w:pPr>
    </w:p>
    <w:p w14:paraId="65A388BF">
      <w:pPr>
        <w:spacing w:line="440" w:lineRule="exact"/>
        <w:jc w:val="center"/>
        <w:rPr>
          <w:rFonts w:hint="eastAsia" w:ascii="仿宋" w:hAnsi="仿宋" w:eastAsia="仿宋" w:cs="仿宋"/>
          <w:color w:val="auto"/>
          <w:sz w:val="20"/>
          <w:highlight w:val="none"/>
        </w:rPr>
      </w:pPr>
    </w:p>
    <w:p w14:paraId="57B6C078">
      <w:pPr>
        <w:spacing w:line="440" w:lineRule="exact"/>
        <w:jc w:val="center"/>
        <w:rPr>
          <w:rFonts w:hint="eastAsia" w:ascii="仿宋" w:hAnsi="仿宋" w:eastAsia="仿宋" w:cs="仿宋"/>
          <w:color w:val="auto"/>
          <w:sz w:val="20"/>
          <w:highlight w:val="none"/>
        </w:rPr>
      </w:pPr>
    </w:p>
    <w:p w14:paraId="3348B31F">
      <w:pPr>
        <w:spacing w:line="440" w:lineRule="exact"/>
        <w:jc w:val="center"/>
        <w:rPr>
          <w:rFonts w:hint="eastAsia" w:ascii="仿宋" w:hAnsi="仿宋" w:eastAsia="仿宋" w:cs="仿宋"/>
          <w:color w:val="auto"/>
          <w:sz w:val="20"/>
          <w:highlight w:val="none"/>
        </w:rPr>
      </w:pPr>
    </w:p>
    <w:p w14:paraId="52969682">
      <w:pPr>
        <w:spacing w:line="440" w:lineRule="exact"/>
        <w:jc w:val="center"/>
        <w:rPr>
          <w:rFonts w:hint="eastAsia" w:ascii="仿宋" w:hAnsi="仿宋" w:eastAsia="仿宋" w:cs="仿宋"/>
          <w:color w:val="auto"/>
          <w:sz w:val="20"/>
          <w:highlight w:val="none"/>
        </w:rPr>
      </w:pPr>
    </w:p>
    <w:p w14:paraId="0BD9BA94">
      <w:pPr>
        <w:spacing w:line="440" w:lineRule="exact"/>
        <w:jc w:val="center"/>
        <w:rPr>
          <w:rFonts w:hint="eastAsia" w:ascii="仿宋" w:hAnsi="仿宋" w:eastAsia="仿宋" w:cs="仿宋"/>
          <w:color w:val="auto"/>
          <w:sz w:val="20"/>
          <w:highlight w:val="none"/>
        </w:rPr>
      </w:pPr>
    </w:p>
    <w:p w14:paraId="7368A59C">
      <w:pPr>
        <w:spacing w:line="440" w:lineRule="exact"/>
        <w:jc w:val="center"/>
        <w:rPr>
          <w:rFonts w:hint="eastAsia" w:ascii="仿宋" w:hAnsi="仿宋" w:eastAsia="仿宋" w:cs="仿宋"/>
          <w:color w:val="auto"/>
          <w:sz w:val="20"/>
          <w:highlight w:val="none"/>
        </w:rPr>
      </w:pPr>
    </w:p>
    <w:p w14:paraId="1DC789D9">
      <w:pPr>
        <w:pStyle w:val="2"/>
        <w:numPr>
          <w:ilvl w:val="0"/>
          <w:numId w:val="11"/>
        </w:numPr>
        <w:rPr>
          <w:rFonts w:hint="eastAsia" w:ascii="仿宋" w:hAnsi="仿宋" w:eastAsia="仿宋" w:cs="仿宋"/>
          <w:color w:val="auto"/>
          <w:highlight w:val="none"/>
        </w:rPr>
      </w:pPr>
      <w:bookmarkStart w:id="114" w:name="_Toc144284812"/>
      <w:bookmarkStart w:id="115" w:name="_Toc160110271"/>
      <w:bookmarkStart w:id="116" w:name="_Toc162002574"/>
      <w:bookmarkStart w:id="117" w:name="_Toc149755993"/>
      <w:bookmarkStart w:id="118" w:name="_Toc144284755"/>
      <w:r>
        <w:rPr>
          <w:rFonts w:hint="eastAsia" w:ascii="仿宋" w:hAnsi="仿宋" w:eastAsia="仿宋" w:cs="仿宋"/>
          <w:color w:val="auto"/>
          <w:highlight w:val="none"/>
        </w:rPr>
        <w:t>发包人要求</w:t>
      </w:r>
      <w:bookmarkEnd w:id="114"/>
      <w:bookmarkEnd w:id="115"/>
      <w:bookmarkEnd w:id="116"/>
      <w:bookmarkEnd w:id="117"/>
      <w:bookmarkEnd w:id="118"/>
    </w:p>
    <w:p w14:paraId="3298E214">
      <w:pPr>
        <w:rPr>
          <w:rFonts w:hint="eastAsia" w:ascii="仿宋" w:hAnsi="仿宋" w:eastAsia="仿宋" w:cs="仿宋"/>
          <w:color w:val="auto"/>
          <w:highlight w:val="none"/>
        </w:rPr>
      </w:pPr>
    </w:p>
    <w:p w14:paraId="2493CCFA">
      <w:pPr>
        <w:pStyle w:val="18"/>
        <w:spacing w:before="133" w:line="189" w:lineRule="auto"/>
        <w:ind w:left="3981"/>
        <w:outlineLvl w:val="1"/>
        <w:rPr>
          <w:rFonts w:hint="eastAsia" w:ascii="仿宋" w:hAnsi="仿宋" w:eastAsia="仿宋" w:cs="仿宋"/>
          <w:color w:val="auto"/>
          <w:sz w:val="31"/>
          <w:szCs w:val="31"/>
          <w:highlight w:val="none"/>
        </w:rPr>
      </w:pPr>
      <w:r>
        <w:rPr>
          <w:rFonts w:hint="eastAsia" w:ascii="仿宋" w:hAnsi="仿宋" w:eastAsia="仿宋" w:cs="仿宋"/>
          <w:color w:val="auto"/>
          <w:spacing w:val="7"/>
          <w:sz w:val="31"/>
          <w:szCs w:val="31"/>
          <w:highlight w:val="none"/>
        </w:rPr>
        <w:t>发包人要求</w:t>
      </w:r>
    </w:p>
    <w:p w14:paraId="5D20E650">
      <w:pPr>
        <w:pStyle w:val="18"/>
        <w:keepNext w:val="0"/>
        <w:keepLines w:val="0"/>
        <w:pageBreakBefore w:val="0"/>
        <w:widowControl w:val="0"/>
        <w:kinsoku/>
        <w:wordWrap/>
        <w:overflowPunct/>
        <w:topLinePunct w:val="0"/>
        <w:autoSpaceDE/>
        <w:autoSpaceDN/>
        <w:bidi w:val="0"/>
        <w:adjustRightInd/>
        <w:snapToGrid/>
        <w:spacing w:before="329" w:line="500" w:lineRule="exact"/>
        <w:ind w:left="126" w:right="102" w:firstLine="421"/>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发包人要求应尽可能清晰准确，对于可以进行定量评估的工作，发包人要求不仅应明确规</w:t>
      </w:r>
      <w:r>
        <w:rPr>
          <w:rFonts w:hint="eastAsia" w:ascii="仿宋" w:hAnsi="仿宋" w:eastAsia="仿宋" w:cs="仿宋"/>
          <w:color w:val="auto"/>
          <w:spacing w:val="69"/>
          <w:sz w:val="21"/>
          <w:szCs w:val="21"/>
          <w:highlight w:val="none"/>
        </w:rPr>
        <w:t xml:space="preserve"> </w:t>
      </w:r>
      <w:r>
        <w:rPr>
          <w:rFonts w:hint="eastAsia" w:ascii="仿宋" w:hAnsi="仿宋" w:eastAsia="仿宋" w:cs="仿宋"/>
          <w:color w:val="auto"/>
          <w:spacing w:val="-2"/>
          <w:sz w:val="21"/>
          <w:szCs w:val="21"/>
          <w:highlight w:val="none"/>
        </w:rPr>
        <w:t>定其功</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3"/>
          <w:sz w:val="21"/>
          <w:szCs w:val="21"/>
          <w:highlight w:val="none"/>
        </w:rPr>
        <w:t>能、用途、质量、环境、安全</w:t>
      </w:r>
      <w:r>
        <w:rPr>
          <w:rFonts w:hint="eastAsia" w:ascii="仿宋" w:hAnsi="仿宋" w:eastAsia="仿宋" w:cs="仿宋"/>
          <w:color w:val="auto"/>
          <w:spacing w:val="-26"/>
          <w:sz w:val="21"/>
          <w:szCs w:val="21"/>
          <w:highlight w:val="none"/>
        </w:rPr>
        <w:t xml:space="preserve"> </w:t>
      </w:r>
      <w:r>
        <w:rPr>
          <w:rFonts w:hint="eastAsia" w:ascii="仿宋" w:hAnsi="仿宋" w:eastAsia="仿宋" w:cs="仿宋"/>
          <w:color w:val="auto"/>
          <w:spacing w:val="-3"/>
          <w:sz w:val="21"/>
          <w:szCs w:val="21"/>
          <w:highlight w:val="none"/>
        </w:rPr>
        <w:t>，并且要规定偏差的范围和计算方法</w:t>
      </w:r>
      <w:r>
        <w:rPr>
          <w:rFonts w:hint="eastAsia" w:ascii="仿宋" w:hAnsi="仿宋" w:eastAsia="仿宋" w:cs="仿宋"/>
          <w:color w:val="auto"/>
          <w:spacing w:val="-37"/>
          <w:sz w:val="21"/>
          <w:szCs w:val="21"/>
          <w:highlight w:val="none"/>
        </w:rPr>
        <w:t xml:space="preserve"> </w:t>
      </w:r>
      <w:r>
        <w:rPr>
          <w:rFonts w:hint="eastAsia" w:ascii="仿宋" w:hAnsi="仿宋" w:eastAsia="仿宋" w:cs="仿宋"/>
          <w:color w:val="auto"/>
          <w:spacing w:val="-3"/>
          <w:sz w:val="21"/>
          <w:szCs w:val="21"/>
          <w:highlight w:val="none"/>
        </w:rPr>
        <w:t>，</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3"/>
          <w:sz w:val="21"/>
          <w:szCs w:val="21"/>
          <w:highlight w:val="none"/>
        </w:rPr>
        <w:t>以及检验、试验、</w:t>
      </w:r>
      <w:r>
        <w:rPr>
          <w:rFonts w:hint="eastAsia" w:ascii="仿宋" w:hAnsi="仿宋" w:eastAsia="仿宋" w:cs="仿宋"/>
          <w:color w:val="auto"/>
          <w:spacing w:val="30"/>
          <w:sz w:val="21"/>
          <w:szCs w:val="21"/>
          <w:highlight w:val="none"/>
        </w:rPr>
        <w:t xml:space="preserve"> </w:t>
      </w:r>
      <w:r>
        <w:rPr>
          <w:rFonts w:hint="eastAsia" w:ascii="仿宋" w:hAnsi="仿宋" w:eastAsia="仿宋" w:cs="仿宋"/>
          <w:color w:val="auto"/>
          <w:spacing w:val="-3"/>
          <w:sz w:val="21"/>
          <w:szCs w:val="21"/>
          <w:highlight w:val="none"/>
        </w:rPr>
        <w:t>试运行的具体</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
          <w:sz w:val="21"/>
          <w:szCs w:val="21"/>
          <w:highlight w:val="none"/>
        </w:rPr>
        <w:t>要求。对于（勘察）</w:t>
      </w:r>
      <w:r>
        <w:rPr>
          <w:rFonts w:hint="eastAsia" w:ascii="仿宋" w:hAnsi="仿宋" w:eastAsia="仿宋" w:cs="仿宋"/>
          <w:color w:val="auto"/>
          <w:spacing w:val="-29"/>
          <w:sz w:val="21"/>
          <w:szCs w:val="21"/>
          <w:highlight w:val="none"/>
        </w:rPr>
        <w:t xml:space="preserve"> </w:t>
      </w:r>
      <w:r>
        <w:rPr>
          <w:rFonts w:hint="eastAsia" w:ascii="仿宋" w:hAnsi="仿宋" w:eastAsia="仿宋" w:cs="仿宋"/>
          <w:color w:val="auto"/>
          <w:spacing w:val="-1"/>
          <w:sz w:val="21"/>
          <w:szCs w:val="21"/>
          <w:highlight w:val="none"/>
        </w:rPr>
        <w:t>设计人负责提供的有关服务，在发包人要求中应一并明确规定。</w:t>
      </w:r>
    </w:p>
    <w:p w14:paraId="705065F4">
      <w:pPr>
        <w:pStyle w:val="18"/>
        <w:keepNext w:val="0"/>
        <w:keepLines w:val="0"/>
        <w:pageBreakBefore w:val="0"/>
        <w:widowControl w:val="0"/>
        <w:kinsoku/>
        <w:wordWrap/>
        <w:overflowPunct/>
        <w:topLinePunct w:val="0"/>
        <w:autoSpaceDE/>
        <w:autoSpaceDN/>
        <w:bidi w:val="0"/>
        <w:adjustRightInd/>
        <w:snapToGrid/>
        <w:spacing w:before="129" w:line="400" w:lineRule="exact"/>
        <w:ind w:left="9"/>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发包人要求通常包括但不限于以下内容：</w:t>
      </w:r>
    </w:p>
    <w:p w14:paraId="6F823CF7">
      <w:pPr>
        <w:pStyle w:val="18"/>
        <w:keepNext w:val="0"/>
        <w:keepLines w:val="0"/>
        <w:pageBreakBefore w:val="0"/>
        <w:widowControl w:val="0"/>
        <w:kinsoku/>
        <w:wordWrap/>
        <w:overflowPunct/>
        <w:topLinePunct w:val="0"/>
        <w:autoSpaceDE/>
        <w:autoSpaceDN/>
        <w:bidi w:val="0"/>
        <w:adjustRightInd/>
        <w:snapToGrid/>
        <w:spacing w:before="306" w:line="400" w:lineRule="exact"/>
        <w:ind w:left="129"/>
        <w:textAlignment w:val="auto"/>
        <w:outlineLvl w:val="2"/>
        <w:rPr>
          <w:rFonts w:hint="eastAsia" w:ascii="仿宋" w:hAnsi="仿宋" w:eastAsia="仿宋" w:cs="仿宋"/>
          <w:color w:val="auto"/>
          <w:sz w:val="21"/>
          <w:highlight w:val="none"/>
        </w:rPr>
      </w:pPr>
      <w:r>
        <w:rPr>
          <w:rFonts w:hint="eastAsia" w:ascii="仿宋" w:hAnsi="仿宋" w:eastAsia="仿宋" w:cs="仿宋"/>
          <w:color w:val="auto"/>
          <w:spacing w:val="-15"/>
          <w:sz w:val="24"/>
          <w:szCs w:val="24"/>
          <w:highlight w:val="none"/>
        </w:rPr>
        <w:t>一、（勘察）设计要求</w:t>
      </w:r>
    </w:p>
    <w:p w14:paraId="7CFD9738">
      <w:pPr>
        <w:pStyle w:val="18"/>
        <w:keepNext w:val="0"/>
        <w:keepLines w:val="0"/>
        <w:pageBreakBefore w:val="0"/>
        <w:widowControl w:val="0"/>
        <w:kinsoku/>
        <w:wordWrap/>
        <w:overflowPunct/>
        <w:topLinePunct w:val="0"/>
        <w:autoSpaceDE/>
        <w:autoSpaceDN/>
        <w:bidi w:val="0"/>
        <w:adjustRightInd/>
        <w:snapToGrid/>
        <w:spacing w:before="90" w:line="400" w:lineRule="exact"/>
        <w:ind w:left="483"/>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招标人应当根据项目情况在本章中明确相应的（勘察）设计要求，一般应包括以下内容：</w:t>
      </w:r>
    </w:p>
    <w:p w14:paraId="297EE090">
      <w:pPr>
        <w:pStyle w:val="18"/>
        <w:keepNext w:val="0"/>
        <w:keepLines w:val="0"/>
        <w:pageBreakBefore w:val="0"/>
        <w:widowControl w:val="0"/>
        <w:kinsoku/>
        <w:wordWrap/>
        <w:overflowPunct/>
        <w:topLinePunct w:val="0"/>
        <w:autoSpaceDE/>
        <w:autoSpaceDN/>
        <w:bidi w:val="0"/>
        <w:adjustRightInd/>
        <w:snapToGrid/>
        <w:spacing w:before="241" w:line="400" w:lineRule="exact"/>
        <w:ind w:left="483" w:firstLine="15"/>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1.   项目概况  包括项目名称、建设单位</w:t>
      </w:r>
      <w:r>
        <w:rPr>
          <w:rFonts w:hint="eastAsia" w:ascii="仿宋" w:hAnsi="仿宋" w:eastAsia="仿宋" w:cs="仿宋"/>
          <w:color w:val="auto"/>
          <w:spacing w:val="-32"/>
          <w:sz w:val="21"/>
          <w:szCs w:val="21"/>
          <w:highlight w:val="none"/>
        </w:rPr>
        <w:t xml:space="preserve"> </w:t>
      </w:r>
      <w:r>
        <w:rPr>
          <w:rFonts w:hint="eastAsia" w:ascii="仿宋" w:hAnsi="仿宋" w:eastAsia="仿宋" w:cs="仿宋"/>
          <w:color w:val="auto"/>
          <w:spacing w:val="2"/>
          <w:sz w:val="21"/>
          <w:szCs w:val="21"/>
          <w:highlight w:val="none"/>
        </w:rPr>
        <w:t>、建</w:t>
      </w:r>
      <w:r>
        <w:rPr>
          <w:rFonts w:hint="eastAsia" w:ascii="仿宋" w:hAnsi="仿宋" w:eastAsia="仿宋" w:cs="仿宋"/>
          <w:color w:val="auto"/>
          <w:spacing w:val="1"/>
          <w:sz w:val="21"/>
          <w:szCs w:val="21"/>
          <w:highlight w:val="none"/>
        </w:rPr>
        <w:t>设规模、</w:t>
      </w:r>
      <w:r>
        <w:rPr>
          <w:rFonts w:hint="eastAsia" w:ascii="仿宋" w:hAnsi="仿宋" w:eastAsia="仿宋" w:cs="仿宋"/>
          <w:color w:val="auto"/>
          <w:spacing w:val="-36"/>
          <w:sz w:val="21"/>
          <w:szCs w:val="21"/>
          <w:highlight w:val="none"/>
        </w:rPr>
        <w:t xml:space="preserve"> </w:t>
      </w:r>
      <w:r>
        <w:rPr>
          <w:rFonts w:hint="eastAsia" w:ascii="仿宋" w:hAnsi="仿宋" w:eastAsia="仿宋" w:cs="仿宋"/>
          <w:color w:val="auto"/>
          <w:spacing w:val="1"/>
          <w:sz w:val="21"/>
          <w:szCs w:val="21"/>
          <w:highlight w:val="none"/>
        </w:rPr>
        <w:t>项目地理位置</w:t>
      </w:r>
      <w:r>
        <w:rPr>
          <w:rFonts w:hint="eastAsia" w:ascii="仿宋" w:hAnsi="仿宋" w:eastAsia="仿宋" w:cs="仿宋"/>
          <w:color w:val="auto"/>
          <w:spacing w:val="-32"/>
          <w:sz w:val="21"/>
          <w:szCs w:val="21"/>
          <w:highlight w:val="none"/>
        </w:rPr>
        <w:t xml:space="preserve"> </w:t>
      </w:r>
      <w:r>
        <w:rPr>
          <w:rFonts w:hint="eastAsia" w:ascii="仿宋" w:hAnsi="仿宋" w:eastAsia="仿宋" w:cs="仿宋"/>
          <w:color w:val="auto"/>
          <w:spacing w:val="1"/>
          <w:sz w:val="21"/>
          <w:szCs w:val="21"/>
          <w:highlight w:val="none"/>
        </w:rPr>
        <w:t>、周边环境、</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1"/>
          <w:sz w:val="21"/>
          <w:szCs w:val="21"/>
          <w:highlight w:val="none"/>
        </w:rPr>
        <w:t>树木情况、文物</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情况、</w:t>
      </w:r>
    </w:p>
    <w:p w14:paraId="637450C9">
      <w:pPr>
        <w:pStyle w:val="18"/>
        <w:keepNext w:val="0"/>
        <w:keepLines w:val="0"/>
        <w:pageBreakBefore w:val="0"/>
        <w:widowControl w:val="0"/>
        <w:kinsoku/>
        <w:wordWrap/>
        <w:overflowPunct/>
        <w:topLinePunct w:val="0"/>
        <w:autoSpaceDE/>
        <w:autoSpaceDN/>
        <w:bidi w:val="0"/>
        <w:adjustRightInd/>
        <w:snapToGrid/>
        <w:spacing w:before="121" w:line="400" w:lineRule="exact"/>
        <w:ind w:left="12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地址地貌、气候及气象条件、道路交通状况、市政</w:t>
      </w:r>
      <w:r>
        <w:rPr>
          <w:rFonts w:hint="eastAsia" w:ascii="仿宋" w:hAnsi="仿宋" w:eastAsia="仿宋" w:cs="仿宋"/>
          <w:color w:val="auto"/>
          <w:spacing w:val="-1"/>
          <w:sz w:val="21"/>
          <w:szCs w:val="21"/>
          <w:highlight w:val="none"/>
        </w:rPr>
        <w:t>情况等。</w:t>
      </w:r>
    </w:p>
    <w:p w14:paraId="099008A9">
      <w:pPr>
        <w:pStyle w:val="18"/>
        <w:keepNext w:val="0"/>
        <w:keepLines w:val="0"/>
        <w:pageBreakBefore w:val="0"/>
        <w:widowControl w:val="0"/>
        <w:kinsoku/>
        <w:wordWrap/>
        <w:overflowPunct/>
        <w:topLinePunct w:val="0"/>
        <w:autoSpaceDE/>
        <w:autoSpaceDN/>
        <w:bidi w:val="0"/>
        <w:adjustRightInd/>
        <w:snapToGrid/>
        <w:spacing w:before="232" w:line="400" w:lineRule="exact"/>
        <w:ind w:left="478"/>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2.</w:t>
      </w:r>
      <w:r>
        <w:rPr>
          <w:rFonts w:hint="eastAsia" w:ascii="仿宋" w:hAnsi="仿宋" w:eastAsia="仿宋" w:cs="仿宋"/>
          <w:color w:val="auto"/>
          <w:spacing w:val="22"/>
          <w:sz w:val="21"/>
          <w:szCs w:val="21"/>
          <w:highlight w:val="none"/>
        </w:rPr>
        <w:t xml:space="preserve">  </w:t>
      </w:r>
      <w:r>
        <w:rPr>
          <w:rFonts w:hint="eastAsia" w:ascii="仿宋" w:hAnsi="仿宋" w:eastAsia="仿宋" w:cs="仿宋"/>
          <w:color w:val="auto"/>
          <w:spacing w:val="-2"/>
          <w:sz w:val="21"/>
          <w:szCs w:val="21"/>
          <w:highlight w:val="none"/>
        </w:rPr>
        <w:t>（勘察）</w:t>
      </w:r>
      <w:r>
        <w:rPr>
          <w:rFonts w:hint="eastAsia" w:ascii="仿宋" w:hAnsi="仿宋" w:eastAsia="仿宋" w:cs="仿宋"/>
          <w:color w:val="auto"/>
          <w:spacing w:val="-30"/>
          <w:sz w:val="21"/>
          <w:szCs w:val="21"/>
          <w:highlight w:val="none"/>
        </w:rPr>
        <w:t xml:space="preserve"> </w:t>
      </w:r>
      <w:r>
        <w:rPr>
          <w:rFonts w:hint="eastAsia" w:ascii="仿宋" w:hAnsi="仿宋" w:eastAsia="仿宋" w:cs="仿宋"/>
          <w:color w:val="auto"/>
          <w:spacing w:val="-2"/>
          <w:sz w:val="21"/>
          <w:szCs w:val="21"/>
          <w:highlight w:val="none"/>
        </w:rPr>
        <w:t>设计范围及内容</w:t>
      </w:r>
    </w:p>
    <w:p w14:paraId="1DB86554">
      <w:pPr>
        <w:pStyle w:val="18"/>
        <w:keepNext w:val="0"/>
        <w:keepLines w:val="0"/>
        <w:pageBreakBefore w:val="0"/>
        <w:widowControl w:val="0"/>
        <w:kinsoku/>
        <w:wordWrap/>
        <w:overflowPunct/>
        <w:topLinePunct w:val="0"/>
        <w:autoSpaceDE/>
        <w:autoSpaceDN/>
        <w:bidi w:val="0"/>
        <w:adjustRightInd/>
        <w:snapToGrid/>
        <w:spacing w:before="233" w:line="400" w:lineRule="exact"/>
        <w:ind w:left="482"/>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3.</w:t>
      </w:r>
      <w:r>
        <w:rPr>
          <w:rFonts w:hint="eastAsia" w:ascii="仿宋" w:hAnsi="仿宋" w:eastAsia="仿宋" w:cs="仿宋"/>
          <w:color w:val="auto"/>
          <w:spacing w:val="17"/>
          <w:w w:val="101"/>
          <w:sz w:val="21"/>
          <w:szCs w:val="21"/>
          <w:highlight w:val="none"/>
        </w:rPr>
        <w:t xml:space="preserve">  </w:t>
      </w:r>
      <w:r>
        <w:rPr>
          <w:rFonts w:hint="eastAsia" w:ascii="仿宋" w:hAnsi="仿宋" w:eastAsia="仿宋" w:cs="仿宋"/>
          <w:color w:val="auto"/>
          <w:spacing w:val="-2"/>
          <w:sz w:val="21"/>
          <w:szCs w:val="21"/>
          <w:highlight w:val="none"/>
        </w:rPr>
        <w:t>（勘察）</w:t>
      </w:r>
      <w:r>
        <w:rPr>
          <w:rFonts w:hint="eastAsia" w:ascii="仿宋" w:hAnsi="仿宋" w:eastAsia="仿宋" w:cs="仿宋"/>
          <w:color w:val="auto"/>
          <w:spacing w:val="-31"/>
          <w:sz w:val="21"/>
          <w:szCs w:val="21"/>
          <w:highlight w:val="none"/>
        </w:rPr>
        <w:t xml:space="preserve"> </w:t>
      </w:r>
      <w:r>
        <w:rPr>
          <w:rFonts w:hint="eastAsia" w:ascii="仿宋" w:hAnsi="仿宋" w:eastAsia="仿宋" w:cs="仿宋"/>
          <w:color w:val="auto"/>
          <w:spacing w:val="-2"/>
          <w:sz w:val="21"/>
          <w:szCs w:val="21"/>
          <w:highlight w:val="none"/>
        </w:rPr>
        <w:t>设计依据</w:t>
      </w:r>
    </w:p>
    <w:p w14:paraId="4818C948">
      <w:pPr>
        <w:pStyle w:val="18"/>
        <w:keepNext w:val="0"/>
        <w:keepLines w:val="0"/>
        <w:pageBreakBefore w:val="0"/>
        <w:widowControl w:val="0"/>
        <w:kinsoku/>
        <w:wordWrap/>
        <w:overflowPunct/>
        <w:topLinePunct w:val="0"/>
        <w:autoSpaceDE/>
        <w:autoSpaceDN/>
        <w:bidi w:val="0"/>
        <w:adjustRightInd/>
        <w:snapToGrid/>
        <w:spacing w:before="229" w:line="400" w:lineRule="exact"/>
        <w:ind w:left="477"/>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   项目使用功能的要求</w:t>
      </w:r>
    </w:p>
    <w:p w14:paraId="5D527687">
      <w:pPr>
        <w:pStyle w:val="18"/>
        <w:keepNext w:val="0"/>
        <w:keepLines w:val="0"/>
        <w:pageBreakBefore w:val="0"/>
        <w:widowControl w:val="0"/>
        <w:kinsoku/>
        <w:wordWrap/>
        <w:overflowPunct/>
        <w:topLinePunct w:val="0"/>
        <w:autoSpaceDE/>
        <w:autoSpaceDN/>
        <w:bidi w:val="0"/>
        <w:adjustRightInd/>
        <w:snapToGrid/>
        <w:spacing w:before="224" w:line="400" w:lineRule="exact"/>
        <w:ind w:left="484"/>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5.</w:t>
      </w:r>
      <w:r>
        <w:rPr>
          <w:rFonts w:hint="eastAsia" w:ascii="仿宋" w:hAnsi="仿宋" w:eastAsia="仿宋" w:cs="仿宋"/>
          <w:color w:val="auto"/>
          <w:spacing w:val="19"/>
          <w:sz w:val="21"/>
          <w:szCs w:val="21"/>
          <w:highlight w:val="none"/>
        </w:rPr>
        <w:t xml:space="preserve">  </w:t>
      </w:r>
      <w:r>
        <w:rPr>
          <w:rFonts w:hint="eastAsia" w:ascii="仿宋" w:hAnsi="仿宋" w:eastAsia="仿宋" w:cs="仿宋"/>
          <w:color w:val="auto"/>
          <w:spacing w:val="-2"/>
          <w:sz w:val="21"/>
          <w:szCs w:val="21"/>
          <w:highlight w:val="none"/>
        </w:rPr>
        <w:t>（勘察）</w:t>
      </w:r>
      <w:r>
        <w:rPr>
          <w:rFonts w:hint="eastAsia" w:ascii="仿宋" w:hAnsi="仿宋" w:eastAsia="仿宋" w:cs="仿宋"/>
          <w:color w:val="auto"/>
          <w:spacing w:val="-31"/>
          <w:sz w:val="21"/>
          <w:szCs w:val="21"/>
          <w:highlight w:val="none"/>
        </w:rPr>
        <w:t xml:space="preserve"> </w:t>
      </w:r>
      <w:r>
        <w:rPr>
          <w:rFonts w:hint="eastAsia" w:ascii="仿宋" w:hAnsi="仿宋" w:eastAsia="仿宋" w:cs="仿宋"/>
          <w:color w:val="auto"/>
          <w:spacing w:val="-2"/>
          <w:sz w:val="21"/>
          <w:szCs w:val="21"/>
          <w:highlight w:val="none"/>
        </w:rPr>
        <w:t>设计人员要求</w:t>
      </w:r>
    </w:p>
    <w:p w14:paraId="000C3919">
      <w:pPr>
        <w:pStyle w:val="18"/>
        <w:keepNext w:val="0"/>
        <w:keepLines w:val="0"/>
        <w:pageBreakBefore w:val="0"/>
        <w:widowControl w:val="0"/>
        <w:kinsoku/>
        <w:wordWrap/>
        <w:overflowPunct/>
        <w:topLinePunct w:val="0"/>
        <w:autoSpaceDE/>
        <w:autoSpaceDN/>
        <w:bidi w:val="0"/>
        <w:adjustRightInd/>
        <w:snapToGrid/>
        <w:spacing w:before="233" w:line="400" w:lineRule="exact"/>
        <w:ind w:left="483"/>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6.   其他要求</w:t>
      </w:r>
    </w:p>
    <w:p w14:paraId="77135EA8">
      <w:pPr>
        <w:pStyle w:val="18"/>
        <w:keepNext w:val="0"/>
        <w:keepLines w:val="0"/>
        <w:pageBreakBefore w:val="0"/>
        <w:widowControl w:val="0"/>
        <w:kinsoku/>
        <w:wordWrap/>
        <w:overflowPunct/>
        <w:topLinePunct w:val="0"/>
        <w:autoSpaceDE/>
        <w:autoSpaceDN/>
        <w:bidi w:val="0"/>
        <w:adjustRightInd/>
        <w:snapToGrid/>
        <w:spacing w:before="287" w:line="400" w:lineRule="exact"/>
        <w:ind w:left="129"/>
        <w:textAlignment w:val="auto"/>
        <w:outlineLvl w:val="2"/>
        <w:rPr>
          <w:rFonts w:hint="eastAsia" w:ascii="仿宋" w:hAnsi="仿宋" w:eastAsia="仿宋" w:cs="仿宋"/>
          <w:color w:val="auto"/>
          <w:sz w:val="21"/>
          <w:highlight w:val="none"/>
        </w:rPr>
      </w:pPr>
      <w:r>
        <w:rPr>
          <w:rFonts w:hint="eastAsia" w:ascii="仿宋" w:hAnsi="仿宋" w:eastAsia="仿宋" w:cs="仿宋"/>
          <w:color w:val="auto"/>
          <w:spacing w:val="-3"/>
          <w:sz w:val="24"/>
          <w:szCs w:val="24"/>
          <w:highlight w:val="none"/>
        </w:rPr>
        <w:t>二、适用规范标准</w:t>
      </w:r>
    </w:p>
    <w:p w14:paraId="07E91E7C">
      <w:pPr>
        <w:pStyle w:val="18"/>
        <w:keepNext w:val="0"/>
        <w:keepLines w:val="0"/>
        <w:pageBreakBefore w:val="0"/>
        <w:widowControl w:val="0"/>
        <w:kinsoku/>
        <w:wordWrap/>
        <w:overflowPunct/>
        <w:topLinePunct w:val="0"/>
        <w:autoSpaceDE/>
        <w:autoSpaceDN/>
        <w:bidi w:val="0"/>
        <w:adjustRightInd/>
        <w:snapToGrid/>
        <w:spacing w:before="90" w:line="400" w:lineRule="exact"/>
        <w:ind w:left="21"/>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1.</w:t>
      </w:r>
      <w:r>
        <w:rPr>
          <w:rFonts w:hint="eastAsia" w:ascii="仿宋" w:hAnsi="仿宋" w:eastAsia="仿宋" w:cs="仿宋"/>
          <w:color w:val="auto"/>
          <w:spacing w:val="10"/>
          <w:sz w:val="21"/>
          <w:szCs w:val="21"/>
          <w:highlight w:val="none"/>
        </w:rPr>
        <w:t xml:space="preserve">   </w:t>
      </w:r>
      <w:r>
        <w:rPr>
          <w:rFonts w:hint="eastAsia" w:ascii="仿宋" w:hAnsi="仿宋" w:eastAsia="仿宋" w:cs="仿宋"/>
          <w:color w:val="auto"/>
          <w:spacing w:val="-3"/>
          <w:sz w:val="21"/>
          <w:szCs w:val="21"/>
          <w:highlight w:val="none"/>
        </w:rPr>
        <w:t>国家、行业、项目所在地规范名录</w:t>
      </w:r>
    </w:p>
    <w:p w14:paraId="7E53A066">
      <w:pPr>
        <w:pStyle w:val="18"/>
        <w:keepNext w:val="0"/>
        <w:keepLines w:val="0"/>
        <w:pageBreakBefore w:val="0"/>
        <w:widowControl w:val="0"/>
        <w:kinsoku/>
        <w:wordWrap/>
        <w:overflowPunct/>
        <w:topLinePunct w:val="0"/>
        <w:autoSpaceDE/>
        <w:autoSpaceDN/>
        <w:bidi w:val="0"/>
        <w:adjustRightInd/>
        <w:snapToGrid/>
        <w:spacing w:before="116" w:line="400" w:lineRule="exact"/>
        <w:ind w:left="1"/>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2.</w:t>
      </w:r>
      <w:r>
        <w:rPr>
          <w:rFonts w:hint="eastAsia" w:ascii="仿宋" w:hAnsi="仿宋" w:eastAsia="仿宋" w:cs="仿宋"/>
          <w:color w:val="auto"/>
          <w:spacing w:val="11"/>
          <w:sz w:val="21"/>
          <w:szCs w:val="21"/>
          <w:highlight w:val="none"/>
        </w:rPr>
        <w:t xml:space="preserve">   </w:t>
      </w:r>
      <w:r>
        <w:rPr>
          <w:rFonts w:hint="eastAsia" w:ascii="仿宋" w:hAnsi="仿宋" w:eastAsia="仿宋" w:cs="仿宋"/>
          <w:color w:val="auto"/>
          <w:spacing w:val="-2"/>
          <w:sz w:val="21"/>
          <w:szCs w:val="21"/>
          <w:highlight w:val="none"/>
        </w:rPr>
        <w:t>国家、行业、项目所在地标准名录</w:t>
      </w:r>
    </w:p>
    <w:p w14:paraId="14E7CF3F">
      <w:pPr>
        <w:pStyle w:val="18"/>
        <w:keepNext w:val="0"/>
        <w:keepLines w:val="0"/>
        <w:pageBreakBefore w:val="0"/>
        <w:widowControl w:val="0"/>
        <w:kinsoku/>
        <w:wordWrap/>
        <w:overflowPunct/>
        <w:topLinePunct w:val="0"/>
        <w:autoSpaceDE/>
        <w:autoSpaceDN/>
        <w:bidi w:val="0"/>
        <w:adjustRightInd/>
        <w:snapToGrid/>
        <w:spacing w:before="114" w:line="400" w:lineRule="exact"/>
        <w:ind w:left="5"/>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3.</w:t>
      </w:r>
      <w:r>
        <w:rPr>
          <w:rFonts w:hint="eastAsia" w:ascii="仿宋" w:hAnsi="仿宋" w:eastAsia="仿宋" w:cs="仿宋"/>
          <w:color w:val="auto"/>
          <w:spacing w:val="9"/>
          <w:sz w:val="21"/>
          <w:szCs w:val="21"/>
          <w:highlight w:val="none"/>
        </w:rPr>
        <w:t xml:space="preserve">   </w:t>
      </w:r>
      <w:r>
        <w:rPr>
          <w:rFonts w:hint="eastAsia" w:ascii="仿宋" w:hAnsi="仿宋" w:eastAsia="仿宋" w:cs="仿宋"/>
          <w:color w:val="auto"/>
          <w:spacing w:val="-2"/>
          <w:sz w:val="21"/>
          <w:szCs w:val="21"/>
          <w:highlight w:val="none"/>
        </w:rPr>
        <w:t>国家、行业、项目所在地规程名录</w:t>
      </w:r>
    </w:p>
    <w:p w14:paraId="456003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highlight w:val="none"/>
        </w:rPr>
      </w:pPr>
    </w:p>
    <w:p w14:paraId="5AF00957">
      <w:pPr>
        <w:pStyle w:val="18"/>
        <w:keepNext w:val="0"/>
        <w:keepLines w:val="0"/>
        <w:pageBreakBefore w:val="0"/>
        <w:widowControl w:val="0"/>
        <w:kinsoku/>
        <w:wordWrap/>
        <w:overflowPunct/>
        <w:topLinePunct w:val="0"/>
        <w:autoSpaceDE/>
        <w:autoSpaceDN/>
        <w:bidi w:val="0"/>
        <w:adjustRightInd/>
        <w:snapToGrid/>
        <w:spacing w:before="103" w:line="400" w:lineRule="exact"/>
        <w:ind w:left="125"/>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三、成果文件要求</w:t>
      </w:r>
    </w:p>
    <w:p w14:paraId="06E28D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highlight w:val="none"/>
        </w:rPr>
      </w:pPr>
    </w:p>
    <w:p w14:paraId="1DB36DD9">
      <w:pPr>
        <w:pStyle w:val="18"/>
        <w:keepNext w:val="0"/>
        <w:keepLines w:val="0"/>
        <w:pageBreakBefore w:val="0"/>
        <w:widowControl w:val="0"/>
        <w:kinsoku/>
        <w:wordWrap/>
        <w:overflowPunct/>
        <w:topLinePunct w:val="0"/>
        <w:autoSpaceDE/>
        <w:autoSpaceDN/>
        <w:bidi w:val="0"/>
        <w:adjustRightInd/>
        <w:snapToGrid/>
        <w:spacing w:before="90" w:line="400" w:lineRule="exact"/>
        <w:ind w:left="21"/>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1.   成果文件的组成</w:t>
      </w:r>
      <w:r>
        <w:rPr>
          <w:rFonts w:hint="eastAsia" w:ascii="仿宋" w:hAnsi="仿宋" w:eastAsia="仿宋" w:cs="仿宋"/>
          <w:color w:val="auto"/>
          <w:spacing w:val="-18"/>
          <w:sz w:val="21"/>
          <w:szCs w:val="21"/>
          <w:highlight w:val="none"/>
        </w:rPr>
        <w:t>：（</w:t>
      </w:r>
      <w:r>
        <w:rPr>
          <w:rFonts w:hint="eastAsia" w:ascii="仿宋" w:hAnsi="仿宋" w:eastAsia="仿宋" w:cs="仿宋"/>
          <w:color w:val="auto"/>
          <w:spacing w:val="-5"/>
          <w:sz w:val="21"/>
          <w:szCs w:val="21"/>
          <w:highlight w:val="none"/>
        </w:rPr>
        <w:t>勘察）</w:t>
      </w:r>
      <w:r>
        <w:rPr>
          <w:rFonts w:hint="eastAsia" w:ascii="仿宋" w:hAnsi="仿宋" w:eastAsia="仿宋" w:cs="仿宋"/>
          <w:color w:val="auto"/>
          <w:spacing w:val="-38"/>
          <w:sz w:val="21"/>
          <w:szCs w:val="21"/>
          <w:highlight w:val="none"/>
        </w:rPr>
        <w:t xml:space="preserve"> </w:t>
      </w:r>
      <w:r>
        <w:rPr>
          <w:rFonts w:hint="eastAsia" w:ascii="仿宋" w:hAnsi="仿宋" w:eastAsia="仿宋" w:cs="仿宋"/>
          <w:color w:val="auto"/>
          <w:spacing w:val="-5"/>
          <w:sz w:val="21"/>
          <w:szCs w:val="21"/>
          <w:highlight w:val="none"/>
        </w:rPr>
        <w:t>设计说明、图纸等</w:t>
      </w:r>
    </w:p>
    <w:p w14:paraId="6E85EA9B">
      <w:pPr>
        <w:pStyle w:val="18"/>
        <w:keepNext w:val="0"/>
        <w:keepLines w:val="0"/>
        <w:pageBreakBefore w:val="0"/>
        <w:widowControl w:val="0"/>
        <w:kinsoku/>
        <w:wordWrap/>
        <w:overflowPunct/>
        <w:topLinePunct w:val="0"/>
        <w:autoSpaceDE/>
        <w:autoSpaceDN/>
        <w:bidi w:val="0"/>
        <w:adjustRightInd/>
        <w:snapToGrid/>
        <w:spacing w:before="119" w:line="400" w:lineRule="exact"/>
        <w:ind w:left="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成果文件的深度</w:t>
      </w:r>
    </w:p>
    <w:p w14:paraId="278C7066">
      <w:pPr>
        <w:pStyle w:val="18"/>
        <w:keepNext w:val="0"/>
        <w:keepLines w:val="0"/>
        <w:pageBreakBefore w:val="0"/>
        <w:widowControl w:val="0"/>
        <w:kinsoku/>
        <w:wordWrap/>
        <w:overflowPunct/>
        <w:topLinePunct w:val="0"/>
        <w:autoSpaceDE/>
        <w:autoSpaceDN/>
        <w:bidi w:val="0"/>
        <w:adjustRightInd/>
        <w:snapToGrid/>
        <w:spacing w:before="115" w:line="400" w:lineRule="exact"/>
        <w:ind w:left="5"/>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3.   成果文件的格式要求</w:t>
      </w:r>
    </w:p>
    <w:p w14:paraId="02045FB4">
      <w:pPr>
        <w:pStyle w:val="18"/>
        <w:keepNext w:val="0"/>
        <w:keepLines w:val="0"/>
        <w:pageBreakBefore w:val="0"/>
        <w:widowControl w:val="0"/>
        <w:kinsoku/>
        <w:wordWrap/>
        <w:overflowPunct/>
        <w:topLinePunct w:val="0"/>
        <w:autoSpaceDE/>
        <w:autoSpaceDN/>
        <w:bidi w:val="0"/>
        <w:adjustRightInd/>
        <w:snapToGrid/>
        <w:spacing w:before="111"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   成果文件的份数要求</w:t>
      </w:r>
    </w:p>
    <w:p w14:paraId="61A8DF5C">
      <w:pPr>
        <w:pStyle w:val="18"/>
        <w:keepNext w:val="0"/>
        <w:keepLines w:val="0"/>
        <w:pageBreakBefore w:val="0"/>
        <w:widowControl w:val="0"/>
        <w:kinsoku/>
        <w:wordWrap/>
        <w:overflowPunct/>
        <w:topLinePunct w:val="0"/>
        <w:autoSpaceDE/>
        <w:autoSpaceDN/>
        <w:bidi w:val="0"/>
        <w:adjustRightInd/>
        <w:snapToGrid/>
        <w:spacing w:before="117" w:line="400" w:lineRule="exact"/>
        <w:ind w:left="6"/>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5.   成果文件的载体要求</w:t>
      </w:r>
    </w:p>
    <w:p w14:paraId="4801356F">
      <w:pPr>
        <w:pStyle w:val="18"/>
        <w:keepNext w:val="0"/>
        <w:keepLines w:val="0"/>
        <w:pageBreakBefore w:val="0"/>
        <w:widowControl w:val="0"/>
        <w:kinsoku/>
        <w:wordWrap/>
        <w:overflowPunct/>
        <w:topLinePunct w:val="0"/>
        <w:autoSpaceDE/>
        <w:autoSpaceDN/>
        <w:bidi w:val="0"/>
        <w:adjustRightInd/>
        <w:snapToGrid/>
        <w:spacing w:before="111" w:line="400" w:lineRule="exact"/>
        <w:ind w:left="531"/>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（1）纸质版的要求（2）电子版的要求</w:t>
      </w:r>
    </w:p>
    <w:p w14:paraId="06C622B1">
      <w:pPr>
        <w:pStyle w:val="18"/>
        <w:keepNext w:val="0"/>
        <w:keepLines w:val="0"/>
        <w:pageBreakBefore w:val="0"/>
        <w:widowControl w:val="0"/>
        <w:kinsoku/>
        <w:wordWrap/>
        <w:overflowPunct/>
        <w:topLinePunct w:val="0"/>
        <w:autoSpaceDE/>
        <w:autoSpaceDN/>
        <w:bidi w:val="0"/>
        <w:adjustRightInd/>
        <w:snapToGrid/>
        <w:spacing w:before="122" w:line="400" w:lineRule="exact"/>
        <w:ind w:left="532"/>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（3）其他要求</w:t>
      </w:r>
    </w:p>
    <w:p w14:paraId="4F416F41">
      <w:pPr>
        <w:pStyle w:val="18"/>
        <w:keepNext w:val="0"/>
        <w:keepLines w:val="0"/>
        <w:pageBreakBefore w:val="0"/>
        <w:widowControl w:val="0"/>
        <w:kinsoku/>
        <w:wordWrap/>
        <w:overflowPunct/>
        <w:topLinePunct w:val="0"/>
        <w:autoSpaceDE/>
        <w:autoSpaceDN/>
        <w:bidi w:val="0"/>
        <w:adjustRightInd/>
        <w:snapToGrid/>
        <w:spacing w:before="120" w:line="40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6.   成果文件的展板、模型、沙盘、动画要求</w:t>
      </w:r>
    </w:p>
    <w:p w14:paraId="0F49FDD6">
      <w:pPr>
        <w:pStyle w:val="18"/>
        <w:keepNext w:val="0"/>
        <w:keepLines w:val="0"/>
        <w:pageBreakBefore w:val="0"/>
        <w:widowControl w:val="0"/>
        <w:kinsoku/>
        <w:wordWrap/>
        <w:overflowPunct/>
        <w:topLinePunct w:val="0"/>
        <w:autoSpaceDE/>
        <w:autoSpaceDN/>
        <w:bidi w:val="0"/>
        <w:adjustRightInd/>
        <w:snapToGrid/>
        <w:spacing w:before="103" w:line="400" w:lineRule="exact"/>
        <w:ind w:firstLine="0" w:firstLineChars="0"/>
        <w:textAlignment w:val="auto"/>
        <w:outlineLvl w:val="2"/>
        <w:rPr>
          <w:rFonts w:hint="eastAsia" w:ascii="仿宋" w:hAnsi="仿宋" w:eastAsia="仿宋" w:cs="仿宋"/>
          <w:color w:val="auto"/>
          <w:spacing w:val="-1"/>
          <w:sz w:val="21"/>
          <w:szCs w:val="21"/>
          <w:highlight w:val="none"/>
          <w:lang w:val="en-US" w:eastAsia="zh-CN"/>
        </w:rPr>
      </w:pPr>
      <w:r>
        <w:rPr>
          <w:rFonts w:hint="eastAsia" w:ascii="仿宋" w:hAnsi="仿宋" w:eastAsia="仿宋" w:cs="仿宋"/>
          <w:color w:val="auto"/>
          <w:spacing w:val="-1"/>
          <w:sz w:val="21"/>
          <w:szCs w:val="21"/>
          <w:highlight w:val="none"/>
        </w:rPr>
        <w:t>7.   成果文件的其他要</w:t>
      </w:r>
      <w:r>
        <w:rPr>
          <w:rFonts w:hint="eastAsia" w:ascii="仿宋" w:hAnsi="仿宋" w:eastAsia="仿宋" w:cs="仿宋"/>
          <w:color w:val="auto"/>
          <w:spacing w:val="-1"/>
          <w:sz w:val="21"/>
          <w:szCs w:val="21"/>
          <w:highlight w:val="none"/>
          <w:lang w:val="en-US" w:eastAsia="zh-CN"/>
        </w:rPr>
        <w:t>求</w:t>
      </w:r>
    </w:p>
    <w:p w14:paraId="4C798F7F">
      <w:pPr>
        <w:pStyle w:val="18"/>
        <w:keepNext w:val="0"/>
        <w:keepLines w:val="0"/>
        <w:pageBreakBefore w:val="0"/>
        <w:widowControl w:val="0"/>
        <w:kinsoku/>
        <w:wordWrap/>
        <w:overflowPunct/>
        <w:topLinePunct w:val="0"/>
        <w:autoSpaceDE/>
        <w:autoSpaceDN/>
        <w:bidi w:val="0"/>
        <w:adjustRightInd/>
        <w:snapToGrid/>
        <w:spacing w:before="103" w:line="400" w:lineRule="exact"/>
        <w:ind w:firstLine="416" w:firstLineChars="200"/>
        <w:textAlignment w:val="auto"/>
        <w:outlineLvl w:val="2"/>
        <w:rPr>
          <w:rFonts w:hint="eastAsia" w:ascii="仿宋" w:hAnsi="仿宋" w:eastAsia="仿宋" w:cs="仿宋"/>
          <w:color w:val="auto"/>
          <w:spacing w:val="-1"/>
          <w:sz w:val="21"/>
          <w:szCs w:val="21"/>
          <w:highlight w:val="none"/>
          <w:lang w:val="en-US" w:eastAsia="zh-CN"/>
        </w:rPr>
      </w:pPr>
    </w:p>
    <w:p w14:paraId="343B4870">
      <w:pPr>
        <w:pStyle w:val="18"/>
        <w:keepNext w:val="0"/>
        <w:keepLines w:val="0"/>
        <w:pageBreakBefore w:val="0"/>
        <w:widowControl w:val="0"/>
        <w:kinsoku/>
        <w:wordWrap/>
        <w:overflowPunct/>
        <w:topLinePunct w:val="0"/>
        <w:autoSpaceDE/>
        <w:autoSpaceDN/>
        <w:bidi w:val="0"/>
        <w:adjustRightInd/>
        <w:snapToGrid/>
        <w:spacing w:before="103" w:line="400" w:lineRule="exact"/>
        <w:ind w:firstLine="416" w:firstLineChars="200"/>
        <w:textAlignment w:val="auto"/>
        <w:outlineLvl w:val="2"/>
        <w:rPr>
          <w:rFonts w:hint="eastAsia" w:ascii="仿宋" w:hAnsi="仿宋" w:eastAsia="仿宋" w:cs="仿宋"/>
          <w:color w:val="auto"/>
          <w:spacing w:val="-1"/>
          <w:sz w:val="21"/>
          <w:szCs w:val="21"/>
          <w:highlight w:val="none"/>
          <w:lang w:val="en-US" w:eastAsia="zh-CN"/>
        </w:rPr>
      </w:pPr>
      <w:r>
        <w:rPr>
          <w:rFonts w:hint="eastAsia" w:ascii="仿宋" w:hAnsi="仿宋" w:eastAsia="仿宋" w:cs="仿宋"/>
          <w:color w:val="auto"/>
          <w:spacing w:val="-1"/>
          <w:sz w:val="21"/>
          <w:szCs w:val="21"/>
          <w:highlight w:val="none"/>
          <w:lang w:val="en-US" w:eastAsia="zh-CN"/>
        </w:rPr>
        <w:t>四、发包人财产清单</w:t>
      </w:r>
    </w:p>
    <w:p w14:paraId="6B515A6E">
      <w:pPr>
        <w:keepNext w:val="0"/>
        <w:keepLines w:val="0"/>
        <w:pageBreakBefore w:val="0"/>
        <w:widowControl w:val="0"/>
        <w:kinsoku/>
        <w:wordWrap/>
        <w:overflowPunct/>
        <w:topLinePunct w:val="0"/>
        <w:autoSpaceDE/>
        <w:autoSpaceDN/>
        <w:bidi w:val="0"/>
        <w:adjustRightInd/>
        <w:snapToGrid/>
        <w:spacing w:before="333" w:line="400" w:lineRule="exact"/>
        <w:ind w:left="99"/>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（一）发包人提供的设备、设施</w:t>
      </w:r>
    </w:p>
    <w:p w14:paraId="55A307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highlight w:val="none"/>
        </w:rPr>
      </w:pPr>
    </w:p>
    <w:p w14:paraId="36C046F8">
      <w:pPr>
        <w:pStyle w:val="18"/>
        <w:keepNext w:val="0"/>
        <w:keepLines w:val="0"/>
        <w:pageBreakBefore w:val="0"/>
        <w:widowControl w:val="0"/>
        <w:kinsoku/>
        <w:wordWrap/>
        <w:overflowPunct/>
        <w:topLinePunct w:val="0"/>
        <w:autoSpaceDE/>
        <w:autoSpaceDN/>
        <w:bidi w:val="0"/>
        <w:adjustRightInd/>
        <w:snapToGrid/>
        <w:spacing w:before="90" w:line="400" w:lineRule="exact"/>
        <w:ind w:left="434"/>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1.   发包人提供的办公房屋及冷暖设施：如办公室数量及面积、空调等</w:t>
      </w:r>
    </w:p>
    <w:p w14:paraId="689A3225">
      <w:pPr>
        <w:pStyle w:val="18"/>
        <w:keepNext w:val="0"/>
        <w:keepLines w:val="0"/>
        <w:pageBreakBefore w:val="0"/>
        <w:widowControl w:val="0"/>
        <w:kinsoku/>
        <w:wordWrap/>
        <w:overflowPunct/>
        <w:topLinePunct w:val="0"/>
        <w:autoSpaceDE/>
        <w:autoSpaceDN/>
        <w:bidi w:val="0"/>
        <w:adjustRightInd/>
        <w:snapToGrid/>
        <w:spacing w:before="113" w:line="400" w:lineRule="exact"/>
        <w:ind w:left="41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发包人提供的设备清单：如电脑、投影、打印机、复印机等</w:t>
      </w:r>
    </w:p>
    <w:p w14:paraId="2B9C1903">
      <w:pPr>
        <w:pStyle w:val="18"/>
        <w:keepNext w:val="0"/>
        <w:keepLines w:val="0"/>
        <w:pageBreakBefore w:val="0"/>
        <w:widowControl w:val="0"/>
        <w:kinsoku/>
        <w:wordWrap/>
        <w:overflowPunct/>
        <w:topLinePunct w:val="0"/>
        <w:autoSpaceDE/>
        <w:autoSpaceDN/>
        <w:bidi w:val="0"/>
        <w:adjustRightInd/>
        <w:snapToGrid/>
        <w:spacing w:before="114" w:line="400" w:lineRule="exact"/>
        <w:ind w:left="418"/>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发包人提供的设施清单：如办公桌椅</w:t>
      </w:r>
      <w:r>
        <w:rPr>
          <w:rFonts w:hint="eastAsia" w:ascii="仿宋" w:hAnsi="仿宋" w:eastAsia="仿宋" w:cs="仿宋"/>
          <w:color w:val="auto"/>
          <w:spacing w:val="-1"/>
          <w:sz w:val="21"/>
          <w:szCs w:val="21"/>
          <w:highlight w:val="none"/>
        </w:rPr>
        <w:t>、文件柜等</w:t>
      </w:r>
    </w:p>
    <w:p w14:paraId="56270A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highlight w:val="none"/>
        </w:rPr>
      </w:pPr>
    </w:p>
    <w:p w14:paraId="32F6BA34">
      <w:pPr>
        <w:keepNext w:val="0"/>
        <w:keepLines w:val="0"/>
        <w:pageBreakBefore w:val="0"/>
        <w:widowControl w:val="0"/>
        <w:kinsoku/>
        <w:wordWrap/>
        <w:overflowPunct/>
        <w:topLinePunct w:val="0"/>
        <w:autoSpaceDE/>
        <w:autoSpaceDN/>
        <w:bidi w:val="0"/>
        <w:adjustRightInd/>
        <w:snapToGrid/>
        <w:spacing w:before="61" w:line="400" w:lineRule="exact"/>
        <w:ind w:left="433"/>
        <w:textAlignment w:val="auto"/>
        <w:rPr>
          <w:rFonts w:hint="eastAsia" w:ascii="仿宋" w:hAnsi="仿宋" w:eastAsia="仿宋" w:cs="仿宋"/>
          <w:color w:val="auto"/>
          <w:sz w:val="21"/>
          <w:highlight w:val="none"/>
        </w:rPr>
      </w:pPr>
      <w:r>
        <w:rPr>
          <w:rFonts w:hint="eastAsia" w:ascii="仿宋" w:hAnsi="仿宋" w:eastAsia="仿宋" w:cs="仿宋"/>
          <w:color w:val="auto"/>
          <w:spacing w:val="-6"/>
          <w:position w:val="1"/>
          <w:sz w:val="21"/>
          <w:szCs w:val="21"/>
          <w:highlight w:val="none"/>
        </w:rPr>
        <w:t>……</w:t>
      </w:r>
    </w:p>
    <w:p w14:paraId="08337DC7">
      <w:pPr>
        <w:pStyle w:val="18"/>
        <w:keepNext w:val="0"/>
        <w:keepLines w:val="0"/>
        <w:pageBreakBefore w:val="0"/>
        <w:widowControl w:val="0"/>
        <w:kinsoku/>
        <w:wordWrap/>
        <w:overflowPunct/>
        <w:topLinePunct w:val="0"/>
        <w:autoSpaceDE/>
        <w:autoSpaceDN/>
        <w:bidi w:val="0"/>
        <w:adjustRightInd/>
        <w:snapToGrid/>
        <w:spacing w:before="104" w:line="400" w:lineRule="exact"/>
        <w:ind w:left="140"/>
        <w:textAlignment w:val="auto"/>
        <w:outlineLvl w:val="2"/>
        <w:rPr>
          <w:rFonts w:hint="eastAsia" w:ascii="仿宋" w:hAnsi="仿宋" w:eastAsia="仿宋" w:cs="仿宋"/>
          <w:color w:val="auto"/>
          <w:sz w:val="21"/>
          <w:highlight w:val="none"/>
        </w:rPr>
      </w:pPr>
      <w:r>
        <w:rPr>
          <w:rFonts w:hint="eastAsia" w:ascii="仿宋" w:hAnsi="仿宋" w:eastAsia="仿宋" w:cs="仿宋"/>
          <w:color w:val="auto"/>
          <w:spacing w:val="-2"/>
          <w:sz w:val="24"/>
          <w:szCs w:val="24"/>
          <w:highlight w:val="none"/>
        </w:rPr>
        <w:t>（二）发包人提供的资料</w:t>
      </w:r>
    </w:p>
    <w:p w14:paraId="61671EB4">
      <w:pPr>
        <w:pStyle w:val="18"/>
        <w:keepNext w:val="0"/>
        <w:keepLines w:val="0"/>
        <w:pageBreakBefore w:val="0"/>
        <w:widowControl w:val="0"/>
        <w:kinsoku/>
        <w:wordWrap/>
        <w:overflowPunct/>
        <w:topLinePunct w:val="0"/>
        <w:autoSpaceDE/>
        <w:autoSpaceDN/>
        <w:bidi w:val="0"/>
        <w:adjustRightInd/>
        <w:snapToGrid/>
        <w:spacing w:before="90" w:line="400" w:lineRule="exact"/>
        <w:ind w:firstLine="434"/>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1.   施工场地及毗邻区域内的供水、排水、供电、供气、供热、通信</w:t>
      </w:r>
      <w:r>
        <w:rPr>
          <w:rFonts w:hint="eastAsia" w:ascii="仿宋" w:hAnsi="仿宋" w:eastAsia="仿宋" w:cs="仿宋"/>
          <w:color w:val="auto"/>
          <w:spacing w:val="-3"/>
          <w:sz w:val="21"/>
          <w:szCs w:val="21"/>
          <w:highlight w:val="none"/>
        </w:rPr>
        <w:t>、广播电视等地下管线  资料、</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
          <w:sz w:val="21"/>
          <w:szCs w:val="21"/>
          <w:highlight w:val="none"/>
        </w:rPr>
        <w:t>气象和水文观测资料，相邻建筑物和构筑物、地下工程的有关资料，以及其他与建设</w:t>
      </w:r>
      <w:r>
        <w:rPr>
          <w:rFonts w:hint="eastAsia" w:ascii="仿宋" w:hAnsi="仿宋" w:eastAsia="仿宋" w:cs="仿宋"/>
          <w:color w:val="auto"/>
          <w:spacing w:val="-2"/>
          <w:sz w:val="21"/>
          <w:szCs w:val="21"/>
          <w:highlight w:val="none"/>
        </w:rPr>
        <w:t>工</w:t>
      </w:r>
      <w:r>
        <w:rPr>
          <w:rFonts w:hint="eastAsia" w:ascii="仿宋" w:hAnsi="仿宋" w:eastAsia="仿宋" w:cs="仿宋"/>
          <w:color w:val="auto"/>
          <w:spacing w:val="48"/>
          <w:sz w:val="21"/>
          <w:szCs w:val="21"/>
          <w:highlight w:val="none"/>
        </w:rPr>
        <w:t xml:space="preserve"> </w:t>
      </w:r>
      <w:r>
        <w:rPr>
          <w:rFonts w:hint="eastAsia" w:ascii="仿宋" w:hAnsi="仿宋" w:eastAsia="仿宋" w:cs="仿宋"/>
          <w:color w:val="auto"/>
          <w:spacing w:val="-2"/>
          <w:sz w:val="21"/>
          <w:szCs w:val="21"/>
          <w:highlight w:val="none"/>
        </w:rPr>
        <w:t>程有关的原始</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资料</w:t>
      </w:r>
    </w:p>
    <w:p w14:paraId="613934D4">
      <w:pPr>
        <w:pStyle w:val="18"/>
        <w:keepNext w:val="0"/>
        <w:keepLines w:val="0"/>
        <w:pageBreakBefore w:val="0"/>
        <w:widowControl w:val="0"/>
        <w:kinsoku/>
        <w:wordWrap/>
        <w:overflowPunct/>
        <w:topLinePunct w:val="0"/>
        <w:autoSpaceDE/>
        <w:autoSpaceDN/>
        <w:bidi w:val="0"/>
        <w:adjustRightInd/>
        <w:snapToGrid/>
        <w:spacing w:before="192" w:line="400" w:lineRule="exact"/>
        <w:ind w:left="41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定位放线的基准点、基准线和基准标高</w:t>
      </w:r>
    </w:p>
    <w:p w14:paraId="78679C49">
      <w:pPr>
        <w:pStyle w:val="18"/>
        <w:keepNext w:val="0"/>
        <w:keepLines w:val="0"/>
        <w:pageBreakBefore w:val="0"/>
        <w:widowControl w:val="0"/>
        <w:kinsoku/>
        <w:wordWrap/>
        <w:overflowPunct/>
        <w:topLinePunct w:val="0"/>
        <w:autoSpaceDE/>
        <w:autoSpaceDN/>
        <w:bidi w:val="0"/>
        <w:adjustRightInd/>
        <w:snapToGrid/>
        <w:spacing w:before="112" w:line="400" w:lineRule="exact"/>
        <w:ind w:left="41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发包人取得的有关审批、核准和备案材料，如规</w:t>
      </w:r>
      <w:r>
        <w:rPr>
          <w:rFonts w:hint="eastAsia" w:ascii="仿宋" w:hAnsi="仿宋" w:eastAsia="仿宋" w:cs="仿宋"/>
          <w:color w:val="auto"/>
          <w:spacing w:val="-1"/>
          <w:sz w:val="21"/>
          <w:szCs w:val="21"/>
          <w:highlight w:val="none"/>
        </w:rPr>
        <w:t>划许可证</w:t>
      </w:r>
    </w:p>
    <w:p w14:paraId="44C3EB12">
      <w:pPr>
        <w:pStyle w:val="18"/>
        <w:keepNext w:val="0"/>
        <w:keepLines w:val="0"/>
        <w:pageBreakBefore w:val="0"/>
        <w:widowControl w:val="0"/>
        <w:kinsoku/>
        <w:wordWrap/>
        <w:overflowPunct/>
        <w:topLinePunct w:val="0"/>
        <w:autoSpaceDE/>
        <w:autoSpaceDN/>
        <w:bidi w:val="0"/>
        <w:adjustRightInd/>
        <w:snapToGrid/>
        <w:spacing w:before="113" w:line="400" w:lineRule="exact"/>
        <w:ind w:left="41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   发包人提供的勘察资料</w:t>
      </w:r>
    </w:p>
    <w:p w14:paraId="7B8A2B2A">
      <w:pPr>
        <w:pStyle w:val="18"/>
        <w:keepNext w:val="0"/>
        <w:keepLines w:val="0"/>
        <w:pageBreakBefore w:val="0"/>
        <w:widowControl w:val="0"/>
        <w:kinsoku/>
        <w:wordWrap/>
        <w:overflowPunct/>
        <w:topLinePunct w:val="0"/>
        <w:autoSpaceDE/>
        <w:autoSpaceDN/>
        <w:bidi w:val="0"/>
        <w:adjustRightInd/>
        <w:snapToGrid/>
        <w:spacing w:before="114" w:line="400" w:lineRule="exact"/>
        <w:ind w:left="421"/>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5.   发包人提供的技术标准、规范</w:t>
      </w:r>
    </w:p>
    <w:p w14:paraId="6A18182E">
      <w:pPr>
        <w:pStyle w:val="18"/>
        <w:keepNext w:val="0"/>
        <w:keepLines w:val="0"/>
        <w:pageBreakBefore w:val="0"/>
        <w:widowControl w:val="0"/>
        <w:kinsoku/>
        <w:wordWrap/>
        <w:overflowPunct/>
        <w:topLinePunct w:val="0"/>
        <w:autoSpaceDE/>
        <w:autoSpaceDN/>
        <w:bidi w:val="0"/>
        <w:adjustRightInd/>
        <w:snapToGrid/>
        <w:spacing w:before="112" w:line="400" w:lineRule="exact"/>
        <w:ind w:left="420"/>
        <w:textAlignment w:val="auto"/>
        <w:rPr>
          <w:rFonts w:hint="eastAsia" w:ascii="仿宋" w:hAnsi="仿宋" w:eastAsia="仿宋" w:cs="仿宋"/>
          <w:color w:val="auto"/>
          <w:sz w:val="21"/>
          <w:highlight w:val="none"/>
        </w:rPr>
      </w:pPr>
      <w:r>
        <w:rPr>
          <w:rFonts w:hint="eastAsia" w:ascii="仿宋" w:hAnsi="仿宋" w:eastAsia="仿宋" w:cs="仿宋"/>
          <w:color w:val="auto"/>
          <w:spacing w:val="-3"/>
          <w:sz w:val="21"/>
          <w:szCs w:val="21"/>
          <w:highlight w:val="none"/>
        </w:rPr>
        <w:t>6.</w:t>
      </w:r>
      <w:r>
        <w:rPr>
          <w:rFonts w:hint="eastAsia" w:ascii="仿宋" w:hAnsi="仿宋" w:eastAsia="仿宋" w:cs="仿宋"/>
          <w:color w:val="auto"/>
          <w:spacing w:val="4"/>
          <w:sz w:val="21"/>
          <w:szCs w:val="21"/>
          <w:highlight w:val="none"/>
        </w:rPr>
        <w:t xml:space="preserve">   </w:t>
      </w:r>
      <w:r>
        <w:rPr>
          <w:rFonts w:hint="eastAsia" w:ascii="仿宋" w:hAnsi="仿宋" w:eastAsia="仿宋" w:cs="仿宋"/>
          <w:color w:val="auto"/>
          <w:spacing w:val="-3"/>
          <w:sz w:val="21"/>
          <w:szCs w:val="21"/>
          <w:highlight w:val="none"/>
        </w:rPr>
        <w:t>其他资料</w:t>
      </w:r>
    </w:p>
    <w:p w14:paraId="0069CB1A">
      <w:pPr>
        <w:keepNext w:val="0"/>
        <w:keepLines w:val="0"/>
        <w:pageBreakBefore w:val="0"/>
        <w:widowControl w:val="0"/>
        <w:kinsoku/>
        <w:wordWrap/>
        <w:overflowPunct/>
        <w:topLinePunct w:val="0"/>
        <w:autoSpaceDE/>
        <w:autoSpaceDN/>
        <w:bidi w:val="0"/>
        <w:adjustRightInd/>
        <w:snapToGrid/>
        <w:spacing w:before="61" w:line="400" w:lineRule="exact"/>
        <w:ind w:left="433"/>
        <w:textAlignment w:val="auto"/>
        <w:rPr>
          <w:rFonts w:hint="eastAsia" w:ascii="仿宋" w:hAnsi="仿宋" w:eastAsia="仿宋" w:cs="仿宋"/>
          <w:color w:val="auto"/>
          <w:sz w:val="21"/>
          <w:highlight w:val="none"/>
        </w:rPr>
      </w:pPr>
      <w:r>
        <w:rPr>
          <w:rFonts w:hint="eastAsia" w:ascii="仿宋" w:hAnsi="仿宋" w:eastAsia="仿宋" w:cs="仿宋"/>
          <w:color w:val="auto"/>
          <w:spacing w:val="-6"/>
          <w:position w:val="1"/>
          <w:sz w:val="21"/>
          <w:szCs w:val="21"/>
          <w:highlight w:val="none"/>
        </w:rPr>
        <w:t>……</w:t>
      </w:r>
    </w:p>
    <w:p w14:paraId="5BF62C5B">
      <w:pPr>
        <w:pStyle w:val="18"/>
        <w:keepNext w:val="0"/>
        <w:keepLines w:val="0"/>
        <w:pageBreakBefore w:val="0"/>
        <w:widowControl w:val="0"/>
        <w:kinsoku/>
        <w:wordWrap/>
        <w:overflowPunct/>
        <w:topLinePunct w:val="0"/>
        <w:autoSpaceDE/>
        <w:autoSpaceDN/>
        <w:bidi w:val="0"/>
        <w:adjustRightInd/>
        <w:snapToGrid/>
        <w:spacing w:before="103" w:line="400" w:lineRule="exact"/>
        <w:ind w:left="140"/>
        <w:textAlignment w:val="auto"/>
        <w:outlineLvl w:val="2"/>
        <w:rPr>
          <w:rFonts w:hint="eastAsia" w:ascii="仿宋" w:hAnsi="仿宋" w:eastAsia="仿宋" w:cs="仿宋"/>
          <w:color w:val="auto"/>
          <w:sz w:val="21"/>
          <w:highlight w:val="none"/>
        </w:rPr>
      </w:pPr>
      <w:r>
        <w:rPr>
          <w:rFonts w:hint="eastAsia" w:ascii="仿宋" w:hAnsi="仿宋" w:eastAsia="仿宋" w:cs="仿宋"/>
          <w:color w:val="auto"/>
          <w:spacing w:val="-2"/>
          <w:sz w:val="24"/>
          <w:szCs w:val="24"/>
          <w:highlight w:val="none"/>
        </w:rPr>
        <w:t>（三）发包人财产使用要求及退还要求</w:t>
      </w:r>
    </w:p>
    <w:p w14:paraId="54F6BEF8">
      <w:pPr>
        <w:pStyle w:val="18"/>
        <w:keepNext w:val="0"/>
        <w:keepLines w:val="0"/>
        <w:pageBreakBefore w:val="0"/>
        <w:widowControl w:val="0"/>
        <w:kinsoku/>
        <w:wordWrap/>
        <w:overflowPunct/>
        <w:topLinePunct w:val="0"/>
        <w:autoSpaceDE/>
        <w:autoSpaceDN/>
        <w:bidi w:val="0"/>
        <w:adjustRightInd/>
        <w:snapToGrid/>
        <w:spacing w:before="91" w:line="400" w:lineRule="exact"/>
        <w:ind w:left="434"/>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1.   发包人财产使用要求</w:t>
      </w:r>
    </w:p>
    <w:p w14:paraId="062F5714">
      <w:pPr>
        <w:pStyle w:val="18"/>
        <w:keepNext w:val="0"/>
        <w:keepLines w:val="0"/>
        <w:pageBreakBefore w:val="0"/>
        <w:widowControl w:val="0"/>
        <w:kinsoku/>
        <w:wordWrap/>
        <w:overflowPunct/>
        <w:topLinePunct w:val="0"/>
        <w:autoSpaceDE/>
        <w:autoSpaceDN/>
        <w:bidi w:val="0"/>
        <w:adjustRightInd/>
        <w:snapToGrid/>
        <w:spacing w:before="113" w:line="400" w:lineRule="exact"/>
        <w:ind w:left="414"/>
        <w:textAlignment w:val="auto"/>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2.   发包人财产退还要求</w:t>
      </w:r>
    </w:p>
    <w:p w14:paraId="7970445E">
      <w:pPr>
        <w:pStyle w:val="18"/>
        <w:keepNext w:val="0"/>
        <w:keepLines w:val="0"/>
        <w:pageBreakBefore w:val="0"/>
        <w:widowControl w:val="0"/>
        <w:kinsoku/>
        <w:wordWrap/>
        <w:overflowPunct/>
        <w:topLinePunct w:val="0"/>
        <w:autoSpaceDE/>
        <w:autoSpaceDN/>
        <w:bidi w:val="0"/>
        <w:adjustRightInd/>
        <w:snapToGrid/>
        <w:spacing w:before="103" w:line="400" w:lineRule="exact"/>
        <w:ind w:left="369"/>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……五、发包人提供的便利条件</w:t>
      </w:r>
    </w:p>
    <w:p w14:paraId="7693B579">
      <w:pPr>
        <w:pStyle w:val="18"/>
        <w:keepNext w:val="0"/>
        <w:keepLines w:val="0"/>
        <w:pageBreakBefore w:val="0"/>
        <w:widowControl w:val="0"/>
        <w:kinsoku/>
        <w:wordWrap/>
        <w:overflowPunct/>
        <w:topLinePunct w:val="0"/>
        <w:autoSpaceDE/>
        <w:autoSpaceDN/>
        <w:bidi w:val="0"/>
        <w:adjustRightInd/>
        <w:snapToGrid/>
        <w:spacing w:before="199" w:line="400" w:lineRule="exact"/>
        <w:ind w:left="434"/>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1.   发包人提供的生活条件</w:t>
      </w:r>
    </w:p>
    <w:p w14:paraId="421D628B">
      <w:pPr>
        <w:pStyle w:val="18"/>
        <w:keepNext w:val="0"/>
        <w:keepLines w:val="0"/>
        <w:pageBreakBefore w:val="0"/>
        <w:widowControl w:val="0"/>
        <w:kinsoku/>
        <w:wordWrap/>
        <w:overflowPunct/>
        <w:topLinePunct w:val="0"/>
        <w:autoSpaceDE/>
        <w:autoSpaceDN/>
        <w:bidi w:val="0"/>
        <w:adjustRightInd/>
        <w:snapToGrid/>
        <w:spacing w:before="115" w:line="400" w:lineRule="exact"/>
        <w:ind w:left="41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发包人提供的交通条件</w:t>
      </w:r>
    </w:p>
    <w:p w14:paraId="05EAC2D6">
      <w:pPr>
        <w:pStyle w:val="18"/>
        <w:keepNext w:val="0"/>
        <w:keepLines w:val="0"/>
        <w:pageBreakBefore w:val="0"/>
        <w:widowControl w:val="0"/>
        <w:kinsoku/>
        <w:wordWrap/>
        <w:overflowPunct/>
        <w:topLinePunct w:val="0"/>
        <w:autoSpaceDE/>
        <w:autoSpaceDN/>
        <w:bidi w:val="0"/>
        <w:adjustRightInd/>
        <w:snapToGrid/>
        <w:spacing w:before="112" w:line="400" w:lineRule="exact"/>
        <w:ind w:left="418"/>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3.   发包人提供的网络、通讯条件</w:t>
      </w:r>
    </w:p>
    <w:p w14:paraId="70B69674">
      <w:pPr>
        <w:pStyle w:val="18"/>
        <w:keepNext w:val="0"/>
        <w:keepLines w:val="0"/>
        <w:pageBreakBefore w:val="0"/>
        <w:widowControl w:val="0"/>
        <w:kinsoku/>
        <w:wordWrap/>
        <w:overflowPunct/>
        <w:topLinePunct w:val="0"/>
        <w:autoSpaceDE/>
        <w:autoSpaceDN/>
        <w:bidi w:val="0"/>
        <w:adjustRightInd/>
        <w:snapToGrid/>
        <w:spacing w:before="114" w:line="400" w:lineRule="exact"/>
        <w:ind w:left="413"/>
        <w:textAlignment w:val="auto"/>
        <w:rPr>
          <w:rFonts w:hint="eastAsia" w:ascii="仿宋" w:hAnsi="仿宋" w:eastAsia="仿宋" w:cs="仿宋"/>
          <w:color w:val="auto"/>
          <w:sz w:val="21"/>
          <w:highlight w:val="none"/>
        </w:rPr>
      </w:pPr>
      <w:r>
        <w:rPr>
          <w:rFonts w:hint="eastAsia" w:ascii="仿宋" w:hAnsi="仿宋" w:eastAsia="仿宋" w:cs="仿宋"/>
          <w:color w:val="auto"/>
          <w:sz w:val="21"/>
          <w:szCs w:val="21"/>
          <w:highlight w:val="none"/>
        </w:rPr>
        <w:t>4.   发包人提供的协助人员</w:t>
      </w:r>
    </w:p>
    <w:p w14:paraId="63745286">
      <w:pPr>
        <w:keepNext w:val="0"/>
        <w:keepLines w:val="0"/>
        <w:pageBreakBefore w:val="0"/>
        <w:widowControl w:val="0"/>
        <w:kinsoku/>
        <w:wordWrap/>
        <w:overflowPunct/>
        <w:topLinePunct w:val="0"/>
        <w:autoSpaceDE/>
        <w:autoSpaceDN/>
        <w:bidi w:val="0"/>
        <w:adjustRightInd/>
        <w:snapToGrid/>
        <w:spacing w:before="61" w:line="400" w:lineRule="exact"/>
        <w:ind w:left="433"/>
        <w:textAlignment w:val="auto"/>
        <w:rPr>
          <w:rFonts w:hint="eastAsia" w:ascii="仿宋" w:hAnsi="仿宋" w:eastAsia="仿宋" w:cs="仿宋"/>
          <w:color w:val="auto"/>
          <w:sz w:val="21"/>
          <w:highlight w:val="none"/>
        </w:rPr>
      </w:pPr>
      <w:r>
        <w:rPr>
          <w:rFonts w:hint="eastAsia" w:ascii="仿宋" w:hAnsi="仿宋" w:eastAsia="仿宋" w:cs="仿宋"/>
          <w:color w:val="auto"/>
          <w:spacing w:val="-6"/>
          <w:position w:val="1"/>
          <w:sz w:val="21"/>
          <w:szCs w:val="21"/>
          <w:highlight w:val="none"/>
        </w:rPr>
        <w:t>……</w:t>
      </w:r>
    </w:p>
    <w:p w14:paraId="7E9A84AD">
      <w:pPr>
        <w:pStyle w:val="18"/>
        <w:keepNext w:val="0"/>
        <w:keepLines w:val="0"/>
        <w:pageBreakBefore w:val="0"/>
        <w:widowControl w:val="0"/>
        <w:kinsoku/>
        <w:wordWrap/>
        <w:overflowPunct/>
        <w:topLinePunct w:val="0"/>
        <w:autoSpaceDE/>
        <w:autoSpaceDN/>
        <w:bidi w:val="0"/>
        <w:adjustRightInd/>
        <w:snapToGrid/>
        <w:spacing w:before="104" w:line="400" w:lineRule="exact"/>
        <w:ind w:left="1"/>
        <w:textAlignment w:val="auto"/>
        <w:outlineLvl w:val="2"/>
        <w:rPr>
          <w:rFonts w:hint="eastAsia" w:ascii="仿宋" w:hAnsi="仿宋" w:eastAsia="仿宋" w:cs="仿宋"/>
          <w:color w:val="auto"/>
          <w:sz w:val="21"/>
          <w:highlight w:val="none"/>
        </w:rPr>
      </w:pPr>
      <w:r>
        <w:rPr>
          <w:rFonts w:hint="eastAsia" w:ascii="仿宋" w:hAnsi="仿宋" w:eastAsia="仿宋" w:cs="仿宋"/>
          <w:color w:val="auto"/>
          <w:spacing w:val="-8"/>
          <w:sz w:val="24"/>
          <w:szCs w:val="24"/>
          <w:highlight w:val="none"/>
        </w:rPr>
        <w:t>六、（勘察）设计人需要自备的工作条件</w:t>
      </w:r>
    </w:p>
    <w:p w14:paraId="44B9E091">
      <w:pPr>
        <w:pStyle w:val="18"/>
        <w:keepNext w:val="0"/>
        <w:keepLines w:val="0"/>
        <w:pageBreakBefore w:val="0"/>
        <w:widowControl w:val="0"/>
        <w:kinsoku/>
        <w:wordWrap/>
        <w:overflowPunct/>
        <w:topLinePunct w:val="0"/>
        <w:autoSpaceDE/>
        <w:autoSpaceDN/>
        <w:bidi w:val="0"/>
        <w:adjustRightInd/>
        <w:snapToGrid/>
        <w:spacing w:before="90" w:line="400" w:lineRule="exact"/>
        <w:ind w:left="434"/>
        <w:textAlignment w:val="auto"/>
        <w:rPr>
          <w:rFonts w:hint="eastAsia" w:ascii="仿宋" w:hAnsi="仿宋" w:eastAsia="仿宋" w:cs="仿宋"/>
          <w:color w:val="auto"/>
          <w:sz w:val="21"/>
          <w:highlight w:val="none"/>
        </w:rPr>
      </w:pPr>
      <w:r>
        <w:rPr>
          <w:rFonts w:hint="eastAsia" w:ascii="仿宋" w:hAnsi="仿宋" w:eastAsia="仿宋" w:cs="仿宋"/>
          <w:color w:val="auto"/>
          <w:spacing w:val="-1"/>
          <w:sz w:val="21"/>
          <w:szCs w:val="21"/>
          <w:highlight w:val="none"/>
        </w:rPr>
        <w:t>1.</w:t>
      </w:r>
      <w:r>
        <w:rPr>
          <w:rFonts w:hint="eastAsia" w:ascii="仿宋" w:hAnsi="仿宋" w:eastAsia="仿宋" w:cs="仿宋"/>
          <w:color w:val="auto"/>
          <w:spacing w:val="21"/>
          <w:w w:val="101"/>
          <w:sz w:val="21"/>
          <w:szCs w:val="21"/>
          <w:highlight w:val="none"/>
        </w:rPr>
        <w:t xml:space="preserve">  </w:t>
      </w:r>
      <w:r>
        <w:rPr>
          <w:rFonts w:hint="eastAsia" w:ascii="仿宋" w:hAnsi="仿宋" w:eastAsia="仿宋" w:cs="仿宋"/>
          <w:color w:val="auto"/>
          <w:spacing w:val="-1"/>
          <w:sz w:val="21"/>
          <w:szCs w:val="21"/>
          <w:highlight w:val="none"/>
        </w:rPr>
        <w:t>（勘察）</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1"/>
          <w:sz w:val="21"/>
          <w:szCs w:val="21"/>
          <w:highlight w:val="none"/>
        </w:rPr>
        <w:t>设计人自备的工作手册：如本项目必备的规范标准、图集等</w:t>
      </w:r>
    </w:p>
    <w:p w14:paraId="108BC408">
      <w:pPr>
        <w:pStyle w:val="18"/>
        <w:keepNext w:val="0"/>
        <w:keepLines w:val="0"/>
        <w:pageBreakBefore w:val="0"/>
        <w:widowControl w:val="0"/>
        <w:kinsoku/>
        <w:wordWrap/>
        <w:overflowPunct/>
        <w:topLinePunct w:val="0"/>
        <w:autoSpaceDE/>
        <w:autoSpaceDN/>
        <w:bidi w:val="0"/>
        <w:adjustRightInd/>
        <w:snapToGrid/>
        <w:spacing w:before="90" w:line="400" w:lineRule="exact"/>
        <w:ind w:left="416"/>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pacing w:val="21"/>
          <w:w w:val="101"/>
          <w:sz w:val="21"/>
          <w:szCs w:val="21"/>
          <w:highlight w:val="none"/>
        </w:rPr>
        <w:t xml:space="preserve">  </w:t>
      </w:r>
      <w:r>
        <w:rPr>
          <w:rFonts w:hint="eastAsia" w:ascii="仿宋" w:hAnsi="仿宋" w:eastAsia="仿宋" w:cs="仿宋"/>
          <w:color w:val="auto"/>
          <w:sz w:val="21"/>
          <w:szCs w:val="21"/>
          <w:highlight w:val="none"/>
        </w:rPr>
        <w:t>（勘察）</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z w:val="21"/>
          <w:szCs w:val="21"/>
          <w:highlight w:val="none"/>
        </w:rPr>
        <w:t>设计人自备的办公设备：如电脑、软件、投影、打</w:t>
      </w:r>
      <w:r>
        <w:rPr>
          <w:rFonts w:hint="eastAsia" w:ascii="仿宋" w:hAnsi="仿宋" w:eastAsia="仿宋" w:cs="仿宋"/>
          <w:color w:val="auto"/>
          <w:spacing w:val="-1"/>
          <w:sz w:val="21"/>
          <w:szCs w:val="21"/>
          <w:highlight w:val="none"/>
        </w:rPr>
        <w:t>印机、复印机、照相机等</w:t>
      </w:r>
    </w:p>
    <w:p w14:paraId="66FB7DAE">
      <w:pPr>
        <w:pStyle w:val="18"/>
        <w:keepNext w:val="0"/>
        <w:keepLines w:val="0"/>
        <w:pageBreakBefore w:val="0"/>
        <w:widowControl w:val="0"/>
        <w:kinsoku/>
        <w:wordWrap/>
        <w:overflowPunct/>
        <w:topLinePunct w:val="0"/>
        <w:autoSpaceDE/>
        <w:autoSpaceDN/>
        <w:bidi w:val="0"/>
        <w:adjustRightInd/>
        <w:snapToGrid/>
        <w:spacing w:before="121" w:line="400" w:lineRule="exact"/>
        <w:ind w:left="42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3.</w:t>
      </w:r>
      <w:r>
        <w:rPr>
          <w:rFonts w:hint="eastAsia" w:ascii="仿宋" w:hAnsi="仿宋" w:eastAsia="仿宋" w:cs="仿宋"/>
          <w:color w:val="auto"/>
          <w:spacing w:val="24"/>
          <w:w w:val="101"/>
          <w:sz w:val="21"/>
          <w:szCs w:val="21"/>
          <w:highlight w:val="none"/>
        </w:rPr>
        <w:t xml:space="preserve">  </w:t>
      </w:r>
      <w:r>
        <w:rPr>
          <w:rFonts w:hint="eastAsia" w:ascii="仿宋" w:hAnsi="仿宋" w:eastAsia="仿宋" w:cs="仿宋"/>
          <w:color w:val="auto"/>
          <w:spacing w:val="-1"/>
          <w:sz w:val="21"/>
          <w:szCs w:val="21"/>
          <w:highlight w:val="none"/>
        </w:rPr>
        <w:t>（勘察）</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1"/>
          <w:sz w:val="21"/>
          <w:szCs w:val="21"/>
          <w:highlight w:val="none"/>
        </w:rPr>
        <w:t>设计人自备的交通工具：如出行车辆等</w:t>
      </w:r>
    </w:p>
    <w:p w14:paraId="20C95EAD">
      <w:pPr>
        <w:pStyle w:val="18"/>
        <w:keepNext w:val="0"/>
        <w:keepLines w:val="0"/>
        <w:pageBreakBefore w:val="0"/>
        <w:widowControl w:val="0"/>
        <w:kinsoku/>
        <w:wordWrap/>
        <w:overflowPunct/>
        <w:topLinePunct w:val="0"/>
        <w:autoSpaceDE/>
        <w:autoSpaceDN/>
        <w:bidi w:val="0"/>
        <w:adjustRightInd/>
        <w:snapToGrid/>
        <w:spacing w:before="119" w:line="400" w:lineRule="exact"/>
        <w:ind w:left="414"/>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4.</w:t>
      </w:r>
      <w:r>
        <w:rPr>
          <w:rFonts w:hint="eastAsia" w:ascii="仿宋" w:hAnsi="仿宋" w:eastAsia="仿宋" w:cs="仿宋"/>
          <w:color w:val="auto"/>
          <w:spacing w:val="30"/>
          <w:sz w:val="21"/>
          <w:szCs w:val="21"/>
          <w:highlight w:val="none"/>
        </w:rPr>
        <w:t xml:space="preserve">  </w:t>
      </w:r>
      <w:r>
        <w:rPr>
          <w:rFonts w:hint="eastAsia" w:ascii="仿宋" w:hAnsi="仿宋" w:eastAsia="仿宋" w:cs="仿宋"/>
          <w:color w:val="auto"/>
          <w:spacing w:val="-1"/>
          <w:sz w:val="21"/>
          <w:szCs w:val="21"/>
          <w:highlight w:val="none"/>
        </w:rPr>
        <w:t>（勘察）</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1"/>
          <w:sz w:val="21"/>
          <w:szCs w:val="21"/>
          <w:highlight w:val="none"/>
        </w:rPr>
        <w:t>设计人自备的现场办公设施：如办公桌椅、文件柜等</w:t>
      </w:r>
    </w:p>
    <w:p w14:paraId="33D3C070">
      <w:pPr>
        <w:pStyle w:val="18"/>
        <w:keepNext w:val="0"/>
        <w:keepLines w:val="0"/>
        <w:pageBreakBefore w:val="0"/>
        <w:widowControl w:val="0"/>
        <w:kinsoku/>
        <w:wordWrap/>
        <w:overflowPunct/>
        <w:topLinePunct w:val="0"/>
        <w:autoSpaceDE/>
        <w:autoSpaceDN/>
        <w:bidi w:val="0"/>
        <w:adjustRightInd/>
        <w:snapToGrid/>
        <w:spacing w:before="121" w:line="400" w:lineRule="exact"/>
        <w:ind w:left="421"/>
        <w:textAlignment w:val="auto"/>
        <w:rPr>
          <w:rFonts w:hint="eastAsia" w:ascii="仿宋" w:hAnsi="仿宋" w:eastAsia="仿宋" w:cs="仿宋"/>
          <w:color w:val="auto"/>
          <w:sz w:val="21"/>
          <w:highlight w:val="none"/>
        </w:rPr>
      </w:pPr>
      <w:r>
        <w:rPr>
          <w:rFonts w:hint="eastAsia" w:ascii="仿宋" w:hAnsi="仿宋" w:eastAsia="仿宋" w:cs="仿宋"/>
          <w:color w:val="auto"/>
          <w:spacing w:val="-1"/>
          <w:sz w:val="21"/>
          <w:szCs w:val="21"/>
          <w:highlight w:val="none"/>
        </w:rPr>
        <w:t>5.</w:t>
      </w:r>
      <w:r>
        <w:rPr>
          <w:rFonts w:hint="eastAsia" w:ascii="仿宋" w:hAnsi="仿宋" w:eastAsia="仿宋" w:cs="仿宋"/>
          <w:color w:val="auto"/>
          <w:spacing w:val="27"/>
          <w:w w:val="101"/>
          <w:sz w:val="21"/>
          <w:szCs w:val="21"/>
          <w:highlight w:val="none"/>
        </w:rPr>
        <w:t xml:space="preserve">  </w:t>
      </w:r>
      <w:r>
        <w:rPr>
          <w:rFonts w:hint="eastAsia" w:ascii="仿宋" w:hAnsi="仿宋" w:eastAsia="仿宋" w:cs="仿宋"/>
          <w:color w:val="auto"/>
          <w:spacing w:val="-1"/>
          <w:sz w:val="21"/>
          <w:szCs w:val="21"/>
          <w:highlight w:val="none"/>
        </w:rPr>
        <w:t>（勘察）</w:t>
      </w:r>
      <w:r>
        <w:rPr>
          <w:rFonts w:hint="eastAsia" w:ascii="仿宋" w:hAnsi="仿宋" w:eastAsia="仿宋" w:cs="仿宋"/>
          <w:color w:val="auto"/>
          <w:spacing w:val="-40"/>
          <w:sz w:val="21"/>
          <w:szCs w:val="21"/>
          <w:highlight w:val="none"/>
        </w:rPr>
        <w:t xml:space="preserve"> </w:t>
      </w:r>
      <w:r>
        <w:rPr>
          <w:rFonts w:hint="eastAsia" w:ascii="仿宋" w:hAnsi="仿宋" w:eastAsia="仿宋" w:cs="仿宋"/>
          <w:color w:val="auto"/>
          <w:spacing w:val="-1"/>
          <w:sz w:val="21"/>
          <w:szCs w:val="21"/>
          <w:highlight w:val="none"/>
        </w:rPr>
        <w:t>设计人自备的安全设施：如安全帽、安全鞋、手电筒等</w:t>
      </w:r>
    </w:p>
    <w:p w14:paraId="454A5906">
      <w:pPr>
        <w:keepNext w:val="0"/>
        <w:keepLines w:val="0"/>
        <w:pageBreakBefore w:val="0"/>
        <w:widowControl w:val="0"/>
        <w:kinsoku/>
        <w:wordWrap/>
        <w:overflowPunct/>
        <w:topLinePunct w:val="0"/>
        <w:autoSpaceDE/>
        <w:autoSpaceDN/>
        <w:bidi w:val="0"/>
        <w:adjustRightInd/>
        <w:snapToGrid/>
        <w:spacing w:before="61" w:line="400" w:lineRule="exact"/>
        <w:ind w:left="435"/>
        <w:textAlignment w:val="auto"/>
        <w:rPr>
          <w:rFonts w:hint="eastAsia" w:ascii="仿宋" w:hAnsi="仿宋" w:eastAsia="仿宋" w:cs="仿宋"/>
          <w:color w:val="auto"/>
          <w:sz w:val="21"/>
          <w:highlight w:val="none"/>
        </w:rPr>
      </w:pPr>
      <w:r>
        <w:rPr>
          <w:rFonts w:hint="eastAsia" w:ascii="仿宋" w:hAnsi="仿宋" w:eastAsia="仿宋" w:cs="仿宋"/>
          <w:color w:val="auto"/>
          <w:spacing w:val="-6"/>
          <w:position w:val="1"/>
          <w:sz w:val="21"/>
          <w:szCs w:val="21"/>
          <w:highlight w:val="none"/>
        </w:rPr>
        <w:t>……</w:t>
      </w:r>
    </w:p>
    <w:p w14:paraId="5969FBBA">
      <w:pPr>
        <w:pStyle w:val="18"/>
        <w:keepNext w:val="0"/>
        <w:keepLines w:val="0"/>
        <w:pageBreakBefore w:val="0"/>
        <w:widowControl w:val="0"/>
        <w:kinsoku/>
        <w:wordWrap/>
        <w:overflowPunct/>
        <w:topLinePunct w:val="0"/>
        <w:autoSpaceDE/>
        <w:autoSpaceDN/>
        <w:bidi w:val="0"/>
        <w:adjustRightInd/>
        <w:snapToGrid/>
        <w:spacing w:before="104" w:line="400" w:lineRule="exact"/>
        <w:textAlignment w:val="auto"/>
        <w:outlineLvl w:val="2"/>
        <w:rPr>
          <w:rFonts w:hint="eastAsia" w:ascii="仿宋" w:hAnsi="仿宋" w:eastAsia="仿宋" w:cs="仿宋"/>
          <w:color w:val="auto"/>
          <w:sz w:val="21"/>
          <w:highlight w:val="none"/>
        </w:rPr>
      </w:pPr>
      <w:r>
        <w:rPr>
          <w:rFonts w:hint="eastAsia" w:ascii="仿宋" w:hAnsi="仿宋" w:eastAsia="仿宋" w:cs="仿宋"/>
          <w:color w:val="auto"/>
          <w:spacing w:val="-1"/>
          <w:sz w:val="24"/>
          <w:szCs w:val="24"/>
          <w:highlight w:val="none"/>
        </w:rPr>
        <w:t>七、发包人的其他要求</w:t>
      </w:r>
    </w:p>
    <w:bookmarkEnd w:id="56"/>
    <w:bookmarkEnd w:id="57"/>
    <w:bookmarkEnd w:id="60"/>
    <w:p w14:paraId="54D48E06">
      <w:pPr>
        <w:pStyle w:val="2"/>
        <w:jc w:val="left"/>
        <w:rPr>
          <w:rFonts w:hint="eastAsia" w:ascii="宋体" w:hAnsi="宋体" w:eastAsia="宋体"/>
          <w:color w:val="auto"/>
          <w:highlight w:val="none"/>
          <w:lang w:eastAsia="zh-CN"/>
        </w:rPr>
      </w:pPr>
      <w:bookmarkStart w:id="119" w:name="_Toc160110272"/>
      <w:r>
        <w:rPr>
          <w:rFonts w:hint="eastAsia" w:ascii="仿宋" w:hAnsi="仿宋" w:eastAsia="仿宋" w:cs="仿宋"/>
          <w:color w:val="auto"/>
          <w:spacing w:val="-2"/>
          <w:sz w:val="21"/>
          <w:szCs w:val="21"/>
          <w:highlight w:val="none"/>
          <w:lang w:eastAsia="zh-CN"/>
        </w:rPr>
        <w:t>详见合同相应条款。</w:t>
      </w:r>
    </w:p>
    <w:p w14:paraId="4B5137F8">
      <w:pPr>
        <w:rPr>
          <w:rFonts w:ascii="宋体" w:hAnsi="宋体"/>
          <w:color w:val="auto"/>
          <w:highlight w:val="none"/>
        </w:rPr>
      </w:pPr>
    </w:p>
    <w:p w14:paraId="05BC22E8">
      <w:pPr>
        <w:pStyle w:val="48"/>
        <w:rPr>
          <w:rFonts w:ascii="宋体" w:hAnsi="宋体"/>
          <w:color w:val="auto"/>
          <w:highlight w:val="none"/>
        </w:rPr>
      </w:pPr>
    </w:p>
    <w:p w14:paraId="7A2E40F9">
      <w:pPr>
        <w:pStyle w:val="48"/>
        <w:rPr>
          <w:rFonts w:ascii="宋体" w:hAnsi="宋体"/>
          <w:color w:val="auto"/>
          <w:highlight w:val="none"/>
        </w:rPr>
      </w:pPr>
    </w:p>
    <w:p w14:paraId="5726E14F">
      <w:pPr>
        <w:pStyle w:val="48"/>
        <w:rPr>
          <w:rFonts w:ascii="宋体" w:hAnsi="宋体"/>
          <w:color w:val="auto"/>
          <w:highlight w:val="none"/>
        </w:rPr>
      </w:pPr>
    </w:p>
    <w:p w14:paraId="31AD51AC">
      <w:pPr>
        <w:pStyle w:val="48"/>
        <w:rPr>
          <w:rFonts w:ascii="宋体" w:hAnsi="宋体"/>
          <w:color w:val="auto"/>
          <w:highlight w:val="none"/>
        </w:rPr>
      </w:pPr>
    </w:p>
    <w:p w14:paraId="0CF29878">
      <w:pPr>
        <w:pStyle w:val="48"/>
        <w:rPr>
          <w:rFonts w:ascii="宋体" w:hAnsi="宋体"/>
          <w:color w:val="auto"/>
          <w:highlight w:val="none"/>
        </w:rPr>
      </w:pPr>
    </w:p>
    <w:p w14:paraId="52545728">
      <w:pPr>
        <w:pStyle w:val="48"/>
        <w:rPr>
          <w:rFonts w:ascii="宋体" w:hAnsi="宋体"/>
          <w:color w:val="auto"/>
          <w:highlight w:val="none"/>
        </w:rPr>
      </w:pPr>
    </w:p>
    <w:p w14:paraId="60C2FB33">
      <w:pPr>
        <w:pStyle w:val="2"/>
        <w:rPr>
          <w:rFonts w:ascii="宋体" w:hAnsi="宋体"/>
          <w:color w:val="auto"/>
          <w:highlight w:val="none"/>
        </w:rPr>
      </w:pPr>
      <w:bookmarkStart w:id="120" w:name="_Toc162002575"/>
    </w:p>
    <w:p w14:paraId="666DD96A">
      <w:pPr>
        <w:pStyle w:val="2"/>
        <w:rPr>
          <w:rFonts w:ascii="宋体" w:hAnsi="宋体"/>
          <w:color w:val="auto"/>
          <w:highlight w:val="none"/>
        </w:rPr>
      </w:pPr>
      <w:r>
        <w:rPr>
          <w:rFonts w:ascii="宋体" w:hAnsi="宋体"/>
          <w:color w:val="auto"/>
          <w:highlight w:val="none"/>
        </w:rPr>
        <w:t>第</w:t>
      </w:r>
      <w:r>
        <w:rPr>
          <w:rFonts w:hint="eastAsia" w:ascii="宋体" w:hAnsi="宋体"/>
          <w:color w:val="auto"/>
          <w:highlight w:val="none"/>
        </w:rPr>
        <w:t>六</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投标文件格式</w:t>
      </w:r>
      <w:bookmarkEnd w:id="119"/>
      <w:bookmarkEnd w:id="120"/>
    </w:p>
    <w:p w14:paraId="71670FB3">
      <w:pPr>
        <w:jc w:val="both"/>
        <w:rPr>
          <w:rFonts w:ascii="宋体" w:hAnsi="宋体"/>
          <w:color w:val="auto"/>
          <w:sz w:val="28"/>
          <w:szCs w:val="28"/>
          <w:highlight w:val="none"/>
        </w:rPr>
      </w:pPr>
    </w:p>
    <w:p w14:paraId="552BFB10">
      <w:pPr>
        <w:spacing w:line="480" w:lineRule="auto"/>
        <w:jc w:val="center"/>
        <w:rPr>
          <w:rFonts w:ascii="宋体" w:hAnsi="宋体"/>
          <w:b/>
          <w:bCs/>
          <w:color w:val="auto"/>
          <w:sz w:val="46"/>
          <w:szCs w:val="46"/>
          <w:highlight w:val="none"/>
          <w:u w:val="single"/>
        </w:rPr>
      </w:pPr>
      <w:r>
        <w:rPr>
          <w:rFonts w:hint="eastAsia" w:ascii="宋体" w:hAnsi="宋体"/>
          <w:b/>
          <w:color w:val="auto"/>
          <w:sz w:val="52"/>
          <w:szCs w:val="52"/>
          <w:highlight w:val="none"/>
          <w:u w:val="single"/>
        </w:rPr>
        <w:t xml:space="preserve">     （项目名称）</w:t>
      </w:r>
      <w:r>
        <w:rPr>
          <w:rFonts w:hint="eastAsia" w:ascii="宋体" w:hAnsi="宋体"/>
          <w:b/>
          <w:color w:val="auto"/>
          <w:sz w:val="52"/>
          <w:szCs w:val="52"/>
          <w:highlight w:val="none"/>
          <w:u w:val="single"/>
          <w:lang w:val="en-US" w:eastAsia="zh-CN"/>
        </w:rPr>
        <w:t>勘察、初步</w:t>
      </w:r>
      <w:r>
        <w:rPr>
          <w:rFonts w:hint="eastAsia" w:ascii="宋体" w:hAnsi="宋体"/>
          <w:b/>
          <w:color w:val="auto"/>
          <w:sz w:val="52"/>
          <w:szCs w:val="52"/>
          <w:highlight w:val="none"/>
          <w:u w:val="single"/>
        </w:rPr>
        <w:t>设计</w:t>
      </w:r>
    </w:p>
    <w:p w14:paraId="7EDB38C6">
      <w:pPr>
        <w:rPr>
          <w:rFonts w:ascii="宋体" w:hAnsi="宋体"/>
          <w:b/>
          <w:bCs/>
          <w:color w:val="auto"/>
          <w:sz w:val="42"/>
          <w:szCs w:val="42"/>
          <w:highlight w:val="none"/>
        </w:rPr>
      </w:pPr>
    </w:p>
    <w:p w14:paraId="389C6029">
      <w:pPr>
        <w:rPr>
          <w:rFonts w:ascii="宋体" w:hAnsi="宋体"/>
          <w:b/>
          <w:bCs/>
          <w:color w:val="auto"/>
          <w:sz w:val="42"/>
          <w:szCs w:val="42"/>
          <w:highlight w:val="none"/>
        </w:rPr>
      </w:pPr>
    </w:p>
    <w:p w14:paraId="57B45BA9">
      <w:pPr>
        <w:spacing w:line="360" w:lineRule="auto"/>
        <w:jc w:val="center"/>
        <w:rPr>
          <w:rFonts w:ascii="宋体" w:hAnsi="宋体"/>
          <w:color w:val="auto"/>
          <w:sz w:val="44"/>
          <w:highlight w:val="none"/>
        </w:rPr>
      </w:pPr>
      <w:r>
        <w:rPr>
          <w:rFonts w:ascii="宋体" w:hAnsi="宋体"/>
          <w:b/>
          <w:bCs/>
          <w:color w:val="auto"/>
          <w:sz w:val="72"/>
          <w:szCs w:val="72"/>
          <w:highlight w:val="none"/>
        </w:rPr>
        <w:t>投 标 文 件</w:t>
      </w:r>
    </w:p>
    <w:p w14:paraId="5E9D799C">
      <w:pPr>
        <w:jc w:val="center"/>
        <w:rPr>
          <w:rFonts w:ascii="宋体" w:hAnsi="宋体"/>
          <w:color w:val="auto"/>
          <w:sz w:val="44"/>
          <w:highlight w:val="none"/>
        </w:rPr>
      </w:pPr>
    </w:p>
    <w:p w14:paraId="70012B8A">
      <w:pPr>
        <w:rPr>
          <w:rFonts w:ascii="宋体" w:hAnsi="宋体"/>
          <w:color w:val="auto"/>
          <w:sz w:val="28"/>
          <w:highlight w:val="none"/>
        </w:rPr>
      </w:pPr>
    </w:p>
    <w:p w14:paraId="5A4CC3FB">
      <w:pPr>
        <w:rPr>
          <w:rFonts w:ascii="宋体" w:hAnsi="宋体"/>
          <w:color w:val="auto"/>
          <w:sz w:val="28"/>
          <w:highlight w:val="none"/>
        </w:rPr>
      </w:pPr>
    </w:p>
    <w:p w14:paraId="6635B32A">
      <w:pPr>
        <w:rPr>
          <w:rFonts w:ascii="宋体" w:hAnsi="宋体"/>
          <w:color w:val="auto"/>
          <w:sz w:val="28"/>
          <w:highlight w:val="none"/>
        </w:rPr>
      </w:pPr>
    </w:p>
    <w:p w14:paraId="61C052B2">
      <w:pPr>
        <w:spacing w:line="360" w:lineRule="auto"/>
        <w:rPr>
          <w:rFonts w:ascii="宋体" w:hAnsi="宋体"/>
          <w:color w:val="auto"/>
          <w:sz w:val="28"/>
          <w:highlight w:val="none"/>
        </w:rPr>
      </w:pPr>
    </w:p>
    <w:p w14:paraId="1B4A30A5">
      <w:pPr>
        <w:spacing w:line="480" w:lineRule="auto"/>
        <w:ind w:firstLine="1120" w:firstLineChars="400"/>
        <w:rPr>
          <w:rFonts w:ascii="宋体" w:hAnsi="宋体"/>
          <w:color w:val="auto"/>
          <w:sz w:val="28"/>
          <w:highlight w:val="none"/>
          <w:u w:val="single"/>
        </w:rPr>
      </w:pPr>
      <w:r>
        <w:rPr>
          <w:rFonts w:ascii="宋体" w:hAnsi="宋体"/>
          <w:color w:val="auto"/>
          <w:sz w:val="28"/>
          <w:highlight w:val="none"/>
        </w:rPr>
        <w:t>投标人：</w:t>
      </w:r>
      <w:r>
        <w:rPr>
          <w:rFonts w:ascii="宋体" w:hAnsi="宋体"/>
          <w:color w:val="auto"/>
          <w:highlight w:val="none"/>
          <w:u w:val="single"/>
        </w:rPr>
        <w:t xml:space="preserve">                                        </w:t>
      </w:r>
      <w:r>
        <w:rPr>
          <w:rFonts w:ascii="宋体" w:hAnsi="宋体"/>
          <w:color w:val="auto"/>
          <w:sz w:val="28"/>
          <w:highlight w:val="none"/>
        </w:rPr>
        <w:t>（盖</w:t>
      </w:r>
      <w:r>
        <w:rPr>
          <w:rFonts w:hint="eastAsia" w:ascii="宋体" w:hAnsi="宋体"/>
          <w:color w:val="auto"/>
          <w:sz w:val="28"/>
          <w:highlight w:val="none"/>
        </w:rPr>
        <w:t>公</w:t>
      </w:r>
      <w:r>
        <w:rPr>
          <w:rFonts w:ascii="宋体" w:hAnsi="宋体"/>
          <w:color w:val="auto"/>
          <w:sz w:val="28"/>
          <w:highlight w:val="none"/>
        </w:rPr>
        <w:t>章）</w:t>
      </w:r>
    </w:p>
    <w:p w14:paraId="01729B53">
      <w:pPr>
        <w:spacing w:line="480" w:lineRule="auto"/>
        <w:ind w:firstLine="1120" w:firstLineChars="400"/>
        <w:jc w:val="left"/>
        <w:rPr>
          <w:rFonts w:ascii="宋体" w:hAnsi="宋体"/>
          <w:color w:val="auto"/>
          <w:sz w:val="28"/>
          <w:highlight w:val="none"/>
        </w:rPr>
      </w:pPr>
      <w:r>
        <w:rPr>
          <w:rFonts w:ascii="宋体" w:hAnsi="宋体"/>
          <w:color w:val="auto"/>
          <w:sz w:val="28"/>
          <w:highlight w:val="none"/>
        </w:rPr>
        <w:t>法定代表人或其委托代理人：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sz w:val="28"/>
          <w:highlight w:val="none"/>
        </w:rPr>
        <w:t>（</w:t>
      </w:r>
      <w:r>
        <w:rPr>
          <w:rFonts w:hint="eastAsia" w:ascii="宋体" w:hAnsi="宋体"/>
          <w:color w:val="auto"/>
          <w:sz w:val="28"/>
          <w:highlight w:val="none"/>
        </w:rPr>
        <w:t>签字</w:t>
      </w:r>
      <w:r>
        <w:rPr>
          <w:rFonts w:ascii="宋体" w:hAnsi="宋体"/>
          <w:color w:val="auto"/>
          <w:sz w:val="28"/>
          <w:highlight w:val="none"/>
        </w:rPr>
        <w:t>）</w:t>
      </w:r>
    </w:p>
    <w:p w14:paraId="05CF9371">
      <w:pPr>
        <w:spacing w:line="400" w:lineRule="exact"/>
        <w:jc w:val="center"/>
        <w:rPr>
          <w:rFonts w:ascii="宋体" w:hAnsi="宋体"/>
          <w:color w:val="auto"/>
          <w:sz w:val="28"/>
          <w:szCs w:val="28"/>
          <w:highlight w:val="none"/>
        </w:rPr>
      </w:pPr>
      <w:r>
        <w:rPr>
          <w:rFonts w:ascii="宋体" w:hAnsi="宋体"/>
          <w:color w:val="auto"/>
          <w:highlight w:val="none"/>
          <w:u w:val="single"/>
        </w:rPr>
        <w:t xml:space="preserve">       </w:t>
      </w:r>
      <w:r>
        <w:rPr>
          <w:rFonts w:ascii="宋体" w:hAnsi="宋体"/>
          <w:color w:val="auto"/>
          <w:sz w:val="28"/>
          <w:highlight w:val="none"/>
        </w:rPr>
        <w:t>年</w:t>
      </w:r>
      <w:r>
        <w:rPr>
          <w:rFonts w:ascii="宋体" w:hAnsi="宋体"/>
          <w:color w:val="auto"/>
          <w:highlight w:val="none"/>
          <w:u w:val="single"/>
        </w:rPr>
        <w:t xml:space="preserve">       </w:t>
      </w:r>
      <w:r>
        <w:rPr>
          <w:rFonts w:ascii="宋体" w:hAnsi="宋体"/>
          <w:color w:val="auto"/>
          <w:sz w:val="28"/>
          <w:highlight w:val="none"/>
        </w:rPr>
        <w:t>月</w:t>
      </w:r>
      <w:r>
        <w:rPr>
          <w:rFonts w:ascii="宋体" w:hAnsi="宋体"/>
          <w:color w:val="auto"/>
          <w:highlight w:val="none"/>
          <w:u w:val="single"/>
        </w:rPr>
        <w:t xml:space="preserve">       </w:t>
      </w:r>
      <w:r>
        <w:rPr>
          <w:rFonts w:ascii="宋体" w:hAnsi="宋体"/>
          <w:color w:val="auto"/>
          <w:sz w:val="28"/>
          <w:highlight w:val="none"/>
        </w:rPr>
        <w:t>日</w:t>
      </w:r>
      <w:r>
        <w:rPr>
          <w:rFonts w:ascii="宋体" w:hAnsi="宋体"/>
          <w:color w:val="auto"/>
          <w:highlight w:val="none"/>
        </w:rPr>
        <w:br w:type="page"/>
      </w:r>
      <w:r>
        <w:rPr>
          <w:rFonts w:ascii="宋体" w:hAnsi="宋体"/>
          <w:color w:val="auto"/>
          <w:sz w:val="28"/>
          <w:szCs w:val="28"/>
          <w:highlight w:val="none"/>
        </w:rPr>
        <w:t>目录</w:t>
      </w:r>
    </w:p>
    <w:p w14:paraId="0115439F">
      <w:pPr>
        <w:spacing w:line="400" w:lineRule="exact"/>
        <w:jc w:val="center"/>
        <w:rPr>
          <w:rFonts w:ascii="宋体" w:hAnsi="宋体"/>
          <w:color w:val="auto"/>
          <w:sz w:val="28"/>
          <w:szCs w:val="28"/>
          <w:highlight w:val="none"/>
        </w:rPr>
      </w:pPr>
    </w:p>
    <w:p w14:paraId="127E3861">
      <w:pPr>
        <w:spacing w:line="360" w:lineRule="auto"/>
        <w:ind w:firstLine="484" w:firstLineChars="202"/>
        <w:jc w:val="left"/>
        <w:rPr>
          <w:rFonts w:ascii="宋体" w:hAnsi="宋体"/>
          <w:color w:val="auto"/>
          <w:sz w:val="24"/>
          <w:highlight w:val="none"/>
        </w:rPr>
      </w:pPr>
      <w:bookmarkStart w:id="121" w:name="_Toc352691655"/>
      <w:bookmarkStart w:id="122" w:name="_Toc369531691"/>
      <w:bookmarkStart w:id="123" w:name="_Toc7039"/>
      <w:r>
        <w:rPr>
          <w:rFonts w:hint="eastAsia" w:ascii="宋体" w:hAnsi="宋体"/>
          <w:color w:val="auto"/>
          <w:sz w:val="24"/>
          <w:highlight w:val="none"/>
        </w:rPr>
        <w:t>一、投标函和投标函附录</w:t>
      </w:r>
    </w:p>
    <w:p w14:paraId="002B98AC">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二、法定代表人身份证明及授权委托书</w:t>
      </w:r>
    </w:p>
    <w:p w14:paraId="1F119403">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三、企业基本情况表</w:t>
      </w:r>
    </w:p>
    <w:p w14:paraId="7CB0F4ED">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四、拟投入本工程项目班子人员简介</w:t>
      </w:r>
    </w:p>
    <w:p w14:paraId="5F8A1229">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五、投标人的其他评审情况表</w:t>
      </w:r>
    </w:p>
    <w:p w14:paraId="5CAEC233">
      <w:pPr>
        <w:spacing w:line="360" w:lineRule="auto"/>
        <w:ind w:firstLine="484" w:firstLineChars="202"/>
        <w:jc w:val="left"/>
        <w:rPr>
          <w:rFonts w:hint="eastAsia" w:ascii="宋体" w:hAnsi="宋体"/>
          <w:color w:val="auto"/>
          <w:sz w:val="24"/>
          <w:highlight w:val="none"/>
        </w:rPr>
      </w:pPr>
      <w:r>
        <w:rPr>
          <w:rFonts w:hint="eastAsia" w:ascii="宋体" w:hAnsi="宋体"/>
          <w:color w:val="auto"/>
          <w:sz w:val="24"/>
          <w:highlight w:val="none"/>
        </w:rPr>
        <w:t>六、投标人声明函</w:t>
      </w:r>
    </w:p>
    <w:p w14:paraId="5F11B0F3">
      <w:pPr>
        <w:spacing w:line="360" w:lineRule="auto"/>
        <w:ind w:firstLine="484" w:firstLineChars="202"/>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七、联合体共同投标协议</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如有</w:t>
      </w:r>
      <w:r>
        <w:rPr>
          <w:rFonts w:hint="eastAsia" w:ascii="宋体" w:hAnsi="宋体" w:eastAsia="宋体" w:cs="Times New Roman"/>
          <w:color w:val="auto"/>
          <w:sz w:val="24"/>
          <w:highlight w:val="none"/>
          <w:lang w:eastAsia="zh-CN"/>
        </w:rPr>
        <w:t>）</w:t>
      </w:r>
    </w:p>
    <w:p w14:paraId="70478050">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lang w:val="en-US" w:eastAsia="zh-CN"/>
        </w:rPr>
        <w:t>八</w:t>
      </w:r>
      <w:r>
        <w:rPr>
          <w:rFonts w:hint="eastAsia" w:ascii="宋体" w:hAnsi="宋体"/>
          <w:color w:val="auto"/>
          <w:sz w:val="24"/>
          <w:highlight w:val="none"/>
        </w:rPr>
        <w:t>、投标人承诺书</w:t>
      </w:r>
    </w:p>
    <w:p w14:paraId="4893925F">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、其他材料</w:t>
      </w:r>
    </w:p>
    <w:p w14:paraId="10C3CE9D">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lang w:val="en-US" w:eastAsia="zh-CN"/>
        </w:rPr>
        <w:t>十</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勘察</w:t>
      </w:r>
      <w:r>
        <w:rPr>
          <w:rFonts w:hint="eastAsia" w:ascii="宋体" w:hAnsi="宋体"/>
          <w:color w:val="auto"/>
          <w:sz w:val="24"/>
          <w:highlight w:val="none"/>
          <w:lang w:eastAsia="zh-CN"/>
        </w:rPr>
        <w:t>）</w:t>
      </w:r>
      <w:r>
        <w:rPr>
          <w:rFonts w:hint="eastAsia" w:ascii="宋体" w:hAnsi="宋体"/>
          <w:color w:val="auto"/>
          <w:sz w:val="24"/>
          <w:highlight w:val="none"/>
        </w:rPr>
        <w:t>设计方案</w:t>
      </w:r>
    </w:p>
    <w:p w14:paraId="495B1A77">
      <w:pPr>
        <w:tabs>
          <w:tab w:val="center" w:pos="4649"/>
        </w:tabs>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b/>
          <w:color w:val="auto"/>
          <w:sz w:val="24"/>
          <w:highlight w:val="none"/>
        </w:rPr>
        <w:t>（投标人可自行调整目录格式。文件须编制目录）</w:t>
      </w:r>
      <w:r>
        <w:rPr>
          <w:rFonts w:ascii="宋体" w:hAnsi="宋体"/>
          <w:color w:val="auto"/>
          <w:highlight w:val="none"/>
        </w:rPr>
        <w:br w:type="page"/>
      </w:r>
      <w:bookmarkEnd w:id="121"/>
      <w:bookmarkEnd w:id="122"/>
      <w:bookmarkEnd w:id="123"/>
      <w:r>
        <w:rPr>
          <w:rFonts w:hint="eastAsia" w:ascii="宋体" w:hAnsi="宋体" w:cs="宋体"/>
          <w:b/>
          <w:bCs/>
          <w:color w:val="auto"/>
          <w:sz w:val="28"/>
          <w:szCs w:val="28"/>
          <w:highlight w:val="none"/>
        </w:rPr>
        <w:t>一、投标函和投标函附录</w:t>
      </w:r>
    </w:p>
    <w:p w14:paraId="1159C7DE">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（一）投标函</w:t>
      </w:r>
    </w:p>
    <w:p w14:paraId="66EDB455">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仿宋" w:hAnsi="仿宋" w:eastAsia="仿宋" w:cs="仿宋"/>
          <w:color w:val="auto"/>
          <w:kern w:val="0"/>
          <w:szCs w:val="21"/>
          <w:highlight w:val="none"/>
        </w:rPr>
      </w:pP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kern w:val="0"/>
          <w:szCs w:val="21"/>
          <w:highlight w:val="none"/>
        </w:rPr>
        <w:t>（招标人全称）：</w:t>
      </w:r>
    </w:p>
    <w:p w14:paraId="0FF15394">
      <w:pPr>
        <w:keepNext w:val="0"/>
        <w:keepLines w:val="0"/>
        <w:pageBreakBefore w:val="0"/>
        <w:widowControl w:val="0"/>
        <w:kinsoku/>
        <w:wordWrap/>
        <w:overflowPunct/>
        <w:topLinePunct w:val="0"/>
        <w:autoSpaceDE w:val="0"/>
        <w:autoSpaceDN w:val="0"/>
        <w:bidi w:val="0"/>
        <w:adjustRightInd w:val="0"/>
        <w:snapToGrid/>
        <w:spacing w:line="440" w:lineRule="exact"/>
        <w:ind w:firstLine="525" w:firstLineChars="250"/>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 </w:t>
      </w:r>
      <w:r>
        <w:rPr>
          <w:rFonts w:hint="eastAsia" w:ascii="仿宋" w:hAnsi="仿宋" w:eastAsia="仿宋" w:cs="仿宋"/>
          <w:color w:val="auto"/>
          <w:szCs w:val="21"/>
          <w:highlight w:val="none"/>
        </w:rPr>
        <w:t>根据你方的</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的招标文件，遵照《中华人民共和国招标投标法》等有关规定，经踏勘项目现场和研究上述招标文件的投标须知、合同条款、工程建设标准及其他有关文件后</w:t>
      </w:r>
      <w:r>
        <w:rPr>
          <w:rFonts w:hint="eastAsia" w:ascii="仿宋" w:hAnsi="仿宋" w:eastAsia="仿宋" w:cs="仿宋"/>
          <w:color w:val="auto"/>
          <w:kern w:val="0"/>
          <w:szCs w:val="21"/>
          <w:highlight w:val="none"/>
        </w:rPr>
        <w:t>，我方就上述设计任务及相关服务进行投标，</w:t>
      </w:r>
      <w:r>
        <w:rPr>
          <w:rFonts w:hint="eastAsia" w:ascii="仿宋" w:hAnsi="仿宋" w:eastAsia="仿宋" w:cs="仿宋"/>
          <w:color w:val="auto"/>
          <w:szCs w:val="21"/>
          <w:highlight w:val="none"/>
        </w:rPr>
        <w:t>愿意以：</w:t>
      </w:r>
    </w:p>
    <w:p w14:paraId="1ADE46B2">
      <w:pPr>
        <w:keepNext w:val="0"/>
        <w:keepLines w:val="0"/>
        <w:pageBreakBefore w:val="0"/>
        <w:widowControl w:val="0"/>
        <w:kinsoku/>
        <w:wordWrap/>
        <w:overflowPunct/>
        <w:topLinePunct w:val="0"/>
        <w:autoSpaceDE w:val="0"/>
        <w:autoSpaceDN w:val="0"/>
        <w:bidi w:val="0"/>
        <w:adjustRightInd w:val="0"/>
        <w:snapToGrid/>
        <w:spacing w:line="440" w:lineRule="exact"/>
        <w:ind w:firstLine="525" w:firstLineChars="250"/>
        <w:jc w:val="left"/>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rPr>
        <w:t>投标报价下浮率为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％（大写：百分之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【根据：</w:t>
      </w:r>
      <w:r>
        <w:rPr>
          <w:rFonts w:hint="eastAsia" w:ascii="仿宋" w:hAnsi="仿宋" w:eastAsia="仿宋" w:cs="仿宋"/>
          <w:bCs/>
          <w:color w:val="auto"/>
          <w:spacing w:val="-2"/>
          <w:szCs w:val="21"/>
          <w:highlight w:val="none"/>
        </w:rPr>
        <w:t xml:space="preserve">投标报价 </w:t>
      </w:r>
      <w:r>
        <w:rPr>
          <w:rFonts w:hint="eastAsia" w:ascii="仿宋" w:hAnsi="仿宋" w:eastAsia="仿宋" w:cs="仿宋"/>
          <w:bCs/>
          <w:color w:val="auto"/>
          <w:szCs w:val="21"/>
          <w:highlight w:val="none"/>
        </w:rPr>
        <w:t xml:space="preserve">= </w:t>
      </w:r>
      <w:r>
        <w:rPr>
          <w:rFonts w:hint="eastAsia" w:ascii="仿宋" w:hAnsi="仿宋" w:eastAsia="仿宋" w:cs="仿宋"/>
          <w:bCs/>
          <w:color w:val="auto"/>
          <w:spacing w:val="-2"/>
          <w:szCs w:val="21"/>
          <w:highlight w:val="none"/>
        </w:rPr>
        <w:t>招标</w:t>
      </w:r>
      <w:r>
        <w:rPr>
          <w:rFonts w:hint="eastAsia" w:ascii="仿宋" w:hAnsi="仿宋" w:eastAsia="仿宋" w:cs="仿宋"/>
          <w:bCs/>
          <w:color w:val="auto"/>
          <w:spacing w:val="-2"/>
          <w:szCs w:val="21"/>
          <w:highlight w:val="none"/>
          <w:lang w:eastAsia="zh-CN"/>
        </w:rPr>
        <w:t>最高投标限</w:t>
      </w:r>
      <w:r>
        <w:rPr>
          <w:rFonts w:hint="eastAsia" w:ascii="仿宋" w:hAnsi="仿宋" w:eastAsia="仿宋" w:cs="仿宋"/>
          <w:bCs/>
          <w:color w:val="auto"/>
          <w:spacing w:val="-2"/>
          <w:szCs w:val="21"/>
          <w:highlight w:val="none"/>
        </w:rPr>
        <w:t>价</w:t>
      </w:r>
      <w:r>
        <w:rPr>
          <w:rFonts w:hint="eastAsia" w:ascii="仿宋" w:hAnsi="仿宋" w:eastAsia="仿宋" w:cs="仿宋"/>
          <w:color w:val="auto"/>
          <w:szCs w:val="21"/>
          <w:highlight w:val="none"/>
        </w:rPr>
        <w:t>×（1–投标报价下浮率）</w:t>
      </w: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计算得投标报价为人民币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32FB450F">
      <w:pPr>
        <w:keepNext w:val="0"/>
        <w:keepLines w:val="0"/>
        <w:pageBreakBefore w:val="0"/>
        <w:widowControl w:val="0"/>
        <w:kinsoku/>
        <w:wordWrap/>
        <w:overflowPunct/>
        <w:topLinePunct w:val="0"/>
        <w:autoSpaceDE w:val="0"/>
        <w:autoSpaceDN w:val="0"/>
        <w:bidi w:val="0"/>
        <w:adjustRightInd w:val="0"/>
        <w:snapToGrid/>
        <w:spacing w:line="440" w:lineRule="exact"/>
        <w:ind w:firstLine="525" w:firstLineChars="25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并按要求承包上述工程的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勘察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初步</w:t>
      </w:r>
      <w:r>
        <w:rPr>
          <w:rFonts w:hint="eastAsia" w:ascii="仿宋" w:hAnsi="仿宋" w:eastAsia="仿宋" w:cs="仿宋"/>
          <w:color w:val="auto"/>
          <w:kern w:val="0"/>
          <w:szCs w:val="21"/>
          <w:highlight w:val="none"/>
        </w:rPr>
        <w:t>设计任务。</w:t>
      </w:r>
    </w:p>
    <w:p w14:paraId="403F714E">
      <w:pPr>
        <w:keepNext w:val="0"/>
        <w:keepLines w:val="0"/>
        <w:pageBreakBefore w:val="0"/>
        <w:widowControl w:val="0"/>
        <w:kinsoku/>
        <w:wordWrap/>
        <w:overflowPunct/>
        <w:topLinePunct w:val="0"/>
        <w:autoSpaceDE w:val="0"/>
        <w:autoSpaceDN w:val="0"/>
        <w:bidi w:val="0"/>
        <w:adjustRightInd w:val="0"/>
        <w:snapToGrid/>
        <w:spacing w:line="440" w:lineRule="exact"/>
        <w:ind w:firstLine="315" w:firstLineChars="15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 如果我方中标，我方保证在中标通知书规定的期限内与你方签订合同协议书，并在规定的期限内完成要求的设计任务。</w:t>
      </w:r>
    </w:p>
    <w:p w14:paraId="017E9356">
      <w:pPr>
        <w:keepNext w:val="0"/>
        <w:keepLines w:val="0"/>
        <w:pageBreakBefore w:val="0"/>
        <w:widowControl w:val="0"/>
        <w:kinsoku/>
        <w:wordWrap/>
        <w:overflowPunct/>
        <w:topLinePunct w:val="0"/>
        <w:autoSpaceDE w:val="0"/>
        <w:autoSpaceDN w:val="0"/>
        <w:bidi w:val="0"/>
        <w:adjustRightInd w:val="0"/>
        <w:snapToGrid/>
        <w:spacing w:line="440" w:lineRule="exact"/>
        <w:ind w:firstLine="315" w:firstLineChars="15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 一旦我方中标，我方保证按合同协议书中规定的工期</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个日历天完成全部工作。</w:t>
      </w:r>
    </w:p>
    <w:p w14:paraId="2FB01D93">
      <w:pPr>
        <w:keepNext w:val="0"/>
        <w:keepLines w:val="0"/>
        <w:pageBreakBefore w:val="0"/>
        <w:widowControl w:val="0"/>
        <w:kinsoku/>
        <w:wordWrap/>
        <w:overflowPunct/>
        <w:topLinePunct w:val="0"/>
        <w:autoSpaceDE w:val="0"/>
        <w:autoSpaceDN w:val="0"/>
        <w:bidi w:val="0"/>
        <w:adjustRightInd w:val="0"/>
        <w:snapToGrid/>
        <w:spacing w:line="440" w:lineRule="exact"/>
        <w:ind w:firstLine="315" w:firstLineChars="15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 如果我方中标，我方将按照规定提交履约</w:t>
      </w:r>
      <w:r>
        <w:rPr>
          <w:rFonts w:hint="eastAsia" w:ascii="仿宋" w:hAnsi="仿宋" w:eastAsia="仿宋" w:cs="仿宋"/>
          <w:color w:val="auto"/>
          <w:spacing w:val="-2"/>
          <w:szCs w:val="21"/>
          <w:highlight w:val="none"/>
        </w:rPr>
        <w:t>保证金</w:t>
      </w:r>
      <w:r>
        <w:rPr>
          <w:rFonts w:hint="eastAsia" w:ascii="仿宋" w:hAnsi="仿宋" w:eastAsia="仿宋" w:cs="仿宋"/>
          <w:color w:val="auto"/>
          <w:kern w:val="0"/>
          <w:szCs w:val="21"/>
          <w:highlight w:val="none"/>
        </w:rPr>
        <w:t>，共同地和分别地承担责任。</w:t>
      </w:r>
    </w:p>
    <w:p w14:paraId="3330E1D1">
      <w:pPr>
        <w:keepNext w:val="0"/>
        <w:keepLines w:val="0"/>
        <w:pageBreakBefore w:val="0"/>
        <w:widowControl w:val="0"/>
        <w:kinsoku/>
        <w:wordWrap/>
        <w:overflowPunct/>
        <w:topLinePunct w:val="0"/>
        <w:autoSpaceDE w:val="0"/>
        <w:autoSpaceDN w:val="0"/>
        <w:bidi w:val="0"/>
        <w:adjustRightInd w:val="0"/>
        <w:snapToGrid/>
        <w:spacing w:line="440" w:lineRule="exact"/>
        <w:ind w:firstLine="315" w:firstLineChars="15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 我方承诺在本投标文件有效期内，本投标函对我方具有约束力，并随时接受中标。</w:t>
      </w:r>
    </w:p>
    <w:p w14:paraId="5535DC24">
      <w:pPr>
        <w:keepNext w:val="0"/>
        <w:keepLines w:val="0"/>
        <w:pageBreakBefore w:val="0"/>
        <w:widowControl w:val="0"/>
        <w:kinsoku/>
        <w:wordWrap/>
        <w:overflowPunct/>
        <w:topLinePunct w:val="0"/>
        <w:autoSpaceDE w:val="0"/>
        <w:autoSpaceDN w:val="0"/>
        <w:bidi w:val="0"/>
        <w:adjustRightInd w:val="0"/>
        <w:snapToGrid/>
        <w:spacing w:line="440" w:lineRule="exact"/>
        <w:ind w:firstLine="315" w:firstLineChars="15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 在合同协议书正式签署生效之前，本投标函连同你方的中标通知书将构成我们双方之间共同遵守的文件，对双方具有约束力。</w:t>
      </w:r>
    </w:p>
    <w:p w14:paraId="149BDB23">
      <w:pPr>
        <w:keepNext w:val="0"/>
        <w:keepLines w:val="0"/>
        <w:pageBreakBefore w:val="0"/>
        <w:widowControl w:val="0"/>
        <w:kinsoku/>
        <w:wordWrap/>
        <w:overflowPunct/>
        <w:topLinePunct w:val="0"/>
        <w:autoSpaceDE w:val="0"/>
        <w:autoSpaceDN w:val="0"/>
        <w:bidi w:val="0"/>
        <w:adjustRightInd w:val="0"/>
        <w:snapToGrid/>
        <w:spacing w:line="440" w:lineRule="exact"/>
        <w:ind w:firstLine="315" w:firstLineChars="15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 我方将与本投标函一起，提交招标文件规定金额的投标担保。</w:t>
      </w:r>
    </w:p>
    <w:p w14:paraId="7732EDB7">
      <w:pPr>
        <w:keepNext w:val="0"/>
        <w:keepLines w:val="0"/>
        <w:pageBreakBefore w:val="0"/>
        <w:widowControl w:val="0"/>
        <w:kinsoku/>
        <w:wordWrap/>
        <w:overflowPunct/>
        <w:topLinePunct w:val="0"/>
        <w:autoSpaceDE w:val="0"/>
        <w:autoSpaceDN w:val="0"/>
        <w:bidi w:val="0"/>
        <w:adjustRightInd w:val="0"/>
        <w:snapToGrid/>
        <w:spacing w:line="440" w:lineRule="exact"/>
        <w:ind w:firstLine="315" w:firstLineChars="15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 此次投标所提供的资料及拟派项目班子人员、合同的签署与履行的承诺等如有虚假，本企业愿接受招标人、建设行政主管部门及其他有关部门依据有关法律法规与招标文件规定给予的处罚，并承担违约责任。</w:t>
      </w:r>
    </w:p>
    <w:p w14:paraId="1166F521">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14:paraId="519E89E3">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p>
    <w:p w14:paraId="25F0B71B">
      <w:pPr>
        <w:autoSpaceDE w:val="0"/>
        <w:autoSpaceDN w:val="0"/>
        <w:adjustRightInd w:val="0"/>
        <w:spacing w:line="480" w:lineRule="auto"/>
        <w:ind w:firstLine="3402" w:firstLineChars="162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 xml:space="preserve"> (盖公章) </w:t>
      </w:r>
    </w:p>
    <w:p w14:paraId="74298AAC">
      <w:pPr>
        <w:autoSpaceDE w:val="0"/>
        <w:autoSpaceDN w:val="0"/>
        <w:adjustRightInd w:val="0"/>
        <w:spacing w:line="480" w:lineRule="auto"/>
        <w:ind w:firstLine="3402" w:firstLineChars="162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 xml:space="preserve"> (签字或盖章) </w:t>
      </w:r>
    </w:p>
    <w:p w14:paraId="5A2F57C8">
      <w:pPr>
        <w:autoSpaceDE w:val="0"/>
        <w:autoSpaceDN w:val="0"/>
        <w:adjustRightInd w:val="0"/>
        <w:spacing w:line="480" w:lineRule="auto"/>
        <w:ind w:firstLine="3402" w:firstLineChars="1620"/>
        <w:jc w:val="center"/>
        <w:rPr>
          <w:rFonts w:hint="eastAsia" w:ascii="宋体" w:hAnsi="宋体" w:eastAsia="宋体" w:cs="宋体"/>
          <w:b/>
          <w:bCs/>
          <w:color w:val="auto"/>
          <w:sz w:val="28"/>
          <w:szCs w:val="28"/>
          <w:highlight w:val="none"/>
          <w:lang w:val="en-US" w:eastAsia="zh-CN"/>
        </w:rPr>
      </w:pPr>
      <w:r>
        <w:rPr>
          <w:rFonts w:hint="eastAsia" w:ascii="仿宋" w:hAnsi="仿宋" w:eastAsia="仿宋" w:cs="仿宋"/>
          <w:color w:val="auto"/>
          <w:kern w:val="0"/>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日</w:t>
      </w:r>
      <w:r>
        <w:rPr>
          <w:rFonts w:hint="eastAsia" w:ascii="仿宋" w:hAnsi="仿宋" w:eastAsia="仿宋" w:cs="仿宋"/>
          <w:color w:val="auto"/>
          <w:kern w:val="0"/>
          <w:szCs w:val="21"/>
          <w:highlight w:val="none"/>
        </w:rPr>
        <w:br w:type="page"/>
      </w:r>
      <w:r>
        <w:rPr>
          <w:rFonts w:hint="eastAsia" w:ascii="宋体" w:hAnsi="宋体" w:cs="宋体"/>
          <w:b/>
          <w:bCs/>
          <w:color w:val="auto"/>
          <w:sz w:val="28"/>
          <w:szCs w:val="28"/>
          <w:highlight w:val="none"/>
        </w:rPr>
        <w:t>（二）投标函附录</w:t>
      </w:r>
      <w:r>
        <w:rPr>
          <w:rFonts w:hint="eastAsia" w:ascii="宋体" w:hAnsi="宋体" w:cs="宋体"/>
          <w:b/>
          <w:bCs/>
          <w:color w:val="auto"/>
          <w:sz w:val="28"/>
          <w:szCs w:val="28"/>
          <w:highlight w:val="none"/>
          <w:lang w:val="en-US" w:eastAsia="zh-CN"/>
        </w:rPr>
        <w:t>一</w:t>
      </w:r>
    </w:p>
    <w:p w14:paraId="672F1B63">
      <w:pPr>
        <w:spacing w:line="360" w:lineRule="auto"/>
        <w:rPr>
          <w:rFonts w:ascii="宋体" w:hAnsi="宋体"/>
          <w:b/>
          <w:color w:val="auto"/>
          <w:sz w:val="24"/>
          <w:highlight w:val="none"/>
        </w:rPr>
      </w:pPr>
    </w:p>
    <w:tbl>
      <w:tblPr>
        <w:tblStyle w:val="49"/>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5779"/>
        <w:gridCol w:w="1309"/>
        <w:gridCol w:w="639"/>
      </w:tblGrid>
      <w:tr w14:paraId="23E091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7C5D5B0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35" w:type="dxa"/>
            <w:vAlign w:val="center"/>
          </w:tcPr>
          <w:p w14:paraId="0FDFE82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项目内容</w:t>
            </w:r>
          </w:p>
        </w:tc>
        <w:tc>
          <w:tcPr>
            <w:tcW w:w="5779" w:type="dxa"/>
            <w:vAlign w:val="center"/>
          </w:tcPr>
          <w:p w14:paraId="2A16F27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约 定 内 容</w:t>
            </w:r>
          </w:p>
        </w:tc>
        <w:tc>
          <w:tcPr>
            <w:tcW w:w="1309" w:type="dxa"/>
            <w:vAlign w:val="center"/>
          </w:tcPr>
          <w:p w14:paraId="652AE72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639" w:type="dxa"/>
            <w:vAlign w:val="center"/>
          </w:tcPr>
          <w:p w14:paraId="66CF0D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42DA8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3D48CC7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5" w:type="dxa"/>
            <w:vAlign w:val="center"/>
          </w:tcPr>
          <w:p w14:paraId="01644CE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投标范围</w:t>
            </w:r>
          </w:p>
        </w:tc>
        <w:tc>
          <w:tcPr>
            <w:tcW w:w="5779" w:type="dxa"/>
            <w:vAlign w:val="center"/>
          </w:tcPr>
          <w:p w14:paraId="71395280">
            <w:pPr>
              <w:jc w:val="center"/>
              <w:rPr>
                <w:rFonts w:hint="eastAsia" w:ascii="仿宋" w:hAnsi="仿宋" w:eastAsia="仿宋" w:cs="仿宋"/>
                <w:bCs/>
                <w:color w:val="auto"/>
                <w:szCs w:val="21"/>
                <w:highlight w:val="none"/>
                <w:lang w:val="zh-TW"/>
              </w:rPr>
            </w:pPr>
            <w:r>
              <w:rPr>
                <w:rFonts w:hint="eastAsia" w:ascii="仿宋" w:hAnsi="仿宋" w:eastAsia="仿宋" w:cs="仿宋"/>
                <w:bCs/>
                <w:color w:val="auto"/>
                <w:szCs w:val="21"/>
                <w:highlight w:val="none"/>
                <w:lang w:val="zh-TW"/>
              </w:rPr>
              <w:t>按招标文件约定</w:t>
            </w:r>
          </w:p>
        </w:tc>
        <w:tc>
          <w:tcPr>
            <w:tcW w:w="1309" w:type="dxa"/>
            <w:vAlign w:val="center"/>
          </w:tcPr>
          <w:p w14:paraId="585D1D15">
            <w:pPr>
              <w:spacing w:line="360" w:lineRule="auto"/>
              <w:jc w:val="center"/>
              <w:rPr>
                <w:rFonts w:hint="eastAsia" w:ascii="仿宋" w:hAnsi="仿宋" w:eastAsia="仿宋" w:cs="仿宋"/>
                <w:color w:val="auto"/>
                <w:szCs w:val="21"/>
                <w:highlight w:val="none"/>
              </w:rPr>
            </w:pPr>
          </w:p>
        </w:tc>
        <w:tc>
          <w:tcPr>
            <w:tcW w:w="639" w:type="dxa"/>
            <w:vAlign w:val="center"/>
          </w:tcPr>
          <w:p w14:paraId="484DF58F">
            <w:pPr>
              <w:spacing w:line="360" w:lineRule="auto"/>
              <w:jc w:val="center"/>
              <w:rPr>
                <w:rFonts w:hint="eastAsia" w:ascii="仿宋" w:hAnsi="仿宋" w:eastAsia="仿宋" w:cs="仿宋"/>
                <w:color w:val="auto"/>
                <w:szCs w:val="21"/>
                <w:highlight w:val="none"/>
              </w:rPr>
            </w:pPr>
          </w:p>
        </w:tc>
      </w:tr>
      <w:tr w14:paraId="5FCA0B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1C48E9F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5" w:type="dxa"/>
            <w:vAlign w:val="center"/>
          </w:tcPr>
          <w:p w14:paraId="0BE931A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勘察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设计服务期限</w:t>
            </w:r>
          </w:p>
        </w:tc>
        <w:tc>
          <w:tcPr>
            <w:tcW w:w="5779" w:type="dxa"/>
            <w:vAlign w:val="center"/>
          </w:tcPr>
          <w:p w14:paraId="51D00FF3">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）日历天</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（其中：勘察工期</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个日历天，设计工期</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个日历天）</w:t>
            </w:r>
          </w:p>
        </w:tc>
        <w:tc>
          <w:tcPr>
            <w:tcW w:w="1309" w:type="dxa"/>
            <w:vAlign w:val="center"/>
          </w:tcPr>
          <w:p w14:paraId="5EB5EC48">
            <w:pPr>
              <w:spacing w:line="360" w:lineRule="auto"/>
              <w:jc w:val="center"/>
              <w:rPr>
                <w:rFonts w:hint="eastAsia" w:ascii="仿宋" w:hAnsi="仿宋" w:eastAsia="仿宋" w:cs="仿宋"/>
                <w:color w:val="auto"/>
                <w:szCs w:val="21"/>
                <w:highlight w:val="none"/>
              </w:rPr>
            </w:pPr>
          </w:p>
        </w:tc>
        <w:tc>
          <w:tcPr>
            <w:tcW w:w="639" w:type="dxa"/>
            <w:vAlign w:val="center"/>
          </w:tcPr>
          <w:p w14:paraId="67D044C7">
            <w:pPr>
              <w:spacing w:line="360" w:lineRule="auto"/>
              <w:jc w:val="center"/>
              <w:rPr>
                <w:rFonts w:hint="eastAsia" w:ascii="仿宋" w:hAnsi="仿宋" w:eastAsia="仿宋" w:cs="仿宋"/>
                <w:color w:val="auto"/>
                <w:szCs w:val="21"/>
                <w:highlight w:val="none"/>
              </w:rPr>
            </w:pPr>
          </w:p>
        </w:tc>
      </w:tr>
      <w:tr w14:paraId="4F3B99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61A82E5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35" w:type="dxa"/>
            <w:vAlign w:val="center"/>
          </w:tcPr>
          <w:p w14:paraId="08EFADF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质量标准</w:t>
            </w:r>
          </w:p>
        </w:tc>
        <w:tc>
          <w:tcPr>
            <w:tcW w:w="5779" w:type="dxa"/>
            <w:vAlign w:val="center"/>
          </w:tcPr>
          <w:p w14:paraId="0245902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w:t>
            </w:r>
            <w:r>
              <w:rPr>
                <w:rFonts w:hint="eastAsia" w:ascii="仿宋" w:hAnsi="仿宋" w:eastAsia="仿宋" w:cs="仿宋"/>
                <w:bCs/>
                <w:color w:val="auto"/>
                <w:szCs w:val="21"/>
                <w:highlight w:val="none"/>
                <w:lang w:val="zh-TW"/>
              </w:rPr>
              <w:t>招标</w:t>
            </w:r>
            <w:r>
              <w:rPr>
                <w:rFonts w:hint="eastAsia" w:ascii="仿宋" w:hAnsi="仿宋" w:eastAsia="仿宋" w:cs="仿宋"/>
                <w:color w:val="auto"/>
                <w:szCs w:val="21"/>
                <w:highlight w:val="none"/>
              </w:rPr>
              <w:t>文件约定</w:t>
            </w:r>
          </w:p>
        </w:tc>
        <w:tc>
          <w:tcPr>
            <w:tcW w:w="1309" w:type="dxa"/>
            <w:vAlign w:val="center"/>
          </w:tcPr>
          <w:p w14:paraId="4D16C4DA">
            <w:pPr>
              <w:spacing w:line="360" w:lineRule="auto"/>
              <w:jc w:val="center"/>
              <w:rPr>
                <w:rFonts w:hint="eastAsia" w:ascii="仿宋" w:hAnsi="仿宋" w:eastAsia="仿宋" w:cs="仿宋"/>
                <w:color w:val="auto"/>
                <w:szCs w:val="21"/>
                <w:highlight w:val="none"/>
              </w:rPr>
            </w:pPr>
          </w:p>
        </w:tc>
        <w:tc>
          <w:tcPr>
            <w:tcW w:w="639" w:type="dxa"/>
            <w:vAlign w:val="center"/>
          </w:tcPr>
          <w:p w14:paraId="5CF481C9">
            <w:pPr>
              <w:spacing w:line="360" w:lineRule="auto"/>
              <w:jc w:val="center"/>
              <w:rPr>
                <w:rFonts w:hint="eastAsia" w:ascii="仿宋" w:hAnsi="仿宋" w:eastAsia="仿宋" w:cs="仿宋"/>
                <w:color w:val="auto"/>
                <w:szCs w:val="21"/>
                <w:highlight w:val="none"/>
              </w:rPr>
            </w:pPr>
          </w:p>
        </w:tc>
      </w:tr>
      <w:tr w14:paraId="06291B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0C9442A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135" w:type="dxa"/>
            <w:vAlign w:val="center"/>
          </w:tcPr>
          <w:p w14:paraId="207F1B8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779" w:type="dxa"/>
            <w:vAlign w:val="center"/>
          </w:tcPr>
          <w:p w14:paraId="16CCF66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w:t>
            </w:r>
            <w:r>
              <w:rPr>
                <w:rFonts w:hint="eastAsia" w:ascii="仿宋" w:hAnsi="仿宋" w:eastAsia="仿宋" w:cs="仿宋"/>
                <w:bCs/>
                <w:color w:val="auto"/>
                <w:szCs w:val="21"/>
                <w:highlight w:val="none"/>
                <w:lang w:val="zh-TW"/>
              </w:rPr>
              <w:t>招标</w:t>
            </w:r>
            <w:r>
              <w:rPr>
                <w:rFonts w:hint="eastAsia" w:ascii="仿宋" w:hAnsi="仿宋" w:eastAsia="仿宋" w:cs="仿宋"/>
                <w:color w:val="auto"/>
                <w:szCs w:val="21"/>
                <w:highlight w:val="none"/>
              </w:rPr>
              <w:t>文件约定</w:t>
            </w:r>
          </w:p>
        </w:tc>
        <w:tc>
          <w:tcPr>
            <w:tcW w:w="1309" w:type="dxa"/>
            <w:vAlign w:val="center"/>
          </w:tcPr>
          <w:p w14:paraId="76CED24B">
            <w:pPr>
              <w:spacing w:line="360" w:lineRule="auto"/>
              <w:jc w:val="center"/>
              <w:rPr>
                <w:rFonts w:hint="eastAsia" w:ascii="仿宋" w:hAnsi="仿宋" w:eastAsia="仿宋" w:cs="仿宋"/>
                <w:color w:val="auto"/>
                <w:szCs w:val="21"/>
                <w:highlight w:val="none"/>
              </w:rPr>
            </w:pPr>
          </w:p>
        </w:tc>
        <w:tc>
          <w:tcPr>
            <w:tcW w:w="639" w:type="dxa"/>
            <w:vAlign w:val="center"/>
          </w:tcPr>
          <w:p w14:paraId="38FD0E29">
            <w:pPr>
              <w:spacing w:line="360" w:lineRule="auto"/>
              <w:jc w:val="center"/>
              <w:rPr>
                <w:rFonts w:hint="eastAsia" w:ascii="仿宋" w:hAnsi="仿宋" w:eastAsia="仿宋" w:cs="仿宋"/>
                <w:color w:val="auto"/>
                <w:szCs w:val="21"/>
                <w:highlight w:val="none"/>
              </w:rPr>
            </w:pPr>
          </w:p>
        </w:tc>
      </w:tr>
      <w:tr w14:paraId="7F207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7DF4502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135" w:type="dxa"/>
            <w:vAlign w:val="center"/>
          </w:tcPr>
          <w:p w14:paraId="652CA58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w:t>
            </w:r>
          </w:p>
        </w:tc>
        <w:tc>
          <w:tcPr>
            <w:tcW w:w="5779" w:type="dxa"/>
            <w:vAlign w:val="center"/>
          </w:tcPr>
          <w:p w14:paraId="0D92A4A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w:t>
            </w:r>
            <w:r>
              <w:rPr>
                <w:rFonts w:hint="eastAsia" w:ascii="仿宋" w:hAnsi="仿宋" w:eastAsia="仿宋" w:cs="仿宋"/>
                <w:bCs/>
                <w:color w:val="auto"/>
                <w:szCs w:val="21"/>
                <w:highlight w:val="none"/>
                <w:lang w:val="zh-TW"/>
              </w:rPr>
              <w:t>招标</w:t>
            </w:r>
            <w:r>
              <w:rPr>
                <w:rFonts w:hint="eastAsia" w:ascii="仿宋" w:hAnsi="仿宋" w:eastAsia="仿宋" w:cs="仿宋"/>
                <w:color w:val="auto"/>
                <w:szCs w:val="21"/>
                <w:highlight w:val="none"/>
              </w:rPr>
              <w:t>文件约定</w:t>
            </w:r>
          </w:p>
        </w:tc>
        <w:tc>
          <w:tcPr>
            <w:tcW w:w="1309" w:type="dxa"/>
            <w:vAlign w:val="center"/>
          </w:tcPr>
          <w:p w14:paraId="0D830240">
            <w:pPr>
              <w:spacing w:line="360" w:lineRule="auto"/>
              <w:jc w:val="center"/>
              <w:rPr>
                <w:rFonts w:hint="eastAsia" w:ascii="仿宋" w:hAnsi="仿宋" w:eastAsia="仿宋" w:cs="仿宋"/>
                <w:color w:val="auto"/>
                <w:szCs w:val="21"/>
                <w:highlight w:val="none"/>
              </w:rPr>
            </w:pPr>
          </w:p>
        </w:tc>
        <w:tc>
          <w:tcPr>
            <w:tcW w:w="639" w:type="dxa"/>
            <w:vAlign w:val="center"/>
          </w:tcPr>
          <w:p w14:paraId="1DB86EAC">
            <w:pPr>
              <w:spacing w:line="360" w:lineRule="auto"/>
              <w:jc w:val="center"/>
              <w:rPr>
                <w:rFonts w:hint="eastAsia" w:ascii="仿宋" w:hAnsi="仿宋" w:eastAsia="仿宋" w:cs="仿宋"/>
                <w:color w:val="auto"/>
                <w:szCs w:val="21"/>
                <w:highlight w:val="none"/>
              </w:rPr>
            </w:pPr>
          </w:p>
        </w:tc>
      </w:tr>
    </w:tbl>
    <w:p w14:paraId="7113A4CE">
      <w:pPr>
        <w:spacing w:line="360" w:lineRule="auto"/>
        <w:rPr>
          <w:rFonts w:ascii="宋体" w:hAnsi="宋体"/>
          <w:color w:val="auto"/>
          <w:szCs w:val="21"/>
          <w:highlight w:val="none"/>
        </w:rPr>
      </w:pPr>
    </w:p>
    <w:p w14:paraId="27CC4820">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（盖公章）</w:t>
      </w:r>
    </w:p>
    <w:p w14:paraId="1000BAA5">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日期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zCs w:val="21"/>
          <w:highlight w:val="none"/>
        </w:rPr>
        <w:t>日</w:t>
      </w:r>
    </w:p>
    <w:p w14:paraId="1FE6A79D">
      <w:pPr>
        <w:spacing w:line="360" w:lineRule="auto"/>
        <w:jc w:val="center"/>
        <w:rPr>
          <w:rFonts w:ascii="宋体" w:hAnsi="宋体" w:cs="宋体"/>
          <w:b/>
          <w:bCs/>
          <w:color w:val="auto"/>
          <w:sz w:val="28"/>
          <w:szCs w:val="28"/>
          <w:highlight w:val="none"/>
        </w:rPr>
      </w:pPr>
    </w:p>
    <w:p w14:paraId="4B587EE8">
      <w:pPr>
        <w:spacing w:line="360" w:lineRule="auto"/>
        <w:jc w:val="center"/>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75A9A228">
      <w:pPr>
        <w:numPr>
          <w:ilvl w:val="0"/>
          <w:numId w:val="12"/>
        </w:numPr>
        <w:spacing w:line="360" w:lineRule="auto"/>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rPr>
        <w:t>投标函附录</w:t>
      </w:r>
      <w:r>
        <w:rPr>
          <w:rFonts w:hint="eastAsia" w:ascii="宋体" w:hAnsi="宋体" w:cs="宋体"/>
          <w:b/>
          <w:bCs/>
          <w:color w:val="auto"/>
          <w:sz w:val="28"/>
          <w:szCs w:val="28"/>
          <w:highlight w:val="none"/>
          <w:lang w:val="en-US" w:eastAsia="zh-CN"/>
        </w:rPr>
        <w:t>二</w:t>
      </w:r>
    </w:p>
    <w:p w14:paraId="32DB2509">
      <w:pPr>
        <w:spacing w:line="400" w:lineRule="exact"/>
        <w:ind w:left="178" w:leftChars="85"/>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勘察</w:t>
      </w:r>
      <w:r>
        <w:rPr>
          <w:rFonts w:hint="eastAsia" w:ascii="宋体" w:hAnsi="宋体" w:cs="宋体"/>
          <w:b/>
          <w:color w:val="auto"/>
          <w:sz w:val="32"/>
          <w:highlight w:val="none"/>
          <w:lang w:eastAsia="zh-CN"/>
        </w:rPr>
        <w:t>、</w:t>
      </w:r>
      <w:r>
        <w:rPr>
          <w:rFonts w:hint="eastAsia" w:ascii="宋体" w:hAnsi="宋体" w:eastAsia="宋体" w:cs="宋体"/>
          <w:b/>
          <w:color w:val="auto"/>
          <w:sz w:val="32"/>
          <w:highlight w:val="none"/>
          <w:lang w:eastAsia="zh-CN"/>
        </w:rPr>
        <w:t>初步设计费报价表</w:t>
      </w:r>
    </w:p>
    <w:tbl>
      <w:tblPr>
        <w:tblStyle w:val="49"/>
        <w:tblW w:w="9874"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221"/>
        <w:gridCol w:w="1885"/>
        <w:gridCol w:w="1800"/>
        <w:gridCol w:w="3278"/>
      </w:tblGrid>
      <w:tr w14:paraId="5406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0" w:type="dxa"/>
            <w:noWrap w:val="0"/>
            <w:vAlign w:val="center"/>
          </w:tcPr>
          <w:p w14:paraId="2C9BA90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221" w:type="dxa"/>
            <w:noWrap w:val="0"/>
            <w:vAlign w:val="center"/>
          </w:tcPr>
          <w:p w14:paraId="5621BD7A">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投标报价</w:t>
            </w:r>
          </w:p>
        </w:tc>
        <w:tc>
          <w:tcPr>
            <w:tcW w:w="1885" w:type="dxa"/>
            <w:noWrap w:val="0"/>
            <w:vAlign w:val="center"/>
          </w:tcPr>
          <w:p w14:paraId="1268C1D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万元</w:t>
            </w:r>
          </w:p>
        </w:tc>
        <w:tc>
          <w:tcPr>
            <w:tcW w:w="1800" w:type="dxa"/>
            <w:noWrap w:val="0"/>
            <w:vAlign w:val="center"/>
          </w:tcPr>
          <w:p w14:paraId="0C5772C9">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投标下浮率</w:t>
            </w:r>
          </w:p>
        </w:tc>
        <w:tc>
          <w:tcPr>
            <w:tcW w:w="3278" w:type="dxa"/>
            <w:noWrap w:val="0"/>
            <w:vAlign w:val="center"/>
          </w:tcPr>
          <w:p w14:paraId="665F030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4F4D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90" w:type="dxa"/>
            <w:noWrap w:val="0"/>
            <w:vAlign w:val="center"/>
          </w:tcPr>
          <w:p w14:paraId="6F174F9B">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2221" w:type="dxa"/>
            <w:noWrap w:val="0"/>
            <w:vAlign w:val="center"/>
          </w:tcPr>
          <w:p w14:paraId="2B67877D">
            <w:pPr>
              <w:pStyle w:val="15"/>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勘察费报价</w:t>
            </w:r>
          </w:p>
        </w:tc>
        <w:tc>
          <w:tcPr>
            <w:tcW w:w="1885" w:type="dxa"/>
            <w:noWrap w:val="0"/>
            <w:vAlign w:val="center"/>
          </w:tcPr>
          <w:p w14:paraId="5FCEDBCC">
            <w:pPr>
              <w:jc w:val="center"/>
              <w:rPr>
                <w:rFonts w:hint="eastAsia" w:ascii="仿宋" w:hAnsi="仿宋" w:eastAsia="仿宋" w:cs="仿宋"/>
                <w:color w:val="auto"/>
                <w:sz w:val="21"/>
                <w:szCs w:val="21"/>
                <w:highlight w:val="none"/>
                <w:lang w:eastAsia="zh-CN"/>
              </w:rPr>
            </w:pPr>
          </w:p>
        </w:tc>
        <w:tc>
          <w:tcPr>
            <w:tcW w:w="1800" w:type="dxa"/>
            <w:noWrap w:val="0"/>
            <w:vAlign w:val="center"/>
          </w:tcPr>
          <w:p w14:paraId="60FF23A1">
            <w:pPr>
              <w:pStyle w:val="1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p>
        </w:tc>
        <w:tc>
          <w:tcPr>
            <w:tcW w:w="3278" w:type="dxa"/>
            <w:noWrap w:val="0"/>
            <w:vAlign w:val="center"/>
          </w:tcPr>
          <w:p w14:paraId="18C3FE7E">
            <w:pPr>
              <w:pStyle w:val="1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对应报价金额不得超过最高投标限价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万元</w:t>
            </w:r>
          </w:p>
        </w:tc>
      </w:tr>
      <w:tr w14:paraId="213C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90" w:type="dxa"/>
            <w:noWrap w:val="0"/>
            <w:vAlign w:val="center"/>
          </w:tcPr>
          <w:p w14:paraId="7A89535F">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w:t>
            </w:r>
          </w:p>
        </w:tc>
        <w:tc>
          <w:tcPr>
            <w:tcW w:w="2221" w:type="dxa"/>
            <w:noWrap w:val="0"/>
            <w:vAlign w:val="center"/>
          </w:tcPr>
          <w:p w14:paraId="19C9AD23">
            <w:pPr>
              <w:pStyle w:val="15"/>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初步设计费报价</w:t>
            </w:r>
          </w:p>
        </w:tc>
        <w:tc>
          <w:tcPr>
            <w:tcW w:w="1885" w:type="dxa"/>
            <w:noWrap w:val="0"/>
            <w:vAlign w:val="center"/>
          </w:tcPr>
          <w:p w14:paraId="34B29698">
            <w:pPr>
              <w:jc w:val="center"/>
              <w:rPr>
                <w:rFonts w:hint="eastAsia" w:ascii="仿宋" w:hAnsi="仿宋" w:eastAsia="仿宋" w:cs="仿宋"/>
                <w:color w:val="auto"/>
                <w:sz w:val="21"/>
                <w:szCs w:val="21"/>
                <w:highlight w:val="none"/>
                <w:lang w:eastAsia="zh-CN"/>
              </w:rPr>
            </w:pPr>
          </w:p>
        </w:tc>
        <w:tc>
          <w:tcPr>
            <w:tcW w:w="1800" w:type="dxa"/>
            <w:noWrap w:val="0"/>
            <w:vAlign w:val="center"/>
          </w:tcPr>
          <w:p w14:paraId="0614AF71">
            <w:pPr>
              <w:pStyle w:val="1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p>
        </w:tc>
        <w:tc>
          <w:tcPr>
            <w:tcW w:w="3278" w:type="dxa"/>
            <w:noWrap w:val="0"/>
            <w:vAlign w:val="center"/>
          </w:tcPr>
          <w:p w14:paraId="488075DC">
            <w:pPr>
              <w:pStyle w:val="1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对应报价金额不得超过最高投标限价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万元</w:t>
            </w:r>
          </w:p>
        </w:tc>
      </w:tr>
      <w:tr w14:paraId="32BD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911" w:type="dxa"/>
            <w:gridSpan w:val="2"/>
            <w:noWrap w:val="0"/>
            <w:vAlign w:val="center"/>
          </w:tcPr>
          <w:p w14:paraId="49B7E19E">
            <w:pPr>
              <w:jc w:val="center"/>
              <w:rPr>
                <w:rFonts w:hint="eastAsia" w:ascii="仿宋" w:hAnsi="仿宋" w:eastAsia="仿宋" w:cs="仿宋"/>
                <w:b w:val="0"/>
                <w:bCs w:val="0"/>
                <w:color w:val="auto"/>
                <w:sz w:val="21"/>
                <w:szCs w:val="21"/>
                <w:highlight w:val="none"/>
                <w:lang w:val="en-US" w:eastAsia="zh-CN" w:bidi="ar-SA"/>
              </w:rPr>
            </w:pPr>
            <w:r>
              <w:rPr>
                <w:rFonts w:hint="eastAsia" w:ascii="仿宋" w:hAnsi="仿宋" w:eastAsia="仿宋" w:cs="仿宋"/>
                <w:b w:val="0"/>
                <w:bCs w:val="0"/>
                <w:color w:val="auto"/>
                <w:sz w:val="21"/>
                <w:szCs w:val="21"/>
                <w:highlight w:val="none"/>
                <w:lang w:eastAsia="zh-CN"/>
              </w:rPr>
              <w:t>勘察、初步设计费总报价</w:t>
            </w:r>
          </w:p>
        </w:tc>
        <w:tc>
          <w:tcPr>
            <w:tcW w:w="1885" w:type="dxa"/>
            <w:noWrap w:val="0"/>
            <w:vAlign w:val="center"/>
          </w:tcPr>
          <w:p w14:paraId="4A0DC286">
            <w:pPr>
              <w:jc w:val="center"/>
              <w:rPr>
                <w:rFonts w:hint="eastAsia" w:ascii="仿宋" w:hAnsi="仿宋" w:eastAsia="仿宋" w:cs="仿宋"/>
                <w:color w:val="auto"/>
                <w:sz w:val="21"/>
                <w:szCs w:val="21"/>
                <w:highlight w:val="none"/>
                <w:lang w:eastAsia="zh-CN"/>
              </w:rPr>
            </w:pPr>
          </w:p>
        </w:tc>
        <w:tc>
          <w:tcPr>
            <w:tcW w:w="1800" w:type="dxa"/>
            <w:noWrap w:val="0"/>
            <w:vAlign w:val="center"/>
          </w:tcPr>
          <w:p w14:paraId="475954F8">
            <w:pPr>
              <w:pStyle w:val="1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p>
        </w:tc>
        <w:tc>
          <w:tcPr>
            <w:tcW w:w="3278" w:type="dxa"/>
            <w:noWrap w:val="0"/>
            <w:vAlign w:val="center"/>
          </w:tcPr>
          <w:p w14:paraId="665E493B">
            <w:pPr>
              <w:pStyle w:val="1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对应报价金额不得超过最高投标限价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万元</w:t>
            </w:r>
          </w:p>
        </w:tc>
      </w:tr>
    </w:tbl>
    <w:p w14:paraId="136D14FB">
      <w:pPr>
        <w:spacing w:line="360" w:lineRule="auto"/>
        <w:ind w:firstLine="420" w:firstLineChars="200"/>
        <w:rPr>
          <w:rFonts w:hint="eastAsia" w:ascii="宋体" w:hAnsi="宋体" w:eastAsia="宋体" w:cs="宋体"/>
          <w:color w:val="auto"/>
          <w:szCs w:val="21"/>
          <w:highlight w:val="none"/>
          <w:lang w:eastAsia="zh-CN"/>
        </w:rPr>
      </w:pPr>
    </w:p>
    <w:p w14:paraId="637FAF48">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注释：</w:t>
      </w:r>
    </w:p>
    <w:p w14:paraId="014E161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1、投标人根据《勘察、初步设计费报价表》的要求进行报价。</w:t>
      </w:r>
    </w:p>
    <w:p w14:paraId="3E68933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2、若勘察、初步设计费报价超过勘察、初步设计费最高投标限价或单项报价超过单项最高投标限价均作无效标书处理。</w:t>
      </w:r>
    </w:p>
    <w:p w14:paraId="760DC68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3、投标下浮率=（最高投标限价-投标报价）/最高投标限价×100%。</w:t>
      </w:r>
    </w:p>
    <w:p w14:paraId="4FDCD8E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勘察、初步设计费报价与勘察、初步设计费投标下浮率所算出的价格不一致的，以勘察、初步设计费报价为准，修正勘察、初步设计费投标下浮率=1-勘察、初步设计费报价/最高投标限价（以%为单位，精确到小数点后2位）。评标委员会</w:t>
      </w:r>
      <w:r>
        <w:rPr>
          <w:rFonts w:hint="eastAsia" w:ascii="仿宋" w:hAnsi="仿宋" w:eastAsia="仿宋" w:cs="仿宋"/>
          <w:color w:val="auto"/>
          <w:highlight w:val="none"/>
          <w:lang w:eastAsia="zh-CN"/>
        </w:rPr>
        <w:t>按上述修正错误的原则及方法修正投标文件的</w:t>
      </w:r>
      <w:r>
        <w:rPr>
          <w:rFonts w:hint="eastAsia" w:ascii="仿宋" w:hAnsi="仿宋" w:eastAsia="仿宋" w:cs="仿宋"/>
          <w:color w:val="auto"/>
          <w:szCs w:val="21"/>
          <w:highlight w:val="none"/>
          <w:lang w:eastAsia="zh-CN"/>
        </w:rPr>
        <w:t>勘察、初步设计费投标下浮率</w:t>
      </w:r>
      <w:r>
        <w:rPr>
          <w:rFonts w:hint="eastAsia" w:ascii="仿宋" w:hAnsi="仿宋" w:eastAsia="仿宋" w:cs="仿宋"/>
          <w:color w:val="auto"/>
          <w:highlight w:val="none"/>
          <w:lang w:eastAsia="zh-CN"/>
        </w:rPr>
        <w:t>，调整后的</w:t>
      </w:r>
      <w:r>
        <w:rPr>
          <w:rFonts w:hint="eastAsia" w:ascii="仿宋" w:hAnsi="仿宋" w:eastAsia="仿宋" w:cs="仿宋"/>
          <w:color w:val="auto"/>
          <w:szCs w:val="21"/>
          <w:highlight w:val="none"/>
          <w:lang w:eastAsia="zh-CN"/>
        </w:rPr>
        <w:t>勘察、初步设计费投标下浮率</w:t>
      </w:r>
      <w:r>
        <w:rPr>
          <w:rFonts w:hint="eastAsia" w:ascii="仿宋" w:hAnsi="仿宋" w:eastAsia="仿宋" w:cs="仿宋"/>
          <w:color w:val="auto"/>
          <w:highlight w:val="none"/>
          <w:lang w:eastAsia="zh-CN"/>
        </w:rPr>
        <w:t>对投标人起约束作用。如果投标人不接受修正后的</w:t>
      </w:r>
      <w:r>
        <w:rPr>
          <w:rFonts w:hint="eastAsia" w:ascii="仿宋" w:hAnsi="仿宋" w:eastAsia="仿宋" w:cs="仿宋"/>
          <w:color w:val="auto"/>
          <w:szCs w:val="21"/>
          <w:highlight w:val="none"/>
          <w:lang w:eastAsia="zh-CN"/>
        </w:rPr>
        <w:t>勘察、初步设计费投标下浮率</w:t>
      </w:r>
      <w:r>
        <w:rPr>
          <w:rFonts w:hint="eastAsia" w:ascii="仿宋" w:hAnsi="仿宋" w:eastAsia="仿宋" w:cs="仿宋"/>
          <w:color w:val="auto"/>
          <w:highlight w:val="none"/>
          <w:lang w:eastAsia="zh-CN"/>
        </w:rPr>
        <w:t>，则取消其中标资格。</w:t>
      </w:r>
    </w:p>
    <w:p w14:paraId="715BD230">
      <w:pPr>
        <w:pStyle w:val="48"/>
        <w:ind w:left="0" w:leftChars="0" w:firstLine="0" w:firstLineChars="0"/>
        <w:rPr>
          <w:rFonts w:hint="eastAsia" w:ascii="仿宋" w:hAnsi="仿宋" w:eastAsia="仿宋" w:cs="仿宋"/>
          <w:color w:val="auto"/>
          <w:highlight w:val="none"/>
          <w:lang w:eastAsia="zh-CN"/>
        </w:rPr>
      </w:pPr>
    </w:p>
    <w:p w14:paraId="4738BD87">
      <w:pPr>
        <w:pStyle w:val="18"/>
        <w:kinsoku w:val="0"/>
        <w:overflowPunct w:val="0"/>
        <w:spacing w:line="360" w:lineRule="auto"/>
        <w:ind w:left="0" w:firstLine="4802" w:firstLineChars="2000"/>
        <w:rPr>
          <w:rFonts w:hint="eastAsia" w:cs="宋体"/>
          <w:b/>
          <w:color w:val="auto"/>
          <w:sz w:val="24"/>
          <w:szCs w:val="24"/>
          <w:highlight w:val="none"/>
          <w:lang w:eastAsia="zh-CN"/>
        </w:rPr>
      </w:pPr>
      <w:r>
        <w:rPr>
          <w:rFonts w:hint="eastAsia" w:cs="宋体"/>
          <w:b/>
          <w:color w:val="auto"/>
          <w:sz w:val="24"/>
          <w:szCs w:val="24"/>
          <w:highlight w:val="none"/>
          <w:lang w:eastAsia="zh-CN"/>
        </w:rPr>
        <w:t>投标</w:t>
      </w:r>
      <w:r>
        <w:rPr>
          <w:rFonts w:hint="eastAsia" w:cs="宋体"/>
          <w:b/>
          <w:color w:val="auto"/>
          <w:spacing w:val="-2"/>
          <w:sz w:val="24"/>
          <w:szCs w:val="24"/>
          <w:highlight w:val="none"/>
          <w:lang w:eastAsia="zh-CN"/>
        </w:rPr>
        <w:t>人：</w:t>
      </w:r>
      <w:r>
        <w:rPr>
          <w:rFonts w:hint="eastAsia" w:cs="宋体"/>
          <w:b/>
          <w:color w:val="auto"/>
          <w:spacing w:val="-2"/>
          <w:sz w:val="24"/>
          <w:szCs w:val="24"/>
          <w:highlight w:val="none"/>
          <w:u w:val="single"/>
          <w:lang w:eastAsia="zh-CN"/>
        </w:rPr>
        <w:t xml:space="preserve">      </w:t>
      </w:r>
      <w:r>
        <w:rPr>
          <w:rFonts w:hint="eastAsia" w:cs="宋体"/>
          <w:b/>
          <w:color w:val="auto"/>
          <w:spacing w:val="-1"/>
          <w:sz w:val="24"/>
          <w:szCs w:val="24"/>
          <w:highlight w:val="none"/>
          <w:lang w:eastAsia="zh-CN"/>
        </w:rPr>
        <w:t>（盖单位章）</w:t>
      </w:r>
    </w:p>
    <w:p w14:paraId="18C3D8A7">
      <w:pPr>
        <w:pStyle w:val="18"/>
        <w:kinsoku w:val="0"/>
        <w:overflowPunct w:val="0"/>
        <w:spacing w:line="360" w:lineRule="auto"/>
        <w:ind w:left="0" w:firstLine="4802" w:firstLineChars="2000"/>
        <w:rPr>
          <w:rFonts w:hint="eastAsia" w:cs="宋体"/>
          <w:b/>
          <w:color w:val="auto"/>
          <w:sz w:val="24"/>
          <w:szCs w:val="24"/>
          <w:highlight w:val="none"/>
          <w:lang w:eastAsia="zh-CN"/>
        </w:rPr>
      </w:pPr>
      <w:r>
        <w:rPr>
          <w:rFonts w:hint="eastAsia" w:cs="宋体"/>
          <w:b/>
          <w:color w:val="auto"/>
          <w:sz w:val="24"/>
          <w:szCs w:val="24"/>
          <w:highlight w:val="none"/>
          <w:lang w:val="en-US" w:eastAsia="zh-CN"/>
        </w:rPr>
        <w:t>日  期：</w:t>
      </w:r>
      <w:r>
        <w:rPr>
          <w:rFonts w:hint="eastAsia" w:cs="宋体"/>
          <w:b/>
          <w:color w:val="auto"/>
          <w:sz w:val="24"/>
          <w:szCs w:val="24"/>
          <w:highlight w:val="none"/>
          <w:lang w:eastAsia="zh-CN"/>
        </w:rPr>
        <w:t>年     月</w:t>
      </w:r>
      <w:r>
        <w:rPr>
          <w:rFonts w:hint="eastAsia" w:cs="宋体"/>
          <w:b/>
          <w:color w:val="auto"/>
          <w:sz w:val="24"/>
          <w:szCs w:val="24"/>
          <w:highlight w:val="none"/>
          <w:lang w:eastAsia="zh-CN"/>
        </w:rPr>
        <w:tab/>
      </w:r>
      <w:r>
        <w:rPr>
          <w:rFonts w:hint="eastAsia" w:cs="宋体"/>
          <w:b/>
          <w:color w:val="auto"/>
          <w:sz w:val="24"/>
          <w:szCs w:val="24"/>
          <w:highlight w:val="none"/>
          <w:lang w:eastAsia="zh-CN"/>
        </w:rPr>
        <w:t xml:space="preserve"> 日</w:t>
      </w:r>
    </w:p>
    <w:p w14:paraId="2601FCBD">
      <w:pPr>
        <w:pStyle w:val="12"/>
        <w:ind w:left="0" w:leftChars="0" w:firstLine="0" w:firstLineChars="0"/>
        <w:rPr>
          <w:rFonts w:hint="eastAsia" w:ascii="宋体" w:hAnsi="宋体" w:cs="宋体"/>
          <w:b/>
          <w:bCs/>
          <w:color w:val="auto"/>
          <w:sz w:val="28"/>
          <w:szCs w:val="28"/>
          <w:highlight w:val="none"/>
          <w:lang w:val="en-US" w:eastAsia="zh-CN"/>
        </w:rPr>
      </w:pPr>
    </w:p>
    <w:p w14:paraId="01789722">
      <w:pPr>
        <w:rPr>
          <w:rFonts w:hint="eastAsia" w:ascii="宋体" w:hAnsi="宋体" w:cs="宋体"/>
          <w:b/>
          <w:bCs/>
          <w:color w:val="auto"/>
          <w:sz w:val="28"/>
          <w:szCs w:val="28"/>
          <w:highlight w:val="none"/>
          <w:lang w:val="en-US" w:eastAsia="zh-CN"/>
        </w:rPr>
      </w:pPr>
    </w:p>
    <w:p w14:paraId="3822BB19">
      <w:pPr>
        <w:rPr>
          <w:rFonts w:hint="eastAsia" w:ascii="宋体" w:hAnsi="宋体" w:cs="宋体"/>
          <w:b/>
          <w:bCs/>
          <w:color w:val="auto"/>
          <w:sz w:val="28"/>
          <w:szCs w:val="28"/>
          <w:highlight w:val="none"/>
          <w:lang w:val="en-US" w:eastAsia="zh-CN"/>
        </w:rPr>
      </w:pPr>
    </w:p>
    <w:p w14:paraId="77C536CF">
      <w:pPr>
        <w:spacing w:line="360" w:lineRule="auto"/>
        <w:jc w:val="center"/>
        <w:rPr>
          <w:rFonts w:ascii="宋体" w:hAnsi="宋体"/>
          <w:b/>
          <w:bCs/>
          <w:color w:val="auto"/>
          <w:sz w:val="32"/>
          <w:highlight w:val="none"/>
        </w:rPr>
      </w:pPr>
      <w:r>
        <w:rPr>
          <w:rFonts w:hint="eastAsia" w:ascii="宋体" w:hAnsi="宋体"/>
          <w:b/>
          <w:bCs/>
          <w:color w:val="auto"/>
          <w:sz w:val="32"/>
          <w:highlight w:val="none"/>
        </w:rPr>
        <w:t>二、法定代表人身份证明及授权委托书</w:t>
      </w:r>
    </w:p>
    <w:p w14:paraId="6398C587">
      <w:pPr>
        <w:spacing w:line="360" w:lineRule="auto"/>
        <w:jc w:val="center"/>
        <w:rPr>
          <w:rFonts w:ascii="宋体" w:hAnsi="宋体"/>
          <w:b/>
          <w:bCs/>
          <w:color w:val="auto"/>
          <w:sz w:val="32"/>
          <w:highlight w:val="none"/>
        </w:rPr>
      </w:pPr>
      <w:r>
        <w:rPr>
          <w:rFonts w:hint="eastAsia" w:ascii="宋体" w:hAnsi="宋体"/>
          <w:b/>
          <w:bCs/>
          <w:color w:val="auto"/>
          <w:sz w:val="32"/>
          <w:highlight w:val="none"/>
        </w:rPr>
        <w:t>（一）法定代表人身份证明</w:t>
      </w:r>
    </w:p>
    <w:p w14:paraId="777E8582">
      <w:pPr>
        <w:autoSpaceDE w:val="0"/>
        <w:autoSpaceDN w:val="0"/>
        <w:adjustRightInd w:val="0"/>
        <w:spacing w:before="240" w:beforeLines="100" w:after="240" w:afterLines="100" w:line="48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（或采用工商格式）</w:t>
      </w:r>
    </w:p>
    <w:p w14:paraId="71E46EFA">
      <w:pPr>
        <w:autoSpaceDE w:val="0"/>
        <w:autoSpaceDN w:val="0"/>
        <w:adjustRightInd w:val="0"/>
        <w:spacing w:line="600" w:lineRule="auto"/>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投标人名称：</w:t>
      </w:r>
      <w:r>
        <w:rPr>
          <w:rFonts w:hint="eastAsia" w:ascii="仿宋" w:hAnsi="仿宋" w:eastAsia="仿宋" w:cs="仿宋"/>
          <w:color w:val="auto"/>
          <w:kern w:val="0"/>
          <w:szCs w:val="21"/>
          <w:highlight w:val="none"/>
          <w:u w:val="single"/>
        </w:rPr>
        <w:t xml:space="preserve">                                             </w:t>
      </w:r>
    </w:p>
    <w:p w14:paraId="0433855F">
      <w:pPr>
        <w:autoSpaceDE w:val="0"/>
        <w:autoSpaceDN w:val="0"/>
        <w:adjustRightInd w:val="0"/>
        <w:spacing w:line="600" w:lineRule="auto"/>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单位性质：</w:t>
      </w:r>
      <w:r>
        <w:rPr>
          <w:rFonts w:hint="eastAsia" w:ascii="仿宋" w:hAnsi="仿宋" w:eastAsia="仿宋" w:cs="仿宋"/>
          <w:color w:val="auto"/>
          <w:kern w:val="0"/>
          <w:szCs w:val="21"/>
          <w:highlight w:val="none"/>
          <w:u w:val="single"/>
        </w:rPr>
        <w:t xml:space="preserve">                                             </w:t>
      </w:r>
    </w:p>
    <w:p w14:paraId="78751DC7">
      <w:pPr>
        <w:autoSpaceDE w:val="0"/>
        <w:autoSpaceDN w:val="0"/>
        <w:adjustRightInd w:val="0"/>
        <w:spacing w:line="60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w:t>
      </w:r>
      <w:r>
        <w:rPr>
          <w:rFonts w:hint="eastAsia" w:ascii="仿宋" w:hAnsi="仿宋" w:eastAsia="仿宋" w:cs="仿宋"/>
          <w:color w:val="auto"/>
          <w:kern w:val="0"/>
          <w:szCs w:val="21"/>
          <w:highlight w:val="none"/>
          <w:u w:val="single"/>
        </w:rPr>
        <w:t xml:space="preserve">                                                 </w:t>
      </w:r>
    </w:p>
    <w:p w14:paraId="15DCD158">
      <w:pPr>
        <w:autoSpaceDE w:val="0"/>
        <w:autoSpaceDN w:val="0"/>
        <w:adjustRightInd w:val="0"/>
        <w:spacing w:line="60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成立时间：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64A9D3A5">
      <w:pPr>
        <w:autoSpaceDE w:val="0"/>
        <w:autoSpaceDN w:val="0"/>
        <w:adjustRightInd w:val="0"/>
        <w:spacing w:line="600" w:lineRule="auto"/>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姓名：</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性别：</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年龄：</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岁   职务：</w:t>
      </w:r>
      <w:r>
        <w:rPr>
          <w:rFonts w:hint="eastAsia" w:ascii="仿宋" w:hAnsi="仿宋" w:eastAsia="仿宋" w:cs="仿宋"/>
          <w:color w:val="auto"/>
          <w:kern w:val="0"/>
          <w:szCs w:val="21"/>
          <w:highlight w:val="none"/>
          <w:u w:val="single"/>
        </w:rPr>
        <w:t xml:space="preserve">             </w:t>
      </w:r>
    </w:p>
    <w:p w14:paraId="684A9833">
      <w:pPr>
        <w:autoSpaceDE w:val="0"/>
        <w:autoSpaceDN w:val="0"/>
        <w:adjustRightInd w:val="0"/>
        <w:spacing w:line="60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rPr>
        <w:t xml:space="preserve">      （投标人名称）     </w:t>
      </w:r>
      <w:r>
        <w:rPr>
          <w:rFonts w:hint="eastAsia" w:ascii="仿宋" w:hAnsi="仿宋" w:eastAsia="仿宋" w:cs="仿宋"/>
          <w:color w:val="auto"/>
          <w:kern w:val="0"/>
          <w:szCs w:val="21"/>
          <w:highlight w:val="none"/>
        </w:rPr>
        <w:t>的法定代表人。</w:t>
      </w:r>
    </w:p>
    <w:p w14:paraId="0363C924">
      <w:pPr>
        <w:autoSpaceDE w:val="0"/>
        <w:autoSpaceDN w:val="0"/>
        <w:adjustRightInd w:val="0"/>
        <w:spacing w:line="48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特此证明。</w:t>
      </w:r>
    </w:p>
    <w:p w14:paraId="7193BC1B">
      <w:pPr>
        <w:autoSpaceDE w:val="0"/>
        <w:autoSpaceDN w:val="0"/>
        <w:adjustRightInd w:val="0"/>
        <w:spacing w:line="480" w:lineRule="auto"/>
        <w:jc w:val="left"/>
        <w:rPr>
          <w:rFonts w:hint="eastAsia" w:ascii="仿宋" w:hAnsi="仿宋" w:eastAsia="仿宋" w:cs="仿宋"/>
          <w:color w:val="auto"/>
          <w:kern w:val="0"/>
          <w:szCs w:val="21"/>
          <w:highlight w:val="none"/>
        </w:rPr>
      </w:pPr>
    </w:p>
    <w:p w14:paraId="771B2AB9">
      <w:pPr>
        <w:autoSpaceDE w:val="0"/>
        <w:autoSpaceDN w:val="0"/>
        <w:adjustRightInd w:val="0"/>
        <w:spacing w:line="480" w:lineRule="auto"/>
        <w:jc w:val="left"/>
        <w:rPr>
          <w:rFonts w:hint="eastAsia" w:ascii="仿宋" w:hAnsi="仿宋" w:eastAsia="仿宋" w:cs="仿宋"/>
          <w:color w:val="auto"/>
          <w:kern w:val="0"/>
          <w:szCs w:val="21"/>
          <w:highlight w:val="none"/>
        </w:rPr>
      </w:pPr>
    </w:p>
    <w:p w14:paraId="67678B63">
      <w:pPr>
        <w:autoSpaceDE w:val="0"/>
        <w:autoSpaceDN w:val="0"/>
        <w:adjustRightInd w:val="0"/>
        <w:spacing w:line="600" w:lineRule="auto"/>
        <w:ind w:left="3543" w:leftChars="168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（盖公章）</w:t>
      </w:r>
    </w:p>
    <w:p w14:paraId="50E72570">
      <w:pPr>
        <w:autoSpaceDE w:val="0"/>
        <w:autoSpaceDN w:val="0"/>
        <w:adjustRightInd w:val="0"/>
        <w:spacing w:line="600" w:lineRule="auto"/>
        <w:ind w:left="3543" w:leftChars="168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日期：</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789F4181">
      <w:pPr>
        <w:autoSpaceDE w:val="0"/>
        <w:autoSpaceDN w:val="0"/>
        <w:adjustRightInd w:val="0"/>
        <w:spacing w:line="480" w:lineRule="auto"/>
        <w:jc w:val="left"/>
        <w:rPr>
          <w:rFonts w:hint="eastAsia" w:ascii="仿宋" w:hAnsi="仿宋" w:eastAsia="仿宋" w:cs="仿宋"/>
          <w:color w:val="auto"/>
          <w:kern w:val="0"/>
          <w:szCs w:val="21"/>
          <w:highlight w:val="none"/>
        </w:rPr>
      </w:pPr>
    </w:p>
    <w:p w14:paraId="51E55039">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后附：投标人的法定代表人的二代身份证正反面复印件或扫描件（有效期内）。</w:t>
      </w:r>
    </w:p>
    <w:p w14:paraId="01DBA9BE">
      <w:pPr>
        <w:spacing w:line="360" w:lineRule="auto"/>
        <w:jc w:val="center"/>
        <w:rPr>
          <w:rFonts w:ascii="宋体" w:hAnsi="宋体"/>
          <w:b/>
          <w:bCs/>
          <w:color w:val="auto"/>
          <w:szCs w:val="21"/>
          <w:highlight w:val="none"/>
        </w:rPr>
      </w:pPr>
    </w:p>
    <w:p w14:paraId="6EFD4796">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（二</w:t>
      </w:r>
      <w:r>
        <w:rPr>
          <w:rFonts w:ascii="宋体" w:hAnsi="宋体"/>
          <w:b/>
          <w:bCs/>
          <w:color w:val="auto"/>
          <w:sz w:val="32"/>
          <w:highlight w:val="none"/>
        </w:rPr>
        <w:t xml:space="preserve">） </w:t>
      </w:r>
      <w:r>
        <w:rPr>
          <w:rFonts w:hint="eastAsia" w:ascii="宋体" w:hAnsi="宋体"/>
          <w:b/>
          <w:bCs/>
          <w:color w:val="auto"/>
          <w:sz w:val="32"/>
          <w:highlight w:val="none"/>
        </w:rPr>
        <w:t>授权委托书</w:t>
      </w:r>
    </w:p>
    <w:p w14:paraId="3F8AB1EC">
      <w:pPr>
        <w:autoSpaceDE w:val="0"/>
        <w:autoSpaceDN w:val="0"/>
        <w:adjustRightIn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8"/>
          <w:highlight w:val="none"/>
        </w:rPr>
        <w:t>（或采用工商格式）</w:t>
      </w:r>
    </w:p>
    <w:p w14:paraId="5B8972A7">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p>
    <w:p w14:paraId="0303F687">
      <w:pPr>
        <w:autoSpaceDE w:val="0"/>
        <w:autoSpaceDN w:val="0"/>
        <w:adjustRightInd w:val="0"/>
        <w:spacing w:line="48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u w:val="single"/>
        </w:rPr>
        <w:t xml:space="preserve">        （姓名）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rPr>
        <w:t xml:space="preserve">       （投标人名称）</w:t>
      </w:r>
      <w:r>
        <w:rPr>
          <w:rFonts w:hint="eastAsia" w:ascii="仿宋" w:hAnsi="仿宋" w:eastAsia="仿宋" w:cs="仿宋"/>
          <w:color w:val="auto"/>
          <w:kern w:val="0"/>
          <w:szCs w:val="21"/>
          <w:highlight w:val="none"/>
        </w:rPr>
        <w:t>的法定代表人，现委托</w:t>
      </w:r>
      <w:r>
        <w:rPr>
          <w:rFonts w:hint="eastAsia" w:ascii="仿宋" w:hAnsi="仿宋" w:eastAsia="仿宋" w:cs="仿宋"/>
          <w:color w:val="auto"/>
          <w:kern w:val="0"/>
          <w:szCs w:val="21"/>
          <w:highlight w:val="none"/>
          <w:u w:val="single"/>
        </w:rPr>
        <w:t xml:space="preserve">      （姓名）</w:t>
      </w:r>
      <w:r>
        <w:rPr>
          <w:rFonts w:hint="eastAsia" w:ascii="仿宋" w:hAnsi="仿宋" w:eastAsia="仿宋" w:cs="仿宋"/>
          <w:color w:val="auto"/>
          <w:kern w:val="0"/>
          <w:szCs w:val="21"/>
          <w:highlight w:val="none"/>
        </w:rPr>
        <w:t>为我方代理人。代理人根据授权，以我方名义签署、澄清、说明、补正、递交、撤回、修改</w:t>
      </w:r>
      <w:r>
        <w:rPr>
          <w:rFonts w:hint="eastAsia" w:ascii="仿宋" w:hAnsi="仿宋" w:eastAsia="仿宋" w:cs="仿宋"/>
          <w:b/>
          <w:color w:val="auto"/>
          <w:kern w:val="0"/>
          <w:szCs w:val="21"/>
          <w:highlight w:val="none"/>
          <w:u w:val="single"/>
        </w:rPr>
        <w:t xml:space="preserve">         </w:t>
      </w:r>
      <w:r>
        <w:rPr>
          <w:rFonts w:hint="eastAsia" w:ascii="仿宋" w:hAnsi="仿宋" w:eastAsia="仿宋" w:cs="仿宋"/>
          <w:color w:val="auto"/>
          <w:kern w:val="0"/>
          <w:szCs w:val="21"/>
          <w:highlight w:val="none"/>
          <w:u w:val="single"/>
        </w:rPr>
        <w:t>（项目名称）</w:t>
      </w:r>
      <w:r>
        <w:rPr>
          <w:rFonts w:hint="eastAsia" w:ascii="仿宋" w:hAnsi="仿宋" w:eastAsia="仿宋" w:cs="仿宋"/>
          <w:color w:val="auto"/>
          <w:kern w:val="0"/>
          <w:szCs w:val="21"/>
          <w:highlight w:val="none"/>
        </w:rPr>
        <w:t>的投标文件、签订合同和处理有关事宜，其法律后果由我方承担。</w:t>
      </w:r>
    </w:p>
    <w:p w14:paraId="543C16F2">
      <w:pPr>
        <w:autoSpaceDE w:val="0"/>
        <w:autoSpaceDN w:val="0"/>
        <w:adjustRightInd w:val="0"/>
        <w:spacing w:line="48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w:t>
      </w:r>
      <w:r>
        <w:rPr>
          <w:rFonts w:hint="eastAsia" w:ascii="仿宋" w:hAnsi="仿宋" w:eastAsia="仿宋" w:cs="仿宋"/>
          <w:color w:val="auto"/>
          <w:kern w:val="0"/>
          <w:szCs w:val="21"/>
          <w:highlight w:val="none"/>
          <w:u w:val="single"/>
        </w:rPr>
        <w:t>从本授权委托书发出之日起至    年    月   日</w:t>
      </w:r>
      <w:r>
        <w:rPr>
          <w:rFonts w:hint="eastAsia" w:ascii="仿宋" w:hAnsi="仿宋" w:eastAsia="仿宋" w:cs="仿宋"/>
          <w:color w:val="auto"/>
          <w:kern w:val="0"/>
          <w:szCs w:val="21"/>
          <w:highlight w:val="none"/>
        </w:rPr>
        <w:t>。</w:t>
      </w:r>
    </w:p>
    <w:p w14:paraId="4A30701E">
      <w:pPr>
        <w:autoSpaceDE w:val="0"/>
        <w:autoSpaceDN w:val="0"/>
        <w:adjustRightInd w:val="0"/>
        <w:spacing w:line="48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代理人无转委托权。</w:t>
      </w:r>
    </w:p>
    <w:p w14:paraId="1AFB7457">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p>
    <w:p w14:paraId="78823192">
      <w:pPr>
        <w:spacing w:line="360" w:lineRule="auto"/>
        <w:ind w:firstLine="2268" w:firstLineChars="10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代理人：</w:t>
      </w:r>
      <w:r>
        <w:rPr>
          <w:rFonts w:hint="eastAsia" w:ascii="仿宋" w:hAnsi="仿宋" w:eastAsia="仿宋" w:cs="仿宋"/>
          <w:color w:val="auto"/>
          <w:szCs w:val="21"/>
          <w:highlight w:val="none"/>
          <w:u w:val="single"/>
        </w:rPr>
        <w:t xml:space="preserve">          （签字） </w:t>
      </w:r>
      <w:r>
        <w:rPr>
          <w:rFonts w:hint="eastAsia" w:ascii="仿宋" w:hAnsi="仿宋" w:eastAsia="仿宋" w:cs="仿宋"/>
          <w:color w:val="auto"/>
          <w:szCs w:val="21"/>
          <w:highlight w:val="none"/>
        </w:rPr>
        <w:t xml:space="preserve"> 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岁</w:t>
      </w:r>
    </w:p>
    <w:p w14:paraId="46E2BCE8">
      <w:pPr>
        <w:spacing w:line="360" w:lineRule="auto"/>
        <w:ind w:firstLine="2268" w:firstLineChars="108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职务：</w:t>
      </w:r>
      <w:r>
        <w:rPr>
          <w:rFonts w:hint="eastAsia" w:ascii="仿宋" w:hAnsi="仿宋" w:eastAsia="仿宋" w:cs="仿宋"/>
          <w:color w:val="auto"/>
          <w:szCs w:val="21"/>
          <w:highlight w:val="none"/>
          <w:u w:val="single"/>
        </w:rPr>
        <w:t xml:space="preserve">              </w:t>
      </w:r>
    </w:p>
    <w:p w14:paraId="429A19DE">
      <w:pPr>
        <w:spacing w:line="360" w:lineRule="auto"/>
        <w:ind w:firstLine="2268" w:firstLineChars="10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（盖公章）</w:t>
      </w:r>
    </w:p>
    <w:p w14:paraId="6F5F7520">
      <w:pPr>
        <w:spacing w:line="360" w:lineRule="auto"/>
        <w:ind w:firstLine="2268" w:firstLineChars="10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14:paraId="0BF88C8F">
      <w:pPr>
        <w:spacing w:line="360" w:lineRule="auto"/>
        <w:ind w:firstLine="2268" w:firstLineChars="10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授权委托日期：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9A833A4">
      <w:pPr>
        <w:autoSpaceDE w:val="0"/>
        <w:autoSpaceDN w:val="0"/>
        <w:adjustRightInd w:val="0"/>
        <w:spacing w:line="360" w:lineRule="auto"/>
        <w:jc w:val="left"/>
        <w:rPr>
          <w:rFonts w:hint="eastAsia" w:ascii="仿宋" w:hAnsi="仿宋" w:eastAsia="仿宋" w:cs="仿宋"/>
          <w:color w:val="auto"/>
          <w:kern w:val="0"/>
          <w:szCs w:val="21"/>
          <w:highlight w:val="none"/>
        </w:rPr>
      </w:pPr>
    </w:p>
    <w:p w14:paraId="751FA903">
      <w:pPr>
        <w:pStyle w:val="18"/>
        <w:rPr>
          <w:rFonts w:hint="eastAsia" w:ascii="仿宋" w:hAnsi="仿宋" w:eastAsia="仿宋" w:cs="仿宋"/>
          <w:color w:val="auto"/>
          <w:highlight w:val="none"/>
        </w:rPr>
      </w:pPr>
    </w:p>
    <w:p w14:paraId="3131E486">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后附：投标人的委托代理人的二代身份证正反面复印件或扫描件。</w:t>
      </w:r>
    </w:p>
    <w:p w14:paraId="10B97CF3">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注：1、委托代理人必须在授权书上签名，不得使用印章、签名章或其他电子制版签名代替。</w:t>
      </w:r>
    </w:p>
    <w:p w14:paraId="3F493976">
      <w:pPr>
        <w:spacing w:line="360" w:lineRule="auto"/>
        <w:jc w:val="center"/>
        <w:rPr>
          <w:rFonts w:ascii="宋体" w:hAnsi="宋体"/>
          <w:b/>
          <w:bCs/>
          <w:color w:val="auto"/>
          <w:sz w:val="32"/>
          <w:highlight w:val="none"/>
        </w:rPr>
      </w:pPr>
      <w:r>
        <w:rPr>
          <w:rFonts w:hint="eastAsia" w:ascii="仿宋" w:hAnsi="仿宋" w:eastAsia="仿宋" w:cs="仿宋"/>
          <w:color w:val="auto"/>
          <w:highlight w:val="none"/>
        </w:rPr>
        <w:br w:type="page"/>
      </w:r>
      <w:r>
        <w:rPr>
          <w:rFonts w:hint="eastAsia" w:ascii="宋体" w:hAnsi="宋体"/>
          <w:b/>
          <w:bCs/>
          <w:color w:val="auto"/>
          <w:sz w:val="32"/>
          <w:highlight w:val="none"/>
        </w:rPr>
        <w:t>三、企业基本情况表</w:t>
      </w:r>
    </w:p>
    <w:p w14:paraId="54736D2E">
      <w:pPr>
        <w:spacing w:line="360" w:lineRule="auto"/>
        <w:rPr>
          <w:rFonts w:ascii="宋体" w:hAnsi="宋体"/>
          <w:b/>
          <w:color w:val="auto"/>
          <w:szCs w:val="21"/>
          <w:highlight w:val="none"/>
        </w:rPr>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423F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D54924B">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单位名称</w:t>
            </w:r>
          </w:p>
        </w:tc>
        <w:tc>
          <w:tcPr>
            <w:tcW w:w="6884" w:type="dxa"/>
            <w:gridSpan w:val="6"/>
            <w:vAlign w:val="center"/>
          </w:tcPr>
          <w:p w14:paraId="5291219D">
            <w:pPr>
              <w:autoSpaceDE w:val="0"/>
              <w:autoSpaceDN w:val="0"/>
              <w:adjustRightInd w:val="0"/>
              <w:spacing w:line="360" w:lineRule="auto"/>
              <w:jc w:val="center"/>
              <w:rPr>
                <w:rFonts w:hint="eastAsia" w:ascii="仿宋" w:hAnsi="仿宋" w:eastAsia="仿宋" w:cs="仿宋"/>
                <w:color w:val="auto"/>
                <w:kern w:val="0"/>
                <w:szCs w:val="21"/>
                <w:highlight w:val="none"/>
              </w:rPr>
            </w:pPr>
          </w:p>
        </w:tc>
      </w:tr>
      <w:tr w14:paraId="223B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421AB50">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注册地址</w:t>
            </w:r>
          </w:p>
        </w:tc>
        <w:tc>
          <w:tcPr>
            <w:tcW w:w="3764" w:type="dxa"/>
            <w:gridSpan w:val="3"/>
            <w:vAlign w:val="center"/>
          </w:tcPr>
          <w:p w14:paraId="57FA1616">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126" w:type="dxa"/>
            <w:vAlign w:val="center"/>
          </w:tcPr>
          <w:p w14:paraId="37F55FD0">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邮政编码</w:t>
            </w:r>
          </w:p>
        </w:tc>
        <w:tc>
          <w:tcPr>
            <w:tcW w:w="1994" w:type="dxa"/>
            <w:gridSpan w:val="2"/>
            <w:vAlign w:val="center"/>
          </w:tcPr>
          <w:p w14:paraId="5340779A">
            <w:pPr>
              <w:autoSpaceDE w:val="0"/>
              <w:autoSpaceDN w:val="0"/>
              <w:adjustRightInd w:val="0"/>
              <w:spacing w:line="360" w:lineRule="auto"/>
              <w:jc w:val="center"/>
              <w:rPr>
                <w:rFonts w:hint="eastAsia" w:ascii="仿宋" w:hAnsi="仿宋" w:eastAsia="仿宋" w:cs="仿宋"/>
                <w:color w:val="auto"/>
                <w:kern w:val="0"/>
                <w:szCs w:val="21"/>
                <w:highlight w:val="none"/>
              </w:rPr>
            </w:pPr>
          </w:p>
        </w:tc>
      </w:tr>
      <w:tr w14:paraId="6CD3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595917A1">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联系方式</w:t>
            </w:r>
          </w:p>
        </w:tc>
        <w:tc>
          <w:tcPr>
            <w:tcW w:w="1070" w:type="dxa"/>
            <w:vAlign w:val="center"/>
          </w:tcPr>
          <w:p w14:paraId="44B0049B">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w:t>
            </w:r>
          </w:p>
        </w:tc>
        <w:tc>
          <w:tcPr>
            <w:tcW w:w="2694" w:type="dxa"/>
            <w:gridSpan w:val="2"/>
            <w:vAlign w:val="center"/>
          </w:tcPr>
          <w:p w14:paraId="4F225CA1">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126" w:type="dxa"/>
            <w:vAlign w:val="center"/>
          </w:tcPr>
          <w:p w14:paraId="6CC63724">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电话</w:t>
            </w:r>
          </w:p>
        </w:tc>
        <w:tc>
          <w:tcPr>
            <w:tcW w:w="1994" w:type="dxa"/>
            <w:gridSpan w:val="2"/>
            <w:vAlign w:val="center"/>
          </w:tcPr>
          <w:p w14:paraId="0ED3A39C">
            <w:pPr>
              <w:autoSpaceDE w:val="0"/>
              <w:autoSpaceDN w:val="0"/>
              <w:adjustRightInd w:val="0"/>
              <w:spacing w:line="360" w:lineRule="auto"/>
              <w:jc w:val="center"/>
              <w:rPr>
                <w:rFonts w:hint="eastAsia" w:ascii="仿宋" w:hAnsi="仿宋" w:eastAsia="仿宋" w:cs="仿宋"/>
                <w:color w:val="auto"/>
                <w:kern w:val="0"/>
                <w:szCs w:val="21"/>
                <w:highlight w:val="none"/>
              </w:rPr>
            </w:pPr>
          </w:p>
        </w:tc>
      </w:tr>
      <w:tr w14:paraId="73AA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66616E59">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070" w:type="dxa"/>
            <w:vAlign w:val="center"/>
          </w:tcPr>
          <w:p w14:paraId="2D79F7D1">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传真</w:t>
            </w:r>
          </w:p>
        </w:tc>
        <w:tc>
          <w:tcPr>
            <w:tcW w:w="2694" w:type="dxa"/>
            <w:gridSpan w:val="2"/>
            <w:vAlign w:val="center"/>
          </w:tcPr>
          <w:p w14:paraId="24A3C127">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126" w:type="dxa"/>
            <w:vAlign w:val="center"/>
          </w:tcPr>
          <w:p w14:paraId="5F7E4C88">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电子邮件</w:t>
            </w:r>
          </w:p>
        </w:tc>
        <w:tc>
          <w:tcPr>
            <w:tcW w:w="1994" w:type="dxa"/>
            <w:gridSpan w:val="2"/>
            <w:vAlign w:val="center"/>
          </w:tcPr>
          <w:p w14:paraId="016043A1">
            <w:pPr>
              <w:autoSpaceDE w:val="0"/>
              <w:autoSpaceDN w:val="0"/>
              <w:adjustRightInd w:val="0"/>
              <w:spacing w:line="360" w:lineRule="auto"/>
              <w:jc w:val="center"/>
              <w:rPr>
                <w:rFonts w:hint="eastAsia" w:ascii="仿宋" w:hAnsi="仿宋" w:eastAsia="仿宋" w:cs="仿宋"/>
                <w:color w:val="auto"/>
                <w:kern w:val="0"/>
                <w:szCs w:val="21"/>
                <w:highlight w:val="none"/>
              </w:rPr>
            </w:pPr>
          </w:p>
        </w:tc>
      </w:tr>
      <w:tr w14:paraId="16A2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1A22313">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w:t>
            </w:r>
          </w:p>
        </w:tc>
        <w:tc>
          <w:tcPr>
            <w:tcW w:w="1070" w:type="dxa"/>
            <w:vAlign w:val="center"/>
          </w:tcPr>
          <w:p w14:paraId="514B5800">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姓名</w:t>
            </w:r>
          </w:p>
        </w:tc>
        <w:tc>
          <w:tcPr>
            <w:tcW w:w="1135" w:type="dxa"/>
            <w:vAlign w:val="center"/>
          </w:tcPr>
          <w:p w14:paraId="2FAED19A">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559" w:type="dxa"/>
            <w:vAlign w:val="center"/>
          </w:tcPr>
          <w:p w14:paraId="18517D72">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技术职称</w:t>
            </w:r>
          </w:p>
        </w:tc>
        <w:tc>
          <w:tcPr>
            <w:tcW w:w="1126" w:type="dxa"/>
            <w:vAlign w:val="center"/>
          </w:tcPr>
          <w:p w14:paraId="0CFD5861">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993" w:type="dxa"/>
            <w:vAlign w:val="center"/>
          </w:tcPr>
          <w:p w14:paraId="393A71A2">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电话</w:t>
            </w:r>
          </w:p>
        </w:tc>
        <w:tc>
          <w:tcPr>
            <w:tcW w:w="1001" w:type="dxa"/>
            <w:vAlign w:val="center"/>
          </w:tcPr>
          <w:p w14:paraId="7582EB9F">
            <w:pPr>
              <w:autoSpaceDE w:val="0"/>
              <w:autoSpaceDN w:val="0"/>
              <w:adjustRightInd w:val="0"/>
              <w:spacing w:line="360" w:lineRule="auto"/>
              <w:jc w:val="center"/>
              <w:rPr>
                <w:rFonts w:hint="eastAsia" w:ascii="仿宋" w:hAnsi="仿宋" w:eastAsia="仿宋" w:cs="仿宋"/>
                <w:color w:val="auto"/>
                <w:kern w:val="0"/>
                <w:szCs w:val="21"/>
                <w:highlight w:val="none"/>
              </w:rPr>
            </w:pPr>
          </w:p>
        </w:tc>
      </w:tr>
      <w:tr w14:paraId="38EA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5CC63131">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技术负责人</w:t>
            </w:r>
          </w:p>
        </w:tc>
        <w:tc>
          <w:tcPr>
            <w:tcW w:w="1070" w:type="dxa"/>
            <w:vAlign w:val="center"/>
          </w:tcPr>
          <w:p w14:paraId="5C3AF547">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姓名</w:t>
            </w:r>
          </w:p>
        </w:tc>
        <w:tc>
          <w:tcPr>
            <w:tcW w:w="1135" w:type="dxa"/>
            <w:vAlign w:val="center"/>
          </w:tcPr>
          <w:p w14:paraId="0800475A">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559" w:type="dxa"/>
            <w:vAlign w:val="center"/>
          </w:tcPr>
          <w:p w14:paraId="494F24EA">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技术职称</w:t>
            </w:r>
          </w:p>
        </w:tc>
        <w:tc>
          <w:tcPr>
            <w:tcW w:w="1126" w:type="dxa"/>
            <w:vAlign w:val="center"/>
          </w:tcPr>
          <w:p w14:paraId="549AAF51">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993" w:type="dxa"/>
            <w:vAlign w:val="center"/>
          </w:tcPr>
          <w:p w14:paraId="11DC2C8A">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电话</w:t>
            </w:r>
          </w:p>
        </w:tc>
        <w:tc>
          <w:tcPr>
            <w:tcW w:w="1001" w:type="dxa"/>
            <w:vAlign w:val="center"/>
          </w:tcPr>
          <w:p w14:paraId="240FAB28">
            <w:pPr>
              <w:autoSpaceDE w:val="0"/>
              <w:autoSpaceDN w:val="0"/>
              <w:adjustRightInd w:val="0"/>
              <w:spacing w:line="360" w:lineRule="auto"/>
              <w:jc w:val="center"/>
              <w:rPr>
                <w:rFonts w:hint="eastAsia" w:ascii="仿宋" w:hAnsi="仿宋" w:eastAsia="仿宋" w:cs="仿宋"/>
                <w:color w:val="auto"/>
                <w:kern w:val="0"/>
                <w:szCs w:val="21"/>
                <w:highlight w:val="none"/>
              </w:rPr>
            </w:pPr>
          </w:p>
        </w:tc>
      </w:tr>
      <w:tr w14:paraId="25C3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612E49B2">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成立时间</w:t>
            </w:r>
          </w:p>
        </w:tc>
        <w:tc>
          <w:tcPr>
            <w:tcW w:w="2205" w:type="dxa"/>
            <w:gridSpan w:val="2"/>
            <w:vAlign w:val="center"/>
          </w:tcPr>
          <w:p w14:paraId="158C8CE6">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559" w:type="dxa"/>
            <w:vAlign w:val="center"/>
          </w:tcPr>
          <w:p w14:paraId="681C4DBE">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营业执照编号</w:t>
            </w:r>
          </w:p>
        </w:tc>
        <w:tc>
          <w:tcPr>
            <w:tcW w:w="3120" w:type="dxa"/>
            <w:gridSpan w:val="3"/>
            <w:vAlign w:val="center"/>
          </w:tcPr>
          <w:p w14:paraId="01EE69A0">
            <w:pPr>
              <w:autoSpaceDE w:val="0"/>
              <w:autoSpaceDN w:val="0"/>
              <w:adjustRightInd w:val="0"/>
              <w:spacing w:line="360" w:lineRule="auto"/>
              <w:jc w:val="center"/>
              <w:rPr>
                <w:rFonts w:hint="eastAsia" w:ascii="仿宋" w:hAnsi="仿宋" w:eastAsia="仿宋" w:cs="仿宋"/>
                <w:color w:val="auto"/>
                <w:kern w:val="0"/>
                <w:szCs w:val="21"/>
                <w:highlight w:val="none"/>
              </w:rPr>
            </w:pPr>
          </w:p>
        </w:tc>
      </w:tr>
      <w:tr w14:paraId="4820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09F06A79">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基本账户开户银行</w:t>
            </w:r>
          </w:p>
        </w:tc>
        <w:tc>
          <w:tcPr>
            <w:tcW w:w="2205" w:type="dxa"/>
            <w:gridSpan w:val="2"/>
            <w:vAlign w:val="center"/>
          </w:tcPr>
          <w:p w14:paraId="73F095DA">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559" w:type="dxa"/>
            <w:vAlign w:val="center"/>
          </w:tcPr>
          <w:p w14:paraId="2314AF7B">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基本账户账号</w:t>
            </w:r>
          </w:p>
        </w:tc>
        <w:tc>
          <w:tcPr>
            <w:tcW w:w="3120" w:type="dxa"/>
            <w:gridSpan w:val="3"/>
            <w:vAlign w:val="center"/>
          </w:tcPr>
          <w:p w14:paraId="65C4368E">
            <w:pPr>
              <w:autoSpaceDE w:val="0"/>
              <w:autoSpaceDN w:val="0"/>
              <w:adjustRightInd w:val="0"/>
              <w:spacing w:line="360" w:lineRule="auto"/>
              <w:jc w:val="center"/>
              <w:rPr>
                <w:rFonts w:hint="eastAsia" w:ascii="仿宋" w:hAnsi="仿宋" w:eastAsia="仿宋" w:cs="仿宋"/>
                <w:color w:val="auto"/>
                <w:kern w:val="0"/>
                <w:szCs w:val="21"/>
                <w:highlight w:val="none"/>
              </w:rPr>
            </w:pPr>
          </w:p>
        </w:tc>
      </w:tr>
      <w:tr w14:paraId="0897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trPr>
        <w:tc>
          <w:tcPr>
            <w:tcW w:w="1905" w:type="dxa"/>
            <w:vAlign w:val="center"/>
          </w:tcPr>
          <w:p w14:paraId="3B220F19">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本工程所要求的资质的资质证书编号</w:t>
            </w:r>
          </w:p>
        </w:tc>
        <w:tc>
          <w:tcPr>
            <w:tcW w:w="6884" w:type="dxa"/>
            <w:gridSpan w:val="6"/>
            <w:vAlign w:val="center"/>
          </w:tcPr>
          <w:p w14:paraId="7DE8B13A">
            <w:pPr>
              <w:autoSpaceDE w:val="0"/>
              <w:autoSpaceDN w:val="0"/>
              <w:adjustRightInd w:val="0"/>
              <w:spacing w:line="360" w:lineRule="auto"/>
              <w:jc w:val="center"/>
              <w:rPr>
                <w:rFonts w:hint="eastAsia" w:ascii="仿宋" w:hAnsi="仿宋" w:eastAsia="仿宋" w:cs="仿宋"/>
                <w:color w:val="auto"/>
                <w:kern w:val="0"/>
                <w:szCs w:val="21"/>
                <w:highlight w:val="none"/>
              </w:rPr>
            </w:pPr>
          </w:p>
        </w:tc>
      </w:tr>
    </w:tbl>
    <w:p w14:paraId="031D5343">
      <w:pPr>
        <w:autoSpaceDE w:val="0"/>
        <w:autoSpaceDN w:val="0"/>
        <w:adjustRightInd w:val="0"/>
        <w:spacing w:line="360" w:lineRule="auto"/>
        <w:jc w:val="left"/>
        <w:rPr>
          <w:rFonts w:hint="eastAsia" w:ascii="仿宋" w:hAnsi="仿宋" w:eastAsia="仿宋" w:cs="仿宋"/>
          <w:color w:val="auto"/>
          <w:kern w:val="0"/>
          <w:szCs w:val="21"/>
          <w:highlight w:val="none"/>
        </w:rPr>
      </w:pPr>
    </w:p>
    <w:p w14:paraId="140EC332">
      <w:pPr>
        <w:autoSpaceDE w:val="0"/>
        <w:autoSpaceDN w:val="0"/>
        <w:adjustRightInd w:val="0"/>
        <w:spacing w:line="48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（盖公章）</w:t>
      </w:r>
    </w:p>
    <w:p w14:paraId="731A57B9">
      <w:pPr>
        <w:spacing w:line="48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EF3E0CB">
      <w:pPr>
        <w:spacing w:line="360" w:lineRule="auto"/>
        <w:rPr>
          <w:rFonts w:hint="eastAsia" w:ascii="仿宋" w:hAnsi="仿宋" w:eastAsia="仿宋" w:cs="仿宋"/>
          <w:b/>
          <w:color w:val="auto"/>
          <w:szCs w:val="21"/>
          <w:highlight w:val="none"/>
        </w:rPr>
      </w:pPr>
    </w:p>
    <w:p w14:paraId="76D427AB">
      <w:pPr>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w:t>
      </w:r>
      <w:r>
        <w:rPr>
          <w:rFonts w:hint="eastAsia" w:ascii="仿宋" w:hAnsi="仿宋" w:eastAsia="仿宋" w:cs="仿宋"/>
          <w:color w:val="auto"/>
          <w:szCs w:val="21"/>
          <w:highlight w:val="none"/>
        </w:rPr>
        <w:t>于本表后附以下证明资料：</w:t>
      </w:r>
      <w:r>
        <w:rPr>
          <w:rFonts w:hint="eastAsia" w:ascii="仿宋" w:hAnsi="仿宋" w:eastAsia="仿宋" w:cs="仿宋"/>
          <w:color w:val="auto"/>
          <w:kern w:val="0"/>
          <w:szCs w:val="21"/>
          <w:highlight w:val="none"/>
        </w:rPr>
        <w:t>①有效期内的营业执照；②有效期内的资质证书；③</w:t>
      </w:r>
      <w:r>
        <w:rPr>
          <w:rFonts w:hint="eastAsia" w:ascii="仿宋" w:hAnsi="仿宋" w:eastAsia="仿宋" w:cs="仿宋"/>
          <w:color w:val="auto"/>
          <w:szCs w:val="21"/>
          <w:highlight w:val="none"/>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仿宋" w:hAnsi="仿宋" w:eastAsia="仿宋" w:cs="仿宋"/>
          <w:bCs/>
          <w:color w:val="auto"/>
          <w:szCs w:val="21"/>
          <w:highlight w:val="none"/>
        </w:rPr>
        <w:t>；</w:t>
      </w:r>
      <w:r>
        <w:rPr>
          <w:rFonts w:hint="eastAsia" w:ascii="仿宋" w:hAnsi="仿宋" w:eastAsia="仿宋" w:cs="仿宋"/>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仿宋" w:hAnsi="仿宋" w:eastAsia="仿宋" w:cs="仿宋"/>
          <w:bCs/>
          <w:color w:val="auto"/>
          <w:szCs w:val="21"/>
          <w:highlight w:val="none"/>
        </w:rPr>
        <w:t>⑤</w:t>
      </w:r>
      <w:r>
        <w:rPr>
          <w:rFonts w:hint="eastAsia" w:ascii="仿宋" w:hAnsi="仿宋" w:eastAsia="仿宋" w:cs="仿宋"/>
          <w:color w:val="auto"/>
          <w:szCs w:val="21"/>
          <w:highlight w:val="none"/>
        </w:rPr>
        <w:t>投标人在“中国执行信息公开网”（http://zxgk.court.gov.cn/shixin/）的网页截图或</w:t>
      </w:r>
      <w:r>
        <w:rPr>
          <w:rFonts w:hint="eastAsia" w:ascii="仿宋" w:hAnsi="仿宋" w:eastAsia="仿宋" w:cs="仿宋"/>
          <w:color w:val="auto"/>
          <w:kern w:val="0"/>
          <w:szCs w:val="21"/>
          <w:highlight w:val="none"/>
        </w:rPr>
        <w:t>网页打印件；⑥投标人开户许可证或银行出具基本账户证明。</w:t>
      </w:r>
    </w:p>
    <w:p w14:paraId="03BCDB3A">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bCs/>
          <w:color w:val="auto"/>
          <w:sz w:val="32"/>
          <w:highlight w:val="none"/>
        </w:rPr>
        <w:t>四、拟投入本工程项目班子人员简介</w:t>
      </w:r>
    </w:p>
    <w:p w14:paraId="621F1D6B">
      <w:pPr>
        <w:spacing w:line="360" w:lineRule="auto"/>
        <w:rPr>
          <w:rFonts w:ascii="宋体" w:hAnsi="宋体"/>
          <w:b/>
          <w:color w:val="auto"/>
          <w:szCs w:val="21"/>
          <w:highlight w:val="none"/>
        </w:rPr>
      </w:pPr>
    </w:p>
    <w:tbl>
      <w:tblPr>
        <w:tblStyle w:val="49"/>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0BF685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6DB5305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251" w:type="dxa"/>
            <w:vMerge w:val="restart"/>
            <w:vAlign w:val="center"/>
          </w:tcPr>
          <w:p w14:paraId="09855C6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129" w:type="dxa"/>
            <w:vMerge w:val="restart"/>
            <w:vAlign w:val="center"/>
          </w:tcPr>
          <w:p w14:paraId="1BAB667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职称级别</w:t>
            </w:r>
          </w:p>
        </w:tc>
        <w:tc>
          <w:tcPr>
            <w:tcW w:w="1161" w:type="dxa"/>
            <w:vMerge w:val="restart"/>
            <w:vAlign w:val="center"/>
          </w:tcPr>
          <w:p w14:paraId="2AA3E38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p w14:paraId="2C959DE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证号</w:t>
            </w:r>
          </w:p>
        </w:tc>
        <w:tc>
          <w:tcPr>
            <w:tcW w:w="3527" w:type="dxa"/>
            <w:gridSpan w:val="3"/>
            <w:vAlign w:val="center"/>
          </w:tcPr>
          <w:p w14:paraId="57DAB9D9">
            <w:pPr>
              <w:spacing w:line="360" w:lineRule="auto"/>
              <w:ind w:firstLine="48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执业或职业资格证明</w:t>
            </w:r>
          </w:p>
        </w:tc>
      </w:tr>
      <w:tr w14:paraId="15EA7E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6" w:hRule="exact"/>
          <w:jc w:val="center"/>
        </w:trPr>
        <w:tc>
          <w:tcPr>
            <w:tcW w:w="2032" w:type="dxa"/>
            <w:vMerge w:val="continue"/>
            <w:vAlign w:val="center"/>
          </w:tcPr>
          <w:p w14:paraId="3AFAEFE3">
            <w:pPr>
              <w:spacing w:line="360" w:lineRule="auto"/>
              <w:ind w:firstLine="480"/>
              <w:jc w:val="center"/>
              <w:rPr>
                <w:rFonts w:hint="eastAsia" w:ascii="仿宋" w:hAnsi="仿宋" w:eastAsia="仿宋" w:cs="仿宋"/>
                <w:color w:val="auto"/>
                <w:szCs w:val="21"/>
                <w:highlight w:val="none"/>
              </w:rPr>
            </w:pPr>
          </w:p>
        </w:tc>
        <w:tc>
          <w:tcPr>
            <w:tcW w:w="1251" w:type="dxa"/>
            <w:vMerge w:val="continue"/>
            <w:vAlign w:val="center"/>
          </w:tcPr>
          <w:p w14:paraId="42DFDDED">
            <w:pPr>
              <w:spacing w:line="360" w:lineRule="auto"/>
              <w:ind w:firstLine="480"/>
              <w:jc w:val="center"/>
              <w:rPr>
                <w:rFonts w:hint="eastAsia" w:ascii="仿宋" w:hAnsi="仿宋" w:eastAsia="仿宋" w:cs="仿宋"/>
                <w:color w:val="auto"/>
                <w:szCs w:val="21"/>
                <w:highlight w:val="none"/>
              </w:rPr>
            </w:pPr>
          </w:p>
        </w:tc>
        <w:tc>
          <w:tcPr>
            <w:tcW w:w="1129" w:type="dxa"/>
            <w:vMerge w:val="continue"/>
            <w:vAlign w:val="center"/>
          </w:tcPr>
          <w:p w14:paraId="7DB3AE30">
            <w:pPr>
              <w:spacing w:line="360" w:lineRule="auto"/>
              <w:ind w:firstLine="480"/>
              <w:jc w:val="center"/>
              <w:rPr>
                <w:rFonts w:hint="eastAsia" w:ascii="仿宋" w:hAnsi="仿宋" w:eastAsia="仿宋" w:cs="仿宋"/>
                <w:color w:val="auto"/>
                <w:szCs w:val="21"/>
                <w:highlight w:val="none"/>
              </w:rPr>
            </w:pPr>
          </w:p>
        </w:tc>
        <w:tc>
          <w:tcPr>
            <w:tcW w:w="1161" w:type="dxa"/>
            <w:vMerge w:val="continue"/>
            <w:vAlign w:val="center"/>
          </w:tcPr>
          <w:p w14:paraId="7F2A10E4">
            <w:pPr>
              <w:spacing w:line="360" w:lineRule="auto"/>
              <w:ind w:firstLine="480"/>
              <w:jc w:val="center"/>
              <w:rPr>
                <w:rFonts w:hint="eastAsia" w:ascii="仿宋" w:hAnsi="仿宋" w:eastAsia="仿宋" w:cs="仿宋"/>
                <w:color w:val="auto"/>
                <w:szCs w:val="21"/>
                <w:highlight w:val="none"/>
              </w:rPr>
            </w:pPr>
          </w:p>
        </w:tc>
        <w:tc>
          <w:tcPr>
            <w:tcW w:w="1451" w:type="dxa"/>
            <w:vAlign w:val="center"/>
          </w:tcPr>
          <w:p w14:paraId="5C0EAEF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942" w:type="dxa"/>
            <w:vAlign w:val="center"/>
          </w:tcPr>
          <w:p w14:paraId="5DA9F99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证号</w:t>
            </w:r>
          </w:p>
        </w:tc>
        <w:tc>
          <w:tcPr>
            <w:tcW w:w="1134" w:type="dxa"/>
            <w:vAlign w:val="center"/>
          </w:tcPr>
          <w:p w14:paraId="7231379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r>
      <w:tr w14:paraId="289990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14:paraId="0EA6BDCA">
            <w:pPr>
              <w:spacing w:line="360" w:lineRule="auto"/>
              <w:jc w:val="center"/>
              <w:rPr>
                <w:rFonts w:hint="eastAsia" w:ascii="仿宋" w:hAnsi="仿宋" w:eastAsia="仿宋" w:cs="仿宋"/>
                <w:color w:val="auto"/>
                <w:szCs w:val="21"/>
                <w:highlight w:val="none"/>
              </w:rPr>
            </w:pPr>
          </w:p>
        </w:tc>
        <w:tc>
          <w:tcPr>
            <w:tcW w:w="1251" w:type="dxa"/>
            <w:vAlign w:val="center"/>
          </w:tcPr>
          <w:p w14:paraId="34B4E858">
            <w:pPr>
              <w:spacing w:line="360" w:lineRule="auto"/>
              <w:jc w:val="center"/>
              <w:rPr>
                <w:rFonts w:hint="eastAsia" w:ascii="仿宋" w:hAnsi="仿宋" w:eastAsia="仿宋" w:cs="仿宋"/>
                <w:color w:val="auto"/>
                <w:szCs w:val="21"/>
                <w:highlight w:val="none"/>
              </w:rPr>
            </w:pPr>
          </w:p>
        </w:tc>
        <w:tc>
          <w:tcPr>
            <w:tcW w:w="1129" w:type="dxa"/>
            <w:vAlign w:val="center"/>
          </w:tcPr>
          <w:p w14:paraId="67481964">
            <w:pPr>
              <w:spacing w:line="360" w:lineRule="auto"/>
              <w:jc w:val="center"/>
              <w:rPr>
                <w:rFonts w:hint="eastAsia" w:ascii="仿宋" w:hAnsi="仿宋" w:eastAsia="仿宋" w:cs="仿宋"/>
                <w:color w:val="auto"/>
                <w:szCs w:val="21"/>
                <w:highlight w:val="none"/>
              </w:rPr>
            </w:pPr>
          </w:p>
        </w:tc>
        <w:tc>
          <w:tcPr>
            <w:tcW w:w="1161" w:type="dxa"/>
            <w:vAlign w:val="center"/>
          </w:tcPr>
          <w:p w14:paraId="7EA4FD31">
            <w:pPr>
              <w:spacing w:line="360" w:lineRule="auto"/>
              <w:jc w:val="center"/>
              <w:rPr>
                <w:rFonts w:hint="eastAsia" w:ascii="仿宋" w:hAnsi="仿宋" w:eastAsia="仿宋" w:cs="仿宋"/>
                <w:color w:val="auto"/>
                <w:szCs w:val="21"/>
                <w:highlight w:val="none"/>
              </w:rPr>
            </w:pPr>
          </w:p>
        </w:tc>
        <w:tc>
          <w:tcPr>
            <w:tcW w:w="1451" w:type="dxa"/>
            <w:vAlign w:val="center"/>
          </w:tcPr>
          <w:p w14:paraId="32365FE2">
            <w:pPr>
              <w:spacing w:line="360" w:lineRule="auto"/>
              <w:jc w:val="center"/>
              <w:rPr>
                <w:rFonts w:hint="eastAsia" w:ascii="仿宋" w:hAnsi="仿宋" w:eastAsia="仿宋" w:cs="仿宋"/>
                <w:color w:val="auto"/>
                <w:szCs w:val="21"/>
                <w:highlight w:val="none"/>
              </w:rPr>
            </w:pPr>
          </w:p>
        </w:tc>
        <w:tc>
          <w:tcPr>
            <w:tcW w:w="942" w:type="dxa"/>
            <w:vAlign w:val="center"/>
          </w:tcPr>
          <w:p w14:paraId="0AF88853">
            <w:pPr>
              <w:spacing w:line="360" w:lineRule="auto"/>
              <w:jc w:val="center"/>
              <w:rPr>
                <w:rFonts w:hint="eastAsia" w:ascii="仿宋" w:hAnsi="仿宋" w:eastAsia="仿宋" w:cs="仿宋"/>
                <w:color w:val="auto"/>
                <w:szCs w:val="21"/>
                <w:highlight w:val="none"/>
              </w:rPr>
            </w:pPr>
          </w:p>
        </w:tc>
        <w:tc>
          <w:tcPr>
            <w:tcW w:w="1134" w:type="dxa"/>
            <w:vAlign w:val="center"/>
          </w:tcPr>
          <w:p w14:paraId="328F70A3">
            <w:pPr>
              <w:spacing w:line="360" w:lineRule="auto"/>
              <w:jc w:val="center"/>
              <w:rPr>
                <w:rFonts w:hint="eastAsia" w:ascii="仿宋" w:hAnsi="仿宋" w:eastAsia="仿宋" w:cs="仿宋"/>
                <w:color w:val="auto"/>
                <w:szCs w:val="21"/>
                <w:highlight w:val="none"/>
              </w:rPr>
            </w:pPr>
          </w:p>
        </w:tc>
      </w:tr>
      <w:tr w14:paraId="123FD2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41ACBC00">
            <w:pPr>
              <w:spacing w:line="360" w:lineRule="auto"/>
              <w:jc w:val="center"/>
              <w:rPr>
                <w:rFonts w:hint="eastAsia" w:ascii="仿宋" w:hAnsi="仿宋" w:eastAsia="仿宋" w:cs="仿宋"/>
                <w:color w:val="auto"/>
                <w:szCs w:val="21"/>
                <w:highlight w:val="none"/>
              </w:rPr>
            </w:pPr>
          </w:p>
        </w:tc>
        <w:tc>
          <w:tcPr>
            <w:tcW w:w="1251" w:type="dxa"/>
            <w:vAlign w:val="center"/>
          </w:tcPr>
          <w:p w14:paraId="58AB0797">
            <w:pPr>
              <w:spacing w:line="360" w:lineRule="auto"/>
              <w:jc w:val="center"/>
              <w:rPr>
                <w:rFonts w:hint="eastAsia" w:ascii="仿宋" w:hAnsi="仿宋" w:eastAsia="仿宋" w:cs="仿宋"/>
                <w:color w:val="auto"/>
                <w:szCs w:val="21"/>
                <w:highlight w:val="none"/>
              </w:rPr>
            </w:pPr>
          </w:p>
        </w:tc>
        <w:tc>
          <w:tcPr>
            <w:tcW w:w="1129" w:type="dxa"/>
            <w:vAlign w:val="center"/>
          </w:tcPr>
          <w:p w14:paraId="578BA2CD">
            <w:pPr>
              <w:spacing w:line="360" w:lineRule="auto"/>
              <w:jc w:val="center"/>
              <w:rPr>
                <w:rFonts w:hint="eastAsia" w:ascii="仿宋" w:hAnsi="仿宋" w:eastAsia="仿宋" w:cs="仿宋"/>
                <w:color w:val="auto"/>
                <w:szCs w:val="21"/>
                <w:highlight w:val="none"/>
              </w:rPr>
            </w:pPr>
          </w:p>
        </w:tc>
        <w:tc>
          <w:tcPr>
            <w:tcW w:w="1161" w:type="dxa"/>
            <w:vAlign w:val="center"/>
          </w:tcPr>
          <w:p w14:paraId="3B95E5A3">
            <w:pPr>
              <w:spacing w:line="360" w:lineRule="auto"/>
              <w:jc w:val="center"/>
              <w:rPr>
                <w:rFonts w:hint="eastAsia" w:ascii="仿宋" w:hAnsi="仿宋" w:eastAsia="仿宋" w:cs="仿宋"/>
                <w:color w:val="auto"/>
                <w:szCs w:val="21"/>
                <w:highlight w:val="none"/>
              </w:rPr>
            </w:pPr>
          </w:p>
        </w:tc>
        <w:tc>
          <w:tcPr>
            <w:tcW w:w="1451" w:type="dxa"/>
            <w:vAlign w:val="center"/>
          </w:tcPr>
          <w:p w14:paraId="12D90943">
            <w:pPr>
              <w:spacing w:line="360" w:lineRule="auto"/>
              <w:jc w:val="center"/>
              <w:rPr>
                <w:rFonts w:hint="eastAsia" w:ascii="仿宋" w:hAnsi="仿宋" w:eastAsia="仿宋" w:cs="仿宋"/>
                <w:color w:val="auto"/>
                <w:szCs w:val="21"/>
                <w:highlight w:val="none"/>
              </w:rPr>
            </w:pPr>
          </w:p>
        </w:tc>
        <w:tc>
          <w:tcPr>
            <w:tcW w:w="942" w:type="dxa"/>
            <w:vAlign w:val="center"/>
          </w:tcPr>
          <w:p w14:paraId="68C47F97">
            <w:pPr>
              <w:spacing w:line="360" w:lineRule="auto"/>
              <w:jc w:val="center"/>
              <w:rPr>
                <w:rFonts w:hint="eastAsia" w:ascii="仿宋" w:hAnsi="仿宋" w:eastAsia="仿宋" w:cs="仿宋"/>
                <w:color w:val="auto"/>
                <w:szCs w:val="21"/>
                <w:highlight w:val="none"/>
              </w:rPr>
            </w:pPr>
          </w:p>
        </w:tc>
        <w:tc>
          <w:tcPr>
            <w:tcW w:w="1134" w:type="dxa"/>
            <w:vAlign w:val="center"/>
          </w:tcPr>
          <w:p w14:paraId="4F4EBBDB">
            <w:pPr>
              <w:spacing w:line="360" w:lineRule="auto"/>
              <w:jc w:val="center"/>
              <w:rPr>
                <w:rFonts w:hint="eastAsia" w:ascii="仿宋" w:hAnsi="仿宋" w:eastAsia="仿宋" w:cs="仿宋"/>
                <w:color w:val="auto"/>
                <w:szCs w:val="21"/>
                <w:highlight w:val="none"/>
              </w:rPr>
            </w:pPr>
          </w:p>
        </w:tc>
      </w:tr>
      <w:tr w14:paraId="1FE66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66A26F93">
            <w:pPr>
              <w:spacing w:line="360" w:lineRule="auto"/>
              <w:jc w:val="center"/>
              <w:rPr>
                <w:rFonts w:hint="eastAsia" w:ascii="仿宋" w:hAnsi="仿宋" w:eastAsia="仿宋" w:cs="仿宋"/>
                <w:color w:val="auto"/>
                <w:szCs w:val="21"/>
                <w:highlight w:val="none"/>
              </w:rPr>
            </w:pPr>
          </w:p>
        </w:tc>
        <w:tc>
          <w:tcPr>
            <w:tcW w:w="1251" w:type="dxa"/>
            <w:vAlign w:val="center"/>
          </w:tcPr>
          <w:p w14:paraId="0BDFD879">
            <w:pPr>
              <w:spacing w:line="360" w:lineRule="auto"/>
              <w:jc w:val="center"/>
              <w:rPr>
                <w:rFonts w:hint="eastAsia" w:ascii="仿宋" w:hAnsi="仿宋" w:eastAsia="仿宋" w:cs="仿宋"/>
                <w:color w:val="auto"/>
                <w:szCs w:val="21"/>
                <w:highlight w:val="none"/>
              </w:rPr>
            </w:pPr>
          </w:p>
        </w:tc>
        <w:tc>
          <w:tcPr>
            <w:tcW w:w="1129" w:type="dxa"/>
            <w:vAlign w:val="center"/>
          </w:tcPr>
          <w:p w14:paraId="01CFDF2D">
            <w:pPr>
              <w:spacing w:line="360" w:lineRule="auto"/>
              <w:jc w:val="center"/>
              <w:rPr>
                <w:rFonts w:hint="eastAsia" w:ascii="仿宋" w:hAnsi="仿宋" w:eastAsia="仿宋" w:cs="仿宋"/>
                <w:color w:val="auto"/>
                <w:szCs w:val="21"/>
                <w:highlight w:val="none"/>
              </w:rPr>
            </w:pPr>
          </w:p>
        </w:tc>
        <w:tc>
          <w:tcPr>
            <w:tcW w:w="1161" w:type="dxa"/>
            <w:vAlign w:val="center"/>
          </w:tcPr>
          <w:p w14:paraId="6698D2EE">
            <w:pPr>
              <w:spacing w:line="360" w:lineRule="auto"/>
              <w:jc w:val="center"/>
              <w:rPr>
                <w:rFonts w:hint="eastAsia" w:ascii="仿宋" w:hAnsi="仿宋" w:eastAsia="仿宋" w:cs="仿宋"/>
                <w:color w:val="auto"/>
                <w:szCs w:val="21"/>
                <w:highlight w:val="none"/>
              </w:rPr>
            </w:pPr>
          </w:p>
        </w:tc>
        <w:tc>
          <w:tcPr>
            <w:tcW w:w="1451" w:type="dxa"/>
            <w:vAlign w:val="center"/>
          </w:tcPr>
          <w:p w14:paraId="0F080BFB">
            <w:pPr>
              <w:spacing w:line="360" w:lineRule="auto"/>
              <w:jc w:val="center"/>
              <w:rPr>
                <w:rFonts w:hint="eastAsia" w:ascii="仿宋" w:hAnsi="仿宋" w:eastAsia="仿宋" w:cs="仿宋"/>
                <w:color w:val="auto"/>
                <w:szCs w:val="21"/>
                <w:highlight w:val="none"/>
              </w:rPr>
            </w:pPr>
          </w:p>
        </w:tc>
        <w:tc>
          <w:tcPr>
            <w:tcW w:w="942" w:type="dxa"/>
            <w:vAlign w:val="center"/>
          </w:tcPr>
          <w:p w14:paraId="1A49ADE3">
            <w:pPr>
              <w:spacing w:line="360" w:lineRule="auto"/>
              <w:jc w:val="center"/>
              <w:rPr>
                <w:rFonts w:hint="eastAsia" w:ascii="仿宋" w:hAnsi="仿宋" w:eastAsia="仿宋" w:cs="仿宋"/>
                <w:color w:val="auto"/>
                <w:szCs w:val="21"/>
                <w:highlight w:val="none"/>
              </w:rPr>
            </w:pPr>
          </w:p>
        </w:tc>
        <w:tc>
          <w:tcPr>
            <w:tcW w:w="1134" w:type="dxa"/>
            <w:vAlign w:val="center"/>
          </w:tcPr>
          <w:p w14:paraId="39C3D7C4">
            <w:pPr>
              <w:spacing w:line="360" w:lineRule="auto"/>
              <w:jc w:val="center"/>
              <w:rPr>
                <w:rFonts w:hint="eastAsia" w:ascii="仿宋" w:hAnsi="仿宋" w:eastAsia="仿宋" w:cs="仿宋"/>
                <w:color w:val="auto"/>
                <w:szCs w:val="21"/>
                <w:highlight w:val="none"/>
              </w:rPr>
            </w:pPr>
          </w:p>
        </w:tc>
      </w:tr>
      <w:tr w14:paraId="2906D7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77FECAF4">
            <w:pPr>
              <w:spacing w:line="360" w:lineRule="auto"/>
              <w:ind w:firstLine="56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一旦我单位中标,我方保证上述填报内容真实，若不真实，愿按有关规定接受处理并承担违约责任。</w:t>
            </w:r>
          </w:p>
        </w:tc>
      </w:tr>
    </w:tbl>
    <w:p w14:paraId="2DCF1CE6">
      <w:pPr>
        <w:pStyle w:val="61"/>
        <w:ind w:firstLine="420"/>
        <w:rPr>
          <w:iCs w:val="0"/>
          <w:color w:val="auto"/>
          <w:sz w:val="21"/>
          <w:szCs w:val="21"/>
          <w:highlight w:val="none"/>
          <w:u w:val="none"/>
        </w:rPr>
      </w:pPr>
    </w:p>
    <w:p w14:paraId="4494DCDF">
      <w:pPr>
        <w:autoSpaceDE w:val="0"/>
        <w:autoSpaceDN w:val="0"/>
        <w:adjustRightInd w:val="0"/>
        <w:spacing w:line="480" w:lineRule="auto"/>
        <w:jc w:val="left"/>
        <w:rPr>
          <w:rFonts w:hint="eastAsia" w:ascii="仿宋" w:hAnsi="仿宋" w:eastAsia="仿宋" w:cs="仿宋"/>
          <w:color w:val="auto"/>
          <w:kern w:val="0"/>
          <w:szCs w:val="21"/>
          <w:highlight w:val="none"/>
        </w:rPr>
      </w:pPr>
    </w:p>
    <w:p w14:paraId="3A7D0F7C">
      <w:pPr>
        <w:autoSpaceDE w:val="0"/>
        <w:autoSpaceDN w:val="0"/>
        <w:adjustRightInd w:val="0"/>
        <w:spacing w:line="48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（盖公章）</w:t>
      </w:r>
    </w:p>
    <w:p w14:paraId="25FA1557">
      <w:pPr>
        <w:spacing w:line="48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401CAD2A">
      <w:pPr>
        <w:spacing w:after="120" w:afterLines="50" w:line="480" w:lineRule="auto"/>
        <w:jc w:val="left"/>
        <w:rPr>
          <w:rFonts w:hint="eastAsia" w:ascii="仿宋" w:hAnsi="仿宋" w:eastAsia="仿宋" w:cs="仿宋"/>
          <w:color w:val="auto"/>
          <w:szCs w:val="21"/>
          <w:highlight w:val="none"/>
        </w:rPr>
      </w:pPr>
    </w:p>
    <w:p w14:paraId="00DC0627">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说明：投标人根据自己单位的实际情况对</w:t>
      </w:r>
      <w:r>
        <w:rPr>
          <w:rFonts w:hint="eastAsia" w:ascii="仿宋" w:hAnsi="仿宋" w:eastAsia="仿宋" w:cs="仿宋"/>
          <w:bCs/>
          <w:color w:val="auto"/>
          <w:szCs w:val="21"/>
          <w:highlight w:val="none"/>
        </w:rPr>
        <w:t>上述表格进行调整</w:t>
      </w:r>
      <w:r>
        <w:rPr>
          <w:rFonts w:hint="eastAsia" w:ascii="仿宋" w:hAnsi="仿宋" w:eastAsia="仿宋" w:cs="仿宋"/>
          <w:color w:val="auto"/>
          <w:szCs w:val="21"/>
          <w:highlight w:val="none"/>
        </w:rPr>
        <w:t>，并于本表后附所配备的人员【含其他专业负责人（如有）】须提供的相关证明资料。</w:t>
      </w:r>
    </w:p>
    <w:p w14:paraId="37E992FD">
      <w:pPr>
        <w:spacing w:line="360" w:lineRule="auto"/>
        <w:jc w:val="center"/>
        <w:rPr>
          <w:rFonts w:ascii="宋体" w:hAnsi="宋体"/>
          <w:b/>
          <w:bCs/>
          <w:color w:val="auto"/>
          <w:sz w:val="28"/>
          <w:szCs w:val="28"/>
          <w:highlight w:val="none"/>
        </w:rPr>
      </w:pPr>
      <w:r>
        <w:rPr>
          <w:rFonts w:hint="eastAsia" w:ascii="仿宋" w:hAnsi="仿宋" w:eastAsia="仿宋" w:cs="仿宋"/>
          <w:color w:val="auto"/>
          <w:szCs w:val="21"/>
          <w:highlight w:val="none"/>
        </w:rPr>
        <w:br w:type="page"/>
      </w:r>
      <w:r>
        <w:rPr>
          <w:rFonts w:hint="eastAsia" w:ascii="宋体" w:hAnsi="宋体"/>
          <w:b/>
          <w:bCs/>
          <w:color w:val="auto"/>
          <w:sz w:val="28"/>
          <w:szCs w:val="28"/>
          <w:highlight w:val="none"/>
        </w:rPr>
        <w:t>项目负责人签名确认表</w:t>
      </w:r>
    </w:p>
    <w:p w14:paraId="30CDFF98">
      <w:pPr>
        <w:spacing w:line="360" w:lineRule="auto"/>
        <w:rPr>
          <w:rFonts w:hint="eastAsia" w:ascii="仿宋" w:hAnsi="仿宋" w:eastAsia="仿宋" w:cs="仿宋"/>
          <w:b/>
          <w:color w:val="auto"/>
          <w:sz w:val="24"/>
          <w:highlight w:val="none"/>
        </w:rPr>
      </w:pPr>
    </w:p>
    <w:p w14:paraId="2D09B033">
      <w:pPr>
        <w:spacing w:line="480" w:lineRule="auto"/>
        <w:rPr>
          <w:rFonts w:hint="eastAsia" w:ascii="仿宋" w:hAnsi="仿宋" w:eastAsia="仿宋" w:cs="仿宋"/>
          <w:color w:val="auto"/>
          <w:szCs w:val="21"/>
          <w:highlight w:val="none"/>
        </w:rPr>
      </w:pPr>
    </w:p>
    <w:p w14:paraId="24D99A57">
      <w:pP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，身份证证号：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，已认真阅读</w:t>
      </w:r>
      <w:r>
        <w:rPr>
          <w:rFonts w:hint="eastAsia" w:ascii="仿宋" w:hAnsi="仿宋" w:eastAsia="仿宋" w:cs="仿宋"/>
          <w:b/>
          <w:color w:val="auto"/>
          <w:kern w:val="0"/>
          <w:szCs w:val="21"/>
          <w:highlight w:val="none"/>
          <w:u w:val="single"/>
        </w:rPr>
        <w:t xml:space="preserve">        </w:t>
      </w:r>
      <w:r>
        <w:rPr>
          <w:rFonts w:hint="eastAsia" w:ascii="仿宋" w:hAnsi="仿宋" w:eastAsia="仿宋" w:cs="仿宋"/>
          <w:color w:val="auto"/>
          <w:kern w:val="0"/>
          <w:szCs w:val="21"/>
          <w:highlight w:val="none"/>
          <w:u w:val="single"/>
        </w:rPr>
        <w:t>（项目名称）</w:t>
      </w:r>
      <w:r>
        <w:rPr>
          <w:rFonts w:hint="eastAsia" w:ascii="仿宋" w:hAnsi="仿宋" w:eastAsia="仿宋" w:cs="仿宋"/>
          <w:color w:val="auto"/>
          <w:szCs w:val="21"/>
          <w:highlight w:val="none"/>
        </w:rPr>
        <w:t>的招标文件中的投标须知、合同条款、工程建设标准及其他有关文件，愿意在合法合规的前提下，担任</w:t>
      </w:r>
      <w:r>
        <w:rPr>
          <w:rFonts w:hint="eastAsia" w:ascii="仿宋" w:hAnsi="仿宋" w:eastAsia="仿宋" w:cs="仿宋"/>
          <w:b/>
          <w:color w:val="auto"/>
          <w:szCs w:val="21"/>
          <w:highlight w:val="none"/>
          <w:u w:val="single"/>
        </w:rPr>
        <w:t>项目负责人</w:t>
      </w:r>
      <w:r>
        <w:rPr>
          <w:rFonts w:hint="eastAsia" w:ascii="仿宋" w:hAnsi="仿宋" w:eastAsia="仿宋" w:cs="仿宋"/>
          <w:color w:val="auto"/>
          <w:szCs w:val="21"/>
          <w:highlight w:val="none"/>
        </w:rPr>
        <w:t>一职，并承担相应的责任。</w:t>
      </w:r>
    </w:p>
    <w:p w14:paraId="007D1F5A">
      <w:pPr>
        <w:spacing w:line="480" w:lineRule="auto"/>
        <w:ind w:firstLine="420" w:firstLineChars="200"/>
        <w:rPr>
          <w:rFonts w:hint="eastAsia" w:ascii="仿宋" w:hAnsi="仿宋" w:eastAsia="仿宋" w:cs="仿宋"/>
          <w:color w:val="auto"/>
          <w:szCs w:val="21"/>
          <w:highlight w:val="none"/>
        </w:rPr>
      </w:pPr>
    </w:p>
    <w:p w14:paraId="508E6E09">
      <w:pPr>
        <w:pStyle w:val="25"/>
        <w:spacing w:line="480" w:lineRule="auto"/>
        <w:ind w:firstLine="420"/>
        <w:rPr>
          <w:rFonts w:hint="eastAsia" w:ascii="仿宋" w:hAnsi="仿宋" w:eastAsia="仿宋" w:cs="仿宋"/>
          <w:color w:val="auto"/>
          <w:highlight w:val="none"/>
        </w:rPr>
      </w:pPr>
    </w:p>
    <w:p w14:paraId="6FDF3942">
      <w:pPr>
        <w:autoSpaceDE w:val="0"/>
        <w:autoSpaceDN w:val="0"/>
        <w:adjustRightInd w:val="0"/>
        <w:spacing w:line="480" w:lineRule="auto"/>
        <w:ind w:firstLine="3780" w:firstLineChars="18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（盖公章）</w:t>
      </w:r>
    </w:p>
    <w:p w14:paraId="55868625">
      <w:pPr>
        <w:spacing w:line="480" w:lineRule="auto"/>
        <w:ind w:firstLine="3826" w:firstLineChars="182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（签字）</w:t>
      </w:r>
    </w:p>
    <w:p w14:paraId="4F2D9A13">
      <w:pPr>
        <w:spacing w:line="480" w:lineRule="auto"/>
        <w:ind w:firstLine="3826" w:firstLineChars="1822"/>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F8E8BB7">
      <w:pPr>
        <w:spacing w:line="480" w:lineRule="auto"/>
        <w:ind w:firstLine="4960" w:firstLineChars="2362"/>
        <w:rPr>
          <w:rFonts w:ascii="宋体" w:hAnsi="宋体"/>
          <w:color w:val="auto"/>
          <w:szCs w:val="21"/>
          <w:highlight w:val="none"/>
        </w:rPr>
      </w:pPr>
    </w:p>
    <w:p w14:paraId="3A6E867E">
      <w:pPr>
        <w:spacing w:line="480" w:lineRule="auto"/>
        <w:jc w:val="left"/>
        <w:rPr>
          <w:rFonts w:ascii="宋体" w:hAnsi="宋体"/>
          <w:color w:val="auto"/>
          <w:kern w:val="0"/>
          <w:highlight w:val="none"/>
        </w:rPr>
      </w:pPr>
      <w:r>
        <w:rPr>
          <w:rFonts w:hint="eastAsia" w:ascii="宋体" w:hAnsi="宋体"/>
          <w:b/>
          <w:color w:val="auto"/>
          <w:szCs w:val="21"/>
          <w:highlight w:val="none"/>
        </w:rPr>
        <w:t>注：</w:t>
      </w:r>
      <w:r>
        <w:rPr>
          <w:rFonts w:hint="eastAsia" w:ascii="宋体" w:hAnsi="宋体"/>
          <w:b/>
          <w:bCs/>
          <w:color w:val="auto"/>
          <w:szCs w:val="21"/>
          <w:highlight w:val="none"/>
        </w:rPr>
        <w:t>后附相关人员的二代身份证复印件或扫描件。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4B708FD0">
      <w:pPr>
        <w:spacing w:line="360" w:lineRule="auto"/>
        <w:jc w:val="center"/>
        <w:rPr>
          <w:rFonts w:ascii="宋体" w:hAnsi="宋体"/>
          <w:b/>
          <w:bCs/>
          <w:color w:val="auto"/>
          <w:sz w:val="32"/>
          <w:highlight w:val="none"/>
        </w:rPr>
      </w:pPr>
    </w:p>
    <w:p w14:paraId="6B4D1288">
      <w:pPr>
        <w:pStyle w:val="25"/>
        <w:spacing w:line="360" w:lineRule="auto"/>
        <w:jc w:val="center"/>
        <w:rPr>
          <w:rFonts w:hAnsi="宋体"/>
          <w:b/>
          <w:bCs/>
          <w:color w:val="auto"/>
          <w:sz w:val="32"/>
          <w:highlight w:val="none"/>
        </w:rPr>
      </w:pPr>
      <w:r>
        <w:rPr>
          <w:rFonts w:hAnsi="宋体"/>
          <w:b/>
          <w:bCs/>
          <w:color w:val="auto"/>
          <w:sz w:val="32"/>
          <w:highlight w:val="none"/>
        </w:rPr>
        <w:br w:type="page"/>
      </w:r>
      <w:r>
        <w:rPr>
          <w:rFonts w:hint="eastAsia" w:hAnsi="宋体"/>
          <w:b/>
          <w:bCs/>
          <w:color w:val="auto"/>
          <w:sz w:val="32"/>
          <w:highlight w:val="none"/>
        </w:rPr>
        <w:t>五、投标人的其他评审情况表</w:t>
      </w:r>
    </w:p>
    <w:p w14:paraId="03140DF2">
      <w:pPr>
        <w:autoSpaceDE w:val="0"/>
        <w:autoSpaceDN w:val="0"/>
        <w:adjustRightInd w:val="0"/>
        <w:spacing w:line="480" w:lineRule="auto"/>
        <w:jc w:val="left"/>
        <w:rPr>
          <w:rFonts w:ascii="宋体" w:hAnsi="宋体" w:cs="宋体"/>
          <w:color w:val="auto"/>
          <w:kern w:val="0"/>
          <w:szCs w:val="21"/>
          <w:highlight w:val="none"/>
        </w:rPr>
      </w:pPr>
    </w:p>
    <w:p w14:paraId="20FE35C6">
      <w:pPr>
        <w:autoSpaceDE w:val="0"/>
        <w:autoSpaceDN w:val="0"/>
        <w:adjustRightInd w:val="0"/>
        <w:spacing w:line="480" w:lineRule="auto"/>
        <w:jc w:val="left"/>
        <w:rPr>
          <w:rFonts w:ascii="宋体" w:hAnsi="宋体" w:cs="宋体"/>
          <w:color w:val="auto"/>
          <w:kern w:val="0"/>
          <w:szCs w:val="21"/>
          <w:highlight w:val="none"/>
        </w:rPr>
      </w:pPr>
    </w:p>
    <w:p w14:paraId="2F75FE09">
      <w:pPr>
        <w:autoSpaceDE w:val="0"/>
        <w:autoSpaceDN w:val="0"/>
        <w:adjustRightInd w:val="0"/>
        <w:spacing w:line="480" w:lineRule="auto"/>
        <w:jc w:val="left"/>
        <w:rPr>
          <w:rFonts w:ascii="宋体" w:hAnsi="宋体" w:cs="宋体"/>
          <w:color w:val="auto"/>
          <w:kern w:val="0"/>
          <w:szCs w:val="21"/>
          <w:highlight w:val="none"/>
        </w:rPr>
      </w:pPr>
    </w:p>
    <w:p w14:paraId="7B2A85FD">
      <w:pPr>
        <w:autoSpaceDE w:val="0"/>
        <w:autoSpaceDN w:val="0"/>
        <w:adjustRightInd w:val="0"/>
        <w:spacing w:line="48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本节内容由</w:t>
      </w:r>
      <w:r>
        <w:rPr>
          <w:rFonts w:hint="eastAsia" w:ascii="仿宋" w:hAnsi="仿宋" w:eastAsia="仿宋" w:cs="仿宋"/>
          <w:color w:val="auto"/>
          <w:szCs w:val="21"/>
          <w:highlight w:val="none"/>
        </w:rPr>
        <w:t>投标人根据自己单位的实际情况自行编制</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并于本表后附相关证明资料。</w:t>
      </w:r>
    </w:p>
    <w:p w14:paraId="709D94A2">
      <w:pPr>
        <w:autoSpaceDE w:val="0"/>
        <w:autoSpaceDN w:val="0"/>
        <w:adjustRightInd w:val="0"/>
        <w:spacing w:line="480" w:lineRule="auto"/>
        <w:jc w:val="left"/>
        <w:rPr>
          <w:rFonts w:hint="eastAsia" w:ascii="仿宋" w:hAnsi="仿宋" w:eastAsia="仿宋" w:cs="仿宋"/>
          <w:color w:val="auto"/>
          <w:kern w:val="0"/>
          <w:szCs w:val="21"/>
          <w:highlight w:val="none"/>
        </w:rPr>
      </w:pPr>
    </w:p>
    <w:p w14:paraId="57134212">
      <w:pPr>
        <w:pStyle w:val="18"/>
        <w:rPr>
          <w:rFonts w:hint="eastAsia" w:ascii="仿宋" w:hAnsi="仿宋" w:eastAsia="仿宋" w:cs="仿宋"/>
          <w:color w:val="auto"/>
          <w:highlight w:val="none"/>
        </w:rPr>
      </w:pPr>
    </w:p>
    <w:p w14:paraId="5B886536">
      <w:pPr>
        <w:pStyle w:val="18"/>
        <w:rPr>
          <w:rFonts w:hint="eastAsia" w:ascii="仿宋" w:hAnsi="仿宋" w:eastAsia="仿宋" w:cs="仿宋"/>
          <w:color w:val="auto"/>
          <w:highlight w:val="none"/>
        </w:rPr>
      </w:pPr>
    </w:p>
    <w:p w14:paraId="236820AA">
      <w:pPr>
        <w:pStyle w:val="18"/>
        <w:rPr>
          <w:rFonts w:hint="eastAsia" w:ascii="仿宋" w:hAnsi="仿宋" w:eastAsia="仿宋" w:cs="仿宋"/>
          <w:color w:val="auto"/>
          <w:highlight w:val="none"/>
        </w:rPr>
      </w:pPr>
    </w:p>
    <w:p w14:paraId="7162EDF4">
      <w:pPr>
        <w:pStyle w:val="18"/>
        <w:rPr>
          <w:rFonts w:hint="eastAsia" w:ascii="仿宋" w:hAnsi="仿宋" w:eastAsia="仿宋" w:cs="仿宋"/>
          <w:color w:val="auto"/>
          <w:highlight w:val="none"/>
        </w:rPr>
      </w:pPr>
    </w:p>
    <w:p w14:paraId="4FA75FC8">
      <w:pPr>
        <w:autoSpaceDE w:val="0"/>
        <w:autoSpaceDN w:val="0"/>
        <w:adjustRightInd w:val="0"/>
        <w:spacing w:line="48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（盖公章）</w:t>
      </w:r>
    </w:p>
    <w:p w14:paraId="70FD11C5">
      <w:pPr>
        <w:spacing w:line="48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318C591">
      <w:pPr>
        <w:pStyle w:val="18"/>
        <w:rPr>
          <w:rFonts w:ascii="宋体" w:hAnsi="宋体"/>
          <w:color w:val="auto"/>
          <w:highlight w:val="none"/>
        </w:rPr>
      </w:pPr>
    </w:p>
    <w:p w14:paraId="5D91270B">
      <w:pPr>
        <w:spacing w:line="360" w:lineRule="auto"/>
        <w:jc w:val="left"/>
        <w:rPr>
          <w:rFonts w:ascii="宋体" w:hAnsi="宋体" w:cs="宋体"/>
          <w:color w:val="auto"/>
          <w:kern w:val="0"/>
          <w:szCs w:val="21"/>
          <w:highlight w:val="none"/>
        </w:rPr>
      </w:pPr>
    </w:p>
    <w:p w14:paraId="5C3E888A">
      <w:pPr>
        <w:pStyle w:val="47"/>
        <w:spacing w:line="360" w:lineRule="auto"/>
        <w:ind w:firstLine="480" w:firstLineChars="200"/>
        <w:rPr>
          <w:rFonts w:ascii="宋体" w:hAnsi="宋体"/>
          <w:b/>
          <w:color w:val="auto"/>
          <w:szCs w:val="21"/>
          <w:highlight w:val="none"/>
          <w:lang w:eastAsia="zh-CN"/>
        </w:rPr>
      </w:pPr>
    </w:p>
    <w:p w14:paraId="722B289A">
      <w:pPr>
        <w:pStyle w:val="25"/>
        <w:spacing w:line="360" w:lineRule="auto"/>
        <w:jc w:val="center"/>
        <w:rPr>
          <w:rFonts w:ascii="宋体" w:hAnsi="宋体" w:cs="宋体"/>
          <w:color w:val="auto"/>
          <w:kern w:val="0"/>
          <w:szCs w:val="21"/>
          <w:highlight w:val="none"/>
        </w:rPr>
      </w:pPr>
      <w:r>
        <w:rPr>
          <w:rFonts w:hAnsi="宋体"/>
          <w:color w:val="auto"/>
          <w:highlight w:val="none"/>
        </w:rPr>
        <w:br w:type="page"/>
      </w:r>
      <w:r>
        <w:rPr>
          <w:rFonts w:hint="eastAsia" w:hAnsi="宋体"/>
          <w:b/>
          <w:bCs/>
          <w:color w:val="auto"/>
          <w:sz w:val="32"/>
          <w:highlight w:val="none"/>
        </w:rPr>
        <w:t>六、投标人声明函</w:t>
      </w:r>
    </w:p>
    <w:p w14:paraId="4BC1A74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致：</w:t>
      </w:r>
      <w:r>
        <w:rPr>
          <w:rFonts w:hint="eastAsia" w:ascii="仿宋" w:hAnsi="仿宋" w:eastAsia="仿宋" w:cs="仿宋"/>
          <w:b/>
          <w:color w:val="auto"/>
          <w:kern w:val="0"/>
          <w:szCs w:val="21"/>
          <w:highlight w:val="none"/>
          <w:u w:val="single"/>
        </w:rPr>
        <w:t xml:space="preserve">                      </w:t>
      </w:r>
    </w:p>
    <w:p w14:paraId="74F38A5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我公司作为贵单位拟建的</w:t>
      </w:r>
      <w:r>
        <w:rPr>
          <w:rFonts w:hint="eastAsia" w:ascii="仿宋" w:hAnsi="仿宋" w:eastAsia="仿宋" w:cs="仿宋"/>
          <w:b/>
          <w:color w:val="auto"/>
          <w:kern w:val="0"/>
          <w:szCs w:val="21"/>
          <w:highlight w:val="none"/>
          <w:u w:val="single"/>
        </w:rPr>
        <w:t xml:space="preserve">            </w:t>
      </w:r>
      <w:r>
        <w:rPr>
          <w:rFonts w:hint="eastAsia" w:ascii="仿宋" w:hAnsi="仿宋" w:eastAsia="仿宋" w:cs="仿宋"/>
          <w:color w:val="auto"/>
          <w:kern w:val="0"/>
          <w:szCs w:val="21"/>
          <w:highlight w:val="none"/>
          <w:u w:val="single"/>
        </w:rPr>
        <w:t>（项目名称）</w:t>
      </w:r>
      <w:r>
        <w:rPr>
          <w:rFonts w:hint="eastAsia" w:ascii="仿宋" w:hAnsi="仿宋" w:eastAsia="仿宋" w:cs="仿宋"/>
          <w:color w:val="auto"/>
          <w:kern w:val="0"/>
          <w:szCs w:val="21"/>
          <w:highlight w:val="none"/>
        </w:rPr>
        <w:t>的招标的投标人，郑重作出以下承诺：</w:t>
      </w:r>
    </w:p>
    <w:p w14:paraId="4956E04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14:paraId="11BE303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二、我公司保证在本项目投标中不与其他单位围标、串标，不出让投标资格，不向招标人或评标委员会成员行贿。</w:t>
      </w:r>
    </w:p>
    <w:p w14:paraId="52204EE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三、我公司近三年没有下列情形之一：</w:t>
      </w:r>
    </w:p>
    <w:p w14:paraId="3971E0A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1.捏造事实、伪造证明材料投诉；</w:t>
      </w:r>
    </w:p>
    <w:p w14:paraId="6F03B01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2.无故放弃中标的；</w:t>
      </w:r>
    </w:p>
    <w:p w14:paraId="2274C7C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3.超越我公司资质等级许可的业务范围承揽工程，或违法转包、分包工程，或允许其他单位或个人以我公司名义承揽工程（违规转让资质证书）；</w:t>
      </w:r>
    </w:p>
    <w:p w14:paraId="675330D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4.由于我公司原因，拖欠分包单位款项而引发集体上访或聚众闹事；拖欠和克扣劳务人员工资，发生拖欠农民工工资，引发农民工集体上访或聚众闹事；</w:t>
      </w:r>
    </w:p>
    <w:p w14:paraId="18ED8D4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5.办理各项业务如资质申报、人员信息备案等手续时（或已办结取得审批通过的），经核查发现存在欺骗行为（如伪造证明材料、捏造或瞒报事实、或存在其他弄虚作假方式等）；</w:t>
      </w:r>
    </w:p>
    <w:p w14:paraId="2302579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6D27A2C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四、我公司与招标人不存在利害关系可能影响招标公正性的法人、其他组织或者个人；</w:t>
      </w:r>
    </w:p>
    <w:p w14:paraId="1EBD8C6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五、我公司不存在第二章“投标人须知”第1.4.3项、第1.4.4项规定的任何一种情形；</w:t>
      </w:r>
    </w:p>
    <w:p w14:paraId="7ED5A80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66F15782">
      <w:pPr>
        <w:autoSpaceDE w:val="0"/>
        <w:autoSpaceDN w:val="0"/>
        <w:adjustRightInd w:val="0"/>
        <w:spacing w:line="480" w:lineRule="auto"/>
        <w:ind w:firstLine="3780" w:firstLineChars="1800"/>
        <w:jc w:val="both"/>
        <w:rPr>
          <w:rFonts w:hint="eastAsia" w:ascii="仿宋" w:hAnsi="仿宋" w:eastAsia="仿宋" w:cs="仿宋"/>
          <w:color w:val="auto"/>
          <w:kern w:val="0"/>
          <w:szCs w:val="21"/>
          <w:highlight w:val="none"/>
        </w:rPr>
      </w:pPr>
    </w:p>
    <w:p w14:paraId="3374CC94">
      <w:pPr>
        <w:autoSpaceDE w:val="0"/>
        <w:autoSpaceDN w:val="0"/>
        <w:adjustRightInd w:val="0"/>
        <w:spacing w:line="480" w:lineRule="auto"/>
        <w:ind w:firstLine="3780" w:firstLineChars="1800"/>
        <w:jc w:val="both"/>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（盖公章）</w:t>
      </w:r>
    </w:p>
    <w:p w14:paraId="3E024B05">
      <w:pPr>
        <w:autoSpaceDE w:val="0"/>
        <w:autoSpaceDN w:val="0"/>
        <w:adjustRightInd w:val="0"/>
        <w:spacing w:line="480" w:lineRule="auto"/>
        <w:ind w:firstLine="3780" w:firstLineChars="18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日</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日</w:t>
      </w:r>
    </w:p>
    <w:p w14:paraId="1933A754">
      <w:pPr>
        <w:autoSpaceDE w:val="0"/>
        <w:autoSpaceDN w:val="0"/>
        <w:adjustRightInd w:val="0"/>
        <w:spacing w:line="480" w:lineRule="auto"/>
        <w:ind w:firstLine="3780" w:firstLineChars="1800"/>
        <w:jc w:val="left"/>
        <w:rPr>
          <w:rFonts w:hint="eastAsia" w:ascii="仿宋" w:hAnsi="仿宋" w:eastAsia="仿宋" w:cs="仿宋"/>
          <w:color w:val="auto"/>
          <w:kern w:val="0"/>
          <w:szCs w:val="21"/>
          <w:highlight w:val="none"/>
        </w:rPr>
      </w:pPr>
    </w:p>
    <w:p w14:paraId="58024366">
      <w:pPr>
        <w:pStyle w:val="25"/>
        <w:spacing w:line="360" w:lineRule="auto"/>
        <w:jc w:val="center"/>
        <w:rPr>
          <w:rFonts w:hint="eastAsia" w:ascii="宋体" w:hAnsi="宋体" w:eastAsia="宋体" w:cs="Times New Roman"/>
          <w:b/>
          <w:bCs/>
          <w:color w:val="auto"/>
          <w:sz w:val="32"/>
          <w:highlight w:val="none"/>
        </w:rPr>
      </w:pPr>
      <w:r>
        <w:rPr>
          <w:rFonts w:hint="eastAsia" w:ascii="宋体" w:hAnsi="宋体" w:eastAsia="宋体" w:cs="Times New Roman"/>
          <w:b/>
          <w:bCs/>
          <w:color w:val="auto"/>
          <w:sz w:val="32"/>
          <w:highlight w:val="none"/>
          <w:lang w:val="en-US" w:eastAsia="zh-CN"/>
        </w:rPr>
        <w:t>七、</w:t>
      </w:r>
      <w:r>
        <w:rPr>
          <w:rFonts w:hint="eastAsia" w:ascii="宋体" w:hAnsi="宋体" w:eastAsia="宋体" w:cs="Times New Roman"/>
          <w:b/>
          <w:bCs/>
          <w:color w:val="auto"/>
          <w:sz w:val="32"/>
          <w:highlight w:val="none"/>
        </w:rPr>
        <w:t>联合体共同投标协议</w:t>
      </w:r>
    </w:p>
    <w:p w14:paraId="7741AAAB">
      <w:pPr>
        <w:topLinePunct/>
        <w:spacing w:line="276" w:lineRule="auto"/>
        <w:ind w:firstLine="420" w:firstLineChars="200"/>
        <w:rPr>
          <w:rFonts w:hint="eastAsia"/>
          <w:color w:val="auto"/>
          <w:szCs w:val="21"/>
          <w:highlight w:val="none"/>
          <w:u w:val="single"/>
        </w:rPr>
      </w:pPr>
    </w:p>
    <w:p w14:paraId="79DBCD2A">
      <w:pPr>
        <w:keepNext w:val="0"/>
        <w:keepLines w:val="0"/>
        <w:pageBreakBefore w:val="0"/>
        <w:kinsoku/>
        <w:overflowPunct/>
        <w:topLinePunct/>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初步</w:t>
      </w:r>
      <w:r>
        <w:rPr>
          <w:rFonts w:hint="eastAsia" w:ascii="仿宋" w:hAnsi="仿宋" w:eastAsia="仿宋" w:cs="仿宋"/>
          <w:color w:val="auto"/>
          <w:sz w:val="24"/>
          <w:highlight w:val="none"/>
        </w:rPr>
        <w:t>设计方单位名称、勘察方单位名称）自愿组成投标联合体，共同参加</w:t>
      </w:r>
      <w:r>
        <w:rPr>
          <w:rFonts w:hint="eastAsia" w:ascii="仿宋" w:hAnsi="仿宋" w:eastAsia="仿宋" w:cs="仿宋"/>
          <w:color w:val="auto"/>
          <w:sz w:val="24"/>
          <w:highlight w:val="none"/>
          <w:u w:val="single"/>
          <w:lang w:val="en-US" w:eastAsia="zh-CN"/>
        </w:rPr>
        <w:t xml:space="preserve">               （项目名称）</w:t>
      </w:r>
      <w:r>
        <w:rPr>
          <w:rFonts w:hint="eastAsia" w:ascii="仿宋" w:hAnsi="仿宋" w:eastAsia="仿宋" w:cs="仿宋"/>
          <w:color w:val="auto"/>
          <w:sz w:val="24"/>
          <w:highlight w:val="none"/>
        </w:rPr>
        <w:t>投标。我方授权委托本协议</w:t>
      </w:r>
      <w:r>
        <w:rPr>
          <w:rFonts w:hint="eastAsia" w:ascii="仿宋" w:hAnsi="仿宋" w:eastAsia="仿宋" w:cs="仿宋"/>
          <w:color w:val="auto"/>
          <w:sz w:val="24"/>
          <w:highlight w:val="none"/>
          <w:lang w:eastAsia="zh-CN"/>
        </w:rPr>
        <w:t>牵头人</w:t>
      </w:r>
      <w:r>
        <w:rPr>
          <w:rFonts w:hint="eastAsia" w:ascii="仿宋" w:hAnsi="仿宋" w:eastAsia="仿宋" w:cs="仿宋"/>
          <w:color w:val="auto"/>
          <w:sz w:val="24"/>
          <w:highlight w:val="none"/>
        </w:rPr>
        <w:t>代表联合体各成员参加投标、签署投标资料、提交投标文件。现就联合体投标事宜订立如下协议。</w:t>
      </w:r>
    </w:p>
    <w:p w14:paraId="25268B65">
      <w:pPr>
        <w:keepNext w:val="0"/>
        <w:keepLines w:val="0"/>
        <w:pageBreakBefore w:val="0"/>
        <w:kinsoku/>
        <w:overflowPunct/>
        <w:topLinePunct/>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初步设计方</w:t>
      </w:r>
      <w:r>
        <w:rPr>
          <w:rFonts w:hint="eastAsia" w:ascii="仿宋" w:hAnsi="仿宋" w:eastAsia="仿宋" w:cs="仿宋"/>
          <w:color w:val="auto"/>
          <w:sz w:val="24"/>
          <w:highlight w:val="none"/>
        </w:rPr>
        <w:t>单位名称）为联合体主办方（</w:t>
      </w:r>
      <w:r>
        <w:rPr>
          <w:rFonts w:hint="eastAsia" w:ascii="仿宋" w:hAnsi="仿宋" w:eastAsia="仿宋" w:cs="仿宋"/>
          <w:color w:val="auto"/>
          <w:sz w:val="24"/>
          <w:highlight w:val="none"/>
          <w:lang w:eastAsia="zh-CN"/>
        </w:rPr>
        <w:t>牵头人</w:t>
      </w:r>
      <w:r>
        <w:rPr>
          <w:rFonts w:hint="eastAsia" w:ascii="仿宋" w:hAnsi="仿宋" w:eastAsia="仿宋" w:cs="仿宋"/>
          <w:color w:val="auto"/>
          <w:sz w:val="24"/>
          <w:highlight w:val="none"/>
        </w:rPr>
        <w:t>）。</w:t>
      </w:r>
    </w:p>
    <w:p w14:paraId="7323803F">
      <w:pPr>
        <w:keepNext w:val="0"/>
        <w:keepLines w:val="0"/>
        <w:pageBreakBefore w:val="0"/>
        <w:kinsoku/>
        <w:overflowPunct/>
        <w:topLinePunct/>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7B9DC893">
      <w:pPr>
        <w:keepNext w:val="0"/>
        <w:keepLines w:val="0"/>
        <w:pageBreakBefore w:val="0"/>
        <w:kinsoku/>
        <w:overflowPunct/>
        <w:topLinePunct/>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3、联合体将严格按照招标文件的各项要求，递交投标文件，履行合同，并对外承担连带责任。</w:t>
      </w:r>
    </w:p>
    <w:p w14:paraId="530FEC20">
      <w:pPr>
        <w:keepNext w:val="0"/>
        <w:keepLines w:val="0"/>
        <w:pageBreakBefore w:val="0"/>
        <w:kinsoku/>
        <w:overflowPunct/>
        <w:topLinePunct/>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4、联合体各成员单位内部的职责分工如下：</w:t>
      </w:r>
    </w:p>
    <w:p w14:paraId="58AA00E3">
      <w:pPr>
        <w:keepNext w:val="0"/>
        <w:keepLines w:val="0"/>
        <w:pageBreakBefore w:val="0"/>
        <w:kinsoku/>
        <w:overflowPunct/>
        <w:topLinePunct/>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初步</w:t>
      </w:r>
      <w:r>
        <w:rPr>
          <w:rFonts w:hint="eastAsia" w:ascii="仿宋" w:hAnsi="仿宋" w:eastAsia="仿宋" w:cs="仿宋"/>
          <w:color w:val="auto"/>
          <w:sz w:val="24"/>
          <w:highlight w:val="none"/>
        </w:rPr>
        <w:t>设计方单位名称）：主要负责本工程的设计部分工作，具体按合同要求。</w:t>
      </w:r>
    </w:p>
    <w:p w14:paraId="1DA7E4D5">
      <w:pPr>
        <w:pStyle w:val="47"/>
        <w:keepNext w:val="0"/>
        <w:keepLines w:val="0"/>
        <w:pageBreakBefore w:val="0"/>
        <w:kinsoku/>
        <w:overflowPunct/>
        <w:autoSpaceDE/>
        <w:autoSpaceDN/>
        <w:bidi w:val="0"/>
        <w:adjustRightInd/>
        <w:snapToGrid/>
        <w:spacing w:line="5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（勘察方单位名称）：主要负责本工程的勘察部分工作，具体按合同要求。</w:t>
      </w:r>
    </w:p>
    <w:p w14:paraId="562BF8E7">
      <w:pPr>
        <w:keepNext w:val="0"/>
        <w:keepLines w:val="0"/>
        <w:pageBreakBefore w:val="0"/>
        <w:kinsoku/>
        <w:overflowPunct/>
        <w:topLinePunct/>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5、本协议书自签署之日起生效，合同履行完毕后自动失效。 </w:t>
      </w:r>
    </w:p>
    <w:p w14:paraId="2C529426">
      <w:pPr>
        <w:keepNext w:val="0"/>
        <w:keepLines w:val="0"/>
        <w:pageBreakBefore w:val="0"/>
        <w:kinsoku/>
        <w:overflowPunct/>
        <w:topLinePunct/>
        <w:autoSpaceDE/>
        <w:autoSpaceDN/>
        <w:bidi w:val="0"/>
        <w:adjustRightInd/>
        <w:snapToGrid/>
        <w:spacing w:line="500" w:lineRule="exact"/>
        <w:textAlignment w:val="auto"/>
        <w:rPr>
          <w:rFonts w:hint="eastAsia" w:ascii="仿宋" w:hAnsi="仿宋" w:eastAsia="仿宋" w:cs="仿宋"/>
          <w:color w:val="auto"/>
          <w:sz w:val="24"/>
          <w:highlight w:val="none"/>
        </w:rPr>
      </w:pPr>
    </w:p>
    <w:p w14:paraId="1F997796">
      <w:pPr>
        <w:keepNext w:val="0"/>
        <w:keepLines w:val="0"/>
        <w:pageBreakBefore w:val="0"/>
        <w:kinsoku/>
        <w:overflowPunct/>
        <w:topLinePunct/>
        <w:autoSpaceDE/>
        <w:autoSpaceDN/>
        <w:bidi w:val="0"/>
        <w:adjustRightInd/>
        <w:snapToGrid/>
        <w:spacing w:line="500" w:lineRule="exact"/>
        <w:ind w:firstLine="820" w:firstLineChars="342"/>
        <w:textAlignment w:val="auto"/>
        <w:rPr>
          <w:rFonts w:hint="eastAsia" w:ascii="仿宋" w:hAnsi="仿宋" w:eastAsia="仿宋" w:cs="仿宋"/>
          <w:color w:val="auto"/>
          <w:sz w:val="24"/>
          <w:highlight w:val="none"/>
        </w:rPr>
      </w:pPr>
    </w:p>
    <w:p w14:paraId="50570E05">
      <w:pPr>
        <w:keepNext w:val="0"/>
        <w:keepLines w:val="0"/>
        <w:pageBreakBefore w:val="0"/>
        <w:kinsoku/>
        <w:overflowPunct/>
        <w:topLinePunct/>
        <w:autoSpaceDE/>
        <w:autoSpaceDN/>
        <w:bidi w:val="0"/>
        <w:adjustRightInd/>
        <w:snapToGrid/>
        <w:spacing w:line="500" w:lineRule="exact"/>
        <w:ind w:firstLine="820" w:firstLineChars="34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主办方名称：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7CED14C2">
      <w:pPr>
        <w:keepNext w:val="0"/>
        <w:keepLines w:val="0"/>
        <w:pageBreakBefore w:val="0"/>
        <w:kinsoku/>
        <w:overflowPunct/>
        <w:topLinePunct/>
        <w:autoSpaceDE/>
        <w:autoSpaceDN/>
        <w:bidi w:val="0"/>
        <w:adjustRightInd/>
        <w:snapToGrid/>
        <w:spacing w:line="500" w:lineRule="exact"/>
        <w:ind w:firstLine="820" w:firstLineChars="342"/>
        <w:textAlignment w:val="auto"/>
        <w:rPr>
          <w:rFonts w:hint="eastAsia" w:ascii="仿宋" w:hAnsi="仿宋" w:eastAsia="仿宋" w:cs="仿宋"/>
          <w:color w:val="auto"/>
          <w:sz w:val="24"/>
          <w:highlight w:val="none"/>
        </w:rPr>
      </w:pPr>
    </w:p>
    <w:p w14:paraId="4C183FFC">
      <w:pPr>
        <w:keepNext w:val="0"/>
        <w:keepLines w:val="0"/>
        <w:pageBreakBefore w:val="0"/>
        <w:kinsoku/>
        <w:overflowPunct/>
        <w:topLinePunct/>
        <w:autoSpaceDE/>
        <w:autoSpaceDN/>
        <w:bidi w:val="0"/>
        <w:adjustRightInd/>
        <w:snapToGrid/>
        <w:spacing w:line="500" w:lineRule="exact"/>
        <w:ind w:firstLine="820" w:firstLineChars="34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512377DE">
      <w:pPr>
        <w:pStyle w:val="48"/>
        <w:ind w:left="0" w:leftChars="0" w:firstLine="0" w:firstLineChars="0"/>
        <w:rPr>
          <w:rFonts w:hint="eastAsia" w:ascii="仿宋" w:hAnsi="仿宋" w:eastAsia="仿宋" w:cs="仿宋"/>
          <w:color w:val="auto"/>
          <w:highlight w:val="none"/>
        </w:rPr>
      </w:pPr>
    </w:p>
    <w:p w14:paraId="4C265E72">
      <w:pPr>
        <w:keepNext w:val="0"/>
        <w:keepLines w:val="0"/>
        <w:pageBreakBefore w:val="0"/>
        <w:kinsoku/>
        <w:overflowPunct/>
        <w:topLinePunct/>
        <w:autoSpaceDE/>
        <w:autoSpaceDN/>
        <w:bidi w:val="0"/>
        <w:adjustRightInd/>
        <w:snapToGrid/>
        <w:spacing w:line="500" w:lineRule="exact"/>
        <w:ind w:firstLine="820" w:firstLineChars="34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成员</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3F273D27">
      <w:pPr>
        <w:keepNext w:val="0"/>
        <w:keepLines w:val="0"/>
        <w:pageBreakBefore w:val="0"/>
        <w:kinsoku/>
        <w:overflowPunct/>
        <w:topLinePunct/>
        <w:autoSpaceDE/>
        <w:autoSpaceDN/>
        <w:bidi w:val="0"/>
        <w:adjustRightInd/>
        <w:snapToGrid/>
        <w:spacing w:line="500" w:lineRule="exact"/>
        <w:textAlignment w:val="auto"/>
        <w:rPr>
          <w:rFonts w:hint="eastAsia" w:ascii="仿宋" w:hAnsi="仿宋" w:eastAsia="仿宋" w:cs="仿宋"/>
          <w:color w:val="auto"/>
          <w:sz w:val="24"/>
          <w:highlight w:val="none"/>
        </w:rPr>
      </w:pPr>
    </w:p>
    <w:p w14:paraId="694C8C90">
      <w:pPr>
        <w:keepNext w:val="0"/>
        <w:keepLines w:val="0"/>
        <w:pageBreakBefore w:val="0"/>
        <w:kinsoku/>
        <w:overflowPunct/>
        <w:topLinePunct/>
        <w:autoSpaceDE/>
        <w:autoSpaceDN/>
        <w:bidi w:val="0"/>
        <w:adjustRightInd/>
        <w:snapToGrid/>
        <w:spacing w:line="500" w:lineRule="exact"/>
        <w:ind w:firstLine="820" w:firstLineChars="34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5E5AFA16">
      <w:pPr>
        <w:keepNext w:val="0"/>
        <w:keepLines w:val="0"/>
        <w:pageBreakBefore w:val="0"/>
        <w:kinsoku/>
        <w:overflowPunct/>
        <w:topLinePunct/>
        <w:autoSpaceDE/>
        <w:autoSpaceDN/>
        <w:bidi w:val="0"/>
        <w:adjustRightInd/>
        <w:snapToGrid/>
        <w:spacing w:line="500" w:lineRule="exact"/>
        <w:textAlignment w:val="auto"/>
        <w:rPr>
          <w:rFonts w:hint="eastAsia" w:ascii="仿宋" w:hAnsi="仿宋" w:eastAsia="仿宋" w:cs="仿宋"/>
          <w:color w:val="auto"/>
          <w:sz w:val="24"/>
          <w:highlight w:val="none"/>
        </w:rPr>
      </w:pPr>
    </w:p>
    <w:p w14:paraId="5EE07BA1">
      <w:pPr>
        <w:pStyle w:val="25"/>
        <w:keepNext w:val="0"/>
        <w:keepLines w:val="0"/>
        <w:pageBreakBefore w:val="0"/>
        <w:kinsoku/>
        <w:wordWrap w:val="0"/>
        <w:overflowPunct/>
        <w:autoSpaceDE/>
        <w:autoSpaceDN/>
        <w:bidi w:val="0"/>
        <w:adjustRightInd/>
        <w:snapToGrid/>
        <w:spacing w:line="500" w:lineRule="exact"/>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59183F8">
      <w:pPr>
        <w:keepNext w:val="0"/>
        <w:keepLines w:val="0"/>
        <w:pageBreakBefore w:val="0"/>
        <w:kinsoku/>
        <w:overflowPunct/>
        <w:autoSpaceDE/>
        <w:autoSpaceDN/>
        <w:bidi w:val="0"/>
        <w:adjustRightInd/>
        <w:snapToGrid/>
        <w:spacing w:line="500" w:lineRule="exact"/>
        <w:textAlignment w:val="auto"/>
        <w:rPr>
          <w:rFonts w:hint="eastAsia" w:ascii="仿宋" w:hAnsi="仿宋" w:eastAsia="仿宋" w:cs="仿宋"/>
          <w:color w:val="auto"/>
          <w:sz w:val="24"/>
          <w:highlight w:val="none"/>
        </w:rPr>
        <w:sectPr>
          <w:footerReference r:id="rId15" w:type="default"/>
          <w:type w:val="nextColumn"/>
          <w:pgSz w:w="11906" w:h="16838"/>
          <w:pgMar w:top="1440" w:right="1800" w:bottom="1440" w:left="1800" w:header="851" w:footer="992" w:gutter="0"/>
          <w:cols w:space="720" w:num="1"/>
          <w:docGrid w:type="lines" w:linePitch="312" w:charSpace="0"/>
        </w:sectPr>
      </w:pPr>
      <w:r>
        <w:rPr>
          <w:rFonts w:hint="eastAsia" w:ascii="仿宋" w:hAnsi="仿宋" w:eastAsia="仿宋" w:cs="仿宋"/>
          <w:bCs/>
          <w:color w:val="auto"/>
          <w:sz w:val="24"/>
          <w:highlight w:val="none"/>
          <w:lang w:val="zh-CN"/>
        </w:rPr>
        <w:t>注：单独投标的，无需提交本协议</w:t>
      </w:r>
    </w:p>
    <w:p w14:paraId="200399EA">
      <w:pPr>
        <w:spacing w:line="360" w:lineRule="auto"/>
        <w:jc w:val="center"/>
        <w:rPr>
          <w:rFonts w:ascii="宋体" w:hAnsi="宋体"/>
          <w:b/>
          <w:bCs/>
          <w:color w:val="auto"/>
          <w:sz w:val="32"/>
          <w:highlight w:val="none"/>
        </w:rPr>
      </w:pPr>
      <w:r>
        <w:rPr>
          <w:rFonts w:hint="eastAsia" w:ascii="宋体" w:hAnsi="宋体"/>
          <w:b/>
          <w:bCs/>
          <w:color w:val="auto"/>
          <w:sz w:val="32"/>
          <w:highlight w:val="none"/>
          <w:lang w:val="en-US" w:eastAsia="zh-CN"/>
        </w:rPr>
        <w:t>八</w:t>
      </w:r>
      <w:r>
        <w:rPr>
          <w:rFonts w:hint="eastAsia" w:ascii="宋体" w:hAnsi="宋体"/>
          <w:b/>
          <w:bCs/>
          <w:color w:val="auto"/>
          <w:sz w:val="32"/>
          <w:highlight w:val="none"/>
        </w:rPr>
        <w:t>、投标人承诺书</w:t>
      </w:r>
    </w:p>
    <w:p w14:paraId="2793CD5F">
      <w:pPr>
        <w:pStyle w:val="25"/>
        <w:ind w:firstLine="420"/>
        <w:rPr>
          <w:rFonts w:hAnsi="宋体"/>
          <w:color w:val="auto"/>
          <w:highlight w:val="none"/>
        </w:rPr>
      </w:pPr>
    </w:p>
    <w:p w14:paraId="1347E8D8">
      <w:pPr>
        <w:autoSpaceDE w:val="0"/>
        <w:autoSpaceDN w:val="0"/>
        <w:adjustRightInd w:val="0"/>
        <w:spacing w:line="360" w:lineRule="auto"/>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致：</w:t>
      </w:r>
      <w:r>
        <w:rPr>
          <w:rFonts w:hint="eastAsia" w:ascii="仿宋" w:hAnsi="仿宋" w:eastAsia="仿宋" w:cs="仿宋"/>
          <w:b/>
          <w:color w:val="auto"/>
          <w:kern w:val="0"/>
          <w:szCs w:val="21"/>
          <w:highlight w:val="none"/>
          <w:u w:val="single"/>
        </w:rPr>
        <w:t xml:space="preserve">            </w:t>
      </w:r>
    </w:p>
    <w:p w14:paraId="5244E21F">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我公司作为参与</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kern w:val="0"/>
          <w:szCs w:val="21"/>
          <w:highlight w:val="none"/>
          <w:u w:val="single"/>
        </w:rPr>
        <w:t xml:space="preserve">           </w:t>
      </w:r>
      <w:r>
        <w:rPr>
          <w:rFonts w:hint="eastAsia" w:ascii="仿宋" w:hAnsi="仿宋" w:eastAsia="仿宋" w:cs="仿宋"/>
          <w:color w:val="auto"/>
          <w:kern w:val="0"/>
          <w:szCs w:val="21"/>
          <w:highlight w:val="none"/>
          <w:u w:val="single"/>
        </w:rPr>
        <w:t>（项目名称）</w:t>
      </w:r>
      <w:r>
        <w:rPr>
          <w:rFonts w:hint="eastAsia" w:ascii="仿宋" w:hAnsi="仿宋" w:eastAsia="仿宋" w:cs="仿宋"/>
          <w:color w:val="auto"/>
          <w:szCs w:val="21"/>
          <w:highlight w:val="none"/>
        </w:rPr>
        <w:t>的招标投标活动的投标人，郑重作出以下承诺：</w:t>
      </w:r>
    </w:p>
    <w:p w14:paraId="6F722CC1">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一、在本次招标投标活动中提供的证明材料，包括但不限于营业执照、资质、业绩（如有）、获奖（如有）、人员、财务（如有）、社保（如有）、纳税（如有）、各类证书等，都是真实、有效的。</w:t>
      </w:r>
    </w:p>
    <w:p w14:paraId="0F264CE7">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02F5F490">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三、基本信息</w:t>
      </w:r>
    </w:p>
    <w:p w14:paraId="5139054D">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1、承诺人类别：法人</w:t>
      </w:r>
    </w:p>
    <w:p w14:paraId="6CB1FA49">
      <w:pPr>
        <w:spacing w:line="360" w:lineRule="auto"/>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2、承诺人代码：</w:t>
      </w:r>
      <w:r>
        <w:rPr>
          <w:rFonts w:hint="eastAsia" w:ascii="仿宋" w:hAnsi="仿宋" w:eastAsia="仿宋" w:cs="仿宋"/>
          <w:color w:val="auto"/>
          <w:szCs w:val="21"/>
          <w:highlight w:val="none"/>
          <w:u w:val="single"/>
        </w:rPr>
        <w:t xml:space="preserve">                    （统一社会信用代码）。</w:t>
      </w:r>
    </w:p>
    <w:p w14:paraId="54BFAE12">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四、承诺类型：主动型</w:t>
      </w:r>
    </w:p>
    <w:p w14:paraId="0E428AB6">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五、承诺事由：参与</w:t>
      </w:r>
      <w:r>
        <w:rPr>
          <w:rFonts w:hint="eastAsia" w:ascii="仿宋" w:hAnsi="仿宋" w:eastAsia="仿宋" w:cs="仿宋"/>
          <w:b/>
          <w:color w:val="auto"/>
          <w:kern w:val="0"/>
          <w:szCs w:val="21"/>
          <w:highlight w:val="none"/>
          <w:u w:val="single"/>
        </w:rPr>
        <w:t xml:space="preserve">            </w:t>
      </w:r>
      <w:r>
        <w:rPr>
          <w:rFonts w:hint="eastAsia" w:ascii="仿宋" w:hAnsi="仿宋" w:eastAsia="仿宋" w:cs="仿宋"/>
          <w:color w:val="auto"/>
          <w:kern w:val="0"/>
          <w:szCs w:val="21"/>
          <w:highlight w:val="none"/>
          <w:u w:val="single"/>
        </w:rPr>
        <w:t>（项目名称）</w:t>
      </w:r>
      <w:r>
        <w:rPr>
          <w:rFonts w:hint="eastAsia" w:ascii="仿宋" w:hAnsi="仿宋" w:eastAsia="仿宋" w:cs="仿宋"/>
          <w:color w:val="auto"/>
          <w:szCs w:val="21"/>
          <w:highlight w:val="none"/>
        </w:rPr>
        <w:t>的招标投标活动。</w:t>
      </w:r>
    </w:p>
    <w:p w14:paraId="1092E42E">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六、承诺有效期：同投标有效期。</w:t>
      </w:r>
    </w:p>
    <w:p w14:paraId="5E02B58F">
      <w:pPr>
        <w:spacing w:line="360" w:lineRule="auto"/>
        <w:ind w:firstLine="424" w:firstLineChars="20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七、公开类型：向社会公开。</w:t>
      </w:r>
    </w:p>
    <w:p w14:paraId="68DA7892">
      <w:pPr>
        <w:spacing w:line="360" w:lineRule="auto"/>
        <w:ind w:firstLine="424" w:firstLineChars="20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如本公司违反上述承诺，由此带来的一切法律责任由我方承担。</w:t>
      </w:r>
    </w:p>
    <w:p w14:paraId="6916EE58">
      <w:pPr>
        <w:spacing w:line="360" w:lineRule="auto"/>
        <w:rPr>
          <w:rFonts w:hint="eastAsia" w:ascii="仿宋" w:hAnsi="仿宋" w:eastAsia="仿宋" w:cs="仿宋"/>
          <w:color w:val="auto"/>
          <w:szCs w:val="21"/>
          <w:highlight w:val="none"/>
        </w:rPr>
      </w:pPr>
    </w:p>
    <w:p w14:paraId="7065A272">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承诺人：</w:t>
      </w:r>
      <w:r>
        <w:rPr>
          <w:rFonts w:hint="eastAsia" w:ascii="仿宋" w:hAnsi="仿宋" w:eastAsia="仿宋" w:cs="仿宋"/>
          <w:color w:val="auto"/>
          <w:szCs w:val="21"/>
          <w:highlight w:val="none"/>
          <w:u w:val="single"/>
        </w:rPr>
        <w:t xml:space="preserve">   </w:t>
      </w:r>
      <w:r>
        <w:rPr>
          <w:rFonts w:hint="eastAsia" w:ascii="仿宋" w:hAnsi="仿宋" w:eastAsia="仿宋" w:cs="仿宋"/>
          <w:bCs/>
          <w:color w:val="auto"/>
          <w:szCs w:val="21"/>
          <w:highlight w:val="none"/>
          <w:u w:val="single"/>
        </w:rPr>
        <w:t>（投标人单位名称）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（盖公章）</w:t>
      </w:r>
    </w:p>
    <w:p w14:paraId="554CCF12">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法定代表人（或授权代理人）：</w:t>
      </w:r>
      <w:r>
        <w:rPr>
          <w:rFonts w:hint="eastAsia" w:ascii="仿宋" w:hAnsi="仿宋" w:eastAsia="仿宋" w:cs="仿宋"/>
          <w:color w:val="auto"/>
          <w:szCs w:val="21"/>
          <w:highlight w:val="none"/>
          <w:u w:val="single"/>
        </w:rPr>
        <w:t xml:space="preserve">              （签名或盖章）</w:t>
      </w:r>
    </w:p>
    <w:p w14:paraId="1D512F03">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____</w:t>
      </w:r>
      <w:r>
        <w:rPr>
          <w:rFonts w:hint="eastAsia" w:ascii="仿宋" w:hAnsi="仿宋" w:eastAsia="仿宋" w:cs="仿宋"/>
          <w:color w:val="auto"/>
          <w:szCs w:val="21"/>
          <w:highlight w:val="none"/>
        </w:rPr>
        <w:t>日</w:t>
      </w:r>
    </w:p>
    <w:p w14:paraId="4DAF0AE9">
      <w:pPr>
        <w:pStyle w:val="18"/>
        <w:rPr>
          <w:rFonts w:hint="eastAsia" w:ascii="仿宋" w:hAnsi="仿宋" w:eastAsia="仿宋" w:cs="仿宋"/>
          <w:color w:val="auto"/>
          <w:highlight w:val="none"/>
        </w:rPr>
      </w:pPr>
    </w:p>
    <w:p w14:paraId="375FA4A5">
      <w:pPr>
        <w:spacing w:line="360" w:lineRule="auto"/>
        <w:ind w:firstLine="5638" w:firstLineChars="1755"/>
        <w:jc w:val="center"/>
        <w:rPr>
          <w:rFonts w:hint="eastAsia" w:ascii="仿宋" w:hAnsi="仿宋" w:eastAsia="仿宋" w:cs="仿宋"/>
          <w:b/>
          <w:bCs/>
          <w:color w:val="auto"/>
          <w:sz w:val="32"/>
          <w:highlight w:val="none"/>
        </w:rPr>
      </w:pPr>
    </w:p>
    <w:p w14:paraId="1AAA71E1">
      <w:pPr>
        <w:spacing w:line="480" w:lineRule="auto"/>
        <w:jc w:val="center"/>
        <w:rPr>
          <w:rFonts w:ascii="宋体" w:hAnsi="宋体"/>
          <w:b/>
          <w:bCs/>
          <w:color w:val="auto"/>
          <w:sz w:val="32"/>
          <w:highlight w:val="none"/>
        </w:rPr>
      </w:pPr>
      <w:r>
        <w:rPr>
          <w:rFonts w:hint="eastAsia" w:ascii="仿宋" w:hAnsi="仿宋" w:eastAsia="仿宋" w:cs="仿宋"/>
          <w:b/>
          <w:bCs/>
          <w:color w:val="auto"/>
          <w:sz w:val="32"/>
          <w:highlight w:val="none"/>
        </w:rPr>
        <w:br w:type="page"/>
      </w:r>
      <w:r>
        <w:rPr>
          <w:rFonts w:hint="eastAsia" w:ascii="宋体" w:hAnsi="宋体"/>
          <w:b/>
          <w:bCs/>
          <w:color w:val="auto"/>
          <w:sz w:val="32"/>
          <w:highlight w:val="none"/>
          <w:lang w:val="en-US" w:eastAsia="zh-CN"/>
        </w:rPr>
        <w:t>九</w:t>
      </w:r>
      <w:r>
        <w:rPr>
          <w:rFonts w:hint="eastAsia" w:ascii="宋体" w:hAnsi="宋体"/>
          <w:b/>
          <w:bCs/>
          <w:color w:val="auto"/>
          <w:sz w:val="32"/>
          <w:highlight w:val="none"/>
        </w:rPr>
        <w:t>、</w:t>
      </w:r>
      <w:r>
        <w:rPr>
          <w:rFonts w:ascii="宋体" w:hAnsi="宋体"/>
          <w:b/>
          <w:bCs/>
          <w:color w:val="auto"/>
          <w:sz w:val="32"/>
          <w:highlight w:val="none"/>
        </w:rPr>
        <w:t>其他材料</w:t>
      </w:r>
    </w:p>
    <w:p w14:paraId="0E809258">
      <w:pPr>
        <w:spacing w:line="480" w:lineRule="auto"/>
        <w:jc w:val="center"/>
        <w:rPr>
          <w:rFonts w:hint="eastAsia" w:ascii="仿宋" w:hAnsi="仿宋" w:eastAsia="仿宋" w:cs="仿宋"/>
          <w:b/>
          <w:bCs/>
          <w:color w:val="auto"/>
          <w:sz w:val="30"/>
          <w:szCs w:val="30"/>
          <w:highlight w:val="none"/>
        </w:rPr>
      </w:pPr>
    </w:p>
    <w:p w14:paraId="64EA2051">
      <w:pPr>
        <w:spacing w:line="60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以下资料提供复印件（须每页加盖公章）：</w:t>
      </w:r>
    </w:p>
    <w:p w14:paraId="4B8F5290">
      <w:pPr>
        <w:spacing w:line="60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（1）投标保证金的相关凭证；</w:t>
      </w:r>
    </w:p>
    <w:p w14:paraId="51E05C52">
      <w:pPr>
        <w:spacing w:line="60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（2）投标人根据自己情况提供的其他证明材料（如有）。</w:t>
      </w:r>
    </w:p>
    <w:p w14:paraId="4D66D3D1">
      <w:pPr>
        <w:rPr>
          <w:rFonts w:ascii="宋体" w:hAnsi="宋体"/>
          <w:b/>
          <w:color w:val="auto"/>
          <w:sz w:val="32"/>
          <w:highlight w:val="none"/>
        </w:rPr>
      </w:pPr>
      <w:r>
        <w:rPr>
          <w:rFonts w:ascii="宋体" w:hAnsi="宋体"/>
          <w:color w:val="auto"/>
          <w:sz w:val="24"/>
          <w:highlight w:val="none"/>
        </w:rPr>
        <w:br w:type="page"/>
      </w:r>
      <w:r>
        <w:rPr>
          <w:rFonts w:hint="eastAsia" w:ascii="宋体" w:hAnsi="宋体"/>
          <w:b/>
          <w:color w:val="auto"/>
          <w:sz w:val="32"/>
          <w:highlight w:val="none"/>
        </w:rPr>
        <w:t xml:space="preserve"> </w:t>
      </w:r>
    </w:p>
    <w:p w14:paraId="1B7822D2">
      <w:pPr>
        <w:pStyle w:val="25"/>
        <w:spacing w:line="360" w:lineRule="auto"/>
        <w:jc w:val="center"/>
        <w:rPr>
          <w:rFonts w:hAnsi="宋体"/>
          <w:b/>
          <w:bCs/>
          <w:color w:val="auto"/>
          <w:sz w:val="32"/>
          <w:highlight w:val="none"/>
        </w:rPr>
      </w:pPr>
      <w:r>
        <w:rPr>
          <w:rFonts w:hint="eastAsia" w:hAnsi="宋体"/>
          <w:b/>
          <w:bCs/>
          <w:color w:val="auto"/>
          <w:sz w:val="32"/>
          <w:highlight w:val="none"/>
          <w:lang w:val="en-US" w:eastAsia="zh-CN"/>
        </w:rPr>
        <w:t>十</w:t>
      </w:r>
      <w:r>
        <w:rPr>
          <w:rFonts w:hint="eastAsia" w:hAnsi="宋体"/>
          <w:b/>
          <w:bCs/>
          <w:color w:val="auto"/>
          <w:sz w:val="32"/>
          <w:highlight w:val="none"/>
        </w:rPr>
        <w:t>、</w:t>
      </w:r>
      <w:r>
        <w:rPr>
          <w:rFonts w:hint="eastAsia" w:hAnsi="宋体"/>
          <w:b/>
          <w:bCs/>
          <w:color w:val="auto"/>
          <w:sz w:val="32"/>
          <w:highlight w:val="none"/>
          <w:lang w:val="en-US" w:eastAsia="zh-CN"/>
        </w:rPr>
        <w:t>勘察</w:t>
      </w:r>
      <w:r>
        <w:rPr>
          <w:rFonts w:hint="eastAsia" w:hAnsi="宋体"/>
          <w:b/>
          <w:bCs/>
          <w:color w:val="auto"/>
          <w:sz w:val="32"/>
          <w:highlight w:val="none"/>
          <w:lang w:eastAsia="zh-CN"/>
        </w:rPr>
        <w:t>、</w:t>
      </w:r>
      <w:r>
        <w:rPr>
          <w:rFonts w:hint="eastAsia" w:hAnsi="宋体"/>
          <w:b/>
          <w:bCs/>
          <w:color w:val="auto"/>
          <w:sz w:val="32"/>
          <w:highlight w:val="none"/>
          <w:lang w:val="en-US" w:eastAsia="zh-CN"/>
        </w:rPr>
        <w:t>初步</w:t>
      </w:r>
      <w:r>
        <w:rPr>
          <w:rFonts w:hint="eastAsia" w:hAnsi="宋体"/>
          <w:b/>
          <w:bCs/>
          <w:color w:val="auto"/>
          <w:sz w:val="32"/>
          <w:highlight w:val="none"/>
        </w:rPr>
        <w:t>设计方案</w:t>
      </w:r>
    </w:p>
    <w:p w14:paraId="2E68F9BD">
      <w:pPr>
        <w:spacing w:line="360" w:lineRule="auto"/>
        <w:rPr>
          <w:rFonts w:ascii="宋体" w:hAnsi="宋体"/>
          <w:color w:val="auto"/>
          <w:sz w:val="24"/>
          <w:highlight w:val="none"/>
        </w:rPr>
      </w:pPr>
    </w:p>
    <w:p w14:paraId="74642F2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由投标人根据本项目方案评分条件自行编制</w:t>
      </w:r>
      <w:r>
        <w:rPr>
          <w:rFonts w:hint="eastAsia" w:ascii="仿宋" w:hAnsi="仿宋" w:eastAsia="仿宋" w:cs="仿宋"/>
          <w:color w:val="auto"/>
          <w:sz w:val="24"/>
          <w:highlight w:val="none"/>
          <w:lang w:val="en-US" w:eastAsia="zh-CN"/>
        </w:rPr>
        <w:t>勘察、初步</w:t>
      </w:r>
      <w:r>
        <w:rPr>
          <w:rFonts w:hint="eastAsia" w:ascii="仿宋" w:hAnsi="仿宋" w:eastAsia="仿宋" w:cs="仿宋"/>
          <w:color w:val="auto"/>
          <w:sz w:val="24"/>
          <w:highlight w:val="none"/>
        </w:rPr>
        <w:t>设计方案，要求编制目录。</w:t>
      </w:r>
    </w:p>
    <w:p w14:paraId="1E67CA98">
      <w:pPr>
        <w:spacing w:line="360" w:lineRule="auto"/>
        <w:rPr>
          <w:rFonts w:ascii="宋体" w:hAnsi="宋体"/>
          <w:color w:val="auto"/>
          <w:sz w:val="24"/>
          <w:highlight w:val="none"/>
        </w:rPr>
      </w:pPr>
    </w:p>
    <w:p w14:paraId="373779E8">
      <w:pPr>
        <w:spacing w:line="420" w:lineRule="exact"/>
        <w:ind w:left="1" w:firstLine="315" w:firstLineChars="150"/>
        <w:jc w:val="center"/>
        <w:rPr>
          <w:rFonts w:ascii="宋体" w:hAnsi="宋体"/>
          <w:color w:val="auto"/>
          <w:highlight w:val="none"/>
        </w:rPr>
      </w:pPr>
    </w:p>
    <w:p w14:paraId="5E988607">
      <w:pPr>
        <w:spacing w:line="360" w:lineRule="auto"/>
        <w:jc w:val="center"/>
        <w:rPr>
          <w:rFonts w:ascii="宋体" w:hAnsi="宋体"/>
          <w:color w:val="auto"/>
          <w:highlight w:val="none"/>
        </w:rPr>
      </w:pPr>
      <w:r>
        <w:rPr>
          <w:rFonts w:hint="eastAsia" w:ascii="宋体" w:hAnsi="宋体"/>
          <w:color w:val="auto"/>
          <w:highlight w:val="none"/>
        </w:rPr>
        <w:t xml:space="preserve"> </w:t>
      </w:r>
    </w:p>
    <w:p w14:paraId="3771916A">
      <w:pPr>
        <w:rPr>
          <w:rFonts w:ascii="宋体" w:hAnsi="宋体"/>
          <w:color w:val="auto"/>
          <w:highlight w:val="none"/>
        </w:rPr>
      </w:pPr>
    </w:p>
    <w:p w14:paraId="3E1CA463">
      <w:pPr>
        <w:spacing w:line="360" w:lineRule="auto"/>
        <w:ind w:firstLine="424" w:firstLineChars="202"/>
        <w:jc w:val="left"/>
        <w:rPr>
          <w:rFonts w:ascii="宋体" w:hAnsi="宋体"/>
          <w:color w:val="auto"/>
          <w:highlight w:val="none"/>
        </w:rPr>
      </w:pPr>
    </w:p>
    <w:sectPr>
      <w:footerReference r:id="rId16" w:type="default"/>
      <w:type w:val="nextColumn"/>
      <w:pgSz w:w="11906" w:h="16838"/>
      <w:pgMar w:top="1134" w:right="1191" w:bottom="1134" w:left="1191" w:header="720"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74E13B0D-071F-4688-B63A-D1B222E7674D}"/>
  </w:font>
  <w:font w:name="Verdana">
    <w:panose1 w:val="020B0604030504040204"/>
    <w:charset w:val="00"/>
    <w:family w:val="swiss"/>
    <w:pitch w:val="default"/>
    <w:sig w:usb0="A00006FF" w:usb1="4000205B" w:usb2="00000010" w:usb3="00000000" w:csb0="2000019F" w:csb1="00000000"/>
  </w:font>
  <w:font w:name="CG Times">
    <w:altName w:val="Segoe Print"/>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Calisto MT">
    <w:altName w:val="Segoe Print"/>
    <w:panose1 w:val="02040603050505030304"/>
    <w:charset w:val="00"/>
    <w:family w:val="roman"/>
    <w:pitch w:val="default"/>
    <w:sig w:usb0="00000000" w:usb1="00000000" w:usb2="00000000" w:usb3="00000000" w:csb0="20000001" w:csb1="00000000"/>
  </w:font>
  <w:font w:name="Arial Unicode MS">
    <w:altName w:val="Arial"/>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Arial">
    <w:panose1 w:val="020B0604020202020204"/>
    <w:charset w:val="00"/>
    <w:family w:val="auto"/>
    <w:pitch w:val="default"/>
    <w:sig w:usb0="E0002EFF" w:usb1="C000785B" w:usb2="00000009" w:usb3="00000000" w:csb0="400001FF" w:csb1="FFFF0000"/>
  </w:font>
  <w:font w:name="汉仪雅酷黑简">
    <w:panose1 w:val="00020600040101010101"/>
    <w:charset w:val="86"/>
    <w:family w:val="auto"/>
    <w:pitch w:val="default"/>
    <w:sig w:usb0="A00002BF" w:usb1="1AC17CFA" w:usb2="00000016" w:usb3="00000000" w:csb0="0004009F" w:csb1="DFD70000"/>
  </w:font>
  <w:font w:name="方正颜宋体">
    <w:panose1 w:val="02010600010101010101"/>
    <w:charset w:val="86"/>
    <w:family w:val="auto"/>
    <w:pitch w:val="default"/>
    <w:sig w:usb0="A00002BF" w:usb1="18CF6CFB" w:usb2="00000012" w:usb3="00000000" w:csb0="00040001" w:csb1="00000000"/>
  </w:font>
  <w:font w:name="华文宋体">
    <w:panose1 w:val="02010600040101010101"/>
    <w:charset w:val="86"/>
    <w:family w:val="auto"/>
    <w:pitch w:val="default"/>
    <w:sig w:usb0="00000287" w:usb1="080F0000" w:usb2="00000000" w:usb3="00000000" w:csb0="0004009F" w:csb1="DFD70000"/>
    <w:embedRegular r:id="rId2" w:fontKey="{1052A335-9F67-4E0E-BDF8-BDB25E672C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94B15">
    <w:pPr>
      <w:pStyle w:val="31"/>
      <w:jc w:val="center"/>
    </w:pPr>
    <w:r>
      <w:fldChar w:fldCharType="begin"/>
    </w:r>
    <w:r>
      <w:instrText xml:space="preserve">PAGE   \* MERGEFORMAT</w:instrText>
    </w:r>
    <w:r>
      <w:fldChar w:fldCharType="separate"/>
    </w:r>
    <w:r>
      <w:t>103</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BED68">
    <w:pPr>
      <w:spacing w:line="176" w:lineRule="auto"/>
      <w:ind w:left="47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31005">
                          <w:pPr>
                            <w:pStyle w:val="3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F231005">
                    <w:pPr>
                      <w:pStyle w:val="3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CA53">
    <w:pPr>
      <w:spacing w:line="176" w:lineRule="auto"/>
      <w:ind w:left="49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ECB4A">
                          <w:pPr>
                            <w:pStyle w:val="3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7ECB4A">
                    <w:pPr>
                      <w:pStyle w:val="3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C77B">
    <w:pPr>
      <w:spacing w:line="176" w:lineRule="auto"/>
      <w:ind w:left="49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1B29">
                          <w:pPr>
                            <w:pStyle w:val="3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321B29">
                    <w:pPr>
                      <w:pStyle w:val="3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2B25">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CF7E8">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CCF7E8">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CE44">
    <w:pPr>
      <w:pStyle w:val="31"/>
      <w:jc w:val="center"/>
    </w:pPr>
    <w:r>
      <w:fldChar w:fldCharType="begin"/>
    </w:r>
    <w:r>
      <w:instrText xml:space="preserve">PAGE   \* MERGEFORMAT</w:instrText>
    </w:r>
    <w:r>
      <w:fldChar w:fldCharType="separate"/>
    </w:r>
    <w:r>
      <w:t>70</w:t>
    </w:r>
    <w:r>
      <w:fldChar w:fldCharType="end"/>
    </w:r>
  </w:p>
  <w:p w14:paraId="6F0DAB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F92B">
    <w:pPr>
      <w:pStyle w:val="31"/>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2A6168D">
                          <w:pPr>
                            <w:pStyle w:val="31"/>
                          </w:pPr>
                          <w:r>
                            <w:rPr>
                              <w:rFonts w:hint="eastAsia"/>
                            </w:rPr>
                            <w:fldChar w:fldCharType="begin"/>
                          </w:r>
                          <w:r>
                            <w:rPr>
                              <w:rFonts w:hint="eastAsia"/>
                            </w:rPr>
                            <w:instrText xml:space="preserve"> PAGE  \* MERGEFORMAT </w:instrText>
                          </w:r>
                          <w:r>
                            <w:rPr>
                              <w:rFonts w:hint="eastAsia"/>
                            </w:rPr>
                            <w:fldChar w:fldCharType="separate"/>
                          </w:r>
                          <w:r>
                            <w:rPr>
                              <w:lang w:val="en-US"/>
                            </w:rPr>
                            <w:t>61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42A6168D">
                    <w:pPr>
                      <w:pStyle w:val="31"/>
                    </w:pPr>
                    <w:r>
                      <w:rPr>
                        <w:rFonts w:hint="eastAsia"/>
                      </w:rPr>
                      <w:fldChar w:fldCharType="begin"/>
                    </w:r>
                    <w:r>
                      <w:rPr>
                        <w:rFonts w:hint="eastAsia"/>
                      </w:rPr>
                      <w:instrText xml:space="preserve"> PAGE  \* MERGEFORMAT </w:instrText>
                    </w:r>
                    <w:r>
                      <w:rPr>
                        <w:rFonts w:hint="eastAsia"/>
                      </w:rPr>
                      <w:fldChar w:fldCharType="separate"/>
                    </w:r>
                    <w:r>
                      <w:rPr>
                        <w:lang w:val="en-US"/>
                      </w:rPr>
                      <w:t>61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E7DA">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392D4">
                          <w:pPr>
                            <w:pStyle w:val="3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8392D4">
                    <w:pPr>
                      <w:pStyle w:val="3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4946">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B5A28">
                          <w:pPr>
                            <w:pStyle w:val="3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DB5A28">
                    <w:pPr>
                      <w:pStyle w:val="3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6A6C">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78B0C">
                          <w:pPr>
                            <w:pStyle w:val="3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478B0C">
                    <w:pPr>
                      <w:pStyle w:val="3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65F3">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3D77B">
                          <w:pPr>
                            <w:pStyle w:val="3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03D77B">
                    <w:pPr>
                      <w:pStyle w:val="3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39E0">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2AD15">
                          <w:pPr>
                            <w:pStyle w:val="3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C2AD15">
                    <w:pPr>
                      <w:pStyle w:val="3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C81D">
    <w:pPr>
      <w:spacing w:line="176" w:lineRule="auto"/>
      <w:ind w:left="47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2E1CD">
                          <w:pPr>
                            <w:pStyle w:val="3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8C2E1CD">
                    <w:pPr>
                      <w:pStyle w:val="3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4E7D">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E03F3">
                          <w:pPr>
                            <w:pStyle w:val="3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2FE03F3">
                    <w:pPr>
                      <w:pStyle w:val="3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DCBF0"/>
    <w:multiLevelType w:val="singleLevel"/>
    <w:tmpl w:val="93FDCBF0"/>
    <w:lvl w:ilvl="0" w:tentative="0">
      <w:start w:val="3"/>
      <w:numFmt w:val="chineseCounting"/>
      <w:suff w:val="nothing"/>
      <w:lvlText w:val="%1、"/>
      <w:lvlJc w:val="left"/>
      <w:rPr>
        <w:rFonts w:hint="eastAsia"/>
      </w:rPr>
    </w:lvl>
  </w:abstractNum>
  <w:abstractNum w:abstractNumId="1">
    <w:nsid w:val="BDBB8814"/>
    <w:multiLevelType w:val="singleLevel"/>
    <w:tmpl w:val="BDBB8814"/>
    <w:lvl w:ilvl="0" w:tentative="0">
      <w:start w:val="3"/>
      <w:numFmt w:val="chineseCounting"/>
      <w:suff w:val="nothing"/>
      <w:lvlText w:val="（%1）"/>
      <w:lvlJc w:val="left"/>
      <w:rPr>
        <w:rFonts w:hint="eastAsia"/>
      </w:rPr>
    </w:lvl>
  </w:abstractNum>
  <w:abstractNum w:abstractNumId="2">
    <w:nsid w:val="E88212C7"/>
    <w:multiLevelType w:val="singleLevel"/>
    <w:tmpl w:val="E88212C7"/>
    <w:lvl w:ilvl="0" w:tentative="0">
      <w:start w:val="5"/>
      <w:numFmt w:val="chineseCounting"/>
      <w:suff w:val="space"/>
      <w:lvlText w:val="第%1章"/>
      <w:lvlJc w:val="left"/>
      <w:rPr>
        <w:rFonts w:hint="eastAsia"/>
      </w:rPr>
    </w:lvl>
  </w:abstractNum>
  <w:abstractNum w:abstractNumId="3">
    <w:nsid w:val="00000009"/>
    <w:multiLevelType w:val="multilevel"/>
    <w:tmpl w:val="00000009"/>
    <w:lvl w:ilvl="0" w:tentative="0">
      <w:start w:val="1"/>
      <w:numFmt w:val="decimal"/>
      <w:pStyle w:val="296"/>
      <w:lvlText w:val="第%1条"/>
      <w:lvlJc w:val="left"/>
      <w:pPr>
        <w:ind w:left="0" w:firstLine="0"/>
      </w:pPr>
    </w:lvl>
    <w:lvl w:ilvl="1" w:tentative="0">
      <w:start w:val="1"/>
      <w:numFmt w:val="decimal"/>
      <w:pStyle w:val="288"/>
      <w:lvlText w:val="%1.%2"/>
      <w:lvlJc w:val="left"/>
      <w:pPr>
        <w:ind w:left="1843" w:firstLine="0"/>
      </w:pPr>
    </w:lvl>
    <w:lvl w:ilvl="2" w:tentative="0">
      <w:start w:val="1"/>
      <w:numFmt w:val="decimal"/>
      <w:pStyle w:val="316"/>
      <w:lvlText w:val="%1.%2.%3"/>
      <w:lvlJc w:val="left"/>
      <w:pPr>
        <w:ind w:left="2126" w:firstLine="0"/>
      </w:pPr>
    </w:lvl>
    <w:lvl w:ilvl="3" w:tentative="0">
      <w:start w:val="1"/>
      <w:numFmt w:val="decimal"/>
      <w:pStyle w:val="205"/>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0000000B"/>
    <w:multiLevelType w:val="multilevel"/>
    <w:tmpl w:val="0000000B"/>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238"/>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0000000D"/>
    <w:multiLevelType w:val="multilevel"/>
    <w:tmpl w:val="0000000D"/>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280"/>
      <w:lvlText w:val=""/>
      <w:lvlJc w:val="left"/>
      <w:pPr>
        <w:tabs>
          <w:tab w:val="left" w:pos="840"/>
        </w:tabs>
        <w:ind w:left="840" w:hanging="420"/>
      </w:pPr>
      <w:rPr>
        <w:rFonts w:hint="default" w:ascii="Wingdings" w:hAnsi="Wingdings"/>
      </w:rPr>
    </w:lvl>
    <w:lvl w:ilvl="2" w:tentative="0">
      <w:start w:val="1"/>
      <w:numFmt w:val="bullet"/>
      <w:pStyle w:val="27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E"/>
    <w:multiLevelType w:val="multilevel"/>
    <w:tmpl w:val="0000000E"/>
    <w:lvl w:ilvl="0" w:tentative="0">
      <w:start w:val="1"/>
      <w:numFmt w:val="decimal"/>
      <w:pStyle w:val="252"/>
      <w:suff w:val="nothing"/>
      <w:lvlText w:val="%1、"/>
      <w:lvlJc w:val="left"/>
      <w:pPr>
        <w:ind w:left="840" w:hanging="420"/>
      </w:pPr>
      <w:rPr>
        <w:rFonts w:hint="default"/>
      </w:rPr>
    </w:lvl>
    <w:lvl w:ilvl="1" w:tentative="0">
      <w:start w:val="1"/>
      <w:numFmt w:val="lowerLetter"/>
      <w:pStyle w:val="245"/>
      <w:lvlText w:val="%2)"/>
      <w:lvlJc w:val="left"/>
      <w:pPr>
        <w:ind w:left="1260" w:hanging="420"/>
      </w:pPr>
    </w:lvl>
    <w:lvl w:ilvl="2" w:tentative="0">
      <w:start w:val="1"/>
      <w:numFmt w:val="lowerRoman"/>
      <w:pStyle w:val="275"/>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0F"/>
    <w:multiLevelType w:val="multilevel"/>
    <w:tmpl w:val="0000000F"/>
    <w:lvl w:ilvl="0" w:tentative="0">
      <w:start w:val="1"/>
      <w:numFmt w:val="decimal"/>
      <w:pStyle w:val="308"/>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87"/>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8">
    <w:nsid w:val="00000010"/>
    <w:multiLevelType w:val="multilevel"/>
    <w:tmpl w:val="00000010"/>
    <w:lvl w:ilvl="0" w:tentative="0">
      <w:start w:val="1"/>
      <w:numFmt w:val="decimal"/>
      <w:pStyle w:val="23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pStyle w:val="236"/>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10">
    <w:nsid w:val="301F5202"/>
    <w:multiLevelType w:val="multilevel"/>
    <w:tmpl w:val="301F5202"/>
    <w:lvl w:ilvl="0" w:tentative="0">
      <w:start w:val="1"/>
      <w:numFmt w:val="decimal"/>
      <w:pStyle w:val="244"/>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11">
    <w:nsid w:val="61BD6C99"/>
    <w:multiLevelType w:val="multilevel"/>
    <w:tmpl w:val="61BD6C99"/>
    <w:lvl w:ilvl="0" w:tentative="0">
      <w:start w:val="1"/>
      <w:numFmt w:val="lowerRoman"/>
      <w:pStyle w:val="220"/>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3"/>
  </w:num>
  <w:num w:numId="2">
    <w:abstractNumId w:val="11"/>
  </w:num>
  <w:num w:numId="3">
    <w:abstractNumId w:val="8"/>
  </w:num>
  <w:num w:numId="4">
    <w:abstractNumId w:val="9"/>
  </w:num>
  <w:num w:numId="5">
    <w:abstractNumId w:val="4"/>
  </w:num>
  <w:num w:numId="6">
    <w:abstractNumId w:val="10"/>
  </w:num>
  <w:num w:numId="7">
    <w:abstractNumId w:val="6"/>
  </w:num>
  <w:num w:numId="8">
    <w:abstractNumId w:val="5"/>
  </w:num>
  <w:num w:numId="9">
    <w:abstractNumId w:val="7"/>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2ZiYjMwYWY2NTc1MTllODdiNmY3OWU5ZjQ3NzUifQ=="/>
  </w:docVars>
  <w:rsids>
    <w:rsidRoot w:val="000E6963"/>
    <w:rsid w:val="00000E76"/>
    <w:rsid w:val="00003049"/>
    <w:rsid w:val="000048AD"/>
    <w:rsid w:val="000066E8"/>
    <w:rsid w:val="00006E5E"/>
    <w:rsid w:val="00007403"/>
    <w:rsid w:val="00007A92"/>
    <w:rsid w:val="000108F4"/>
    <w:rsid w:val="00014066"/>
    <w:rsid w:val="00015A3A"/>
    <w:rsid w:val="000218CE"/>
    <w:rsid w:val="00021A25"/>
    <w:rsid w:val="0002240F"/>
    <w:rsid w:val="00024BB1"/>
    <w:rsid w:val="000356D2"/>
    <w:rsid w:val="00037DF6"/>
    <w:rsid w:val="00042803"/>
    <w:rsid w:val="000435E2"/>
    <w:rsid w:val="00043CB2"/>
    <w:rsid w:val="0004579D"/>
    <w:rsid w:val="00046023"/>
    <w:rsid w:val="00047B7D"/>
    <w:rsid w:val="000559B9"/>
    <w:rsid w:val="00060BF5"/>
    <w:rsid w:val="0007472B"/>
    <w:rsid w:val="00076BDA"/>
    <w:rsid w:val="00082850"/>
    <w:rsid w:val="00084693"/>
    <w:rsid w:val="00085994"/>
    <w:rsid w:val="00086DF0"/>
    <w:rsid w:val="00090631"/>
    <w:rsid w:val="00093180"/>
    <w:rsid w:val="000957D0"/>
    <w:rsid w:val="000978D1"/>
    <w:rsid w:val="000A033C"/>
    <w:rsid w:val="000A3771"/>
    <w:rsid w:val="000A54B4"/>
    <w:rsid w:val="000A7880"/>
    <w:rsid w:val="000B26D7"/>
    <w:rsid w:val="000B285D"/>
    <w:rsid w:val="000B4C37"/>
    <w:rsid w:val="000C50E1"/>
    <w:rsid w:val="000C5E69"/>
    <w:rsid w:val="000C76DD"/>
    <w:rsid w:val="000D0162"/>
    <w:rsid w:val="000D4ABC"/>
    <w:rsid w:val="000D6474"/>
    <w:rsid w:val="000D6DE0"/>
    <w:rsid w:val="000E0943"/>
    <w:rsid w:val="000E0BD5"/>
    <w:rsid w:val="000E0C98"/>
    <w:rsid w:val="000E149A"/>
    <w:rsid w:val="000E2930"/>
    <w:rsid w:val="000E6963"/>
    <w:rsid w:val="000E6D95"/>
    <w:rsid w:val="000F3E5C"/>
    <w:rsid w:val="000F4AF9"/>
    <w:rsid w:val="00101DC8"/>
    <w:rsid w:val="00104D21"/>
    <w:rsid w:val="00105A1B"/>
    <w:rsid w:val="00106F43"/>
    <w:rsid w:val="00111C2D"/>
    <w:rsid w:val="00123E14"/>
    <w:rsid w:val="00127D0E"/>
    <w:rsid w:val="0013205B"/>
    <w:rsid w:val="00134466"/>
    <w:rsid w:val="00135F39"/>
    <w:rsid w:val="00136016"/>
    <w:rsid w:val="001364EA"/>
    <w:rsid w:val="001409EA"/>
    <w:rsid w:val="00144834"/>
    <w:rsid w:val="00144ACA"/>
    <w:rsid w:val="001453EC"/>
    <w:rsid w:val="001474A7"/>
    <w:rsid w:val="001500A5"/>
    <w:rsid w:val="001519A0"/>
    <w:rsid w:val="001614AE"/>
    <w:rsid w:val="001614DB"/>
    <w:rsid w:val="00165916"/>
    <w:rsid w:val="00167927"/>
    <w:rsid w:val="00167A9D"/>
    <w:rsid w:val="001752E8"/>
    <w:rsid w:val="001843AF"/>
    <w:rsid w:val="0018537C"/>
    <w:rsid w:val="00187963"/>
    <w:rsid w:val="00197265"/>
    <w:rsid w:val="001A1EDD"/>
    <w:rsid w:val="001A5053"/>
    <w:rsid w:val="001A642D"/>
    <w:rsid w:val="001B3090"/>
    <w:rsid w:val="001B3849"/>
    <w:rsid w:val="001B6E55"/>
    <w:rsid w:val="001C054C"/>
    <w:rsid w:val="001C09AB"/>
    <w:rsid w:val="001C3C26"/>
    <w:rsid w:val="001D028A"/>
    <w:rsid w:val="001D50DD"/>
    <w:rsid w:val="001D56EE"/>
    <w:rsid w:val="001D7239"/>
    <w:rsid w:val="001D7A78"/>
    <w:rsid w:val="001E182A"/>
    <w:rsid w:val="001E1F43"/>
    <w:rsid w:val="001E227C"/>
    <w:rsid w:val="001E2724"/>
    <w:rsid w:val="001E6A08"/>
    <w:rsid w:val="001E74B9"/>
    <w:rsid w:val="001F1E0A"/>
    <w:rsid w:val="001F605A"/>
    <w:rsid w:val="00204946"/>
    <w:rsid w:val="00205EAD"/>
    <w:rsid w:val="0021058D"/>
    <w:rsid w:val="002108CC"/>
    <w:rsid w:val="00210F34"/>
    <w:rsid w:val="00212B5D"/>
    <w:rsid w:val="002134FA"/>
    <w:rsid w:val="00213CB3"/>
    <w:rsid w:val="0021599D"/>
    <w:rsid w:val="00216837"/>
    <w:rsid w:val="00222221"/>
    <w:rsid w:val="0022296C"/>
    <w:rsid w:val="002261C6"/>
    <w:rsid w:val="00227976"/>
    <w:rsid w:val="00227AE6"/>
    <w:rsid w:val="002467D6"/>
    <w:rsid w:val="00246E14"/>
    <w:rsid w:val="0024705B"/>
    <w:rsid w:val="00250751"/>
    <w:rsid w:val="00252226"/>
    <w:rsid w:val="00256FAF"/>
    <w:rsid w:val="00257952"/>
    <w:rsid w:val="00260517"/>
    <w:rsid w:val="00260DE9"/>
    <w:rsid w:val="002610BC"/>
    <w:rsid w:val="00261759"/>
    <w:rsid w:val="00263979"/>
    <w:rsid w:val="0026425B"/>
    <w:rsid w:val="00271E20"/>
    <w:rsid w:val="00272771"/>
    <w:rsid w:val="00281F8D"/>
    <w:rsid w:val="00285CEB"/>
    <w:rsid w:val="00285E36"/>
    <w:rsid w:val="002916D4"/>
    <w:rsid w:val="00292F58"/>
    <w:rsid w:val="00295986"/>
    <w:rsid w:val="00296B09"/>
    <w:rsid w:val="00297251"/>
    <w:rsid w:val="002A4ADB"/>
    <w:rsid w:val="002A71BD"/>
    <w:rsid w:val="002B3B57"/>
    <w:rsid w:val="002B43AA"/>
    <w:rsid w:val="002B589F"/>
    <w:rsid w:val="002C01C8"/>
    <w:rsid w:val="002C0C12"/>
    <w:rsid w:val="002C1DC7"/>
    <w:rsid w:val="002C4427"/>
    <w:rsid w:val="002C5875"/>
    <w:rsid w:val="002C6C55"/>
    <w:rsid w:val="002D3ECD"/>
    <w:rsid w:val="002D5336"/>
    <w:rsid w:val="002E18EF"/>
    <w:rsid w:val="002E3259"/>
    <w:rsid w:val="002E363F"/>
    <w:rsid w:val="002E4CBA"/>
    <w:rsid w:val="002E4D38"/>
    <w:rsid w:val="002F332F"/>
    <w:rsid w:val="002F74C3"/>
    <w:rsid w:val="0030418C"/>
    <w:rsid w:val="00310132"/>
    <w:rsid w:val="003110CF"/>
    <w:rsid w:val="00317106"/>
    <w:rsid w:val="003206C3"/>
    <w:rsid w:val="003218B6"/>
    <w:rsid w:val="003236D9"/>
    <w:rsid w:val="003260F2"/>
    <w:rsid w:val="0032625F"/>
    <w:rsid w:val="00331FB4"/>
    <w:rsid w:val="003321C7"/>
    <w:rsid w:val="00332E98"/>
    <w:rsid w:val="00333D69"/>
    <w:rsid w:val="00334502"/>
    <w:rsid w:val="00334CFE"/>
    <w:rsid w:val="00335F49"/>
    <w:rsid w:val="00336A57"/>
    <w:rsid w:val="00337604"/>
    <w:rsid w:val="00340008"/>
    <w:rsid w:val="003416F6"/>
    <w:rsid w:val="00341CC1"/>
    <w:rsid w:val="00346192"/>
    <w:rsid w:val="00346385"/>
    <w:rsid w:val="00347A85"/>
    <w:rsid w:val="00350E81"/>
    <w:rsid w:val="0035370A"/>
    <w:rsid w:val="00354B23"/>
    <w:rsid w:val="00356FA1"/>
    <w:rsid w:val="003607F6"/>
    <w:rsid w:val="00360826"/>
    <w:rsid w:val="00360B51"/>
    <w:rsid w:val="003611C9"/>
    <w:rsid w:val="0036122B"/>
    <w:rsid w:val="003634F3"/>
    <w:rsid w:val="00365B0E"/>
    <w:rsid w:val="00365C91"/>
    <w:rsid w:val="00370B61"/>
    <w:rsid w:val="00372918"/>
    <w:rsid w:val="00372A9A"/>
    <w:rsid w:val="0037482A"/>
    <w:rsid w:val="00374938"/>
    <w:rsid w:val="003779DA"/>
    <w:rsid w:val="003802F2"/>
    <w:rsid w:val="00392431"/>
    <w:rsid w:val="003924E5"/>
    <w:rsid w:val="00393EFA"/>
    <w:rsid w:val="00394AA0"/>
    <w:rsid w:val="0039610B"/>
    <w:rsid w:val="00396C58"/>
    <w:rsid w:val="003A2BAB"/>
    <w:rsid w:val="003A3FF5"/>
    <w:rsid w:val="003A4169"/>
    <w:rsid w:val="003A68D0"/>
    <w:rsid w:val="003A7238"/>
    <w:rsid w:val="003A799F"/>
    <w:rsid w:val="003B026D"/>
    <w:rsid w:val="003B4B28"/>
    <w:rsid w:val="003B6A30"/>
    <w:rsid w:val="003C0420"/>
    <w:rsid w:val="003C49D4"/>
    <w:rsid w:val="003C7ED0"/>
    <w:rsid w:val="003D1EAA"/>
    <w:rsid w:val="003D381A"/>
    <w:rsid w:val="003D4AD5"/>
    <w:rsid w:val="003D4E51"/>
    <w:rsid w:val="003D67D1"/>
    <w:rsid w:val="003E16F9"/>
    <w:rsid w:val="003E1AF0"/>
    <w:rsid w:val="003E217E"/>
    <w:rsid w:val="003E2B6D"/>
    <w:rsid w:val="003E3275"/>
    <w:rsid w:val="003E771A"/>
    <w:rsid w:val="003F0964"/>
    <w:rsid w:val="003F0BC1"/>
    <w:rsid w:val="003F1669"/>
    <w:rsid w:val="003F4325"/>
    <w:rsid w:val="003F6D1F"/>
    <w:rsid w:val="003F7431"/>
    <w:rsid w:val="003F7BC0"/>
    <w:rsid w:val="00401A8A"/>
    <w:rsid w:val="00406432"/>
    <w:rsid w:val="004134E1"/>
    <w:rsid w:val="00413A8E"/>
    <w:rsid w:val="00413FDE"/>
    <w:rsid w:val="00414BF6"/>
    <w:rsid w:val="00417B83"/>
    <w:rsid w:val="00423D8E"/>
    <w:rsid w:val="00427571"/>
    <w:rsid w:val="00432D9F"/>
    <w:rsid w:val="004358B0"/>
    <w:rsid w:val="00436DB1"/>
    <w:rsid w:val="00440B4A"/>
    <w:rsid w:val="0044261F"/>
    <w:rsid w:val="00443A12"/>
    <w:rsid w:val="004453C1"/>
    <w:rsid w:val="004464A1"/>
    <w:rsid w:val="004555BF"/>
    <w:rsid w:val="004561AE"/>
    <w:rsid w:val="00456683"/>
    <w:rsid w:val="00456DE3"/>
    <w:rsid w:val="004615F0"/>
    <w:rsid w:val="004617EB"/>
    <w:rsid w:val="00462F93"/>
    <w:rsid w:val="0046470F"/>
    <w:rsid w:val="00464932"/>
    <w:rsid w:val="0046740A"/>
    <w:rsid w:val="004678E2"/>
    <w:rsid w:val="00471444"/>
    <w:rsid w:val="004809DF"/>
    <w:rsid w:val="00480A83"/>
    <w:rsid w:val="00481BD9"/>
    <w:rsid w:val="004826D2"/>
    <w:rsid w:val="00483FF2"/>
    <w:rsid w:val="00490C07"/>
    <w:rsid w:val="00494120"/>
    <w:rsid w:val="00494985"/>
    <w:rsid w:val="004969BC"/>
    <w:rsid w:val="00497A3D"/>
    <w:rsid w:val="004A0555"/>
    <w:rsid w:val="004A2587"/>
    <w:rsid w:val="004A2BA0"/>
    <w:rsid w:val="004A348D"/>
    <w:rsid w:val="004A3EE2"/>
    <w:rsid w:val="004B377F"/>
    <w:rsid w:val="004B4378"/>
    <w:rsid w:val="004B521A"/>
    <w:rsid w:val="004B561D"/>
    <w:rsid w:val="004B78E2"/>
    <w:rsid w:val="004C0B88"/>
    <w:rsid w:val="004C4865"/>
    <w:rsid w:val="004C4F86"/>
    <w:rsid w:val="004C5364"/>
    <w:rsid w:val="004C56A7"/>
    <w:rsid w:val="004D1342"/>
    <w:rsid w:val="004D1887"/>
    <w:rsid w:val="004E0872"/>
    <w:rsid w:val="004E55B1"/>
    <w:rsid w:val="004F066E"/>
    <w:rsid w:val="004F070C"/>
    <w:rsid w:val="004F0794"/>
    <w:rsid w:val="004F1A68"/>
    <w:rsid w:val="004F5A31"/>
    <w:rsid w:val="004F6961"/>
    <w:rsid w:val="004F795B"/>
    <w:rsid w:val="0050045F"/>
    <w:rsid w:val="00501291"/>
    <w:rsid w:val="00501A19"/>
    <w:rsid w:val="00505A5D"/>
    <w:rsid w:val="00507040"/>
    <w:rsid w:val="00510C31"/>
    <w:rsid w:val="00511BF9"/>
    <w:rsid w:val="00513753"/>
    <w:rsid w:val="005151EF"/>
    <w:rsid w:val="00515477"/>
    <w:rsid w:val="00522763"/>
    <w:rsid w:val="00522CA6"/>
    <w:rsid w:val="005244A9"/>
    <w:rsid w:val="00525591"/>
    <w:rsid w:val="00525610"/>
    <w:rsid w:val="0053070A"/>
    <w:rsid w:val="00532234"/>
    <w:rsid w:val="00533AED"/>
    <w:rsid w:val="0053547A"/>
    <w:rsid w:val="00536560"/>
    <w:rsid w:val="00537880"/>
    <w:rsid w:val="00540666"/>
    <w:rsid w:val="00543B40"/>
    <w:rsid w:val="00545C70"/>
    <w:rsid w:val="00547835"/>
    <w:rsid w:val="005508C7"/>
    <w:rsid w:val="005516C1"/>
    <w:rsid w:val="00552826"/>
    <w:rsid w:val="005538BF"/>
    <w:rsid w:val="00554F00"/>
    <w:rsid w:val="00570B37"/>
    <w:rsid w:val="00572635"/>
    <w:rsid w:val="00573B99"/>
    <w:rsid w:val="00590FA4"/>
    <w:rsid w:val="00591F17"/>
    <w:rsid w:val="00592D99"/>
    <w:rsid w:val="0059614A"/>
    <w:rsid w:val="00596EB0"/>
    <w:rsid w:val="005A069E"/>
    <w:rsid w:val="005A7A14"/>
    <w:rsid w:val="005B0267"/>
    <w:rsid w:val="005B2507"/>
    <w:rsid w:val="005B5738"/>
    <w:rsid w:val="005B6BA5"/>
    <w:rsid w:val="005B725F"/>
    <w:rsid w:val="005C47E3"/>
    <w:rsid w:val="005D12F5"/>
    <w:rsid w:val="005D32DA"/>
    <w:rsid w:val="005D347A"/>
    <w:rsid w:val="005D7B79"/>
    <w:rsid w:val="005E0536"/>
    <w:rsid w:val="005E46EC"/>
    <w:rsid w:val="005E7336"/>
    <w:rsid w:val="005F2D18"/>
    <w:rsid w:val="005F7C3C"/>
    <w:rsid w:val="00600125"/>
    <w:rsid w:val="006042C2"/>
    <w:rsid w:val="00604370"/>
    <w:rsid w:val="0060447B"/>
    <w:rsid w:val="0061050A"/>
    <w:rsid w:val="00610E1B"/>
    <w:rsid w:val="00611AFB"/>
    <w:rsid w:val="00611DAF"/>
    <w:rsid w:val="00621AA3"/>
    <w:rsid w:val="00626B42"/>
    <w:rsid w:val="006314F0"/>
    <w:rsid w:val="006324D0"/>
    <w:rsid w:val="00634208"/>
    <w:rsid w:val="00635698"/>
    <w:rsid w:val="006369BF"/>
    <w:rsid w:val="00636DD0"/>
    <w:rsid w:val="00643497"/>
    <w:rsid w:val="00645AD4"/>
    <w:rsid w:val="00647F01"/>
    <w:rsid w:val="006509E7"/>
    <w:rsid w:val="006517E1"/>
    <w:rsid w:val="00654051"/>
    <w:rsid w:val="006562BB"/>
    <w:rsid w:val="006575F6"/>
    <w:rsid w:val="00660456"/>
    <w:rsid w:val="006608AC"/>
    <w:rsid w:val="00666613"/>
    <w:rsid w:val="00673CD2"/>
    <w:rsid w:val="006747A5"/>
    <w:rsid w:val="0067589D"/>
    <w:rsid w:val="006834A7"/>
    <w:rsid w:val="00683B7D"/>
    <w:rsid w:val="00685671"/>
    <w:rsid w:val="00691252"/>
    <w:rsid w:val="0069393F"/>
    <w:rsid w:val="006940FF"/>
    <w:rsid w:val="006958D3"/>
    <w:rsid w:val="006964D2"/>
    <w:rsid w:val="00696593"/>
    <w:rsid w:val="006971FE"/>
    <w:rsid w:val="006A0AFC"/>
    <w:rsid w:val="006A2D87"/>
    <w:rsid w:val="006A4FC8"/>
    <w:rsid w:val="006B4ADB"/>
    <w:rsid w:val="006C0142"/>
    <w:rsid w:val="006C4550"/>
    <w:rsid w:val="006C53C5"/>
    <w:rsid w:val="006D000D"/>
    <w:rsid w:val="006D21FF"/>
    <w:rsid w:val="006D7036"/>
    <w:rsid w:val="006D727A"/>
    <w:rsid w:val="006D7721"/>
    <w:rsid w:val="006E2DBD"/>
    <w:rsid w:val="006E2DED"/>
    <w:rsid w:val="006E54DC"/>
    <w:rsid w:val="006E55A1"/>
    <w:rsid w:val="006F0E14"/>
    <w:rsid w:val="006F1996"/>
    <w:rsid w:val="006F48FA"/>
    <w:rsid w:val="00701A30"/>
    <w:rsid w:val="00702321"/>
    <w:rsid w:val="007119FF"/>
    <w:rsid w:val="00720A7F"/>
    <w:rsid w:val="0072184A"/>
    <w:rsid w:val="00723499"/>
    <w:rsid w:val="00724996"/>
    <w:rsid w:val="007249E8"/>
    <w:rsid w:val="00725366"/>
    <w:rsid w:val="00726481"/>
    <w:rsid w:val="00730936"/>
    <w:rsid w:val="00732918"/>
    <w:rsid w:val="00732C31"/>
    <w:rsid w:val="00734F26"/>
    <w:rsid w:val="007417D7"/>
    <w:rsid w:val="00743C38"/>
    <w:rsid w:val="00744834"/>
    <w:rsid w:val="00744983"/>
    <w:rsid w:val="00746504"/>
    <w:rsid w:val="00751C90"/>
    <w:rsid w:val="00753C8B"/>
    <w:rsid w:val="00755ACD"/>
    <w:rsid w:val="00757CED"/>
    <w:rsid w:val="0076000B"/>
    <w:rsid w:val="00760226"/>
    <w:rsid w:val="007615BA"/>
    <w:rsid w:val="007625E2"/>
    <w:rsid w:val="00763770"/>
    <w:rsid w:val="00764383"/>
    <w:rsid w:val="00764438"/>
    <w:rsid w:val="00784F65"/>
    <w:rsid w:val="007851D8"/>
    <w:rsid w:val="00785EBF"/>
    <w:rsid w:val="00792F17"/>
    <w:rsid w:val="00794ED5"/>
    <w:rsid w:val="007A177C"/>
    <w:rsid w:val="007A2E7A"/>
    <w:rsid w:val="007A5AEC"/>
    <w:rsid w:val="007A5CD0"/>
    <w:rsid w:val="007A6B07"/>
    <w:rsid w:val="007A79C8"/>
    <w:rsid w:val="007B2A94"/>
    <w:rsid w:val="007B6008"/>
    <w:rsid w:val="007B66AA"/>
    <w:rsid w:val="007B6F84"/>
    <w:rsid w:val="007C159D"/>
    <w:rsid w:val="007C1899"/>
    <w:rsid w:val="007C20A8"/>
    <w:rsid w:val="007C4C5B"/>
    <w:rsid w:val="007C4F2C"/>
    <w:rsid w:val="007C6A2F"/>
    <w:rsid w:val="007D3200"/>
    <w:rsid w:val="007D43F6"/>
    <w:rsid w:val="007E0FE2"/>
    <w:rsid w:val="007E123E"/>
    <w:rsid w:val="007E1C34"/>
    <w:rsid w:val="007F1168"/>
    <w:rsid w:val="007F14EE"/>
    <w:rsid w:val="007F260A"/>
    <w:rsid w:val="007F303E"/>
    <w:rsid w:val="007F5995"/>
    <w:rsid w:val="007F7EDA"/>
    <w:rsid w:val="00806F5F"/>
    <w:rsid w:val="00810EA5"/>
    <w:rsid w:val="00814DA4"/>
    <w:rsid w:val="00820051"/>
    <w:rsid w:val="00821C70"/>
    <w:rsid w:val="00825CEE"/>
    <w:rsid w:val="00826C78"/>
    <w:rsid w:val="00827079"/>
    <w:rsid w:val="00830420"/>
    <w:rsid w:val="0083043C"/>
    <w:rsid w:val="00832A3E"/>
    <w:rsid w:val="00834127"/>
    <w:rsid w:val="0083537B"/>
    <w:rsid w:val="008357FA"/>
    <w:rsid w:val="0084053C"/>
    <w:rsid w:val="00840A76"/>
    <w:rsid w:val="00840C20"/>
    <w:rsid w:val="008416C5"/>
    <w:rsid w:val="00842B96"/>
    <w:rsid w:val="008452B5"/>
    <w:rsid w:val="00845CA1"/>
    <w:rsid w:val="008470D1"/>
    <w:rsid w:val="00853FB6"/>
    <w:rsid w:val="00856A33"/>
    <w:rsid w:val="00857EC4"/>
    <w:rsid w:val="00861B06"/>
    <w:rsid w:val="00865621"/>
    <w:rsid w:val="00865805"/>
    <w:rsid w:val="0086740A"/>
    <w:rsid w:val="008700C9"/>
    <w:rsid w:val="00870B16"/>
    <w:rsid w:val="00871CAF"/>
    <w:rsid w:val="008736C8"/>
    <w:rsid w:val="00875C80"/>
    <w:rsid w:val="008763C0"/>
    <w:rsid w:val="00881234"/>
    <w:rsid w:val="00882457"/>
    <w:rsid w:val="00884623"/>
    <w:rsid w:val="0088557C"/>
    <w:rsid w:val="00885724"/>
    <w:rsid w:val="00885EE8"/>
    <w:rsid w:val="008867D2"/>
    <w:rsid w:val="00886C02"/>
    <w:rsid w:val="00886D94"/>
    <w:rsid w:val="00887B6E"/>
    <w:rsid w:val="008902BC"/>
    <w:rsid w:val="00892A8A"/>
    <w:rsid w:val="008939C8"/>
    <w:rsid w:val="0089493B"/>
    <w:rsid w:val="00896144"/>
    <w:rsid w:val="00897539"/>
    <w:rsid w:val="0089788B"/>
    <w:rsid w:val="008A1972"/>
    <w:rsid w:val="008A20AE"/>
    <w:rsid w:val="008A504E"/>
    <w:rsid w:val="008A5775"/>
    <w:rsid w:val="008A63BB"/>
    <w:rsid w:val="008A6629"/>
    <w:rsid w:val="008A74F3"/>
    <w:rsid w:val="008B08C8"/>
    <w:rsid w:val="008B1300"/>
    <w:rsid w:val="008B2CEE"/>
    <w:rsid w:val="008C04A8"/>
    <w:rsid w:val="008C11D6"/>
    <w:rsid w:val="008C3054"/>
    <w:rsid w:val="008C6CDA"/>
    <w:rsid w:val="008C6FA8"/>
    <w:rsid w:val="008D1BAE"/>
    <w:rsid w:val="008E01B1"/>
    <w:rsid w:val="008E3150"/>
    <w:rsid w:val="008E3FD3"/>
    <w:rsid w:val="008E5498"/>
    <w:rsid w:val="008F0577"/>
    <w:rsid w:val="008F3A67"/>
    <w:rsid w:val="008F4349"/>
    <w:rsid w:val="008F5438"/>
    <w:rsid w:val="008F559D"/>
    <w:rsid w:val="008F72CA"/>
    <w:rsid w:val="00901CAA"/>
    <w:rsid w:val="00902204"/>
    <w:rsid w:val="00904454"/>
    <w:rsid w:val="00905EF3"/>
    <w:rsid w:val="009060DF"/>
    <w:rsid w:val="009202F2"/>
    <w:rsid w:val="009232AC"/>
    <w:rsid w:val="00923C0D"/>
    <w:rsid w:val="00924BCE"/>
    <w:rsid w:val="00927F78"/>
    <w:rsid w:val="009304D2"/>
    <w:rsid w:val="00934B0D"/>
    <w:rsid w:val="00935D21"/>
    <w:rsid w:val="00936790"/>
    <w:rsid w:val="00937591"/>
    <w:rsid w:val="00943BC4"/>
    <w:rsid w:val="00945D09"/>
    <w:rsid w:val="00947038"/>
    <w:rsid w:val="009504CF"/>
    <w:rsid w:val="00953E98"/>
    <w:rsid w:val="009567F9"/>
    <w:rsid w:val="00957A4C"/>
    <w:rsid w:val="00960E1C"/>
    <w:rsid w:val="009637A8"/>
    <w:rsid w:val="0096460C"/>
    <w:rsid w:val="00964933"/>
    <w:rsid w:val="00967020"/>
    <w:rsid w:val="00970DE9"/>
    <w:rsid w:val="0097263F"/>
    <w:rsid w:val="00972A9A"/>
    <w:rsid w:val="00972DB5"/>
    <w:rsid w:val="00974C41"/>
    <w:rsid w:val="009756BA"/>
    <w:rsid w:val="009800EB"/>
    <w:rsid w:val="00985E4D"/>
    <w:rsid w:val="00987061"/>
    <w:rsid w:val="009A1C29"/>
    <w:rsid w:val="009A3C88"/>
    <w:rsid w:val="009A47EF"/>
    <w:rsid w:val="009A4E2A"/>
    <w:rsid w:val="009A5449"/>
    <w:rsid w:val="009A67B2"/>
    <w:rsid w:val="009B1318"/>
    <w:rsid w:val="009B2A71"/>
    <w:rsid w:val="009C085D"/>
    <w:rsid w:val="009C3362"/>
    <w:rsid w:val="009C687A"/>
    <w:rsid w:val="009C72AD"/>
    <w:rsid w:val="009D0E06"/>
    <w:rsid w:val="009D281F"/>
    <w:rsid w:val="009D4768"/>
    <w:rsid w:val="009D5A1F"/>
    <w:rsid w:val="009D6E9C"/>
    <w:rsid w:val="009D7323"/>
    <w:rsid w:val="009D7E6B"/>
    <w:rsid w:val="009E110D"/>
    <w:rsid w:val="009E5508"/>
    <w:rsid w:val="009F0722"/>
    <w:rsid w:val="009F1FB2"/>
    <w:rsid w:val="009F3B55"/>
    <w:rsid w:val="009F46BA"/>
    <w:rsid w:val="009F5AFD"/>
    <w:rsid w:val="00A01080"/>
    <w:rsid w:val="00A12429"/>
    <w:rsid w:val="00A14298"/>
    <w:rsid w:val="00A148D0"/>
    <w:rsid w:val="00A14F0F"/>
    <w:rsid w:val="00A16596"/>
    <w:rsid w:val="00A21589"/>
    <w:rsid w:val="00A217C7"/>
    <w:rsid w:val="00A245BC"/>
    <w:rsid w:val="00A256A3"/>
    <w:rsid w:val="00A26BD1"/>
    <w:rsid w:val="00A272D6"/>
    <w:rsid w:val="00A321E8"/>
    <w:rsid w:val="00A3324F"/>
    <w:rsid w:val="00A4699A"/>
    <w:rsid w:val="00A470B9"/>
    <w:rsid w:val="00A4797C"/>
    <w:rsid w:val="00A5069D"/>
    <w:rsid w:val="00A51279"/>
    <w:rsid w:val="00A5309C"/>
    <w:rsid w:val="00A565FC"/>
    <w:rsid w:val="00A56DF9"/>
    <w:rsid w:val="00A578FF"/>
    <w:rsid w:val="00A63A9C"/>
    <w:rsid w:val="00A7359F"/>
    <w:rsid w:val="00A759ED"/>
    <w:rsid w:val="00A858E3"/>
    <w:rsid w:val="00A8631B"/>
    <w:rsid w:val="00A8744A"/>
    <w:rsid w:val="00A91F1F"/>
    <w:rsid w:val="00A9325D"/>
    <w:rsid w:val="00A945F1"/>
    <w:rsid w:val="00A95B77"/>
    <w:rsid w:val="00A973CE"/>
    <w:rsid w:val="00A97886"/>
    <w:rsid w:val="00AA1ED4"/>
    <w:rsid w:val="00AA3D8A"/>
    <w:rsid w:val="00AC387C"/>
    <w:rsid w:val="00AC6CFB"/>
    <w:rsid w:val="00AD35BF"/>
    <w:rsid w:val="00AD3E97"/>
    <w:rsid w:val="00AE798F"/>
    <w:rsid w:val="00AE7E3D"/>
    <w:rsid w:val="00AE7EFB"/>
    <w:rsid w:val="00AF1CB8"/>
    <w:rsid w:val="00AF3E80"/>
    <w:rsid w:val="00AF44E6"/>
    <w:rsid w:val="00AF6BBE"/>
    <w:rsid w:val="00AF6E64"/>
    <w:rsid w:val="00AF7569"/>
    <w:rsid w:val="00AF76E5"/>
    <w:rsid w:val="00B02D53"/>
    <w:rsid w:val="00B03CD3"/>
    <w:rsid w:val="00B044F1"/>
    <w:rsid w:val="00B116DA"/>
    <w:rsid w:val="00B12043"/>
    <w:rsid w:val="00B1466A"/>
    <w:rsid w:val="00B15E1D"/>
    <w:rsid w:val="00B2696C"/>
    <w:rsid w:val="00B354FE"/>
    <w:rsid w:val="00B376D9"/>
    <w:rsid w:val="00B4079D"/>
    <w:rsid w:val="00B425DF"/>
    <w:rsid w:val="00B4299E"/>
    <w:rsid w:val="00B452FE"/>
    <w:rsid w:val="00B4546E"/>
    <w:rsid w:val="00B47267"/>
    <w:rsid w:val="00B54915"/>
    <w:rsid w:val="00B54BFD"/>
    <w:rsid w:val="00B55880"/>
    <w:rsid w:val="00B64823"/>
    <w:rsid w:val="00B64F6D"/>
    <w:rsid w:val="00B66385"/>
    <w:rsid w:val="00B71CCB"/>
    <w:rsid w:val="00B726DA"/>
    <w:rsid w:val="00B7468D"/>
    <w:rsid w:val="00B76AF6"/>
    <w:rsid w:val="00B801C1"/>
    <w:rsid w:val="00B84391"/>
    <w:rsid w:val="00B8637D"/>
    <w:rsid w:val="00B8723B"/>
    <w:rsid w:val="00B87782"/>
    <w:rsid w:val="00B87F1B"/>
    <w:rsid w:val="00B92F4C"/>
    <w:rsid w:val="00B94217"/>
    <w:rsid w:val="00B956EC"/>
    <w:rsid w:val="00B96E43"/>
    <w:rsid w:val="00BA562C"/>
    <w:rsid w:val="00BA7176"/>
    <w:rsid w:val="00BB2D19"/>
    <w:rsid w:val="00BB4D99"/>
    <w:rsid w:val="00BB7B81"/>
    <w:rsid w:val="00BC45F4"/>
    <w:rsid w:val="00BC4C3A"/>
    <w:rsid w:val="00BD190F"/>
    <w:rsid w:val="00BD2DC6"/>
    <w:rsid w:val="00BD5C72"/>
    <w:rsid w:val="00BE6813"/>
    <w:rsid w:val="00BE73E8"/>
    <w:rsid w:val="00BF3536"/>
    <w:rsid w:val="00BF6AE1"/>
    <w:rsid w:val="00BF76A8"/>
    <w:rsid w:val="00C0144B"/>
    <w:rsid w:val="00C0185F"/>
    <w:rsid w:val="00C07EAF"/>
    <w:rsid w:val="00C106A6"/>
    <w:rsid w:val="00C13472"/>
    <w:rsid w:val="00C15F8A"/>
    <w:rsid w:val="00C24740"/>
    <w:rsid w:val="00C327E0"/>
    <w:rsid w:val="00C36737"/>
    <w:rsid w:val="00C40CF6"/>
    <w:rsid w:val="00C444B4"/>
    <w:rsid w:val="00C50D7B"/>
    <w:rsid w:val="00C517DC"/>
    <w:rsid w:val="00C53CFD"/>
    <w:rsid w:val="00C53F6B"/>
    <w:rsid w:val="00C57612"/>
    <w:rsid w:val="00C702C1"/>
    <w:rsid w:val="00C70696"/>
    <w:rsid w:val="00C7073A"/>
    <w:rsid w:val="00C80D22"/>
    <w:rsid w:val="00C80DA3"/>
    <w:rsid w:val="00C84942"/>
    <w:rsid w:val="00C85B88"/>
    <w:rsid w:val="00C85CE7"/>
    <w:rsid w:val="00C947A4"/>
    <w:rsid w:val="00C950DF"/>
    <w:rsid w:val="00C96238"/>
    <w:rsid w:val="00CA077F"/>
    <w:rsid w:val="00CA0E6B"/>
    <w:rsid w:val="00CA40C5"/>
    <w:rsid w:val="00CA542B"/>
    <w:rsid w:val="00CA7570"/>
    <w:rsid w:val="00CA77A1"/>
    <w:rsid w:val="00CA7E2F"/>
    <w:rsid w:val="00CB30D2"/>
    <w:rsid w:val="00CB4B1A"/>
    <w:rsid w:val="00CB5230"/>
    <w:rsid w:val="00CC1615"/>
    <w:rsid w:val="00CC41F9"/>
    <w:rsid w:val="00CC62EE"/>
    <w:rsid w:val="00CC63AF"/>
    <w:rsid w:val="00CD078E"/>
    <w:rsid w:val="00CD3FAF"/>
    <w:rsid w:val="00CE032E"/>
    <w:rsid w:val="00CE2B08"/>
    <w:rsid w:val="00CF2027"/>
    <w:rsid w:val="00CF5C93"/>
    <w:rsid w:val="00D01AD8"/>
    <w:rsid w:val="00D0440A"/>
    <w:rsid w:val="00D07EC0"/>
    <w:rsid w:val="00D125A4"/>
    <w:rsid w:val="00D12881"/>
    <w:rsid w:val="00D13B7E"/>
    <w:rsid w:val="00D13E44"/>
    <w:rsid w:val="00D14775"/>
    <w:rsid w:val="00D17BC4"/>
    <w:rsid w:val="00D20497"/>
    <w:rsid w:val="00D2356A"/>
    <w:rsid w:val="00D25227"/>
    <w:rsid w:val="00D25427"/>
    <w:rsid w:val="00D25EBD"/>
    <w:rsid w:val="00D2727E"/>
    <w:rsid w:val="00D376E0"/>
    <w:rsid w:val="00D42A97"/>
    <w:rsid w:val="00D42CEC"/>
    <w:rsid w:val="00D46619"/>
    <w:rsid w:val="00D471C9"/>
    <w:rsid w:val="00D47CD7"/>
    <w:rsid w:val="00D47FC6"/>
    <w:rsid w:val="00D51C10"/>
    <w:rsid w:val="00D524ED"/>
    <w:rsid w:val="00D57181"/>
    <w:rsid w:val="00D57C1E"/>
    <w:rsid w:val="00D6042B"/>
    <w:rsid w:val="00D61E87"/>
    <w:rsid w:val="00D622D1"/>
    <w:rsid w:val="00D65E39"/>
    <w:rsid w:val="00D672EE"/>
    <w:rsid w:val="00D67D8B"/>
    <w:rsid w:val="00D71C8A"/>
    <w:rsid w:val="00D75A92"/>
    <w:rsid w:val="00D80E07"/>
    <w:rsid w:val="00D81CA4"/>
    <w:rsid w:val="00D856D4"/>
    <w:rsid w:val="00D86EED"/>
    <w:rsid w:val="00D90087"/>
    <w:rsid w:val="00D91675"/>
    <w:rsid w:val="00D9205C"/>
    <w:rsid w:val="00D95B4B"/>
    <w:rsid w:val="00D96D5A"/>
    <w:rsid w:val="00DA05B0"/>
    <w:rsid w:val="00DA0A3E"/>
    <w:rsid w:val="00DA1FB2"/>
    <w:rsid w:val="00DA24A4"/>
    <w:rsid w:val="00DA31BF"/>
    <w:rsid w:val="00DA389F"/>
    <w:rsid w:val="00DA3A55"/>
    <w:rsid w:val="00DA54E3"/>
    <w:rsid w:val="00DA5FF0"/>
    <w:rsid w:val="00DB01BA"/>
    <w:rsid w:val="00DB0F72"/>
    <w:rsid w:val="00DB6211"/>
    <w:rsid w:val="00DB729B"/>
    <w:rsid w:val="00DB738A"/>
    <w:rsid w:val="00DC036D"/>
    <w:rsid w:val="00DC07FA"/>
    <w:rsid w:val="00DC1EF8"/>
    <w:rsid w:val="00DC1F03"/>
    <w:rsid w:val="00DC37F6"/>
    <w:rsid w:val="00DC3E4F"/>
    <w:rsid w:val="00DC3ECC"/>
    <w:rsid w:val="00DC785A"/>
    <w:rsid w:val="00DD5864"/>
    <w:rsid w:val="00DD6887"/>
    <w:rsid w:val="00DE47C6"/>
    <w:rsid w:val="00DE50FD"/>
    <w:rsid w:val="00E021D1"/>
    <w:rsid w:val="00E02D8B"/>
    <w:rsid w:val="00E03752"/>
    <w:rsid w:val="00E0535A"/>
    <w:rsid w:val="00E05939"/>
    <w:rsid w:val="00E10437"/>
    <w:rsid w:val="00E10F3B"/>
    <w:rsid w:val="00E131FE"/>
    <w:rsid w:val="00E158AF"/>
    <w:rsid w:val="00E209DD"/>
    <w:rsid w:val="00E20CF1"/>
    <w:rsid w:val="00E21CCC"/>
    <w:rsid w:val="00E25736"/>
    <w:rsid w:val="00E30581"/>
    <w:rsid w:val="00E32695"/>
    <w:rsid w:val="00E332AF"/>
    <w:rsid w:val="00E33852"/>
    <w:rsid w:val="00E35A8E"/>
    <w:rsid w:val="00E36EF8"/>
    <w:rsid w:val="00E405BA"/>
    <w:rsid w:val="00E40844"/>
    <w:rsid w:val="00E42A21"/>
    <w:rsid w:val="00E44940"/>
    <w:rsid w:val="00E4641D"/>
    <w:rsid w:val="00E50C95"/>
    <w:rsid w:val="00E52349"/>
    <w:rsid w:val="00E53BEE"/>
    <w:rsid w:val="00E53C4F"/>
    <w:rsid w:val="00E55AF9"/>
    <w:rsid w:val="00E601F6"/>
    <w:rsid w:val="00E637D0"/>
    <w:rsid w:val="00E6420D"/>
    <w:rsid w:val="00E66DC6"/>
    <w:rsid w:val="00E6734F"/>
    <w:rsid w:val="00E7007B"/>
    <w:rsid w:val="00E701AC"/>
    <w:rsid w:val="00E7059B"/>
    <w:rsid w:val="00E729D2"/>
    <w:rsid w:val="00E72F76"/>
    <w:rsid w:val="00E814B5"/>
    <w:rsid w:val="00E81DFD"/>
    <w:rsid w:val="00E825D5"/>
    <w:rsid w:val="00E85854"/>
    <w:rsid w:val="00E9131E"/>
    <w:rsid w:val="00E92102"/>
    <w:rsid w:val="00E93231"/>
    <w:rsid w:val="00E96046"/>
    <w:rsid w:val="00E97F1B"/>
    <w:rsid w:val="00EA18AD"/>
    <w:rsid w:val="00EA4244"/>
    <w:rsid w:val="00EB0F54"/>
    <w:rsid w:val="00EB22B6"/>
    <w:rsid w:val="00EB5037"/>
    <w:rsid w:val="00EB57DB"/>
    <w:rsid w:val="00EC05C2"/>
    <w:rsid w:val="00EC2773"/>
    <w:rsid w:val="00EC39A6"/>
    <w:rsid w:val="00ED0BE8"/>
    <w:rsid w:val="00ED2C62"/>
    <w:rsid w:val="00ED2D0A"/>
    <w:rsid w:val="00ED3C75"/>
    <w:rsid w:val="00ED59FC"/>
    <w:rsid w:val="00EE030B"/>
    <w:rsid w:val="00EE29A0"/>
    <w:rsid w:val="00EE2F96"/>
    <w:rsid w:val="00EF2795"/>
    <w:rsid w:val="00EF465D"/>
    <w:rsid w:val="00F00036"/>
    <w:rsid w:val="00F00823"/>
    <w:rsid w:val="00F00F1D"/>
    <w:rsid w:val="00F030CB"/>
    <w:rsid w:val="00F047A9"/>
    <w:rsid w:val="00F0647F"/>
    <w:rsid w:val="00F075CB"/>
    <w:rsid w:val="00F10DB1"/>
    <w:rsid w:val="00F15876"/>
    <w:rsid w:val="00F1694A"/>
    <w:rsid w:val="00F2331F"/>
    <w:rsid w:val="00F4316F"/>
    <w:rsid w:val="00F44BCC"/>
    <w:rsid w:val="00F45B1B"/>
    <w:rsid w:val="00F4603D"/>
    <w:rsid w:val="00F47D55"/>
    <w:rsid w:val="00F509E0"/>
    <w:rsid w:val="00F50A1B"/>
    <w:rsid w:val="00F51A26"/>
    <w:rsid w:val="00F52C67"/>
    <w:rsid w:val="00F53F30"/>
    <w:rsid w:val="00F55CC5"/>
    <w:rsid w:val="00F56D84"/>
    <w:rsid w:val="00F57291"/>
    <w:rsid w:val="00F61BE4"/>
    <w:rsid w:val="00F6311D"/>
    <w:rsid w:val="00F63F91"/>
    <w:rsid w:val="00F6744D"/>
    <w:rsid w:val="00F70D16"/>
    <w:rsid w:val="00F72805"/>
    <w:rsid w:val="00F72F8C"/>
    <w:rsid w:val="00F75BE2"/>
    <w:rsid w:val="00F767EF"/>
    <w:rsid w:val="00F81DA7"/>
    <w:rsid w:val="00F829A9"/>
    <w:rsid w:val="00F83E2A"/>
    <w:rsid w:val="00F8602B"/>
    <w:rsid w:val="00F86B74"/>
    <w:rsid w:val="00F90E5F"/>
    <w:rsid w:val="00F9219F"/>
    <w:rsid w:val="00F93DD4"/>
    <w:rsid w:val="00FA46B0"/>
    <w:rsid w:val="00FB106A"/>
    <w:rsid w:val="00FB2052"/>
    <w:rsid w:val="00FB59BA"/>
    <w:rsid w:val="00FB6016"/>
    <w:rsid w:val="00FC3F26"/>
    <w:rsid w:val="00FD0FBA"/>
    <w:rsid w:val="00FD2F5B"/>
    <w:rsid w:val="00FE25B4"/>
    <w:rsid w:val="00FF35BC"/>
    <w:rsid w:val="00FF3992"/>
    <w:rsid w:val="00FF5DEE"/>
    <w:rsid w:val="00FF6052"/>
    <w:rsid w:val="01313C0D"/>
    <w:rsid w:val="04653BF5"/>
    <w:rsid w:val="04D01D6E"/>
    <w:rsid w:val="092E51B5"/>
    <w:rsid w:val="0B865355"/>
    <w:rsid w:val="0B8F4121"/>
    <w:rsid w:val="1021389E"/>
    <w:rsid w:val="125D0492"/>
    <w:rsid w:val="13473662"/>
    <w:rsid w:val="17AA6F37"/>
    <w:rsid w:val="17AC2EF4"/>
    <w:rsid w:val="188B108C"/>
    <w:rsid w:val="1E645FDB"/>
    <w:rsid w:val="20493D69"/>
    <w:rsid w:val="21C70D0B"/>
    <w:rsid w:val="266F0A68"/>
    <w:rsid w:val="26D94133"/>
    <w:rsid w:val="2AB52686"/>
    <w:rsid w:val="2C6F1C52"/>
    <w:rsid w:val="2C9F2235"/>
    <w:rsid w:val="2F6962E5"/>
    <w:rsid w:val="2FA67AAF"/>
    <w:rsid w:val="2FC06E85"/>
    <w:rsid w:val="314A1D01"/>
    <w:rsid w:val="3F1213A7"/>
    <w:rsid w:val="403C67B4"/>
    <w:rsid w:val="44A76B44"/>
    <w:rsid w:val="475C46D5"/>
    <w:rsid w:val="486E115A"/>
    <w:rsid w:val="4BB17792"/>
    <w:rsid w:val="4E3A24B4"/>
    <w:rsid w:val="50593A6B"/>
    <w:rsid w:val="538505ED"/>
    <w:rsid w:val="585F7066"/>
    <w:rsid w:val="5B4A4E9D"/>
    <w:rsid w:val="5F8E5559"/>
    <w:rsid w:val="625E0CAF"/>
    <w:rsid w:val="66043AFC"/>
    <w:rsid w:val="68866F70"/>
    <w:rsid w:val="6911662C"/>
    <w:rsid w:val="696A6B77"/>
    <w:rsid w:val="6B6575D5"/>
    <w:rsid w:val="6CE36A9C"/>
    <w:rsid w:val="6F679D80"/>
    <w:rsid w:val="6F8B7571"/>
    <w:rsid w:val="73893DB8"/>
    <w:rsid w:val="7A9D53DF"/>
    <w:rsid w:val="7AAA5004"/>
    <w:rsid w:val="7E37C05B"/>
    <w:rsid w:val="7E7F1DE8"/>
    <w:rsid w:val="B37B37CE"/>
    <w:rsid w:val="BA7B23C6"/>
    <w:rsid w:val="BBF92BA1"/>
    <w:rsid w:val="BFFF23A2"/>
    <w:rsid w:val="FE6E7608"/>
    <w:rsid w:val="FFBE64A7"/>
    <w:rsid w:val="FFE7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0"/>
    <w:pPr>
      <w:keepNext/>
      <w:keepLines/>
      <w:spacing w:line="380" w:lineRule="exact"/>
      <w:jc w:val="center"/>
      <w:outlineLvl w:val="0"/>
    </w:pPr>
    <w:rPr>
      <w:b/>
      <w:bCs/>
      <w:kern w:val="44"/>
      <w:sz w:val="24"/>
      <w:szCs w:val="44"/>
      <w:lang w:val="zh-CN"/>
    </w:rPr>
  </w:style>
  <w:style w:type="paragraph" w:styleId="3">
    <w:name w:val="heading 2"/>
    <w:basedOn w:val="1"/>
    <w:next w:val="1"/>
    <w:link w:val="6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5"/>
    <w:autoRedefine/>
    <w:qFormat/>
    <w:uiPriority w:val="0"/>
    <w:pPr>
      <w:keepNext/>
      <w:keepLines/>
      <w:spacing w:line="360" w:lineRule="auto"/>
      <w:outlineLvl w:val="2"/>
    </w:pPr>
    <w:rPr>
      <w:b/>
      <w:bCs/>
      <w:sz w:val="24"/>
      <w:szCs w:val="32"/>
      <w:lang w:val="zh-CN"/>
    </w:rPr>
  </w:style>
  <w:style w:type="paragraph" w:styleId="5">
    <w:name w:val="heading 4"/>
    <w:basedOn w:val="1"/>
    <w:next w:val="1"/>
    <w:link w:val="66"/>
    <w:autoRedefine/>
    <w:qFormat/>
    <w:uiPriority w:val="0"/>
    <w:pPr>
      <w:keepNext/>
      <w:keepLines/>
      <w:spacing w:before="40" w:after="40"/>
      <w:outlineLvl w:val="3"/>
    </w:pPr>
    <w:rPr>
      <w:rFonts w:ascii="Arial" w:hAnsi="Arial" w:eastAsia="黑体"/>
      <w:b/>
      <w:bCs/>
      <w:sz w:val="28"/>
      <w:szCs w:val="28"/>
      <w:lang w:val="zh-CN"/>
    </w:rPr>
  </w:style>
  <w:style w:type="paragraph" w:styleId="6">
    <w:name w:val="heading 5"/>
    <w:basedOn w:val="1"/>
    <w:next w:val="1"/>
    <w:link w:val="67"/>
    <w:autoRedefine/>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68"/>
    <w:autoRedefine/>
    <w:qFormat/>
    <w:uiPriority w:val="0"/>
    <w:pPr>
      <w:keepNext/>
      <w:keepLines/>
      <w:spacing w:before="240" w:after="64" w:line="317" w:lineRule="auto"/>
      <w:outlineLvl w:val="5"/>
    </w:pPr>
    <w:rPr>
      <w:rFonts w:ascii="Cambria" w:hAnsi="Cambria"/>
      <w:b/>
      <w:bCs/>
      <w:sz w:val="24"/>
      <w:lang w:val="zh-CN"/>
    </w:rPr>
  </w:style>
  <w:style w:type="paragraph" w:styleId="8">
    <w:name w:val="heading 7"/>
    <w:basedOn w:val="1"/>
    <w:next w:val="1"/>
    <w:link w:val="69"/>
    <w:autoRedefine/>
    <w:qFormat/>
    <w:uiPriority w:val="0"/>
    <w:pPr>
      <w:keepNext/>
      <w:keepLines/>
      <w:spacing w:before="240" w:after="64" w:line="317" w:lineRule="auto"/>
      <w:outlineLvl w:val="6"/>
    </w:pPr>
    <w:rPr>
      <w:rFonts w:ascii="Calibri" w:hAnsi="Calibri"/>
      <w:b/>
      <w:bCs/>
      <w:sz w:val="24"/>
      <w:lang w:val="zh-CN"/>
    </w:rPr>
  </w:style>
  <w:style w:type="paragraph" w:styleId="9">
    <w:name w:val="heading 8"/>
    <w:basedOn w:val="1"/>
    <w:next w:val="1"/>
    <w:link w:val="70"/>
    <w:autoRedefine/>
    <w:qFormat/>
    <w:uiPriority w:val="0"/>
    <w:pPr>
      <w:keepNext/>
      <w:keepLines/>
      <w:spacing w:before="240" w:after="64" w:line="317" w:lineRule="auto"/>
      <w:outlineLvl w:val="7"/>
    </w:pPr>
    <w:rPr>
      <w:rFonts w:ascii="Cambria" w:hAnsi="Cambria"/>
      <w:sz w:val="24"/>
      <w:lang w:val="zh-CN"/>
    </w:rPr>
  </w:style>
  <w:style w:type="paragraph" w:styleId="10">
    <w:name w:val="heading 9"/>
    <w:basedOn w:val="1"/>
    <w:next w:val="1"/>
    <w:link w:val="71"/>
    <w:autoRedefine/>
    <w:qFormat/>
    <w:uiPriority w:val="0"/>
    <w:pPr>
      <w:keepNext/>
      <w:keepLines/>
      <w:spacing w:before="240" w:after="64" w:line="317" w:lineRule="auto"/>
      <w:outlineLvl w:val="8"/>
    </w:pPr>
    <w:rPr>
      <w:rFonts w:ascii="Cambria" w:hAnsi="Cambria"/>
      <w:szCs w:val="21"/>
      <w:lang w:val="zh-CN"/>
    </w:rPr>
  </w:style>
  <w:style w:type="character" w:default="1" w:styleId="51">
    <w:name w:val="Default Paragraph Font"/>
    <w:autoRedefine/>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Calibri" w:hAnsi="Calibri" w:cs="Calibri"/>
      <w:sz w:val="20"/>
      <w:szCs w:val="20"/>
    </w:rPr>
  </w:style>
  <w:style w:type="paragraph" w:styleId="12">
    <w:name w:val="Normal Indent"/>
    <w:basedOn w:val="1"/>
    <w:next w:val="1"/>
    <w:link w:val="74"/>
    <w:autoRedefine/>
    <w:qFormat/>
    <w:uiPriority w:val="0"/>
    <w:pPr>
      <w:ind w:firstLine="420" w:firstLineChars="200"/>
    </w:pPr>
    <w:rPr>
      <w:lang w:val="zh-CN"/>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5"/>
    <w:autoRedefine/>
    <w:qFormat/>
    <w:uiPriority w:val="0"/>
    <w:pPr>
      <w:shd w:val="clear" w:color="auto" w:fill="000080"/>
    </w:pPr>
    <w:rPr>
      <w:shd w:val="clear" w:color="auto" w:fill="000080"/>
      <w:lang w:val="zh-CN"/>
    </w:rPr>
  </w:style>
  <w:style w:type="paragraph" w:styleId="15">
    <w:name w:val="annotation text"/>
    <w:basedOn w:val="1"/>
    <w:next w:val="1"/>
    <w:link w:val="76"/>
    <w:autoRedefine/>
    <w:qFormat/>
    <w:uiPriority w:val="0"/>
    <w:pPr>
      <w:jc w:val="left"/>
    </w:pPr>
    <w:rPr>
      <w:rFonts w:ascii="宋体"/>
      <w:kern w:val="0"/>
      <w:sz w:val="28"/>
      <w:szCs w:val="20"/>
      <w:lang w:val="zh-CN"/>
    </w:rPr>
  </w:style>
  <w:style w:type="paragraph" w:styleId="16">
    <w:name w:val="Salutation"/>
    <w:basedOn w:val="1"/>
    <w:next w:val="1"/>
    <w:link w:val="77"/>
    <w:autoRedefine/>
    <w:qFormat/>
    <w:uiPriority w:val="0"/>
    <w:rPr>
      <w:lang w:val="zh-CN"/>
    </w:rPr>
  </w:style>
  <w:style w:type="paragraph" w:styleId="17">
    <w:name w:val="Body Text 3"/>
    <w:basedOn w:val="1"/>
    <w:link w:val="78"/>
    <w:autoRedefine/>
    <w:qFormat/>
    <w:uiPriority w:val="0"/>
    <w:rPr>
      <w:rFonts w:ascii="宋体"/>
      <w:sz w:val="24"/>
      <w:szCs w:val="20"/>
      <w:lang w:val="zh-CN"/>
    </w:rPr>
  </w:style>
  <w:style w:type="paragraph" w:styleId="18">
    <w:name w:val="Body Text"/>
    <w:basedOn w:val="1"/>
    <w:next w:val="1"/>
    <w:link w:val="72"/>
    <w:autoRedefine/>
    <w:unhideWhenUsed/>
    <w:qFormat/>
    <w:uiPriority w:val="0"/>
    <w:pPr>
      <w:spacing w:after="120"/>
    </w:pPr>
  </w:style>
  <w:style w:type="paragraph" w:styleId="19">
    <w:name w:val="Body Text Indent"/>
    <w:basedOn w:val="1"/>
    <w:next w:val="20"/>
    <w:link w:val="79"/>
    <w:autoRedefine/>
    <w:qFormat/>
    <w:uiPriority w:val="0"/>
    <w:pPr>
      <w:spacing w:after="120"/>
      <w:ind w:left="420" w:leftChars="200"/>
    </w:pPr>
  </w:style>
  <w:style w:type="paragraph" w:styleId="20">
    <w:name w:val="envelope return"/>
    <w:basedOn w:val="1"/>
    <w:autoRedefine/>
    <w:qFormat/>
    <w:uiPriority w:val="0"/>
    <w:pPr>
      <w:snapToGrid w:val="0"/>
    </w:pPr>
    <w:rPr>
      <w:rFonts w:ascii="Arial" w:hAnsi="Arial" w:cs="Arial"/>
    </w:rPr>
  </w:style>
  <w:style w:type="paragraph" w:styleId="21">
    <w:name w:val="Block Text"/>
    <w:basedOn w:val="1"/>
    <w:link w:val="330"/>
    <w:qFormat/>
    <w:uiPriority w:val="0"/>
    <w:pPr>
      <w:widowControl/>
      <w:spacing w:after="120"/>
      <w:ind w:left="1440" w:leftChars="700" w:right="1440" w:rightChars="700"/>
      <w:jc w:val="left"/>
    </w:pPr>
    <w:rPr>
      <w:kern w:val="0"/>
      <w:sz w:val="20"/>
      <w:szCs w:val="20"/>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0"/>
    <w:pPr>
      <w:ind w:left="840"/>
      <w:jc w:val="left"/>
    </w:pPr>
    <w:rPr>
      <w:rFonts w:ascii="Calibri" w:hAnsi="Calibri" w:cs="Calibri"/>
      <w:sz w:val="20"/>
      <w:szCs w:val="20"/>
    </w:rPr>
  </w:style>
  <w:style w:type="paragraph" w:styleId="24">
    <w:name w:val="toc 3"/>
    <w:basedOn w:val="1"/>
    <w:next w:val="1"/>
    <w:qFormat/>
    <w:uiPriority w:val="39"/>
    <w:pPr>
      <w:ind w:left="420"/>
      <w:jc w:val="left"/>
    </w:pPr>
    <w:rPr>
      <w:rFonts w:ascii="Calibri" w:hAnsi="Calibri" w:cs="Calibri"/>
      <w:sz w:val="20"/>
      <w:szCs w:val="20"/>
    </w:rPr>
  </w:style>
  <w:style w:type="paragraph" w:styleId="25">
    <w:name w:val="Plain Text"/>
    <w:basedOn w:val="1"/>
    <w:link w:val="82"/>
    <w:autoRedefine/>
    <w:qFormat/>
    <w:uiPriority w:val="0"/>
    <w:rPr>
      <w:rFonts w:ascii="宋体" w:hAnsi="Courier New"/>
      <w:szCs w:val="20"/>
    </w:rPr>
  </w:style>
  <w:style w:type="paragraph" w:styleId="26">
    <w:name w:val="toc 8"/>
    <w:basedOn w:val="1"/>
    <w:next w:val="1"/>
    <w:autoRedefine/>
    <w:qFormat/>
    <w:uiPriority w:val="0"/>
    <w:pPr>
      <w:ind w:left="1470"/>
      <w:jc w:val="left"/>
    </w:pPr>
    <w:rPr>
      <w:rFonts w:ascii="Calibri" w:hAnsi="Calibri" w:cs="Calibri"/>
      <w:sz w:val="20"/>
      <w:szCs w:val="20"/>
    </w:rPr>
  </w:style>
  <w:style w:type="paragraph" w:styleId="27">
    <w:name w:val="Date"/>
    <w:basedOn w:val="1"/>
    <w:next w:val="1"/>
    <w:link w:val="83"/>
    <w:autoRedefine/>
    <w:qFormat/>
    <w:uiPriority w:val="0"/>
    <w:rPr>
      <w:sz w:val="24"/>
      <w:szCs w:val="20"/>
      <w:lang w:val="zh-CN"/>
    </w:rPr>
  </w:style>
  <w:style w:type="paragraph" w:styleId="28">
    <w:name w:val="Body Text Indent 2"/>
    <w:basedOn w:val="1"/>
    <w:link w:val="84"/>
    <w:autoRedefine/>
    <w:qFormat/>
    <w:uiPriority w:val="0"/>
    <w:pPr>
      <w:spacing w:after="120" w:line="480" w:lineRule="auto"/>
      <w:ind w:left="420" w:leftChars="200"/>
    </w:pPr>
    <w:rPr>
      <w:lang w:val="zh-CN"/>
    </w:rPr>
  </w:style>
  <w:style w:type="paragraph" w:styleId="29">
    <w:name w:val="endnote text"/>
    <w:basedOn w:val="1"/>
    <w:link w:val="85"/>
    <w:qFormat/>
    <w:uiPriority w:val="0"/>
    <w:pPr>
      <w:snapToGrid w:val="0"/>
      <w:jc w:val="left"/>
    </w:pPr>
    <w:rPr>
      <w:kern w:val="0"/>
      <w:sz w:val="20"/>
      <w:lang w:val="zh-CN"/>
    </w:rPr>
  </w:style>
  <w:style w:type="paragraph" w:styleId="30">
    <w:name w:val="Balloon Text"/>
    <w:basedOn w:val="1"/>
    <w:link w:val="86"/>
    <w:autoRedefine/>
    <w:qFormat/>
    <w:uiPriority w:val="0"/>
    <w:rPr>
      <w:sz w:val="18"/>
      <w:szCs w:val="18"/>
      <w:lang w:val="zh-CN"/>
    </w:rPr>
  </w:style>
  <w:style w:type="paragraph" w:styleId="31">
    <w:name w:val="footer"/>
    <w:basedOn w:val="1"/>
    <w:link w:val="87"/>
    <w:autoRedefine/>
    <w:qFormat/>
    <w:uiPriority w:val="99"/>
    <w:pPr>
      <w:tabs>
        <w:tab w:val="center" w:pos="4153"/>
        <w:tab w:val="right" w:pos="8306"/>
      </w:tabs>
      <w:snapToGrid w:val="0"/>
      <w:jc w:val="left"/>
    </w:pPr>
    <w:rPr>
      <w:sz w:val="18"/>
      <w:szCs w:val="18"/>
      <w:lang w:val="zh-CN"/>
    </w:rPr>
  </w:style>
  <w:style w:type="paragraph" w:styleId="32">
    <w:name w:val="header"/>
    <w:basedOn w:val="1"/>
    <w:link w:val="88"/>
    <w:autoRedefine/>
    <w:qFormat/>
    <w:uiPriority w:val="99"/>
    <w:pPr>
      <w:pBdr>
        <w:bottom w:val="single" w:color="auto" w:sz="6" w:space="1"/>
      </w:pBdr>
      <w:tabs>
        <w:tab w:val="center" w:pos="4153"/>
        <w:tab w:val="right" w:pos="8306"/>
      </w:tabs>
      <w:snapToGrid w:val="0"/>
      <w:jc w:val="center"/>
    </w:pPr>
    <w:rPr>
      <w:sz w:val="18"/>
      <w:szCs w:val="18"/>
      <w:lang w:val="zh-CN"/>
    </w:rPr>
  </w:style>
  <w:style w:type="paragraph" w:styleId="33">
    <w:name w:val="toc 1"/>
    <w:basedOn w:val="1"/>
    <w:next w:val="1"/>
    <w:autoRedefine/>
    <w:qFormat/>
    <w:uiPriority w:val="39"/>
    <w:pPr>
      <w:spacing w:before="240" w:after="120"/>
      <w:jc w:val="left"/>
    </w:pPr>
    <w:rPr>
      <w:rFonts w:ascii="Calibri" w:hAnsi="Calibri" w:cs="Calibri"/>
      <w:b/>
      <w:bCs/>
      <w:sz w:val="20"/>
      <w:szCs w:val="20"/>
    </w:rPr>
  </w:style>
  <w:style w:type="paragraph" w:styleId="34">
    <w:name w:val="toc 4"/>
    <w:basedOn w:val="1"/>
    <w:next w:val="1"/>
    <w:autoRedefine/>
    <w:qFormat/>
    <w:uiPriority w:val="0"/>
    <w:pPr>
      <w:ind w:left="630"/>
      <w:jc w:val="left"/>
    </w:pPr>
    <w:rPr>
      <w:rFonts w:ascii="Calibri" w:hAnsi="Calibri" w:cs="Calibri"/>
      <w:sz w:val="20"/>
      <w:szCs w:val="20"/>
    </w:rPr>
  </w:style>
  <w:style w:type="paragraph" w:styleId="35">
    <w:name w:val="Subtitle"/>
    <w:basedOn w:val="1"/>
    <w:next w:val="1"/>
    <w:link w:val="89"/>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6">
    <w:name w:val="footnote text"/>
    <w:basedOn w:val="1"/>
    <w:link w:val="90"/>
    <w:autoRedefine/>
    <w:qFormat/>
    <w:uiPriority w:val="0"/>
    <w:pPr>
      <w:snapToGrid w:val="0"/>
      <w:jc w:val="left"/>
    </w:pPr>
    <w:rPr>
      <w:kern w:val="0"/>
      <w:sz w:val="18"/>
      <w:szCs w:val="18"/>
      <w:lang w:val="zh-CN"/>
    </w:rPr>
  </w:style>
  <w:style w:type="paragraph" w:styleId="37">
    <w:name w:val="toc 6"/>
    <w:basedOn w:val="1"/>
    <w:next w:val="1"/>
    <w:autoRedefine/>
    <w:qFormat/>
    <w:uiPriority w:val="0"/>
    <w:pPr>
      <w:ind w:left="1050"/>
      <w:jc w:val="left"/>
    </w:pPr>
    <w:rPr>
      <w:rFonts w:ascii="Calibri" w:hAnsi="Calibri" w:cs="Calibri"/>
      <w:sz w:val="20"/>
      <w:szCs w:val="20"/>
    </w:rPr>
  </w:style>
  <w:style w:type="paragraph" w:styleId="38">
    <w:name w:val="Body Text Indent 3"/>
    <w:basedOn w:val="1"/>
    <w:autoRedefine/>
    <w:unhideWhenUsed/>
    <w:qFormat/>
    <w:uiPriority w:val="0"/>
    <w:pPr>
      <w:spacing w:line="360" w:lineRule="auto"/>
      <w:ind w:left="1978" w:leftChars="942"/>
    </w:pPr>
    <w:rPr>
      <w:rFonts w:ascii="Times New Roman" w:hAnsi="宋体"/>
      <w:sz w:val="24"/>
      <w:szCs w:val="24"/>
    </w:rPr>
  </w:style>
  <w:style w:type="paragraph" w:styleId="39">
    <w:name w:val="toc 2"/>
    <w:basedOn w:val="1"/>
    <w:next w:val="1"/>
    <w:autoRedefine/>
    <w:qFormat/>
    <w:uiPriority w:val="39"/>
    <w:pPr>
      <w:spacing w:before="120"/>
      <w:ind w:left="210"/>
      <w:jc w:val="left"/>
    </w:pPr>
    <w:rPr>
      <w:rFonts w:ascii="Calibri" w:hAnsi="Calibri" w:cs="Calibri"/>
      <w:i/>
      <w:iCs/>
      <w:sz w:val="20"/>
      <w:szCs w:val="20"/>
    </w:rPr>
  </w:style>
  <w:style w:type="paragraph" w:styleId="40">
    <w:name w:val="toc 9"/>
    <w:basedOn w:val="1"/>
    <w:next w:val="1"/>
    <w:autoRedefine/>
    <w:qFormat/>
    <w:uiPriority w:val="0"/>
    <w:pPr>
      <w:ind w:left="1680"/>
      <w:jc w:val="left"/>
    </w:pPr>
    <w:rPr>
      <w:rFonts w:ascii="Calibri" w:hAnsi="Calibri" w:cs="Calibri"/>
      <w:sz w:val="20"/>
      <w:szCs w:val="20"/>
    </w:rPr>
  </w:style>
  <w:style w:type="paragraph" w:styleId="41">
    <w:name w:val="Body Text 2"/>
    <w:basedOn w:val="1"/>
    <w:link w:val="92"/>
    <w:autoRedefine/>
    <w:qFormat/>
    <w:uiPriority w:val="0"/>
    <w:pPr>
      <w:spacing w:after="120" w:line="480" w:lineRule="auto"/>
    </w:pPr>
    <w:rPr>
      <w:lang w:val="zh-CN"/>
    </w:rPr>
  </w:style>
  <w:style w:type="paragraph" w:styleId="42">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43">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44">
    <w:name w:val="index 1"/>
    <w:basedOn w:val="1"/>
    <w:next w:val="1"/>
    <w:autoRedefine/>
    <w:qFormat/>
    <w:uiPriority w:val="0"/>
    <w:pPr>
      <w:spacing w:line="220" w:lineRule="exact"/>
      <w:jc w:val="center"/>
    </w:pPr>
    <w:rPr>
      <w:rFonts w:ascii="仿宋_GB2312" w:eastAsia="仿宋_GB2312"/>
      <w:szCs w:val="21"/>
    </w:rPr>
  </w:style>
  <w:style w:type="paragraph" w:styleId="45">
    <w:name w:val="Title"/>
    <w:basedOn w:val="1"/>
    <w:next w:val="1"/>
    <w:link w:val="94"/>
    <w:autoRedefine/>
    <w:qFormat/>
    <w:uiPriority w:val="0"/>
    <w:pPr>
      <w:spacing w:before="240" w:after="60"/>
      <w:jc w:val="center"/>
      <w:outlineLvl w:val="0"/>
    </w:pPr>
    <w:rPr>
      <w:rFonts w:ascii="Cambria" w:hAnsi="Cambria"/>
      <w:b/>
      <w:bCs/>
      <w:sz w:val="32"/>
      <w:szCs w:val="32"/>
      <w:lang w:val="zh-CN"/>
    </w:rPr>
  </w:style>
  <w:style w:type="paragraph" w:styleId="46">
    <w:name w:val="annotation subject"/>
    <w:basedOn w:val="15"/>
    <w:next w:val="15"/>
    <w:link w:val="95"/>
    <w:autoRedefine/>
    <w:qFormat/>
    <w:uiPriority w:val="0"/>
    <w:rPr>
      <w:b/>
      <w:bCs/>
    </w:rPr>
  </w:style>
  <w:style w:type="paragraph" w:styleId="47">
    <w:name w:val="Body Text First Indent"/>
    <w:basedOn w:val="1"/>
    <w:link w:val="73"/>
    <w:autoRedefine/>
    <w:qFormat/>
    <w:uiPriority w:val="0"/>
    <w:pPr>
      <w:widowControl/>
      <w:ind w:firstLine="420" w:firstLineChars="100"/>
      <w:jc w:val="left"/>
    </w:pPr>
    <w:rPr>
      <w:sz w:val="24"/>
      <w:lang w:val="zh-CN" w:eastAsia="en-US"/>
    </w:rPr>
  </w:style>
  <w:style w:type="paragraph" w:styleId="48">
    <w:name w:val="Body Text First Indent 2"/>
    <w:basedOn w:val="1"/>
    <w:autoRedefine/>
    <w:qFormat/>
    <w:uiPriority w:val="0"/>
    <w:pPr>
      <w:tabs>
        <w:tab w:val="left" w:pos="567"/>
      </w:tabs>
      <w:ind w:firstLine="420" w:firstLineChars="200"/>
    </w:pPr>
    <w:rPr>
      <w:kern w:val="2"/>
      <w:sz w:val="21"/>
    </w:rPr>
  </w:style>
  <w:style w:type="table" w:styleId="50">
    <w:name w:val="Table Grid"/>
    <w:basedOn w:val="49"/>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autoRedefine/>
    <w:qFormat/>
    <w:uiPriority w:val="0"/>
    <w:rPr>
      <w:b/>
      <w:bCs/>
    </w:rPr>
  </w:style>
  <w:style w:type="character" w:styleId="53">
    <w:name w:val="endnote reference"/>
    <w:autoRedefine/>
    <w:qFormat/>
    <w:uiPriority w:val="0"/>
    <w:rPr>
      <w:rFonts w:ascii="黑体" w:hAnsi="Verdana" w:eastAsia="宋体"/>
      <w:kern w:val="2"/>
      <w:sz w:val="24"/>
      <w:szCs w:val="24"/>
      <w:vertAlign w:val="superscript"/>
      <w:lang w:val="en-US" w:eastAsia="zh-CN"/>
    </w:rPr>
  </w:style>
  <w:style w:type="character" w:styleId="54">
    <w:name w:val="page number"/>
    <w:autoRedefine/>
    <w:qFormat/>
    <w:uiPriority w:val="0"/>
  </w:style>
  <w:style w:type="character" w:styleId="55">
    <w:name w:val="FollowedHyperlink"/>
    <w:autoRedefine/>
    <w:qFormat/>
    <w:uiPriority w:val="0"/>
    <w:rPr>
      <w:color w:val="800080"/>
      <w:u w:val="single"/>
    </w:rPr>
  </w:style>
  <w:style w:type="character" w:styleId="56">
    <w:name w:val="Emphasis"/>
    <w:autoRedefine/>
    <w:qFormat/>
    <w:uiPriority w:val="0"/>
    <w:rPr>
      <w:i/>
      <w:iCs/>
    </w:rPr>
  </w:style>
  <w:style w:type="character" w:styleId="57">
    <w:name w:val="Hyperlink"/>
    <w:autoRedefine/>
    <w:qFormat/>
    <w:uiPriority w:val="99"/>
    <w:rPr>
      <w:color w:val="0000FF"/>
      <w:u w:val="single"/>
    </w:rPr>
  </w:style>
  <w:style w:type="character" w:styleId="58">
    <w:name w:val="HTML Code"/>
    <w:autoRedefine/>
    <w:qFormat/>
    <w:uiPriority w:val="0"/>
    <w:rPr>
      <w:rFonts w:ascii="Courier New" w:hAnsi="Courier New"/>
      <w:sz w:val="20"/>
    </w:rPr>
  </w:style>
  <w:style w:type="character" w:styleId="59">
    <w:name w:val="annotation reference"/>
    <w:autoRedefine/>
    <w:qFormat/>
    <w:uiPriority w:val="0"/>
    <w:rPr>
      <w:rFonts w:cs="Times New Roman"/>
      <w:sz w:val="21"/>
      <w:szCs w:val="21"/>
    </w:rPr>
  </w:style>
  <w:style w:type="character" w:styleId="60">
    <w:name w:val="footnote reference"/>
    <w:autoRedefine/>
    <w:qFormat/>
    <w:uiPriority w:val="0"/>
    <w:rPr>
      <w:vertAlign w:val="superscript"/>
    </w:rPr>
  </w:style>
  <w:style w:type="paragraph" w:customStyle="1" w:styleId="61">
    <w:name w:val="1"/>
    <w:basedOn w:val="1"/>
    <w:next w:val="38"/>
    <w:autoRedefine/>
    <w:qFormat/>
    <w:uiPriority w:val="0"/>
    <w:pPr>
      <w:spacing w:line="360" w:lineRule="auto"/>
      <w:ind w:firstLine="480" w:firstLineChars="200"/>
    </w:pPr>
    <w:rPr>
      <w:rFonts w:ascii="宋体" w:hAnsi="宋体"/>
      <w:iCs/>
      <w:color w:val="FF0000"/>
      <w:sz w:val="24"/>
      <w:szCs w:val="28"/>
      <w:u w:val="wave"/>
    </w:rPr>
  </w:style>
  <w:style w:type="paragraph" w:customStyle="1" w:styleId="62">
    <w:name w:val="Body Text Indent 31"/>
    <w:basedOn w:val="1"/>
    <w:autoRedefine/>
    <w:qFormat/>
    <w:uiPriority w:val="0"/>
    <w:pPr>
      <w:spacing w:after="120"/>
      <w:ind w:left="420" w:leftChars="200"/>
    </w:pPr>
    <w:rPr>
      <w:sz w:val="16"/>
      <w:szCs w:val="16"/>
      <w:lang w:val="zh-CN"/>
    </w:rPr>
  </w:style>
  <w:style w:type="character" w:customStyle="1" w:styleId="63">
    <w:name w:val="标题 1 Char"/>
    <w:basedOn w:val="51"/>
    <w:link w:val="2"/>
    <w:autoRedefine/>
    <w:qFormat/>
    <w:uiPriority w:val="0"/>
    <w:rPr>
      <w:rFonts w:ascii="Times New Roman" w:hAnsi="Times New Roman" w:eastAsia="宋体" w:cs="Times New Roman"/>
      <w:b/>
      <w:bCs/>
      <w:kern w:val="44"/>
      <w:sz w:val="24"/>
      <w:szCs w:val="44"/>
      <w:lang w:val="zh-CN" w:eastAsia="zh-CN"/>
    </w:rPr>
  </w:style>
  <w:style w:type="character" w:customStyle="1" w:styleId="64">
    <w:name w:val="标题 2 Char"/>
    <w:basedOn w:val="51"/>
    <w:link w:val="3"/>
    <w:autoRedefine/>
    <w:qFormat/>
    <w:uiPriority w:val="0"/>
    <w:rPr>
      <w:rFonts w:ascii="Arial" w:hAnsi="Arial" w:eastAsia="黑体" w:cs="Times New Roman"/>
      <w:b/>
      <w:bCs/>
      <w:sz w:val="32"/>
      <w:szCs w:val="32"/>
    </w:rPr>
  </w:style>
  <w:style w:type="character" w:customStyle="1" w:styleId="65">
    <w:name w:val="标题 3 Char"/>
    <w:basedOn w:val="51"/>
    <w:link w:val="4"/>
    <w:autoRedefine/>
    <w:qFormat/>
    <w:uiPriority w:val="0"/>
    <w:rPr>
      <w:rFonts w:ascii="Times New Roman" w:hAnsi="Times New Roman" w:eastAsia="宋体" w:cs="Times New Roman"/>
      <w:b/>
      <w:bCs/>
      <w:sz w:val="24"/>
      <w:szCs w:val="32"/>
      <w:lang w:val="zh-CN" w:eastAsia="zh-CN"/>
    </w:rPr>
  </w:style>
  <w:style w:type="character" w:customStyle="1" w:styleId="66">
    <w:name w:val="标题 4 Char"/>
    <w:basedOn w:val="51"/>
    <w:link w:val="5"/>
    <w:autoRedefine/>
    <w:qFormat/>
    <w:uiPriority w:val="0"/>
    <w:rPr>
      <w:rFonts w:ascii="Arial" w:hAnsi="Arial" w:eastAsia="黑体" w:cs="Times New Roman"/>
      <w:b/>
      <w:bCs/>
      <w:sz w:val="28"/>
      <w:szCs w:val="28"/>
      <w:lang w:val="zh-CN" w:eastAsia="zh-CN"/>
    </w:rPr>
  </w:style>
  <w:style w:type="character" w:customStyle="1" w:styleId="67">
    <w:name w:val="标题 5 Char"/>
    <w:basedOn w:val="51"/>
    <w:link w:val="6"/>
    <w:autoRedefine/>
    <w:qFormat/>
    <w:uiPriority w:val="0"/>
    <w:rPr>
      <w:rFonts w:ascii="Times New Roman" w:hAnsi="Times New Roman" w:eastAsia="宋体" w:cs="Times New Roman"/>
      <w:b/>
      <w:bCs/>
      <w:sz w:val="28"/>
      <w:szCs w:val="28"/>
      <w:lang w:val="zh-CN" w:eastAsia="zh-CN"/>
    </w:rPr>
  </w:style>
  <w:style w:type="character" w:customStyle="1" w:styleId="68">
    <w:name w:val="标题 6 Char"/>
    <w:basedOn w:val="51"/>
    <w:link w:val="7"/>
    <w:autoRedefine/>
    <w:qFormat/>
    <w:uiPriority w:val="0"/>
    <w:rPr>
      <w:rFonts w:ascii="Cambria" w:hAnsi="Cambria" w:eastAsia="宋体" w:cs="Times New Roman"/>
      <w:b/>
      <w:bCs/>
      <w:sz w:val="24"/>
      <w:szCs w:val="24"/>
      <w:lang w:val="zh-CN" w:eastAsia="zh-CN"/>
    </w:rPr>
  </w:style>
  <w:style w:type="character" w:customStyle="1" w:styleId="69">
    <w:name w:val="标题 7 Char"/>
    <w:basedOn w:val="51"/>
    <w:link w:val="8"/>
    <w:autoRedefine/>
    <w:qFormat/>
    <w:uiPriority w:val="0"/>
    <w:rPr>
      <w:rFonts w:ascii="Calibri" w:hAnsi="Calibri" w:eastAsia="宋体" w:cs="Times New Roman"/>
      <w:b/>
      <w:bCs/>
      <w:sz w:val="24"/>
      <w:szCs w:val="24"/>
      <w:lang w:val="zh-CN" w:eastAsia="zh-CN"/>
    </w:rPr>
  </w:style>
  <w:style w:type="character" w:customStyle="1" w:styleId="70">
    <w:name w:val="标题 8 Char"/>
    <w:basedOn w:val="51"/>
    <w:link w:val="9"/>
    <w:autoRedefine/>
    <w:qFormat/>
    <w:uiPriority w:val="0"/>
    <w:rPr>
      <w:rFonts w:ascii="Cambria" w:hAnsi="Cambria" w:eastAsia="宋体" w:cs="Times New Roman"/>
      <w:sz w:val="24"/>
      <w:szCs w:val="24"/>
      <w:lang w:val="zh-CN" w:eastAsia="zh-CN"/>
    </w:rPr>
  </w:style>
  <w:style w:type="character" w:customStyle="1" w:styleId="71">
    <w:name w:val="标题 9 Char"/>
    <w:basedOn w:val="51"/>
    <w:link w:val="10"/>
    <w:autoRedefine/>
    <w:qFormat/>
    <w:uiPriority w:val="0"/>
    <w:rPr>
      <w:rFonts w:ascii="Cambria" w:hAnsi="Cambria" w:eastAsia="宋体" w:cs="Times New Roman"/>
      <w:szCs w:val="21"/>
      <w:lang w:val="zh-CN" w:eastAsia="zh-CN"/>
    </w:rPr>
  </w:style>
  <w:style w:type="character" w:customStyle="1" w:styleId="72">
    <w:name w:val="正文文本 Char"/>
    <w:basedOn w:val="51"/>
    <w:link w:val="18"/>
    <w:autoRedefine/>
    <w:qFormat/>
    <w:uiPriority w:val="0"/>
    <w:rPr>
      <w:rFonts w:ascii="Times New Roman" w:hAnsi="Times New Roman" w:eastAsia="宋体" w:cs="Times New Roman"/>
      <w:szCs w:val="24"/>
    </w:rPr>
  </w:style>
  <w:style w:type="character" w:customStyle="1" w:styleId="73">
    <w:name w:val="正文首行缩进 Char"/>
    <w:basedOn w:val="72"/>
    <w:link w:val="47"/>
    <w:autoRedefine/>
    <w:qFormat/>
    <w:uiPriority w:val="0"/>
    <w:rPr>
      <w:rFonts w:ascii="Times New Roman" w:hAnsi="Times New Roman" w:eastAsia="宋体" w:cs="Times New Roman"/>
      <w:sz w:val="24"/>
      <w:szCs w:val="24"/>
      <w:lang w:val="zh-CN" w:eastAsia="en-US"/>
    </w:rPr>
  </w:style>
  <w:style w:type="character" w:customStyle="1" w:styleId="74">
    <w:name w:val="正文缩进 Char"/>
    <w:link w:val="12"/>
    <w:autoRedefine/>
    <w:qFormat/>
    <w:uiPriority w:val="0"/>
    <w:rPr>
      <w:rFonts w:ascii="Times New Roman" w:hAnsi="Times New Roman" w:eastAsia="宋体" w:cs="Times New Roman"/>
      <w:szCs w:val="24"/>
      <w:lang w:val="zh-CN" w:eastAsia="zh-CN"/>
    </w:rPr>
  </w:style>
  <w:style w:type="character" w:customStyle="1" w:styleId="75">
    <w:name w:val="文档结构图 Char"/>
    <w:basedOn w:val="51"/>
    <w:link w:val="14"/>
    <w:autoRedefine/>
    <w:qFormat/>
    <w:uiPriority w:val="0"/>
    <w:rPr>
      <w:rFonts w:ascii="Times New Roman" w:hAnsi="Times New Roman" w:eastAsia="宋体" w:cs="Times New Roman"/>
      <w:szCs w:val="24"/>
      <w:shd w:val="clear" w:color="auto" w:fill="000080"/>
      <w:lang w:val="zh-CN" w:eastAsia="zh-CN"/>
    </w:rPr>
  </w:style>
  <w:style w:type="character" w:customStyle="1" w:styleId="76">
    <w:name w:val="批注文字 Char"/>
    <w:basedOn w:val="51"/>
    <w:link w:val="15"/>
    <w:autoRedefine/>
    <w:qFormat/>
    <w:uiPriority w:val="0"/>
    <w:rPr>
      <w:rFonts w:ascii="宋体" w:hAnsi="Times New Roman" w:eastAsia="宋体" w:cs="Times New Roman"/>
      <w:kern w:val="0"/>
      <w:sz w:val="28"/>
      <w:szCs w:val="20"/>
      <w:lang w:val="zh-CN" w:eastAsia="zh-CN"/>
    </w:rPr>
  </w:style>
  <w:style w:type="character" w:customStyle="1" w:styleId="77">
    <w:name w:val="称呼 Char"/>
    <w:basedOn w:val="51"/>
    <w:link w:val="16"/>
    <w:autoRedefine/>
    <w:qFormat/>
    <w:uiPriority w:val="0"/>
    <w:rPr>
      <w:rFonts w:ascii="Times New Roman" w:hAnsi="Times New Roman" w:eastAsia="宋体" w:cs="Times New Roman"/>
      <w:szCs w:val="24"/>
      <w:lang w:val="zh-CN" w:eastAsia="zh-CN"/>
    </w:rPr>
  </w:style>
  <w:style w:type="character" w:customStyle="1" w:styleId="78">
    <w:name w:val="正文文本 3 Char"/>
    <w:basedOn w:val="51"/>
    <w:link w:val="17"/>
    <w:autoRedefine/>
    <w:qFormat/>
    <w:uiPriority w:val="0"/>
    <w:rPr>
      <w:rFonts w:ascii="宋体" w:hAnsi="Times New Roman" w:eastAsia="宋体" w:cs="Times New Roman"/>
      <w:sz w:val="24"/>
      <w:szCs w:val="20"/>
      <w:lang w:val="zh-CN" w:eastAsia="zh-CN"/>
    </w:rPr>
  </w:style>
  <w:style w:type="character" w:customStyle="1" w:styleId="79">
    <w:name w:val="正文文本缩进 Char"/>
    <w:basedOn w:val="51"/>
    <w:link w:val="19"/>
    <w:autoRedefine/>
    <w:qFormat/>
    <w:uiPriority w:val="0"/>
    <w:rPr>
      <w:rFonts w:ascii="Times New Roman" w:hAnsi="Times New Roman" w:eastAsia="宋体" w:cs="Times New Roman"/>
      <w:szCs w:val="24"/>
    </w:rPr>
  </w:style>
  <w:style w:type="character" w:customStyle="1" w:styleId="80">
    <w:name w:val="纯文本 Char"/>
    <w:basedOn w:val="51"/>
    <w:link w:val="81"/>
    <w:autoRedefine/>
    <w:qFormat/>
    <w:uiPriority w:val="0"/>
    <w:rPr>
      <w:rFonts w:ascii="宋体" w:hAnsi="Courier New" w:eastAsia="宋体" w:cs="Courier New"/>
      <w:szCs w:val="21"/>
    </w:rPr>
  </w:style>
  <w:style w:type="paragraph" w:customStyle="1" w:styleId="81">
    <w:name w:val="纯文本1"/>
    <w:basedOn w:val="1"/>
    <w:link w:val="80"/>
    <w:autoRedefine/>
    <w:qFormat/>
    <w:uiPriority w:val="0"/>
    <w:rPr>
      <w:rFonts w:ascii="宋体" w:hAnsi="Courier New" w:cs="Courier New"/>
      <w:szCs w:val="21"/>
    </w:rPr>
  </w:style>
  <w:style w:type="character" w:customStyle="1" w:styleId="82">
    <w:name w:val="纯文本 Char1"/>
    <w:link w:val="25"/>
    <w:autoRedefine/>
    <w:qFormat/>
    <w:uiPriority w:val="0"/>
    <w:rPr>
      <w:rFonts w:ascii="宋体" w:hAnsi="Courier New" w:eastAsia="宋体" w:cs="Times New Roman"/>
      <w:szCs w:val="20"/>
    </w:rPr>
  </w:style>
  <w:style w:type="character" w:customStyle="1" w:styleId="83">
    <w:name w:val="日期 Char"/>
    <w:basedOn w:val="51"/>
    <w:link w:val="27"/>
    <w:autoRedefine/>
    <w:qFormat/>
    <w:uiPriority w:val="0"/>
    <w:rPr>
      <w:rFonts w:ascii="Times New Roman" w:hAnsi="Times New Roman" w:eastAsia="宋体" w:cs="Times New Roman"/>
      <w:sz w:val="24"/>
      <w:szCs w:val="20"/>
      <w:lang w:val="zh-CN" w:eastAsia="zh-CN"/>
    </w:rPr>
  </w:style>
  <w:style w:type="character" w:customStyle="1" w:styleId="84">
    <w:name w:val="正文文本缩进 2 Char"/>
    <w:basedOn w:val="51"/>
    <w:link w:val="28"/>
    <w:autoRedefine/>
    <w:qFormat/>
    <w:uiPriority w:val="0"/>
    <w:rPr>
      <w:rFonts w:ascii="Times New Roman" w:hAnsi="Times New Roman" w:eastAsia="宋体" w:cs="Times New Roman"/>
      <w:szCs w:val="24"/>
      <w:lang w:val="zh-CN" w:eastAsia="zh-CN"/>
    </w:rPr>
  </w:style>
  <w:style w:type="character" w:customStyle="1" w:styleId="85">
    <w:name w:val="尾注文本 Char"/>
    <w:basedOn w:val="51"/>
    <w:link w:val="29"/>
    <w:autoRedefine/>
    <w:qFormat/>
    <w:uiPriority w:val="0"/>
    <w:rPr>
      <w:rFonts w:ascii="Times New Roman" w:hAnsi="Times New Roman" w:eastAsia="宋体" w:cs="Times New Roman"/>
      <w:kern w:val="0"/>
      <w:sz w:val="20"/>
      <w:szCs w:val="24"/>
      <w:lang w:val="zh-CN" w:eastAsia="zh-CN"/>
    </w:rPr>
  </w:style>
  <w:style w:type="character" w:customStyle="1" w:styleId="86">
    <w:name w:val="批注框文本 Char"/>
    <w:basedOn w:val="51"/>
    <w:link w:val="30"/>
    <w:autoRedefine/>
    <w:qFormat/>
    <w:uiPriority w:val="0"/>
    <w:rPr>
      <w:rFonts w:ascii="Times New Roman" w:hAnsi="Times New Roman" w:eastAsia="宋体" w:cs="Times New Roman"/>
      <w:sz w:val="18"/>
      <w:szCs w:val="18"/>
      <w:lang w:val="zh-CN" w:eastAsia="zh-CN"/>
    </w:rPr>
  </w:style>
  <w:style w:type="character" w:customStyle="1" w:styleId="87">
    <w:name w:val="页脚 Char"/>
    <w:basedOn w:val="51"/>
    <w:link w:val="31"/>
    <w:autoRedefine/>
    <w:qFormat/>
    <w:uiPriority w:val="99"/>
    <w:rPr>
      <w:rFonts w:ascii="Times New Roman" w:hAnsi="Times New Roman" w:eastAsia="宋体" w:cs="Times New Roman"/>
      <w:sz w:val="18"/>
      <w:szCs w:val="18"/>
      <w:lang w:val="zh-CN" w:eastAsia="zh-CN"/>
    </w:rPr>
  </w:style>
  <w:style w:type="character" w:customStyle="1" w:styleId="88">
    <w:name w:val="页眉 Char"/>
    <w:basedOn w:val="51"/>
    <w:link w:val="32"/>
    <w:autoRedefine/>
    <w:qFormat/>
    <w:uiPriority w:val="99"/>
    <w:rPr>
      <w:rFonts w:ascii="Times New Roman" w:hAnsi="Times New Roman" w:eastAsia="宋体" w:cs="Times New Roman"/>
      <w:sz w:val="18"/>
      <w:szCs w:val="18"/>
      <w:lang w:val="zh-CN" w:eastAsia="zh-CN"/>
    </w:rPr>
  </w:style>
  <w:style w:type="character" w:customStyle="1" w:styleId="89">
    <w:name w:val="副标题 Char"/>
    <w:basedOn w:val="51"/>
    <w:link w:val="35"/>
    <w:autoRedefine/>
    <w:qFormat/>
    <w:uiPriority w:val="0"/>
    <w:rPr>
      <w:rFonts w:ascii="Cambria" w:hAnsi="Cambria" w:eastAsia="宋体" w:cs="Times New Roman"/>
      <w:b/>
      <w:bCs/>
      <w:kern w:val="28"/>
      <w:sz w:val="32"/>
      <w:szCs w:val="32"/>
      <w:lang w:val="zh-CN" w:eastAsia="zh-CN"/>
    </w:rPr>
  </w:style>
  <w:style w:type="character" w:customStyle="1" w:styleId="90">
    <w:name w:val="脚注文本 Char"/>
    <w:basedOn w:val="51"/>
    <w:link w:val="36"/>
    <w:autoRedefine/>
    <w:qFormat/>
    <w:uiPriority w:val="0"/>
    <w:rPr>
      <w:rFonts w:ascii="Times New Roman" w:hAnsi="Times New Roman" w:eastAsia="宋体" w:cs="Times New Roman"/>
      <w:kern w:val="0"/>
      <w:sz w:val="18"/>
      <w:szCs w:val="18"/>
      <w:lang w:val="zh-CN" w:eastAsia="zh-CN"/>
    </w:rPr>
  </w:style>
  <w:style w:type="character" w:customStyle="1" w:styleId="91">
    <w:name w:val="正文文本缩进 3 Char"/>
    <w:basedOn w:val="51"/>
    <w:autoRedefine/>
    <w:qFormat/>
    <w:uiPriority w:val="0"/>
    <w:rPr>
      <w:rFonts w:ascii="Times New Roman" w:hAnsi="Times New Roman" w:eastAsia="宋体" w:cs="Times New Roman"/>
      <w:sz w:val="16"/>
      <w:szCs w:val="16"/>
      <w:lang w:val="zh-CN" w:eastAsia="zh-CN"/>
    </w:rPr>
  </w:style>
  <w:style w:type="character" w:customStyle="1" w:styleId="92">
    <w:name w:val="正文文本 2 Char"/>
    <w:basedOn w:val="51"/>
    <w:link w:val="41"/>
    <w:qFormat/>
    <w:uiPriority w:val="0"/>
    <w:rPr>
      <w:rFonts w:ascii="Times New Roman" w:hAnsi="Times New Roman" w:eastAsia="宋体" w:cs="Times New Roman"/>
      <w:szCs w:val="24"/>
      <w:lang w:val="zh-CN" w:eastAsia="zh-CN"/>
    </w:rPr>
  </w:style>
  <w:style w:type="character" w:customStyle="1" w:styleId="93">
    <w:name w:val="HTML 预设格式 Char"/>
    <w:basedOn w:val="51"/>
    <w:link w:val="42"/>
    <w:qFormat/>
    <w:uiPriority w:val="0"/>
    <w:rPr>
      <w:rFonts w:ascii="宋体" w:hAnsi="宋体" w:eastAsia="宋体" w:cs="Times New Roman"/>
      <w:kern w:val="0"/>
      <w:sz w:val="24"/>
      <w:szCs w:val="24"/>
      <w:lang w:val="zh-CN" w:eastAsia="zh-CN"/>
    </w:rPr>
  </w:style>
  <w:style w:type="character" w:customStyle="1" w:styleId="94">
    <w:name w:val="标题 Char"/>
    <w:basedOn w:val="51"/>
    <w:link w:val="45"/>
    <w:autoRedefine/>
    <w:qFormat/>
    <w:uiPriority w:val="0"/>
    <w:rPr>
      <w:rFonts w:ascii="Cambria" w:hAnsi="Cambria" w:eastAsia="宋体" w:cs="Times New Roman"/>
      <w:b/>
      <w:bCs/>
      <w:sz w:val="32"/>
      <w:szCs w:val="32"/>
      <w:lang w:val="zh-CN" w:eastAsia="zh-CN"/>
    </w:rPr>
  </w:style>
  <w:style w:type="character" w:customStyle="1" w:styleId="95">
    <w:name w:val="批注主题 Char"/>
    <w:basedOn w:val="76"/>
    <w:link w:val="46"/>
    <w:qFormat/>
    <w:uiPriority w:val="0"/>
    <w:rPr>
      <w:rFonts w:ascii="宋体" w:hAnsi="Times New Roman" w:eastAsia="宋体" w:cs="Times New Roman"/>
      <w:b/>
      <w:bCs/>
      <w:kern w:val="0"/>
      <w:sz w:val="28"/>
      <w:szCs w:val="20"/>
      <w:lang w:val="zh-CN" w:eastAsia="zh-CN"/>
    </w:rPr>
  </w:style>
  <w:style w:type="character" w:customStyle="1" w:styleId="96">
    <w:name w:val="标题 1 字符"/>
    <w:autoRedefine/>
    <w:qFormat/>
    <w:uiPriority w:val="9"/>
    <w:rPr>
      <w:b/>
      <w:kern w:val="44"/>
      <w:sz w:val="30"/>
      <w:szCs w:val="22"/>
      <w:lang w:bidi="ar-SA"/>
    </w:rPr>
  </w:style>
  <w:style w:type="character" w:customStyle="1" w:styleId="97">
    <w:name w:val="页脚 字符"/>
    <w:autoRedefine/>
    <w:qFormat/>
    <w:uiPriority w:val="0"/>
    <w:rPr>
      <w:rFonts w:ascii="宋体" w:hAnsi="宋体"/>
      <w:kern w:val="2"/>
      <w:sz w:val="18"/>
      <w:szCs w:val="18"/>
      <w:lang w:val="en-US" w:eastAsia="zh-CN" w:bidi="ar-SA"/>
    </w:rPr>
  </w:style>
  <w:style w:type="character" w:customStyle="1" w:styleId="98">
    <w:name w:val="font51"/>
    <w:qFormat/>
    <w:uiPriority w:val="0"/>
    <w:rPr>
      <w:rFonts w:hint="eastAsia" w:ascii="宋体" w:hAnsi="宋体" w:eastAsia="宋体" w:cs="宋体"/>
      <w:b/>
      <w:color w:val="000000"/>
      <w:sz w:val="22"/>
      <w:szCs w:val="22"/>
      <w:u w:val="none"/>
    </w:rPr>
  </w:style>
  <w:style w:type="character" w:customStyle="1" w:styleId="99">
    <w:name w:val="批注主题 字符"/>
    <w:autoRedefine/>
    <w:semiHidden/>
    <w:qFormat/>
    <w:uiPriority w:val="99"/>
    <w:rPr>
      <w:rFonts w:ascii="Calibri" w:hAnsi="Calibri" w:eastAsia="宋体" w:cs="Times New Roman"/>
      <w:b/>
      <w:bCs/>
      <w:kern w:val="2"/>
      <w:sz w:val="24"/>
      <w:szCs w:val="22"/>
    </w:rPr>
  </w:style>
  <w:style w:type="character" w:customStyle="1" w:styleId="100">
    <w:name w:val="引用 Char"/>
    <w:link w:val="101"/>
    <w:qFormat/>
    <w:uiPriority w:val="0"/>
    <w:rPr>
      <w:i/>
      <w:iCs/>
      <w:color w:val="000000"/>
    </w:rPr>
  </w:style>
  <w:style w:type="paragraph" w:styleId="101">
    <w:name w:val="Quote"/>
    <w:basedOn w:val="1"/>
    <w:next w:val="1"/>
    <w:link w:val="100"/>
    <w:autoRedefine/>
    <w:qFormat/>
    <w:uiPriority w:val="0"/>
    <w:rPr>
      <w:rFonts w:asciiTheme="minorHAnsi" w:hAnsiTheme="minorHAnsi" w:eastAsiaTheme="minorEastAsia" w:cstheme="minorBidi"/>
      <w:i/>
      <w:iCs/>
      <w:color w:val="000000"/>
      <w:szCs w:val="22"/>
    </w:rPr>
  </w:style>
  <w:style w:type="character" w:customStyle="1" w:styleId="102">
    <w:name w:val="引用 Char1"/>
    <w:basedOn w:val="51"/>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03">
    <w:name w:val="正文首行缩进 Char1"/>
    <w:autoRedefine/>
    <w:qFormat/>
    <w:uiPriority w:val="0"/>
    <w:rPr>
      <w:kern w:val="2"/>
      <w:sz w:val="21"/>
      <w:szCs w:val="24"/>
    </w:rPr>
  </w:style>
  <w:style w:type="paragraph" w:customStyle="1" w:styleId="104">
    <w:name w:val="正文文本缩进1"/>
    <w:basedOn w:val="1"/>
    <w:autoRedefine/>
    <w:qFormat/>
    <w:uiPriority w:val="0"/>
    <w:pPr>
      <w:ind w:firstLine="630"/>
    </w:pPr>
    <w:rPr>
      <w:rFonts w:ascii="宋体"/>
      <w:kern w:val="0"/>
      <w:sz w:val="32"/>
      <w:szCs w:val="20"/>
      <w:lang w:val="zh-CN"/>
    </w:rPr>
  </w:style>
  <w:style w:type="character" w:customStyle="1" w:styleId="105">
    <w:name w:val="标题 9 字符"/>
    <w:autoRedefine/>
    <w:qFormat/>
    <w:uiPriority w:val="0"/>
    <w:rPr>
      <w:rFonts w:ascii="CG Times" w:hAnsi="CG Times"/>
      <w:b/>
      <w:smallCaps/>
      <w:sz w:val="21"/>
      <w:lang w:val="en-GB"/>
    </w:rPr>
  </w:style>
  <w:style w:type="character" w:customStyle="1" w:styleId="106">
    <w:name w:val="font11"/>
    <w:autoRedefine/>
    <w:qFormat/>
    <w:uiPriority w:val="0"/>
    <w:rPr>
      <w:rFonts w:hint="eastAsia" w:ascii="宋体" w:hAnsi="宋体" w:eastAsia="宋体" w:cs="宋体"/>
      <w:b/>
      <w:color w:val="000000"/>
      <w:sz w:val="22"/>
      <w:szCs w:val="22"/>
      <w:u w:val="single"/>
    </w:rPr>
  </w:style>
  <w:style w:type="character" w:customStyle="1" w:styleId="107">
    <w:name w:val="明显引用 Char1"/>
    <w:autoRedefine/>
    <w:qFormat/>
    <w:uiPriority w:val="0"/>
    <w:rPr>
      <w:b/>
      <w:bCs/>
      <w:i/>
      <w:iCs/>
      <w:color w:val="4F81BD"/>
      <w:kern w:val="2"/>
      <w:sz w:val="21"/>
      <w:szCs w:val="24"/>
    </w:rPr>
  </w:style>
  <w:style w:type="character" w:customStyle="1" w:styleId="108">
    <w:name w:val="批注框文本 字符"/>
    <w:semiHidden/>
    <w:qFormat/>
    <w:uiPriority w:val="99"/>
    <w:rPr>
      <w:sz w:val="18"/>
      <w:szCs w:val="18"/>
    </w:rPr>
  </w:style>
  <w:style w:type="character" w:customStyle="1" w:styleId="109">
    <w:name w:val="标题 5 字符"/>
    <w:autoRedefine/>
    <w:qFormat/>
    <w:uiPriority w:val="9"/>
    <w:rPr>
      <w:b/>
      <w:bCs/>
      <w:kern w:val="2"/>
      <w:sz w:val="28"/>
      <w:szCs w:val="28"/>
    </w:rPr>
  </w:style>
  <w:style w:type="character" w:customStyle="1" w:styleId="110">
    <w:name w:val="正文1 Char Char"/>
    <w:link w:val="111"/>
    <w:autoRedefine/>
    <w:qFormat/>
    <w:uiPriority w:val="0"/>
    <w:rPr>
      <w:rFonts w:ascii="宋体"/>
      <w:spacing w:val="10"/>
      <w:sz w:val="24"/>
    </w:rPr>
  </w:style>
  <w:style w:type="paragraph" w:customStyle="1" w:styleId="111">
    <w:name w:val="正文1"/>
    <w:link w:val="110"/>
    <w:autoRedefine/>
    <w:qFormat/>
    <w:uiPriority w:val="0"/>
    <w:pPr>
      <w:widowControl w:val="0"/>
      <w:adjustRightInd w:val="0"/>
      <w:snapToGrid w:val="0"/>
      <w:spacing w:after="156"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12">
    <w:name w:val="标题 3 字符"/>
    <w:autoRedefine/>
    <w:qFormat/>
    <w:uiPriority w:val="0"/>
    <w:rPr>
      <w:rFonts w:ascii="宋体" w:hAnsi="Calibri" w:cs="Times New Roman"/>
      <w:b/>
      <w:kern w:val="2"/>
      <w:sz w:val="24"/>
      <w:szCs w:val="22"/>
    </w:rPr>
  </w:style>
  <w:style w:type="character" w:customStyle="1" w:styleId="113">
    <w:name w:val="标题 7 字符"/>
    <w:autoRedefine/>
    <w:qFormat/>
    <w:uiPriority w:val="0"/>
    <w:rPr>
      <w:rFonts w:ascii="CG Times" w:hAnsi="CG Times"/>
      <w:sz w:val="22"/>
      <w:lang w:val="en-GB"/>
    </w:rPr>
  </w:style>
  <w:style w:type="character" w:customStyle="1" w:styleId="114">
    <w:name w:val="不明显强调1"/>
    <w:autoRedefine/>
    <w:qFormat/>
    <w:uiPriority w:val="0"/>
    <w:rPr>
      <w:i/>
      <w:iCs/>
      <w:color w:val="808080"/>
    </w:rPr>
  </w:style>
  <w:style w:type="character" w:customStyle="1" w:styleId="115">
    <w:name w:val="批注文字 字符"/>
    <w:autoRedefine/>
    <w:qFormat/>
    <w:uiPriority w:val="99"/>
    <w:rPr>
      <w:rFonts w:ascii="Calibri" w:hAnsi="Calibri" w:eastAsia="宋体" w:cs="Times New Roman"/>
      <w:kern w:val="2"/>
      <w:sz w:val="24"/>
      <w:szCs w:val="22"/>
    </w:rPr>
  </w:style>
  <w:style w:type="character" w:customStyle="1" w:styleId="116">
    <w:name w:val="正文一 Char Char"/>
    <w:link w:val="117"/>
    <w:autoRedefine/>
    <w:qFormat/>
    <w:uiPriority w:val="0"/>
    <w:rPr>
      <w:sz w:val="24"/>
    </w:rPr>
  </w:style>
  <w:style w:type="paragraph" w:customStyle="1" w:styleId="117">
    <w:name w:val="正文一"/>
    <w:basedOn w:val="1"/>
    <w:link w:val="116"/>
    <w:autoRedefine/>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18">
    <w:name w:val="明显引用 Char2"/>
    <w:autoRedefine/>
    <w:qFormat/>
    <w:uiPriority w:val="0"/>
    <w:rPr>
      <w:rFonts w:ascii="Times New Roman" w:hAnsi="Times New Roman" w:eastAsia="宋体" w:cs="Times New Roman"/>
      <w:b/>
      <w:bCs/>
      <w:i/>
      <w:iCs/>
      <w:color w:val="4F81BD"/>
      <w:szCs w:val="24"/>
    </w:rPr>
  </w:style>
  <w:style w:type="character" w:customStyle="1" w:styleId="119">
    <w:name w:val="textcontents"/>
    <w:autoRedefine/>
    <w:qFormat/>
    <w:uiPriority w:val="0"/>
    <w:rPr>
      <w:rFonts w:cs="Times New Roman"/>
    </w:rPr>
  </w:style>
  <w:style w:type="character" w:customStyle="1" w:styleId="120">
    <w:name w:val="副标题 Char2"/>
    <w:autoRedefine/>
    <w:qFormat/>
    <w:uiPriority w:val="0"/>
    <w:rPr>
      <w:rFonts w:ascii="Cambria" w:hAnsi="Cambria" w:eastAsia="宋体" w:cs="Times New Roman"/>
      <w:b/>
      <w:bCs/>
      <w:kern w:val="28"/>
      <w:sz w:val="32"/>
      <w:szCs w:val="32"/>
    </w:rPr>
  </w:style>
  <w:style w:type="character" w:customStyle="1" w:styleId="121">
    <w:name w:val="明显参考1"/>
    <w:autoRedefine/>
    <w:qFormat/>
    <w:uiPriority w:val="0"/>
    <w:rPr>
      <w:b/>
      <w:bCs/>
      <w:smallCaps/>
      <w:color w:val="C0504D"/>
      <w:spacing w:val="5"/>
      <w:u w:val="single"/>
    </w:rPr>
  </w:style>
  <w:style w:type="character" w:customStyle="1" w:styleId="122">
    <w:name w:val="正文文本 Char2"/>
    <w:autoRedefine/>
    <w:qFormat/>
    <w:uiPriority w:val="0"/>
    <w:rPr>
      <w:rFonts w:ascii="Times New Roman" w:hAnsi="Times New Roman" w:eastAsia="宋体" w:cs="Times New Roman"/>
      <w:szCs w:val="24"/>
    </w:rPr>
  </w:style>
  <w:style w:type="character" w:customStyle="1" w:styleId="123">
    <w:name w:val="标题5 Char Char"/>
    <w:link w:val="124"/>
    <w:autoRedefine/>
    <w:qFormat/>
    <w:uiPriority w:val="0"/>
    <w:rPr>
      <w:rFonts w:ascii="Arial" w:hAnsi="Arial"/>
      <w:b/>
      <w:bCs/>
      <w:sz w:val="24"/>
      <w:szCs w:val="32"/>
    </w:rPr>
  </w:style>
  <w:style w:type="paragraph" w:customStyle="1" w:styleId="124">
    <w:name w:val="标题5"/>
    <w:basedOn w:val="4"/>
    <w:link w:val="123"/>
    <w:autoRedefine/>
    <w:qFormat/>
    <w:uiPriority w:val="0"/>
    <w:pPr>
      <w:spacing w:before="260" w:after="260" w:line="413" w:lineRule="auto"/>
    </w:pPr>
    <w:rPr>
      <w:rFonts w:ascii="Arial" w:hAnsi="Arial" w:eastAsiaTheme="minorEastAsia" w:cstheme="minorBidi"/>
      <w:lang w:val="en-US"/>
    </w:rPr>
  </w:style>
  <w:style w:type="character" w:customStyle="1" w:styleId="125">
    <w:name w:val="refer-count"/>
    <w:autoRedefine/>
    <w:qFormat/>
    <w:uiPriority w:val="0"/>
  </w:style>
  <w:style w:type="character" w:customStyle="1" w:styleId="126">
    <w:name w:val="正文文本 2 字符"/>
    <w:autoRedefine/>
    <w:semiHidden/>
    <w:qFormat/>
    <w:uiPriority w:val="99"/>
    <w:rPr>
      <w:rFonts w:ascii="Calibri" w:hAnsi="Calibri" w:eastAsia="宋体" w:cs="Times New Roman"/>
      <w:kern w:val="2"/>
      <w:sz w:val="24"/>
      <w:szCs w:val="22"/>
    </w:rPr>
  </w:style>
  <w:style w:type="character" w:customStyle="1" w:styleId="127">
    <w:name w:val="HTML Markup"/>
    <w:autoRedefine/>
    <w:qFormat/>
    <w:uiPriority w:val="0"/>
    <w:rPr>
      <w:vanish/>
      <w:color w:val="FF0000"/>
    </w:rPr>
  </w:style>
  <w:style w:type="character" w:customStyle="1" w:styleId="128">
    <w:name w:val="未处理的提及2"/>
    <w:autoRedefine/>
    <w:unhideWhenUsed/>
    <w:qFormat/>
    <w:uiPriority w:val="99"/>
    <w:rPr>
      <w:color w:val="605E5C"/>
      <w:shd w:val="clear" w:color="auto" w:fill="E1DFDD"/>
    </w:rPr>
  </w:style>
  <w:style w:type="character" w:customStyle="1" w:styleId="129">
    <w:name w:val="日期 Char2"/>
    <w:autoRedefine/>
    <w:qFormat/>
    <w:uiPriority w:val="0"/>
    <w:rPr>
      <w:rFonts w:ascii="Times New Roman" w:hAnsi="Times New Roman" w:eastAsia="宋体" w:cs="Times New Roman"/>
      <w:szCs w:val="24"/>
    </w:rPr>
  </w:style>
  <w:style w:type="character" w:customStyle="1" w:styleId="130">
    <w:name w:val="文档结构图 Char1"/>
    <w:autoRedefine/>
    <w:qFormat/>
    <w:uiPriority w:val="0"/>
    <w:rPr>
      <w:rFonts w:ascii="宋体"/>
      <w:kern w:val="2"/>
      <w:sz w:val="18"/>
      <w:szCs w:val="18"/>
    </w:rPr>
  </w:style>
  <w:style w:type="character" w:customStyle="1" w:styleId="131">
    <w:name w:val="明显引用 Char"/>
    <w:link w:val="132"/>
    <w:autoRedefine/>
    <w:qFormat/>
    <w:uiPriority w:val="0"/>
    <w:rPr>
      <w:b/>
      <w:bCs/>
      <w:i/>
      <w:iCs/>
      <w:color w:val="4F81BD"/>
    </w:rPr>
  </w:style>
  <w:style w:type="paragraph" w:styleId="132">
    <w:name w:val="Intense Quote"/>
    <w:basedOn w:val="1"/>
    <w:next w:val="1"/>
    <w:link w:val="131"/>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3">
    <w:name w:val="明显引用 Char3"/>
    <w:basedOn w:val="51"/>
    <w:autoRedefine/>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4">
    <w:name w:val="正文文本缩进 Char Char"/>
    <w:autoRedefine/>
    <w:qFormat/>
    <w:uiPriority w:val="0"/>
  </w:style>
  <w:style w:type="character" w:customStyle="1" w:styleId="135">
    <w:name w:val="引用 Char2"/>
    <w:autoRedefine/>
    <w:qFormat/>
    <w:uiPriority w:val="0"/>
    <w:rPr>
      <w:rFonts w:ascii="Times New Roman" w:hAnsi="Times New Roman" w:eastAsia="宋体" w:cs="Times New Roman"/>
      <w:i/>
      <w:iCs/>
      <w:color w:val="000000"/>
      <w:szCs w:val="24"/>
    </w:rPr>
  </w:style>
  <w:style w:type="character" w:customStyle="1" w:styleId="136">
    <w:name w:val="content"/>
    <w:autoRedefine/>
    <w:qFormat/>
    <w:uiPriority w:val="0"/>
  </w:style>
  <w:style w:type="character" w:customStyle="1" w:styleId="137">
    <w:name w:val="正文标题 Char Char"/>
    <w:link w:val="138"/>
    <w:autoRedefine/>
    <w:qFormat/>
    <w:uiPriority w:val="0"/>
    <w:rPr>
      <w:rFonts w:ascii="黑体" w:eastAsia="黑体"/>
      <w:b/>
      <w:color w:val="FF0000"/>
      <w:sz w:val="30"/>
    </w:rPr>
  </w:style>
  <w:style w:type="paragraph" w:customStyle="1" w:styleId="138">
    <w:name w:val="正文标题"/>
    <w:basedOn w:val="117"/>
    <w:link w:val="137"/>
    <w:autoRedefine/>
    <w:qFormat/>
    <w:uiPriority w:val="0"/>
    <w:pPr>
      <w:spacing w:before="156" w:beforeLines="50" w:after="156" w:afterLines="50"/>
      <w:ind w:firstLine="0" w:firstLineChars="0"/>
      <w:jc w:val="center"/>
    </w:pPr>
    <w:rPr>
      <w:rFonts w:ascii="黑体" w:eastAsia="黑体"/>
      <w:b/>
      <w:color w:val="FF0000"/>
      <w:sz w:val="30"/>
    </w:rPr>
  </w:style>
  <w:style w:type="character" w:customStyle="1" w:styleId="139">
    <w:name w:val="Hyperlink.0"/>
    <w:autoRedefine/>
    <w:qFormat/>
    <w:uiPriority w:val="0"/>
    <w:rPr>
      <w:color w:val="000000"/>
      <w:u w:color="000000"/>
    </w:rPr>
  </w:style>
  <w:style w:type="character" w:customStyle="1" w:styleId="140">
    <w:name w:val="law-parenthese"/>
    <w:autoRedefine/>
    <w:qFormat/>
    <w:uiPriority w:val="0"/>
  </w:style>
  <w:style w:type="character" w:customStyle="1" w:styleId="141">
    <w:name w:val="正文文本 字符"/>
    <w:autoRedefine/>
    <w:qFormat/>
    <w:uiPriority w:val="99"/>
    <w:rPr>
      <w:rFonts w:ascii="Calibri" w:hAnsi="Calibri" w:eastAsia="宋体" w:cs="Times New Roman"/>
      <w:kern w:val="2"/>
      <w:sz w:val="24"/>
      <w:szCs w:val="22"/>
    </w:rPr>
  </w:style>
  <w:style w:type="character" w:customStyle="1" w:styleId="142">
    <w:name w:val="纯文本 字符"/>
    <w:autoRedefine/>
    <w:qFormat/>
    <w:uiPriority w:val="0"/>
    <w:rPr>
      <w:rFonts w:ascii="宋体" w:hAnsi="宋体" w:cs="宋体"/>
      <w:kern w:val="2"/>
      <w:sz w:val="24"/>
      <w:szCs w:val="24"/>
      <w:lang w:val="en-US" w:eastAsia="zh-CN" w:bidi="ar-SA"/>
    </w:rPr>
  </w:style>
  <w:style w:type="character" w:customStyle="1" w:styleId="143">
    <w:name w:val="脚注文本 Char1"/>
    <w:autoRedefine/>
    <w:qFormat/>
    <w:uiPriority w:val="0"/>
    <w:rPr>
      <w:kern w:val="2"/>
      <w:sz w:val="18"/>
      <w:szCs w:val="18"/>
    </w:rPr>
  </w:style>
  <w:style w:type="character" w:customStyle="1" w:styleId="144">
    <w:name w:val="副标题 字符"/>
    <w:autoRedefine/>
    <w:qFormat/>
    <w:uiPriority w:val="11"/>
    <w:rPr>
      <w:rFonts w:ascii="宋体" w:hAnsi="宋体"/>
      <w:b/>
      <w:bCs/>
      <w:kern w:val="28"/>
      <w:sz w:val="24"/>
      <w:szCs w:val="32"/>
      <w:lang w:val="en-US" w:eastAsia="zh-CN" w:bidi="ar-SA"/>
    </w:rPr>
  </w:style>
  <w:style w:type="character" w:customStyle="1" w:styleId="145">
    <w:name w:val="副标题 Char1"/>
    <w:autoRedefine/>
    <w:qFormat/>
    <w:uiPriority w:val="0"/>
    <w:rPr>
      <w:rFonts w:ascii="Cambria" w:hAnsi="Cambria" w:cs="Times New Roman"/>
      <w:b/>
      <w:bCs/>
      <w:kern w:val="28"/>
      <w:sz w:val="32"/>
      <w:szCs w:val="32"/>
    </w:rPr>
  </w:style>
  <w:style w:type="character" w:customStyle="1" w:styleId="146">
    <w:name w:val="文档结构图 字符"/>
    <w:autoRedefine/>
    <w:semiHidden/>
    <w:qFormat/>
    <w:uiPriority w:val="99"/>
    <w:rPr>
      <w:rFonts w:ascii="宋体" w:hAnsi="Calibri" w:cs="Times New Roman"/>
      <w:kern w:val="2"/>
      <w:sz w:val="24"/>
      <w:szCs w:val="24"/>
    </w:rPr>
  </w:style>
  <w:style w:type="character" w:customStyle="1" w:styleId="147">
    <w:name w:val="日期 字符"/>
    <w:autoRedefine/>
    <w:qFormat/>
    <w:uiPriority w:val="0"/>
  </w:style>
  <w:style w:type="character" w:customStyle="1" w:styleId="148">
    <w:name w:val="search-in-page-highlight-item"/>
    <w:autoRedefine/>
    <w:qFormat/>
    <w:uiPriority w:val="0"/>
  </w:style>
  <w:style w:type="character" w:styleId="149">
    <w:name w:val="Placeholder Text"/>
    <w:autoRedefine/>
    <w:unhideWhenUsed/>
    <w:qFormat/>
    <w:uiPriority w:val="99"/>
    <w:rPr>
      <w:color w:val="808080"/>
    </w:rPr>
  </w:style>
  <w:style w:type="character" w:customStyle="1" w:styleId="150">
    <w:name w:val="批注框文本 Char2"/>
    <w:autoRedefine/>
    <w:qFormat/>
    <w:uiPriority w:val="0"/>
    <w:rPr>
      <w:rFonts w:ascii="Times New Roman" w:hAnsi="Times New Roman" w:eastAsia="宋体" w:cs="Times New Roman"/>
      <w:sz w:val="18"/>
      <w:szCs w:val="18"/>
    </w:rPr>
  </w:style>
  <w:style w:type="character" w:customStyle="1" w:styleId="151">
    <w:name w:val="文一 Char Char"/>
    <w:link w:val="152"/>
    <w:autoRedefine/>
    <w:qFormat/>
    <w:uiPriority w:val="0"/>
    <w:rPr>
      <w:snapToGrid w:val="0"/>
      <w:spacing w:val="4"/>
      <w:sz w:val="24"/>
      <w:szCs w:val="24"/>
    </w:rPr>
  </w:style>
  <w:style w:type="paragraph" w:customStyle="1" w:styleId="152">
    <w:name w:val="文一"/>
    <w:basedOn w:val="1"/>
    <w:link w:val="151"/>
    <w:autoRedefine/>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53">
    <w:name w:val="页眉 字符"/>
    <w:autoRedefine/>
    <w:qFormat/>
    <w:uiPriority w:val="99"/>
    <w:rPr>
      <w:rFonts w:ascii="宋体" w:hAnsi="宋体" w:cs="Times New Roman"/>
      <w:kern w:val="2"/>
      <w:sz w:val="18"/>
      <w:szCs w:val="18"/>
    </w:rPr>
  </w:style>
  <w:style w:type="character" w:customStyle="1" w:styleId="154">
    <w:name w:val="HTML 预设格式 字符"/>
    <w:autoRedefine/>
    <w:semiHidden/>
    <w:qFormat/>
    <w:uiPriority w:val="99"/>
    <w:rPr>
      <w:rFonts w:ascii="宋体" w:hAnsi="宋体" w:cs="宋体"/>
      <w:sz w:val="24"/>
      <w:szCs w:val="24"/>
    </w:rPr>
  </w:style>
  <w:style w:type="character" w:customStyle="1" w:styleId="155">
    <w:name w:val="Char Char14"/>
    <w:autoRedefine/>
    <w:qFormat/>
    <w:uiPriority w:val="0"/>
    <w:rPr>
      <w:rFonts w:eastAsia="宋体"/>
      <w:kern w:val="2"/>
      <w:sz w:val="21"/>
      <w:szCs w:val="24"/>
      <w:lang w:val="en-US" w:eastAsia="zh-CN" w:bidi="ar-SA"/>
    </w:rPr>
  </w:style>
  <w:style w:type="character" w:customStyle="1" w:styleId="156">
    <w:name w:val="批注文字 Char1"/>
    <w:autoRedefine/>
    <w:qFormat/>
    <w:uiPriority w:val="0"/>
    <w:rPr>
      <w:kern w:val="2"/>
      <w:sz w:val="21"/>
      <w:szCs w:val="24"/>
    </w:rPr>
  </w:style>
  <w:style w:type="character" w:customStyle="1" w:styleId="157">
    <w:name w:val="书籍标题1"/>
    <w:autoRedefine/>
    <w:qFormat/>
    <w:uiPriority w:val="0"/>
    <w:rPr>
      <w:b/>
      <w:bCs/>
      <w:smallCaps/>
      <w:spacing w:val="5"/>
    </w:rPr>
  </w:style>
  <w:style w:type="character" w:customStyle="1" w:styleId="158">
    <w:name w:val="apple-converted-space"/>
    <w:autoRedefine/>
    <w:qFormat/>
    <w:uiPriority w:val="0"/>
  </w:style>
  <w:style w:type="character" w:customStyle="1" w:styleId="159">
    <w:name w:val="不明显参考1"/>
    <w:autoRedefine/>
    <w:qFormat/>
    <w:uiPriority w:val="0"/>
    <w:rPr>
      <w:smallCaps/>
      <w:color w:val="C0504D"/>
      <w:u w:val="single"/>
    </w:rPr>
  </w:style>
  <w:style w:type="character" w:customStyle="1" w:styleId="160">
    <w:name w:val="文档结构图 Char2"/>
    <w:autoRedefine/>
    <w:qFormat/>
    <w:uiPriority w:val="0"/>
    <w:rPr>
      <w:rFonts w:ascii="宋体" w:hAnsi="Times New Roman" w:eastAsia="宋体" w:cs="Times New Roman"/>
      <w:sz w:val="18"/>
      <w:szCs w:val="18"/>
    </w:rPr>
  </w:style>
  <w:style w:type="character" w:customStyle="1" w:styleId="161">
    <w:name w:val="日期 Char1"/>
    <w:autoRedefine/>
    <w:qFormat/>
    <w:uiPriority w:val="0"/>
    <w:rPr>
      <w:kern w:val="2"/>
      <w:sz w:val="21"/>
      <w:szCs w:val="22"/>
    </w:rPr>
  </w:style>
  <w:style w:type="character" w:customStyle="1" w:styleId="162">
    <w:name w:val="font161"/>
    <w:autoRedefine/>
    <w:qFormat/>
    <w:uiPriority w:val="0"/>
    <w:rPr>
      <w:b/>
      <w:bCs/>
      <w:sz w:val="32"/>
      <w:szCs w:val="32"/>
    </w:rPr>
  </w:style>
  <w:style w:type="character" w:customStyle="1" w:styleId="163">
    <w:name w:val="标题 6 字符"/>
    <w:autoRedefine/>
    <w:semiHidden/>
    <w:qFormat/>
    <w:uiPriority w:val="9"/>
    <w:rPr>
      <w:rFonts w:ascii="Calibri Light" w:hAnsi="Calibri Light" w:eastAsia="宋体" w:cs="Times New Roman"/>
      <w:b/>
      <w:bCs/>
      <w:kern w:val="2"/>
      <w:sz w:val="24"/>
      <w:szCs w:val="24"/>
    </w:rPr>
  </w:style>
  <w:style w:type="character" w:customStyle="1" w:styleId="164">
    <w:name w:val="Char Char12"/>
    <w:autoRedefine/>
    <w:qFormat/>
    <w:uiPriority w:val="0"/>
    <w:rPr>
      <w:rFonts w:eastAsia="宋体"/>
      <w:kern w:val="2"/>
      <w:sz w:val="18"/>
      <w:szCs w:val="18"/>
      <w:lang w:val="en-US" w:eastAsia="zh-CN" w:bidi="ar-SA"/>
    </w:rPr>
  </w:style>
  <w:style w:type="character" w:customStyle="1" w:styleId="165">
    <w:name w:val="标题 Char2"/>
    <w:autoRedefine/>
    <w:qFormat/>
    <w:uiPriority w:val="0"/>
    <w:rPr>
      <w:rFonts w:ascii="Cambria" w:hAnsi="Cambria" w:eastAsia="宋体" w:cs="Times New Roman"/>
      <w:b/>
      <w:bCs/>
      <w:sz w:val="32"/>
      <w:szCs w:val="32"/>
    </w:rPr>
  </w:style>
  <w:style w:type="character" w:customStyle="1" w:styleId="166">
    <w:name w:val="正文文本 Char1"/>
    <w:autoRedefine/>
    <w:qFormat/>
    <w:uiPriority w:val="0"/>
    <w:rPr>
      <w:kern w:val="2"/>
      <w:sz w:val="21"/>
      <w:szCs w:val="22"/>
    </w:rPr>
  </w:style>
  <w:style w:type="character" w:customStyle="1" w:styleId="167">
    <w:name w:val="标题 Char1"/>
    <w:autoRedefine/>
    <w:qFormat/>
    <w:uiPriority w:val="0"/>
    <w:rPr>
      <w:rFonts w:ascii="Cambria" w:hAnsi="Cambria" w:cs="Times New Roman"/>
      <w:b/>
      <w:bCs/>
      <w:kern w:val="2"/>
      <w:sz w:val="32"/>
      <w:szCs w:val="32"/>
    </w:rPr>
  </w:style>
  <w:style w:type="character" w:customStyle="1" w:styleId="168">
    <w:name w:val="未处理的提及3"/>
    <w:autoRedefine/>
    <w:unhideWhenUsed/>
    <w:qFormat/>
    <w:uiPriority w:val="99"/>
    <w:rPr>
      <w:color w:val="605E5C"/>
      <w:shd w:val="clear" w:color="auto" w:fill="E1DFDD"/>
    </w:rPr>
  </w:style>
  <w:style w:type="character" w:customStyle="1" w:styleId="169">
    <w:name w:val="op-map-singlepoint-info-right1"/>
    <w:autoRedefine/>
    <w:qFormat/>
    <w:uiPriority w:val="0"/>
  </w:style>
  <w:style w:type="character" w:customStyle="1" w:styleId="170">
    <w:name w:val="批注文字 Char2"/>
    <w:autoRedefine/>
    <w:qFormat/>
    <w:uiPriority w:val="0"/>
    <w:rPr>
      <w:rFonts w:ascii="Times New Roman" w:hAnsi="Times New Roman" w:eastAsia="宋体" w:cs="Times New Roman"/>
      <w:szCs w:val="24"/>
    </w:rPr>
  </w:style>
  <w:style w:type="character" w:customStyle="1" w:styleId="171">
    <w:name w:val="无间隔 Char Char"/>
    <w:autoRedefine/>
    <w:qFormat/>
    <w:uiPriority w:val="0"/>
    <w:rPr>
      <w:rFonts w:ascii="Calibri" w:hAnsi="Calibri"/>
      <w:kern w:val="2"/>
      <w:sz w:val="21"/>
      <w:szCs w:val="22"/>
      <w:lang w:val="en-US" w:eastAsia="zh-CN" w:bidi="ar-SA"/>
    </w:rPr>
  </w:style>
  <w:style w:type="character" w:customStyle="1" w:styleId="172">
    <w:name w:val="正文文本缩进 Char1"/>
    <w:autoRedefine/>
    <w:qFormat/>
    <w:uiPriority w:val="0"/>
    <w:rPr>
      <w:rFonts w:ascii="Times New Roman" w:hAnsi="Times New Roman" w:eastAsia="宋体" w:cs="Times New Roman"/>
      <w:szCs w:val="24"/>
    </w:rPr>
  </w:style>
  <w:style w:type="character" w:customStyle="1" w:styleId="173">
    <w:name w:val="666 Char Char"/>
    <w:link w:val="174"/>
    <w:autoRedefine/>
    <w:qFormat/>
    <w:uiPriority w:val="0"/>
    <w:rPr>
      <w:sz w:val="24"/>
    </w:rPr>
  </w:style>
  <w:style w:type="paragraph" w:customStyle="1" w:styleId="174">
    <w:name w:val="666"/>
    <w:basedOn w:val="1"/>
    <w:link w:val="173"/>
    <w:autoRedefine/>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75">
    <w:name w:val="批注主题 Char1"/>
    <w:autoRedefine/>
    <w:qFormat/>
    <w:uiPriority w:val="0"/>
    <w:rPr>
      <w:b/>
      <w:bCs/>
      <w:kern w:val="2"/>
      <w:sz w:val="21"/>
      <w:szCs w:val="22"/>
    </w:rPr>
  </w:style>
  <w:style w:type="character" w:customStyle="1" w:styleId="176">
    <w:name w:val="尾注文本 Char2"/>
    <w:autoRedefine/>
    <w:qFormat/>
    <w:uiPriority w:val="0"/>
    <w:rPr>
      <w:kern w:val="2"/>
      <w:sz w:val="21"/>
      <w:szCs w:val="24"/>
    </w:rPr>
  </w:style>
  <w:style w:type="character" w:customStyle="1" w:styleId="177">
    <w:name w:val="页眉 Char1"/>
    <w:autoRedefine/>
    <w:qFormat/>
    <w:uiPriority w:val="0"/>
    <w:rPr>
      <w:rFonts w:ascii="Times New Roman" w:hAnsi="Times New Roman" w:eastAsia="宋体" w:cs="Times New Roman"/>
      <w:sz w:val="18"/>
      <w:szCs w:val="18"/>
    </w:rPr>
  </w:style>
  <w:style w:type="character" w:customStyle="1" w:styleId="178">
    <w:name w:val="样式1 字符"/>
    <w:link w:val="179"/>
    <w:autoRedefine/>
    <w:qFormat/>
    <w:uiPriority w:val="0"/>
    <w:rPr>
      <w:rFonts w:ascii="宋体" w:hAnsi="宋体"/>
      <w:b/>
      <w:sz w:val="24"/>
    </w:rPr>
  </w:style>
  <w:style w:type="paragraph" w:customStyle="1" w:styleId="179">
    <w:name w:val="样式1"/>
    <w:basedOn w:val="1"/>
    <w:link w:val="178"/>
    <w:autoRedefine/>
    <w:qFormat/>
    <w:uiPriority w:val="0"/>
    <w:pPr>
      <w:spacing w:before="120" w:after="120" w:line="300" w:lineRule="auto"/>
    </w:pPr>
    <w:rPr>
      <w:rFonts w:ascii="宋体" w:hAnsi="宋体" w:eastAsiaTheme="minorEastAsia" w:cstheme="minorBidi"/>
      <w:b/>
      <w:sz w:val="24"/>
      <w:szCs w:val="22"/>
    </w:rPr>
  </w:style>
  <w:style w:type="character" w:customStyle="1" w:styleId="180">
    <w:name w:val="正文文本 3 字符"/>
    <w:autoRedefine/>
    <w:semiHidden/>
    <w:qFormat/>
    <w:uiPriority w:val="99"/>
    <w:rPr>
      <w:rFonts w:ascii="Calibri" w:hAnsi="Calibri" w:eastAsia="宋体" w:cs="Times New Roman"/>
      <w:kern w:val="2"/>
      <w:sz w:val="16"/>
      <w:szCs w:val="16"/>
    </w:rPr>
  </w:style>
  <w:style w:type="character" w:customStyle="1" w:styleId="181">
    <w:name w:val="批注主题 Char3"/>
    <w:autoRedefine/>
    <w:qFormat/>
    <w:uiPriority w:val="0"/>
    <w:rPr>
      <w:rFonts w:ascii="Times New Roman" w:hAnsi="Times New Roman" w:eastAsia="宋体" w:cs="Times New Roman"/>
      <w:b/>
      <w:bCs/>
      <w:szCs w:val="24"/>
    </w:rPr>
  </w:style>
  <w:style w:type="character" w:customStyle="1" w:styleId="182">
    <w:name w:val="正文文本 3 Char1"/>
    <w:autoRedefine/>
    <w:qFormat/>
    <w:uiPriority w:val="0"/>
    <w:rPr>
      <w:rFonts w:ascii="Times New Roman" w:hAnsi="Times New Roman" w:eastAsia="宋体" w:cs="Times New Roman"/>
      <w:sz w:val="16"/>
      <w:szCs w:val="16"/>
    </w:rPr>
  </w:style>
  <w:style w:type="character" w:customStyle="1" w:styleId="183">
    <w:name w:val="批注主题 Char2"/>
    <w:autoRedefine/>
    <w:qFormat/>
    <w:uiPriority w:val="0"/>
    <w:rPr>
      <w:b/>
      <w:bCs/>
      <w:kern w:val="2"/>
      <w:sz w:val="21"/>
      <w:szCs w:val="24"/>
    </w:rPr>
  </w:style>
  <w:style w:type="character" w:customStyle="1" w:styleId="184">
    <w:name w:val="未处理的提及1"/>
    <w:autoRedefine/>
    <w:unhideWhenUsed/>
    <w:qFormat/>
    <w:uiPriority w:val="99"/>
    <w:rPr>
      <w:color w:val="605E5C"/>
      <w:shd w:val="clear" w:color="auto" w:fill="E1DFDD"/>
    </w:rPr>
  </w:style>
  <w:style w:type="character" w:customStyle="1" w:styleId="185">
    <w:name w:val="明显强调1"/>
    <w:autoRedefine/>
    <w:qFormat/>
    <w:uiPriority w:val="0"/>
    <w:rPr>
      <w:b/>
      <w:bCs/>
      <w:i/>
      <w:iCs/>
      <w:color w:val="4F81BD"/>
    </w:rPr>
  </w:style>
  <w:style w:type="character" w:customStyle="1" w:styleId="186">
    <w:name w:val="页脚 Char2"/>
    <w:autoRedefine/>
    <w:qFormat/>
    <w:uiPriority w:val="0"/>
    <w:rPr>
      <w:rFonts w:ascii="Times New Roman" w:hAnsi="Times New Roman" w:eastAsia="宋体" w:cs="Times New Roman"/>
      <w:sz w:val="18"/>
      <w:szCs w:val="18"/>
    </w:rPr>
  </w:style>
  <w:style w:type="character" w:customStyle="1" w:styleId="187">
    <w:name w:val="标题4 Char Char"/>
    <w:link w:val="188"/>
    <w:autoRedefine/>
    <w:qFormat/>
    <w:uiPriority w:val="0"/>
    <w:rPr>
      <w:rFonts w:ascii="Arial" w:hAnsi="Arial"/>
      <w:b/>
      <w:bCs/>
      <w:sz w:val="24"/>
      <w:szCs w:val="32"/>
    </w:rPr>
  </w:style>
  <w:style w:type="paragraph" w:customStyle="1" w:styleId="188">
    <w:name w:val="标题4"/>
    <w:basedOn w:val="3"/>
    <w:next w:val="22"/>
    <w:link w:val="187"/>
    <w:autoRedefine/>
    <w:qFormat/>
    <w:uiPriority w:val="0"/>
    <w:pPr>
      <w:spacing w:line="413" w:lineRule="auto"/>
    </w:pPr>
    <w:rPr>
      <w:rFonts w:eastAsiaTheme="minorEastAsia" w:cstheme="minorBidi"/>
      <w:sz w:val="24"/>
    </w:rPr>
  </w:style>
  <w:style w:type="character" w:customStyle="1" w:styleId="189">
    <w:name w:val="尾注文本 Char1"/>
    <w:autoRedefine/>
    <w:qFormat/>
    <w:uiPriority w:val="0"/>
    <w:rPr>
      <w:kern w:val="2"/>
      <w:sz w:val="21"/>
      <w:szCs w:val="24"/>
    </w:rPr>
  </w:style>
  <w:style w:type="character" w:customStyle="1" w:styleId="190">
    <w:name w:val="search-in-page-highlight-wrapper"/>
    <w:autoRedefine/>
    <w:qFormat/>
    <w:uiPriority w:val="0"/>
  </w:style>
  <w:style w:type="character" w:customStyle="1" w:styleId="191">
    <w:name w:val="标题 8 字符"/>
    <w:autoRedefine/>
    <w:qFormat/>
    <w:uiPriority w:val="0"/>
    <w:rPr>
      <w:rFonts w:ascii="CG Times" w:hAnsi="CG Times"/>
      <w:sz w:val="22"/>
      <w:lang w:val="en-GB"/>
    </w:rPr>
  </w:style>
  <w:style w:type="character" w:customStyle="1" w:styleId="192">
    <w:name w:val="批注框文本 Char1"/>
    <w:autoRedefine/>
    <w:qFormat/>
    <w:uiPriority w:val="0"/>
    <w:rPr>
      <w:kern w:val="2"/>
      <w:sz w:val="18"/>
      <w:szCs w:val="18"/>
    </w:rPr>
  </w:style>
  <w:style w:type="character" w:customStyle="1" w:styleId="193">
    <w:name w:val="纯文本 Char2"/>
    <w:autoRedefine/>
    <w:qFormat/>
    <w:uiPriority w:val="0"/>
    <w:rPr>
      <w:rFonts w:ascii="宋体" w:hAnsi="Courier New" w:eastAsia="宋体" w:cs="Courier New"/>
      <w:szCs w:val="21"/>
    </w:rPr>
  </w:style>
  <w:style w:type="character" w:customStyle="1" w:styleId="194">
    <w:name w:val="页脚 Char1"/>
    <w:autoRedefine/>
    <w:qFormat/>
    <w:uiPriority w:val="0"/>
    <w:rPr>
      <w:sz w:val="18"/>
      <w:szCs w:val="18"/>
    </w:rPr>
  </w:style>
  <w:style w:type="paragraph" w:customStyle="1" w:styleId="19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6">
    <w:name w:val="正文 A"/>
    <w:autoRedefine/>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7">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8">
    <w:name w:val="批注文字 New"/>
    <w:basedOn w:val="1"/>
    <w:autoRedefine/>
    <w:qFormat/>
    <w:uiPriority w:val="0"/>
    <w:pPr>
      <w:adjustRightInd w:val="0"/>
      <w:spacing w:line="360" w:lineRule="atLeast"/>
      <w:jc w:val="left"/>
      <w:textAlignment w:val="baseline"/>
    </w:pPr>
    <w:rPr>
      <w:sz w:val="24"/>
      <w:szCs w:val="20"/>
    </w:rPr>
  </w:style>
  <w:style w:type="paragraph" w:customStyle="1" w:styleId="199">
    <w:name w:val="目录"/>
    <w:basedOn w:val="1"/>
    <w:autoRedefine/>
    <w:qFormat/>
    <w:uiPriority w:val="0"/>
    <w:pPr>
      <w:widowControl/>
      <w:jc w:val="center"/>
    </w:pPr>
    <w:rPr>
      <w:rFonts w:ascii="宋体"/>
      <w:b/>
      <w:kern w:val="0"/>
      <w:sz w:val="36"/>
      <w:szCs w:val="20"/>
    </w:rPr>
  </w:style>
  <w:style w:type="paragraph" w:customStyle="1" w:styleId="200">
    <w:name w:val="Char Char Char Char Char Char Char"/>
    <w:basedOn w:val="1"/>
    <w:autoRedefine/>
    <w:qFormat/>
    <w:uiPriority w:val="0"/>
    <w:pPr>
      <w:widowControl/>
      <w:spacing w:after="160" w:line="240" w:lineRule="exact"/>
      <w:jc w:val="left"/>
      <w:textAlignment w:val="baseline"/>
    </w:pPr>
    <w:rPr>
      <w:color w:val="000000"/>
      <w:kern w:val="0"/>
      <w:szCs w:val="20"/>
      <w:u w:color="000000"/>
    </w:rPr>
  </w:style>
  <w:style w:type="paragraph" w:customStyle="1" w:styleId="201">
    <w:name w:val="TOC 标题1"/>
    <w:basedOn w:val="2"/>
    <w:next w:val="1"/>
    <w:autoRedefine/>
    <w:qFormat/>
    <w:uiPriority w:val="0"/>
    <w:pPr>
      <w:spacing w:before="240" w:line="259" w:lineRule="auto"/>
      <w:jc w:val="left"/>
      <w:outlineLvl w:val="9"/>
    </w:pPr>
    <w:rPr>
      <w:rFonts w:ascii="Calibri Light" w:hAnsi="Calibri Light"/>
      <w:b w:val="0"/>
      <w:color w:val="2E75B5"/>
      <w:kern w:val="0"/>
      <w:sz w:val="32"/>
      <w:szCs w:val="32"/>
    </w:rPr>
  </w:style>
  <w:style w:type="paragraph" w:customStyle="1" w:styleId="202">
    <w:name w:val="Title 5 Chinese"/>
    <w:autoRedefine/>
    <w:qFormat/>
    <w:uiPriority w:val="0"/>
    <w:pPr>
      <w:ind w:left="1701"/>
    </w:pPr>
    <w:rPr>
      <w:rFonts w:ascii="Times New Roman" w:hAnsi="Times New Roman" w:eastAsia="宋体" w:cs="Times New Roman"/>
      <w:kern w:val="2"/>
      <w:sz w:val="24"/>
      <w:szCs w:val="24"/>
      <w:lang w:val="en-US" w:eastAsia="zh-CN" w:bidi="ar-SA"/>
    </w:rPr>
  </w:style>
  <w:style w:type="paragraph" w:customStyle="1" w:styleId="203">
    <w:name w:val="菲页1"/>
    <w:basedOn w:val="3"/>
    <w:autoRedefine/>
    <w:qFormat/>
    <w:uiPriority w:val="0"/>
    <w:pPr>
      <w:widowControl/>
      <w:jc w:val="center"/>
    </w:pPr>
    <w:rPr>
      <w:rFonts w:ascii="黑体" w:hAnsi="宋体"/>
      <w:b w:val="0"/>
      <w:bCs w:val="0"/>
      <w:kern w:val="0"/>
      <w:sz w:val="52"/>
      <w:szCs w:val="20"/>
    </w:rPr>
  </w:style>
  <w:style w:type="paragraph" w:customStyle="1" w:styleId="204">
    <w:name w:val="Char Char6 Char Char Char Char"/>
    <w:basedOn w:val="1"/>
    <w:autoRedefine/>
    <w:qFormat/>
    <w:uiPriority w:val="0"/>
    <w:pPr>
      <w:widowControl/>
      <w:spacing w:after="160" w:line="240" w:lineRule="exact"/>
      <w:jc w:val="left"/>
    </w:pPr>
  </w:style>
  <w:style w:type="paragraph" w:customStyle="1" w:styleId="205">
    <w:name w:val="通用标题5"/>
    <w:autoRedefine/>
    <w:qFormat/>
    <w:uiPriority w:val="0"/>
    <w:pPr>
      <w:widowControl w:val="0"/>
      <w:numPr>
        <w:ilvl w:val="3"/>
        <w:numId w:val="1"/>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206">
    <w:name w:val="_Style 17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8">
    <w:name w:val="xl88"/>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09">
    <w:name w:val="表格体"/>
    <w:basedOn w:val="1"/>
    <w:autoRedefine/>
    <w:qFormat/>
    <w:uiPriority w:val="0"/>
    <w:pPr>
      <w:spacing w:line="360" w:lineRule="auto"/>
      <w:jc w:val="center"/>
    </w:pPr>
    <w:rPr>
      <w:rFonts w:eastAsia="楷体_GB2312"/>
      <w:sz w:val="24"/>
      <w:szCs w:val="20"/>
    </w:rPr>
  </w:style>
  <w:style w:type="paragraph" w:customStyle="1" w:styleId="21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11">
    <w:name w:val="专用标题2"/>
    <w:next w:val="1"/>
    <w:autoRedefine/>
    <w:qFormat/>
    <w:uiPriority w:val="0"/>
    <w:pPr>
      <w:tabs>
        <w:tab w:val="left" w:pos="993"/>
      </w:tabs>
      <w:spacing w:line="360" w:lineRule="auto"/>
    </w:pPr>
    <w:rPr>
      <w:rFonts w:ascii="宋体" w:hAnsi="宋体" w:eastAsia="宋体" w:cs="Times"/>
      <w:b/>
      <w:bCs/>
      <w:kern w:val="2"/>
      <w:sz w:val="21"/>
      <w:szCs w:val="32"/>
      <w:lang w:val="en-US" w:eastAsia="zh-CN" w:bidi="ar-SA"/>
    </w:rPr>
  </w:style>
  <w:style w:type="paragraph" w:customStyle="1" w:styleId="21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正文2"/>
    <w:basedOn w:val="1"/>
    <w:autoRedefine/>
    <w:qFormat/>
    <w:uiPriority w:val="0"/>
    <w:pPr>
      <w:adjustRightInd w:val="0"/>
      <w:spacing w:line="420" w:lineRule="atLeast"/>
      <w:textAlignment w:val="baseline"/>
    </w:pPr>
    <w:rPr>
      <w:kern w:val="0"/>
      <w:szCs w:val="20"/>
    </w:rPr>
  </w:style>
  <w:style w:type="paragraph" w:customStyle="1" w:styleId="214">
    <w:name w:val="Char Char Char Char Char Char Char Char Char Char"/>
    <w:autoRedefine/>
    <w:qFormat/>
    <w:uiPriority w:val="0"/>
    <w:pPr>
      <w:widowControl w:val="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215">
    <w:name w:val="Table Paragraph"/>
    <w:basedOn w:val="1"/>
    <w:autoRedefine/>
    <w:qFormat/>
    <w:uiPriority w:val="0"/>
    <w:pPr>
      <w:jc w:val="left"/>
    </w:pPr>
    <w:rPr>
      <w:kern w:val="0"/>
      <w:sz w:val="22"/>
      <w:szCs w:val="22"/>
      <w:lang w:eastAsia="en-US"/>
    </w:rPr>
  </w:style>
  <w:style w:type="paragraph" w:customStyle="1" w:styleId="216">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7">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18">
    <w:name w:val="正文 New"/>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1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Title 4"/>
    <w:next w:val="221"/>
    <w:autoRedefine/>
    <w:qFormat/>
    <w:uiPriority w:val="0"/>
    <w:pPr>
      <w:numPr>
        <w:ilvl w:val="0"/>
        <w:numId w:val="2"/>
      </w:numPr>
      <w:ind w:left="1276" w:hanging="562"/>
      <w:jc w:val="both"/>
    </w:pPr>
    <w:rPr>
      <w:rFonts w:ascii="Times New Roman" w:hAnsi="Times New Roman" w:eastAsia="宋体" w:cs="Times New Roman"/>
      <w:kern w:val="2"/>
      <w:sz w:val="24"/>
      <w:szCs w:val="24"/>
      <w:lang w:val="en-US" w:eastAsia="zh-CN" w:bidi="ar-SA"/>
    </w:rPr>
  </w:style>
  <w:style w:type="paragraph" w:customStyle="1" w:styleId="221">
    <w:name w:val="Title 4 Chinese"/>
    <w:autoRedefine/>
    <w:qFormat/>
    <w:uiPriority w:val="0"/>
    <w:pPr>
      <w:ind w:left="1276"/>
    </w:pPr>
    <w:rPr>
      <w:rFonts w:ascii="Times New Roman" w:hAnsi="Times New Roman" w:eastAsia="宋体" w:cs="Times New Roman"/>
      <w:kern w:val="2"/>
      <w:sz w:val="24"/>
      <w:szCs w:val="24"/>
      <w:lang w:val="en-US" w:eastAsia="zh-CN" w:bidi="ar-SA"/>
    </w:rPr>
  </w:style>
  <w:style w:type="paragraph" w:customStyle="1" w:styleId="222">
    <w:name w:val="表"/>
    <w:basedOn w:val="1"/>
    <w:autoRedefine/>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223">
    <w:name w:val="样式8"/>
    <w:basedOn w:val="1"/>
    <w:autoRedefine/>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4">
    <w:name w:val="页眉与页脚"/>
    <w:autoRedefine/>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22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226">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9">
    <w:name w:val="表头"/>
    <w:basedOn w:val="1"/>
    <w:link w:val="230"/>
    <w:autoRedefine/>
    <w:qFormat/>
    <w:uiPriority w:val="0"/>
    <w:pPr>
      <w:adjustRightInd w:val="0"/>
      <w:spacing w:before="120" w:after="60" w:line="420" w:lineRule="atLeast"/>
      <w:textAlignment w:val="baseline"/>
    </w:pPr>
    <w:rPr>
      <w:rFonts w:ascii="黑体" w:eastAsia="黑体"/>
      <w:b/>
      <w:kern w:val="0"/>
      <w:sz w:val="20"/>
      <w:szCs w:val="20"/>
      <w:lang w:val="zh-CN"/>
    </w:rPr>
  </w:style>
  <w:style w:type="character" w:customStyle="1" w:styleId="230">
    <w:name w:val="表头 Char"/>
    <w:link w:val="229"/>
    <w:autoRedefine/>
    <w:qFormat/>
    <w:uiPriority w:val="0"/>
    <w:rPr>
      <w:rFonts w:ascii="黑体" w:hAnsi="Times New Roman" w:eastAsia="黑体" w:cs="Times New Roman"/>
      <w:b/>
      <w:kern w:val="0"/>
      <w:sz w:val="20"/>
      <w:szCs w:val="20"/>
      <w:lang w:val="zh-CN" w:eastAsia="zh-CN"/>
    </w:rPr>
  </w:style>
  <w:style w:type="paragraph" w:customStyle="1" w:styleId="231">
    <w:name w:val="附件标题"/>
    <w:next w:val="1"/>
    <w:link w:val="232"/>
    <w:autoRedefine/>
    <w:qFormat/>
    <w:uiPriority w:val="0"/>
    <w:pPr>
      <w:numPr>
        <w:ilvl w:val="0"/>
        <w:numId w:val="3"/>
      </w:numPr>
      <w:tabs>
        <w:tab w:val="left" w:pos="1134"/>
      </w:tabs>
      <w:spacing w:line="360" w:lineRule="auto"/>
      <w:ind w:firstLine="0"/>
      <w:jc w:val="center"/>
    </w:pPr>
    <w:rPr>
      <w:rFonts w:ascii="黑体" w:hAnsi="黑体" w:eastAsia="宋体" w:cs="Times New Roman"/>
      <w:sz w:val="21"/>
      <w:szCs w:val="30"/>
      <w:lang w:val="en-US" w:eastAsia="zh-CN" w:bidi="ar-SA"/>
    </w:rPr>
  </w:style>
  <w:style w:type="character" w:customStyle="1" w:styleId="232">
    <w:name w:val="附件标题 Char"/>
    <w:link w:val="231"/>
    <w:autoRedefine/>
    <w:qFormat/>
    <w:uiPriority w:val="0"/>
    <w:rPr>
      <w:rFonts w:ascii="黑体" w:hAnsi="黑体" w:eastAsia="宋体" w:cs="Times New Roman"/>
      <w:kern w:val="0"/>
      <w:szCs w:val="30"/>
    </w:rPr>
  </w:style>
  <w:style w:type="paragraph" w:customStyle="1" w:styleId="23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4">
    <w:name w:val="小标题"/>
    <w:autoRedefine/>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5">
    <w:name w:val="表格"/>
    <w:basedOn w:val="1"/>
    <w:autoRedefine/>
    <w:qFormat/>
    <w:uiPriority w:val="0"/>
    <w:pPr>
      <w:jc w:val="center"/>
      <w:textAlignment w:val="center"/>
    </w:pPr>
    <w:rPr>
      <w:rFonts w:ascii="华文细黑" w:hAnsi="华文细黑"/>
      <w:kern w:val="0"/>
      <w:szCs w:val="20"/>
    </w:rPr>
  </w:style>
  <w:style w:type="paragraph" w:customStyle="1" w:styleId="236">
    <w:name w:val="样式3"/>
    <w:next w:val="1"/>
    <w:autoRedefine/>
    <w:qFormat/>
    <w:uiPriority w:val="0"/>
    <w:pPr>
      <w:numPr>
        <w:ilvl w:val="2"/>
        <w:numId w:val="4"/>
      </w:numPr>
    </w:pPr>
    <w:rPr>
      <w:rFonts w:ascii="Times New Roman" w:hAnsi="Times New Roman" w:eastAsia="宋体" w:cs="Times New Roman"/>
      <w:bCs/>
      <w:kern w:val="2"/>
      <w:sz w:val="24"/>
      <w:szCs w:val="24"/>
      <w:lang w:val="en-US" w:eastAsia="zh-CN" w:bidi="ar-SA"/>
    </w:rPr>
  </w:style>
  <w:style w:type="paragraph" w:customStyle="1" w:styleId="237">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Cs w:val="20"/>
    </w:rPr>
  </w:style>
  <w:style w:type="paragraph" w:customStyle="1" w:styleId="238">
    <w:name w:val="通用标题6"/>
    <w:basedOn w:val="1"/>
    <w:autoRedefine/>
    <w:qFormat/>
    <w:uiPriority w:val="0"/>
    <w:pPr>
      <w:numPr>
        <w:ilvl w:val="4"/>
        <w:numId w:val="5"/>
      </w:numPr>
      <w:tabs>
        <w:tab w:val="left" w:pos="993"/>
      </w:tabs>
      <w:ind w:firstLine="0"/>
    </w:pPr>
  </w:style>
  <w:style w:type="paragraph" w:customStyle="1" w:styleId="239">
    <w:name w:val="Char1"/>
    <w:basedOn w:val="1"/>
    <w:autoRedefine/>
    <w:qFormat/>
    <w:uiPriority w:val="0"/>
    <w:pPr>
      <w:tabs>
        <w:tab w:val="left" w:pos="360"/>
      </w:tabs>
    </w:pPr>
    <w:rPr>
      <w:sz w:val="24"/>
    </w:rPr>
  </w:style>
  <w:style w:type="paragraph" w:customStyle="1" w:styleId="240">
    <w:name w:val="xl84"/>
    <w:basedOn w:val="1"/>
    <w:autoRedefine/>
    <w:qFormat/>
    <w:uiPriority w:val="0"/>
    <w:pPr>
      <w:widowControl/>
      <w:pBdr>
        <w:top w:val="single" w:color="auto" w:sz="4" w:space="0"/>
      </w:pBdr>
      <w:spacing w:before="100" w:beforeAutospacing="1" w:after="100" w:afterAutospacing="1"/>
      <w:jc w:val="center"/>
    </w:pPr>
    <w:rPr>
      <w:rFonts w:ascii="宋体" w:hAnsi="宋体" w:cs="宋体"/>
      <w:b/>
      <w:bCs/>
      <w:kern w:val="0"/>
      <w:sz w:val="24"/>
    </w:rPr>
  </w:style>
  <w:style w:type="paragraph" w:customStyle="1" w:styleId="241">
    <w:name w:val="默认"/>
    <w:autoRedefine/>
    <w:qFormat/>
    <w:uiPriority w:val="0"/>
    <w:rPr>
      <w:rFonts w:ascii="Helvetica" w:hAnsi="Helvetica" w:eastAsia="Helvetica" w:cs="Helvetica"/>
      <w:color w:val="000000"/>
      <w:sz w:val="22"/>
      <w:szCs w:val="22"/>
      <w:lang w:val="en-US" w:eastAsia="zh-CN" w:bidi="ar-SA"/>
    </w:rPr>
  </w:style>
  <w:style w:type="paragraph" w:customStyle="1" w:styleId="24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43">
    <w:name w:val="表1"/>
    <w:basedOn w:val="1"/>
    <w:autoRedefine/>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44">
    <w:name w:val="附件标题1"/>
    <w:next w:val="1"/>
    <w:autoRedefine/>
    <w:qFormat/>
    <w:uiPriority w:val="0"/>
    <w:pPr>
      <w:numPr>
        <w:ilvl w:val="0"/>
        <w:numId w:val="6"/>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5">
    <w:name w:val="LIST ALPHA CAPS 2"/>
    <w:basedOn w:val="1"/>
    <w:next w:val="41"/>
    <w:autoRedefine/>
    <w:qFormat/>
    <w:uiPriority w:val="0"/>
    <w:pPr>
      <w:widowControl/>
      <w:numPr>
        <w:ilvl w:val="1"/>
        <w:numId w:val="7"/>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4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0">
    <w:name w:val="Char Char Char Char"/>
    <w:basedOn w:val="1"/>
    <w:autoRedefine/>
    <w:qFormat/>
    <w:uiPriority w:val="0"/>
    <w:pPr>
      <w:tabs>
        <w:tab w:val="left" w:pos="360"/>
      </w:tabs>
      <w:spacing w:line="380" w:lineRule="exact"/>
      <w:ind w:firstLine="420" w:firstLineChars="200"/>
    </w:pPr>
    <w:rPr>
      <w:rFonts w:ascii="宋体" w:hAnsi="宋体" w:cs="宋体"/>
      <w:color w:val="000000"/>
      <w:kern w:val="0"/>
      <w:szCs w:val="21"/>
    </w:rPr>
  </w:style>
  <w:style w:type="paragraph" w:customStyle="1" w:styleId="251">
    <w:name w:val="Char"/>
    <w:basedOn w:val="1"/>
    <w:autoRedefine/>
    <w:qFormat/>
    <w:uiPriority w:val="0"/>
    <w:rPr>
      <w:szCs w:val="21"/>
    </w:rPr>
  </w:style>
  <w:style w:type="paragraph" w:customStyle="1" w:styleId="252">
    <w:name w:val="List ALPHA CAPS 1"/>
    <w:basedOn w:val="1"/>
    <w:next w:val="18"/>
    <w:autoRedefine/>
    <w:qFormat/>
    <w:uiPriority w:val="0"/>
    <w:pPr>
      <w:widowControl/>
      <w:numPr>
        <w:ilvl w:val="0"/>
        <w:numId w:val="7"/>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5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2"/>
    <w:basedOn w:val="1"/>
    <w:next w:val="28"/>
    <w:autoRedefine/>
    <w:qFormat/>
    <w:uiPriority w:val="0"/>
    <w:pPr>
      <w:spacing w:line="360" w:lineRule="auto"/>
      <w:ind w:firstLine="480" w:firstLineChars="200"/>
    </w:pPr>
    <w:rPr>
      <w:rFonts w:ascii="宋体" w:hAnsi="宋体"/>
      <w:sz w:val="24"/>
      <w:szCs w:val="21"/>
      <w:u w:val="wave"/>
    </w:rPr>
  </w:style>
  <w:style w:type="paragraph" w:customStyle="1" w:styleId="255">
    <w:name w:val="TOC 标题2"/>
    <w:basedOn w:val="2"/>
    <w:next w:val="1"/>
    <w:autoRedefine/>
    <w:qFormat/>
    <w:uiPriority w:val="0"/>
    <w:pPr>
      <w:spacing w:before="340" w:after="330" w:line="578" w:lineRule="auto"/>
      <w:outlineLvl w:val="9"/>
    </w:pPr>
    <w:rPr>
      <w:sz w:val="44"/>
    </w:rPr>
  </w:style>
  <w:style w:type="paragraph" w:customStyle="1" w:styleId="256">
    <w:name w:val="table"/>
    <w:autoRedefine/>
    <w:qFormat/>
    <w:uiPriority w:val="0"/>
    <w:pPr>
      <w:adjustRightInd w:val="0"/>
      <w:snapToGrid w:val="0"/>
    </w:pPr>
    <w:rPr>
      <w:rFonts w:ascii="宋体" w:hAnsi="Times New Roman" w:eastAsia="宋体" w:cs="Times New Roman"/>
      <w:kern w:val="2"/>
      <w:sz w:val="24"/>
      <w:szCs w:val="22"/>
      <w:lang w:val="en-US" w:eastAsia="zh-CN" w:bidi="ar-SA"/>
    </w:rPr>
  </w:style>
  <w:style w:type="paragraph" w:customStyle="1" w:styleId="257">
    <w:name w:val="xl85"/>
    <w:basedOn w:val="1"/>
    <w:autoRedefine/>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58">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0">
    <w:name w:val="样式2"/>
    <w:basedOn w:val="4"/>
    <w:autoRedefine/>
    <w:qFormat/>
    <w:uiPriority w:val="0"/>
    <w:pPr>
      <w:spacing w:before="260" w:after="260" w:line="412" w:lineRule="auto"/>
      <w:ind w:firstLine="137" w:firstLineChars="49"/>
    </w:pPr>
    <w:rPr>
      <w:rFonts w:ascii="黑体" w:hAnsi="宋体" w:eastAsia="黑体"/>
      <w:b w:val="0"/>
      <w:i/>
      <w:sz w:val="28"/>
      <w:szCs w:val="28"/>
    </w:rPr>
  </w:style>
  <w:style w:type="paragraph" w:customStyle="1" w:styleId="26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font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4">
    <w:name w:val="表格文字"/>
    <w:basedOn w:val="1"/>
    <w:autoRedefine/>
    <w:qFormat/>
    <w:uiPriority w:val="0"/>
    <w:pPr>
      <w:adjustRightInd w:val="0"/>
      <w:spacing w:line="420" w:lineRule="atLeast"/>
      <w:jc w:val="left"/>
      <w:textAlignment w:val="baseline"/>
    </w:pPr>
    <w:rPr>
      <w:kern w:val="0"/>
      <w:szCs w:val="20"/>
    </w:rPr>
  </w:style>
  <w:style w:type="paragraph" w:customStyle="1" w:styleId="265">
    <w:name w:val="列出段落1"/>
    <w:basedOn w:val="1"/>
    <w:autoRedefine/>
    <w:qFormat/>
    <w:uiPriority w:val="0"/>
    <w:pPr>
      <w:ind w:firstLine="420" w:firstLineChars="200"/>
    </w:pPr>
    <w:rPr>
      <w:szCs w:val="22"/>
    </w:rPr>
  </w:style>
  <w:style w:type="paragraph" w:customStyle="1" w:styleId="266">
    <w:name w:val="xl86"/>
    <w:basedOn w:val="1"/>
    <w:autoRedefine/>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6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8">
    <w:name w:val="CM13"/>
    <w:basedOn w:val="1"/>
    <w:next w:val="1"/>
    <w:autoRedefine/>
    <w:qFormat/>
    <w:uiPriority w:val="0"/>
    <w:pPr>
      <w:autoSpaceDE w:val="0"/>
      <w:autoSpaceDN w:val="0"/>
      <w:adjustRightInd w:val="0"/>
      <w:jc w:val="left"/>
    </w:pPr>
    <w:rPr>
      <w:rFonts w:ascii="楷体_GB2312" w:eastAsia="楷体_GB2312"/>
      <w:kern w:val="0"/>
      <w:sz w:val="24"/>
    </w:rPr>
  </w:style>
  <w:style w:type="paragraph" w:customStyle="1" w:styleId="26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7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71">
    <w:name w:val="默认段落字体 Para Char Char"/>
    <w:basedOn w:val="1"/>
    <w:autoRedefine/>
    <w:qFormat/>
    <w:uiPriority w:val="0"/>
    <w:rPr>
      <w:szCs w:val="21"/>
    </w:rPr>
  </w:style>
  <w:style w:type="paragraph" w:customStyle="1" w:styleId="272">
    <w:name w:val="font1"/>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3">
    <w:name w:val="CM7"/>
    <w:basedOn w:val="1"/>
    <w:next w:val="1"/>
    <w:autoRedefine/>
    <w:qFormat/>
    <w:uiPriority w:val="0"/>
    <w:pPr>
      <w:autoSpaceDE w:val="0"/>
      <w:autoSpaceDN w:val="0"/>
      <w:adjustRightInd w:val="0"/>
      <w:spacing w:line="420" w:lineRule="atLeast"/>
      <w:jc w:val="left"/>
    </w:pPr>
    <w:rPr>
      <w:rFonts w:ascii="楷体_GB2312" w:eastAsia="楷体_GB2312"/>
      <w:kern w:val="0"/>
      <w:sz w:val="24"/>
    </w:rPr>
  </w:style>
  <w:style w:type="paragraph" w:customStyle="1" w:styleId="274">
    <w:name w:val="专用标题4"/>
    <w:basedOn w:val="5"/>
    <w:next w:val="1"/>
    <w:autoRedefine/>
    <w:qFormat/>
    <w:uiPriority w:val="0"/>
    <w:pPr>
      <w:widowControl/>
      <w:numPr>
        <w:ilvl w:val="2"/>
        <w:numId w:val="8"/>
      </w:numPr>
      <w:adjustRightInd w:val="0"/>
      <w:snapToGrid w:val="0"/>
      <w:spacing w:before="0" w:after="0"/>
      <w:jc w:val="left"/>
    </w:pPr>
    <w:rPr>
      <w:rFonts w:eastAsia="宋体"/>
      <w:b w:val="0"/>
      <w:bCs w:val="0"/>
      <w:szCs w:val="22"/>
    </w:rPr>
  </w:style>
  <w:style w:type="paragraph" w:customStyle="1" w:styleId="275">
    <w:name w:val="LIST ALPHA CAPS 3"/>
    <w:basedOn w:val="1"/>
    <w:next w:val="17"/>
    <w:autoRedefine/>
    <w:qFormat/>
    <w:uiPriority w:val="0"/>
    <w:pPr>
      <w:widowControl/>
      <w:numPr>
        <w:ilvl w:val="2"/>
        <w:numId w:val="7"/>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76">
    <w:name w:val="through-content"/>
    <w:basedOn w:val="1"/>
    <w:autoRedefine/>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7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8">
    <w:name w:val="TOC 标题21"/>
    <w:next w:val="1"/>
    <w:autoRedefine/>
    <w:qFormat/>
    <w:uiPriority w:val="0"/>
    <w:pPr>
      <w:keepNext/>
      <w:keepLines/>
      <w:widowControl w:val="0"/>
      <w:spacing w:before="260" w:after="260" w:line="413" w:lineRule="auto"/>
    </w:pPr>
    <w:rPr>
      <w:rFonts w:ascii="宋体" w:hAnsi="宋体" w:eastAsia="宋体" w:cs="Times New Roman"/>
      <w:b/>
      <w:bCs/>
      <w:kern w:val="44"/>
      <w:sz w:val="21"/>
      <w:szCs w:val="44"/>
      <w:lang w:val="zh-CN" w:eastAsia="zh-CN" w:bidi="ar-SA"/>
    </w:rPr>
  </w:style>
  <w:style w:type="paragraph" w:customStyle="1" w:styleId="27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80">
    <w:name w:val="专用标题3"/>
    <w:basedOn w:val="4"/>
    <w:autoRedefine/>
    <w:qFormat/>
    <w:uiPriority w:val="0"/>
    <w:pPr>
      <w:widowControl/>
      <w:numPr>
        <w:ilvl w:val="1"/>
        <w:numId w:val="8"/>
      </w:numPr>
      <w:wordWrap w:val="0"/>
      <w:topLinePunct/>
      <w:adjustRightInd w:val="0"/>
      <w:snapToGrid w:val="0"/>
      <w:spacing w:after="120" w:afterLines="50"/>
      <w:jc w:val="left"/>
    </w:pPr>
    <w:rPr>
      <w:rFonts w:ascii="宋体" w:hAnsi="Calibri"/>
      <w:bCs w:val="0"/>
      <w:szCs w:val="22"/>
    </w:rPr>
  </w:style>
  <w:style w:type="paragraph" w:customStyle="1" w:styleId="28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2">
    <w:name w:val="正文首行缩进1"/>
    <w:basedOn w:val="18"/>
    <w:link w:val="333"/>
    <w:autoRedefine/>
    <w:qFormat/>
    <w:uiPriority w:val="0"/>
    <w:pPr>
      <w:widowControl/>
      <w:ind w:firstLine="420" w:firstLineChars="100"/>
      <w:jc w:val="left"/>
    </w:pPr>
    <w:rPr>
      <w:kern w:val="0"/>
      <w:sz w:val="24"/>
      <w:lang w:val="zh-CN" w:eastAsia="en-US"/>
    </w:rPr>
  </w:style>
  <w:style w:type="paragraph" w:customStyle="1" w:styleId="283">
    <w:name w:val="Main Title"/>
    <w:next w:val="1"/>
    <w:autoRedefine/>
    <w:qFormat/>
    <w:uiPriority w:val="0"/>
    <w:pPr>
      <w:adjustRightInd w:val="0"/>
      <w:snapToGrid w:val="0"/>
      <w:spacing w:after="156" w:afterLines="50" w:line="360" w:lineRule="auto"/>
      <w:jc w:val="center"/>
    </w:pPr>
    <w:rPr>
      <w:rFonts w:ascii="黑体" w:hAnsi="黑体" w:eastAsia="黑体" w:cs="Times New Roman"/>
      <w:b/>
      <w:kern w:val="2"/>
      <w:sz w:val="36"/>
      <w:szCs w:val="22"/>
      <w:lang w:val="zh-CN" w:eastAsia="zh-CN" w:bidi="ar-SA"/>
    </w:rPr>
  </w:style>
  <w:style w:type="paragraph" w:customStyle="1" w:styleId="284">
    <w:name w:val="样式 标题 3 + (中文) 黑体 小四 非加粗 段前: 7.8 磅 段后: 0 磅 行距: 固定值 20 磅"/>
    <w:basedOn w:val="4"/>
    <w:autoRedefine/>
    <w:qFormat/>
    <w:uiPriority w:val="0"/>
    <w:pPr>
      <w:spacing w:line="400" w:lineRule="exact"/>
    </w:pPr>
    <w:rPr>
      <w:rFonts w:eastAsia="黑体" w:cs="宋体"/>
      <w:b w:val="0"/>
      <w:bCs w:val="0"/>
      <w:szCs w:val="20"/>
    </w:rPr>
  </w:style>
  <w:style w:type="paragraph" w:customStyle="1" w:styleId="28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86">
    <w:name w:val="xl87"/>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87">
    <w:name w:val="通用标题7"/>
    <w:basedOn w:val="1"/>
    <w:autoRedefine/>
    <w:qFormat/>
    <w:uiPriority w:val="0"/>
    <w:pPr>
      <w:widowControl/>
      <w:numPr>
        <w:ilvl w:val="5"/>
        <w:numId w:val="9"/>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288">
    <w:name w:val="通用标题3"/>
    <w:next w:val="1"/>
    <w:autoRedefine/>
    <w:qFormat/>
    <w:uiPriority w:val="0"/>
    <w:pPr>
      <w:widowControl w:val="0"/>
      <w:numPr>
        <w:ilvl w:val="1"/>
        <w:numId w:val="1"/>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89">
    <w:name w:val="协议书标题2"/>
    <w:next w:val="1"/>
    <w:autoRedefine/>
    <w:qFormat/>
    <w:uiPriority w:val="0"/>
    <w:pPr>
      <w:tabs>
        <w:tab w:val="left" w:pos="567"/>
      </w:tabs>
      <w:spacing w:line="400" w:lineRule="exact"/>
      <w:ind w:firstLine="424" w:firstLineChars="201"/>
    </w:pPr>
    <w:rPr>
      <w:rFonts w:ascii="宋体" w:hAnsi="宋体" w:eastAsia="宋体" w:cs="Times New Roman"/>
      <w:b/>
      <w:bCs/>
      <w:kern w:val="2"/>
      <w:sz w:val="21"/>
      <w:szCs w:val="32"/>
      <w:lang w:val="en-US" w:eastAsia="zh-CN" w:bidi="ar-SA"/>
    </w:rPr>
  </w:style>
  <w:style w:type="paragraph" w:customStyle="1" w:styleId="29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styleId="292">
    <w:name w:val="List Paragraph"/>
    <w:basedOn w:val="1"/>
    <w:autoRedefine/>
    <w:qFormat/>
    <w:uiPriority w:val="0"/>
    <w:pPr>
      <w:ind w:firstLine="420" w:firstLineChars="200"/>
    </w:pPr>
    <w:rPr>
      <w:szCs w:val="22"/>
    </w:rPr>
  </w:style>
  <w:style w:type="paragraph" w:customStyle="1" w:styleId="293">
    <w:name w:val="默认段落字体 Para Char"/>
    <w:basedOn w:val="1"/>
    <w:autoRedefine/>
    <w:qFormat/>
    <w:uiPriority w:val="0"/>
  </w:style>
  <w:style w:type="paragraph" w:customStyle="1" w:styleId="294">
    <w:name w:val="xl4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 w:val="24"/>
    </w:rPr>
  </w:style>
  <w:style w:type="paragraph" w:customStyle="1" w:styleId="295">
    <w:name w:val="CM22"/>
    <w:basedOn w:val="1"/>
    <w:next w:val="1"/>
    <w:autoRedefine/>
    <w:qFormat/>
    <w:uiPriority w:val="0"/>
    <w:pPr>
      <w:autoSpaceDE w:val="0"/>
      <w:autoSpaceDN w:val="0"/>
      <w:adjustRightInd w:val="0"/>
      <w:spacing w:line="320" w:lineRule="atLeast"/>
      <w:jc w:val="left"/>
    </w:pPr>
    <w:rPr>
      <w:rFonts w:ascii="楷体_GB2312" w:eastAsia="楷体_GB2312"/>
      <w:kern w:val="0"/>
      <w:sz w:val="24"/>
    </w:rPr>
  </w:style>
  <w:style w:type="paragraph" w:customStyle="1" w:styleId="296">
    <w:name w:val="Title 5"/>
    <w:next w:val="202"/>
    <w:autoRedefine/>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297">
    <w:name w:val="_Style 293"/>
    <w:basedOn w:val="1"/>
    <w:next w:val="1"/>
    <w:autoRedefine/>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98">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99">
    <w:name w:val="xl89"/>
    <w:basedOn w:val="1"/>
    <w:autoRedefine/>
    <w:qFormat/>
    <w:uiPriority w:val="0"/>
    <w:pPr>
      <w:widowControl/>
      <w:spacing w:before="100" w:beforeAutospacing="1" w:after="100" w:afterAutospacing="1"/>
      <w:jc w:val="left"/>
    </w:pPr>
    <w:rPr>
      <w:rFonts w:ascii="仿宋_GB2312" w:hAnsi="宋体" w:eastAsia="仿宋_GB2312" w:cs="仿宋_GB2312"/>
      <w:kern w:val="0"/>
      <w:sz w:val="24"/>
    </w:rPr>
  </w:style>
  <w:style w:type="paragraph" w:customStyle="1" w:styleId="30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01">
    <w:name w:val="缩进2中"/>
    <w:autoRedefine/>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02">
    <w:name w:val="样式 标题 4 + 黑色"/>
    <w:basedOn w:val="5"/>
    <w:autoRedefine/>
    <w:qFormat/>
    <w:uiPriority w:val="0"/>
    <w:pPr>
      <w:spacing w:before="0" w:after="0" w:line="288" w:lineRule="auto"/>
    </w:pPr>
    <w:rPr>
      <w:color w:val="000000"/>
      <w:sz w:val="24"/>
    </w:rPr>
  </w:style>
  <w:style w:type="paragraph" w:customStyle="1" w:styleId="30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4">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font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7">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308">
    <w:name w:val="通用标题2"/>
    <w:next w:val="1"/>
    <w:autoRedefine/>
    <w:qFormat/>
    <w:uiPriority w:val="0"/>
    <w:pPr>
      <w:numPr>
        <w:ilvl w:val="0"/>
        <w:numId w:val="9"/>
      </w:numPr>
      <w:tabs>
        <w:tab w:val="left" w:pos="993"/>
      </w:tabs>
      <w:spacing w:line="360" w:lineRule="auto"/>
    </w:pPr>
    <w:rPr>
      <w:rFonts w:ascii="黑体" w:hAnsi="黑体" w:eastAsia="宋体" w:cs="Times New Roman"/>
      <w:b/>
      <w:bCs/>
      <w:kern w:val="2"/>
      <w:sz w:val="21"/>
      <w:szCs w:val="32"/>
      <w:lang w:val="en-US" w:eastAsia="zh-CN" w:bidi="ar-SA"/>
    </w:rPr>
  </w:style>
  <w:style w:type="paragraph" w:customStyle="1" w:styleId="309">
    <w:name w:val="CM137"/>
    <w:basedOn w:val="1"/>
    <w:next w:val="1"/>
    <w:autoRedefine/>
    <w:qFormat/>
    <w:uiPriority w:val="0"/>
    <w:pPr>
      <w:autoSpaceDE w:val="0"/>
      <w:autoSpaceDN w:val="0"/>
      <w:adjustRightInd w:val="0"/>
      <w:spacing w:after="83"/>
      <w:jc w:val="left"/>
    </w:pPr>
    <w:rPr>
      <w:rFonts w:ascii="楷体_GB2312" w:eastAsia="楷体_GB2312"/>
      <w:kern w:val="0"/>
      <w:sz w:val="24"/>
    </w:rPr>
  </w:style>
  <w:style w:type="paragraph" w:customStyle="1" w:styleId="31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12">
    <w:name w:val="Char Char Char Char Char Char Char Char Char Char Char Char Char"/>
    <w:basedOn w:val="1"/>
    <w:autoRedefine/>
    <w:qFormat/>
    <w:uiPriority w:val="0"/>
    <w:rPr>
      <w:rFonts w:ascii="宋体" w:hAnsi="宋体"/>
      <w:sz w:val="24"/>
    </w:rPr>
  </w:style>
  <w:style w:type="paragraph" w:customStyle="1" w:styleId="31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14">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1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316">
    <w:name w:val="通用标题4"/>
    <w:next w:val="1"/>
    <w:autoRedefine/>
    <w:qFormat/>
    <w:uiPriority w:val="0"/>
    <w:pPr>
      <w:numPr>
        <w:ilvl w:val="2"/>
        <w:numId w:val="1"/>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table" w:customStyle="1" w:styleId="317">
    <w:name w:val="TableGrid"/>
    <w:autoRedefine/>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318">
    <w:name w:val="Other|1"/>
    <w:basedOn w:val="1"/>
    <w:autoRedefine/>
    <w:qFormat/>
    <w:uiPriority w:val="0"/>
    <w:pPr>
      <w:spacing w:line="378" w:lineRule="exact"/>
      <w:ind w:firstLine="180"/>
    </w:pPr>
    <w:rPr>
      <w:rFonts w:ascii="宋体" w:hAnsi="宋体" w:cs="宋体"/>
      <w:sz w:val="20"/>
      <w:szCs w:val="20"/>
      <w:lang w:val="zh-TW" w:eastAsia="zh-TW" w:bidi="zh-TW"/>
    </w:rPr>
  </w:style>
  <w:style w:type="paragraph" w:customStyle="1" w:styleId="319">
    <w:name w:val="Char2"/>
    <w:basedOn w:val="218"/>
    <w:autoRedefine/>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0">
    <w:name w:val="正文文本 21"/>
    <w:basedOn w:val="1"/>
    <w:autoRedefine/>
    <w:qFormat/>
    <w:uiPriority w:val="0"/>
    <w:rPr>
      <w:rFonts w:ascii="宋体" w:hAnsi="宋体" w:eastAsia="楷体_GB2312"/>
      <w:sz w:val="32"/>
      <w:u w:val="single"/>
      <w:lang w:eastAsia="en-US"/>
    </w:rPr>
  </w:style>
  <w:style w:type="character" w:customStyle="1" w:styleId="321">
    <w:name w:val="正文文本缩进 3 Char1"/>
    <w:autoRedefine/>
    <w:qFormat/>
    <w:uiPriority w:val="0"/>
    <w:rPr>
      <w:rFonts w:ascii="Times New Roman" w:hAnsi="Times New Roman" w:eastAsia="宋体" w:cs="Times New Roman"/>
      <w:sz w:val="16"/>
      <w:szCs w:val="16"/>
    </w:rPr>
  </w:style>
  <w:style w:type="paragraph" w:customStyle="1" w:styleId="322">
    <w:name w:val="样式 宋体 行距: 1.5 倍行距"/>
    <w:basedOn w:val="1"/>
    <w:autoRedefine/>
    <w:qFormat/>
    <w:uiPriority w:val="0"/>
    <w:pPr>
      <w:widowControl/>
      <w:jc w:val="center"/>
    </w:pPr>
    <w:rPr>
      <w:b/>
      <w:kern w:val="0"/>
      <w:sz w:val="22"/>
      <w:szCs w:val="22"/>
    </w:rPr>
  </w:style>
  <w:style w:type="paragraph" w:customStyle="1" w:styleId="323">
    <w:name w:val="Char3"/>
    <w:basedOn w:val="218"/>
    <w:autoRedefine/>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4">
    <w:name w:val="正文 New New New New New New New New New New New New New New"/>
    <w:next w:val="1"/>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325">
    <w:name w:val="批注引用1"/>
    <w:autoRedefine/>
    <w:qFormat/>
    <w:uiPriority w:val="0"/>
    <w:rPr>
      <w:rFonts w:cs="Times New Roman"/>
      <w:sz w:val="21"/>
      <w:szCs w:val="21"/>
    </w:rPr>
  </w:style>
  <w:style w:type="character" w:customStyle="1" w:styleId="326">
    <w:name w:val="HTML 样本1"/>
    <w:autoRedefine/>
    <w:qFormat/>
    <w:uiPriority w:val="0"/>
    <w:rPr>
      <w:rFonts w:hint="default" w:ascii="monospace" w:hAnsi="monospace" w:eastAsia="monospace" w:cs="monospace"/>
    </w:rPr>
  </w:style>
  <w:style w:type="character" w:customStyle="1" w:styleId="327">
    <w:name w:val="_Style 173"/>
    <w:autoRedefine/>
    <w:qFormat/>
    <w:uiPriority w:val="0"/>
    <w:rPr>
      <w:b/>
      <w:bCs/>
      <w:smallCaps/>
      <w:color w:val="C0504D"/>
      <w:spacing w:val="5"/>
      <w:u w:val="single"/>
    </w:rPr>
  </w:style>
  <w:style w:type="character" w:customStyle="1" w:styleId="328">
    <w:name w:val="HTML 代码1"/>
    <w:autoRedefine/>
    <w:qFormat/>
    <w:uiPriority w:val="0"/>
    <w:rPr>
      <w:rFonts w:hint="default" w:ascii="monospace" w:hAnsi="monospace" w:eastAsia="monospace" w:cs="monospace"/>
      <w:sz w:val="20"/>
    </w:rPr>
  </w:style>
  <w:style w:type="character" w:customStyle="1" w:styleId="329">
    <w:name w:val="_Style 170"/>
    <w:autoRedefine/>
    <w:qFormat/>
    <w:uiPriority w:val="0"/>
    <w:rPr>
      <w:smallCaps/>
      <w:color w:val="C0504D"/>
      <w:u w:val="single"/>
    </w:rPr>
  </w:style>
  <w:style w:type="character" w:customStyle="1" w:styleId="330">
    <w:name w:val="文本块 Char"/>
    <w:link w:val="21"/>
    <w:autoRedefine/>
    <w:qFormat/>
    <w:uiPriority w:val="0"/>
    <w:rPr>
      <w:rFonts w:ascii="Times New Roman" w:hAnsi="Times New Roman" w:eastAsia="宋体" w:cs="Times New Roman"/>
      <w:kern w:val="0"/>
      <w:sz w:val="20"/>
      <w:szCs w:val="20"/>
    </w:rPr>
  </w:style>
  <w:style w:type="character" w:customStyle="1" w:styleId="331">
    <w:name w:val="Char Char20"/>
    <w:autoRedefine/>
    <w:qFormat/>
    <w:uiPriority w:val="0"/>
    <w:rPr>
      <w:rFonts w:ascii="仿宋_GB2312" w:hAnsi="宋体" w:eastAsia="仿宋_GB2312" w:cs="宋体"/>
      <w:b/>
      <w:bCs/>
      <w:kern w:val="0"/>
      <w:sz w:val="30"/>
      <w:szCs w:val="30"/>
      <w:lang w:eastAsia="en-US"/>
    </w:rPr>
  </w:style>
  <w:style w:type="character" w:customStyle="1" w:styleId="332">
    <w:name w:val="font01"/>
    <w:autoRedefine/>
    <w:qFormat/>
    <w:uiPriority w:val="0"/>
    <w:rPr>
      <w:rFonts w:hint="eastAsia" w:ascii="宋体" w:hAnsi="宋体" w:eastAsia="宋体" w:cs="宋体"/>
      <w:color w:val="993300"/>
      <w:kern w:val="0"/>
      <w:sz w:val="21"/>
      <w:szCs w:val="21"/>
      <w:u w:val="none"/>
      <w:lang w:eastAsia="en-US"/>
    </w:rPr>
  </w:style>
  <w:style w:type="character" w:customStyle="1" w:styleId="333">
    <w:name w:val="正文首行缩进 Char Char"/>
    <w:link w:val="282"/>
    <w:autoRedefine/>
    <w:qFormat/>
    <w:uiPriority w:val="0"/>
    <w:rPr>
      <w:rFonts w:ascii="Times New Roman" w:hAnsi="Times New Roman" w:eastAsia="宋体" w:cs="Times New Roman"/>
      <w:kern w:val="0"/>
      <w:sz w:val="24"/>
      <w:szCs w:val="24"/>
      <w:lang w:val="zh-CN" w:eastAsia="en-US"/>
    </w:rPr>
  </w:style>
  <w:style w:type="character" w:customStyle="1" w:styleId="334">
    <w:name w:val="HTML 键盘1"/>
    <w:autoRedefine/>
    <w:qFormat/>
    <w:uiPriority w:val="0"/>
    <w:rPr>
      <w:rFonts w:ascii="monospace" w:hAnsi="monospace" w:eastAsia="monospace" w:cs="monospace"/>
      <w:sz w:val="20"/>
    </w:rPr>
  </w:style>
  <w:style w:type="character" w:customStyle="1" w:styleId="335">
    <w:name w:val="正文文本缩进 2 Char1"/>
    <w:autoRedefine/>
    <w:qFormat/>
    <w:uiPriority w:val="0"/>
    <w:rPr>
      <w:rFonts w:ascii="Times New Roman" w:hAnsi="Times New Roman" w:eastAsia="宋体" w:cs="Times New Roman"/>
      <w:szCs w:val="24"/>
    </w:rPr>
  </w:style>
  <w:style w:type="character" w:customStyle="1" w:styleId="336">
    <w:name w:val="页码1"/>
    <w:autoRedefine/>
    <w:qFormat/>
    <w:uiPriority w:val="0"/>
  </w:style>
  <w:style w:type="character" w:customStyle="1" w:styleId="337">
    <w:name w:val="HTML 定义1"/>
    <w:autoRedefine/>
    <w:qFormat/>
    <w:uiPriority w:val="0"/>
  </w:style>
  <w:style w:type="character" w:customStyle="1" w:styleId="338">
    <w:name w:val="页码2"/>
    <w:basedOn w:val="51"/>
    <w:autoRedefine/>
    <w:qFormat/>
    <w:uiPriority w:val="0"/>
  </w:style>
  <w:style w:type="character" w:customStyle="1" w:styleId="339">
    <w:name w:val="纯文本 Char Char"/>
    <w:autoRedefine/>
    <w:qFormat/>
    <w:uiPriority w:val="0"/>
    <w:rPr>
      <w:rFonts w:ascii="宋体" w:hAnsi="Courier New" w:eastAsia="宋体"/>
    </w:rPr>
  </w:style>
  <w:style w:type="character" w:customStyle="1" w:styleId="340">
    <w:name w:val="HTML 打字机1"/>
    <w:autoRedefine/>
    <w:qFormat/>
    <w:uiPriority w:val="0"/>
    <w:rPr>
      <w:rFonts w:hint="default" w:ascii="monospace" w:hAnsi="monospace" w:eastAsia="monospace" w:cs="monospace"/>
      <w:sz w:val="20"/>
    </w:rPr>
  </w:style>
  <w:style w:type="character" w:customStyle="1" w:styleId="341">
    <w:name w:val="_Style 146"/>
    <w:autoRedefine/>
    <w:qFormat/>
    <w:uiPriority w:val="0"/>
    <w:rPr>
      <w:b/>
      <w:bCs/>
      <w:smallCaps/>
      <w:spacing w:val="5"/>
    </w:rPr>
  </w:style>
  <w:style w:type="character" w:customStyle="1" w:styleId="342">
    <w:name w:val="正文文本 2 Char1"/>
    <w:autoRedefine/>
    <w:qFormat/>
    <w:uiPriority w:val="0"/>
    <w:rPr>
      <w:rFonts w:ascii="黑体" w:hAnsi="Verdana" w:eastAsia="黑体"/>
      <w:kern w:val="2"/>
      <w:sz w:val="21"/>
      <w:szCs w:val="24"/>
      <w:lang w:eastAsia="en-US"/>
    </w:rPr>
  </w:style>
  <w:style w:type="character" w:customStyle="1" w:styleId="343">
    <w:name w:val="HTML 引文1"/>
    <w:autoRedefine/>
    <w:qFormat/>
    <w:uiPriority w:val="0"/>
  </w:style>
  <w:style w:type="character" w:customStyle="1" w:styleId="344">
    <w:name w:val="Char Char7"/>
    <w:autoRedefine/>
    <w:qFormat/>
    <w:uiPriority w:val="0"/>
    <w:rPr>
      <w:rFonts w:ascii="Arial" w:hAnsi="Arial" w:eastAsia="楷体_GB2312" w:cs="Times New Roman"/>
      <w:b/>
      <w:kern w:val="0"/>
      <w:sz w:val="44"/>
      <w:szCs w:val="20"/>
      <w:lang w:eastAsia="en-US"/>
    </w:rPr>
  </w:style>
  <w:style w:type="character" w:customStyle="1" w:styleId="345">
    <w:name w:val="_Style 198"/>
    <w:autoRedefine/>
    <w:qFormat/>
    <w:uiPriority w:val="0"/>
    <w:rPr>
      <w:b/>
      <w:bCs/>
      <w:i/>
      <w:iCs/>
      <w:color w:val="4F81BD"/>
    </w:rPr>
  </w:style>
  <w:style w:type="character" w:customStyle="1" w:styleId="346">
    <w:name w:val="_Style 153"/>
    <w:autoRedefine/>
    <w:qFormat/>
    <w:uiPriority w:val="0"/>
    <w:rPr>
      <w:i/>
      <w:iCs/>
      <w:color w:val="808080"/>
    </w:rPr>
  </w:style>
  <w:style w:type="character" w:customStyle="1" w:styleId="347">
    <w:name w:val="Char Char Char Char Char"/>
    <w:autoRedefine/>
    <w:qFormat/>
    <w:uiPriority w:val="0"/>
    <w:rPr>
      <w:rFonts w:ascii="黑体" w:hAnsi="Verdana" w:eastAsia="楷体_GB2312"/>
      <w:kern w:val="2"/>
      <w:sz w:val="21"/>
      <w:szCs w:val="32"/>
      <w:lang w:val="en-US" w:eastAsia="zh-CN"/>
    </w:rPr>
  </w:style>
  <w:style w:type="character" w:customStyle="1" w:styleId="348">
    <w:name w:val="HTML 缩写1"/>
    <w:autoRedefine/>
    <w:qFormat/>
    <w:uiPriority w:val="0"/>
  </w:style>
  <w:style w:type="character" w:customStyle="1" w:styleId="349">
    <w:name w:val="HTML 变量1"/>
    <w:autoRedefine/>
    <w:qFormat/>
    <w:uiPriority w:val="0"/>
  </w:style>
  <w:style w:type="character" w:customStyle="1" w:styleId="350">
    <w:name w:val="批注引用2"/>
    <w:autoRedefine/>
    <w:qFormat/>
    <w:uiPriority w:val="0"/>
    <w:rPr>
      <w:rFonts w:cs="Times New Roman"/>
      <w:sz w:val="21"/>
      <w:szCs w:val="21"/>
    </w:rPr>
  </w:style>
  <w:style w:type="paragraph" w:customStyle="1" w:styleId="351">
    <w:name w:val="正文文本缩进 21"/>
    <w:basedOn w:val="1"/>
    <w:autoRedefine/>
    <w:qFormat/>
    <w:uiPriority w:val="0"/>
    <w:pPr>
      <w:spacing w:after="120" w:line="480" w:lineRule="auto"/>
      <w:ind w:left="420" w:leftChars="200"/>
    </w:pPr>
  </w:style>
  <w:style w:type="paragraph" w:customStyle="1" w:styleId="352">
    <w:name w:val="页脚 New New New New New New New"/>
    <w:basedOn w:val="324"/>
    <w:autoRedefine/>
    <w:qFormat/>
    <w:uiPriority w:val="0"/>
    <w:pPr>
      <w:tabs>
        <w:tab w:val="center" w:pos="4153"/>
        <w:tab w:val="right" w:pos="8306"/>
      </w:tabs>
      <w:snapToGrid w:val="0"/>
      <w:jc w:val="left"/>
    </w:pPr>
    <w:rPr>
      <w:sz w:val="18"/>
      <w:szCs w:val="18"/>
    </w:rPr>
  </w:style>
  <w:style w:type="paragraph" w:customStyle="1" w:styleId="353">
    <w:name w:val="页脚 New New New"/>
    <w:basedOn w:val="354"/>
    <w:autoRedefine/>
    <w:qFormat/>
    <w:uiPriority w:val="0"/>
    <w:pPr>
      <w:tabs>
        <w:tab w:val="center" w:pos="4153"/>
        <w:tab w:val="right" w:pos="8306"/>
      </w:tabs>
      <w:snapToGrid w:val="0"/>
      <w:jc w:val="left"/>
    </w:pPr>
    <w:rPr>
      <w:sz w:val="18"/>
      <w:szCs w:val="18"/>
    </w:rPr>
  </w:style>
  <w:style w:type="paragraph" w:customStyle="1" w:styleId="354">
    <w:name w:val="正文 New New New New New New New New New New"/>
    <w:next w:val="355"/>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5">
    <w:name w:val="正文首行缩进 New New New"/>
    <w:basedOn w:val="354"/>
    <w:autoRedefine/>
    <w:qFormat/>
    <w:uiPriority w:val="0"/>
    <w:pPr>
      <w:widowControl/>
      <w:ind w:firstLine="420" w:firstLineChars="100"/>
      <w:jc w:val="left"/>
    </w:pPr>
    <w:rPr>
      <w:sz w:val="24"/>
      <w:lang w:eastAsia="en-US"/>
    </w:rPr>
  </w:style>
  <w:style w:type="paragraph" w:customStyle="1" w:styleId="356">
    <w:name w:val="列出段落2"/>
    <w:basedOn w:val="1"/>
    <w:autoRedefine/>
    <w:qFormat/>
    <w:uiPriority w:val="0"/>
    <w:pPr>
      <w:ind w:firstLine="420" w:firstLineChars="200"/>
    </w:pPr>
    <w:rPr>
      <w:rFonts w:ascii="Calibri" w:hAnsi="Calibri"/>
      <w:szCs w:val="22"/>
    </w:rPr>
  </w:style>
  <w:style w:type="paragraph" w:customStyle="1" w:styleId="357">
    <w:name w:val="正文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8">
    <w:name w:val="正文文本 31"/>
    <w:basedOn w:val="1"/>
    <w:autoRedefine/>
    <w:qFormat/>
    <w:uiPriority w:val="0"/>
    <w:rPr>
      <w:rFonts w:ascii="宋体"/>
      <w:sz w:val="24"/>
    </w:rPr>
  </w:style>
  <w:style w:type="paragraph" w:customStyle="1" w:styleId="359">
    <w:name w:val="正文缩进2"/>
    <w:basedOn w:val="1"/>
    <w:autoRedefine/>
    <w:qFormat/>
    <w:uiPriority w:val="0"/>
    <w:pPr>
      <w:ind w:firstLine="420" w:firstLineChars="200"/>
    </w:pPr>
  </w:style>
  <w:style w:type="paragraph" w:customStyle="1" w:styleId="360">
    <w:name w:val="日期1"/>
    <w:basedOn w:val="1"/>
    <w:next w:val="1"/>
    <w:autoRedefine/>
    <w:qFormat/>
    <w:uiPriority w:val="0"/>
    <w:rPr>
      <w:sz w:val="24"/>
    </w:rPr>
  </w:style>
  <w:style w:type="paragraph" w:customStyle="1" w:styleId="361">
    <w:name w:val="纯文本 New"/>
    <w:basedOn w:val="218"/>
    <w:autoRedefine/>
    <w:qFormat/>
    <w:uiPriority w:val="0"/>
    <w:rPr>
      <w:rFonts w:hint="default" w:ascii="宋体" w:hAnsi="Courier New" w:eastAsia="宋体" w:cs="Times New Roman"/>
      <w:color w:val="auto"/>
      <w:szCs w:val="20"/>
    </w:rPr>
  </w:style>
  <w:style w:type="paragraph" w:customStyle="1" w:styleId="362">
    <w:name w:val="正文文本 22"/>
    <w:basedOn w:val="1"/>
    <w:autoRedefine/>
    <w:qFormat/>
    <w:uiPriority w:val="0"/>
    <w:rPr>
      <w:rFonts w:ascii="宋体" w:hAnsi="宋体" w:eastAsia="楷体_GB2312"/>
      <w:sz w:val="32"/>
      <w:u w:val="single"/>
      <w:lang w:eastAsia="en-US"/>
    </w:rPr>
  </w:style>
  <w:style w:type="paragraph" w:customStyle="1" w:styleId="363">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CM50"/>
    <w:basedOn w:val="314"/>
    <w:next w:val="314"/>
    <w:autoRedefine/>
    <w:qFormat/>
    <w:uiPriority w:val="0"/>
    <w:pPr>
      <w:spacing w:line="520" w:lineRule="atLeast"/>
    </w:pPr>
    <w:rPr>
      <w:rFonts w:cs="Times New Roman"/>
      <w:color w:val="auto"/>
    </w:rPr>
  </w:style>
  <w:style w:type="paragraph" w:customStyle="1" w:styleId="365">
    <w:name w:val="文档结构图1"/>
    <w:basedOn w:val="1"/>
    <w:autoRedefine/>
    <w:qFormat/>
    <w:uiPriority w:val="0"/>
    <w:pPr>
      <w:shd w:val="clear" w:color="auto" w:fill="000080"/>
    </w:pPr>
    <w:rPr>
      <w:shd w:val="clear" w:color="auto" w:fill="000080"/>
    </w:rPr>
  </w:style>
  <w:style w:type="paragraph" w:customStyle="1" w:styleId="366">
    <w:name w:val="正文文本缩进 31"/>
    <w:basedOn w:val="1"/>
    <w:autoRedefine/>
    <w:qFormat/>
    <w:uiPriority w:val="0"/>
    <w:pPr>
      <w:spacing w:after="120"/>
      <w:ind w:left="420" w:leftChars="200"/>
    </w:pPr>
    <w:rPr>
      <w:sz w:val="16"/>
      <w:szCs w:val="16"/>
    </w:rPr>
  </w:style>
  <w:style w:type="paragraph" w:customStyle="1" w:styleId="367">
    <w:name w:val="正文首行缩进 New New"/>
    <w:basedOn w:val="368"/>
    <w:autoRedefine/>
    <w:qFormat/>
    <w:uiPriority w:val="0"/>
    <w:pPr>
      <w:widowControl/>
      <w:ind w:firstLine="420" w:firstLineChars="100"/>
      <w:jc w:val="left"/>
    </w:pPr>
    <w:rPr>
      <w:sz w:val="24"/>
      <w:lang w:eastAsia="en-US"/>
    </w:rPr>
  </w:style>
  <w:style w:type="paragraph" w:customStyle="1" w:styleId="368">
    <w:name w:val="正文 New New New New New New New New New"/>
    <w:next w:val="367"/>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9">
    <w:name w:val="正文首行缩进 New New New New New"/>
    <w:basedOn w:val="370"/>
    <w:autoRedefine/>
    <w:qFormat/>
    <w:uiPriority w:val="0"/>
    <w:pPr>
      <w:widowControl/>
      <w:ind w:firstLine="420" w:firstLineChars="100"/>
      <w:jc w:val="left"/>
    </w:pPr>
    <w:rPr>
      <w:sz w:val="24"/>
      <w:lang w:eastAsia="en-US"/>
    </w:rPr>
  </w:style>
  <w:style w:type="paragraph" w:customStyle="1" w:styleId="370">
    <w:name w:val="正文 New New New New New New New New New New New New New"/>
    <w:next w:val="369"/>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71">
    <w:name w:val="纯文本2"/>
    <w:basedOn w:val="1"/>
    <w:autoRedefine/>
    <w:qFormat/>
    <w:uiPriority w:val="0"/>
    <w:rPr>
      <w:rFonts w:ascii="宋体" w:hAnsi="Courier New"/>
    </w:rPr>
  </w:style>
  <w:style w:type="paragraph" w:customStyle="1" w:styleId="372">
    <w:name w:val="索引 41"/>
    <w:basedOn w:val="1"/>
    <w:next w:val="1"/>
    <w:autoRedefine/>
    <w:qFormat/>
    <w:uiPriority w:val="0"/>
    <w:pPr>
      <w:ind w:left="600" w:leftChars="600"/>
    </w:pPr>
  </w:style>
  <w:style w:type="paragraph" w:customStyle="1" w:styleId="37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Char Char Char1 Char1"/>
    <w:basedOn w:val="1"/>
    <w:autoRedefine/>
    <w:qFormat/>
    <w:uiPriority w:val="0"/>
    <w:rPr>
      <w:rFonts w:eastAsia="楷体_GB2312"/>
      <w:szCs w:val="20"/>
    </w:rPr>
  </w:style>
  <w:style w:type="paragraph" w:customStyle="1" w:styleId="375">
    <w:name w:val="称呼1"/>
    <w:basedOn w:val="1"/>
    <w:next w:val="1"/>
    <w:autoRedefine/>
    <w:qFormat/>
    <w:uiPriority w:val="0"/>
    <w:rPr>
      <w:rFonts w:ascii="黑体" w:hAnsi="Verdana" w:eastAsia="黑体"/>
      <w:lang w:eastAsia="en-US"/>
    </w:rPr>
  </w:style>
  <w:style w:type="paragraph" w:customStyle="1" w:styleId="376">
    <w:name w:val="_Style 151"/>
    <w:basedOn w:val="1"/>
    <w:next w:val="1"/>
    <w:autoRedefine/>
    <w:qFormat/>
    <w:uiPriority w:val="0"/>
    <w:pPr>
      <w:pBdr>
        <w:bottom w:val="single" w:color="auto" w:sz="6" w:space="1"/>
      </w:pBdr>
      <w:jc w:val="center"/>
    </w:pPr>
    <w:rPr>
      <w:rFonts w:ascii="Arial"/>
      <w:vanish/>
      <w:sz w:val="16"/>
    </w:rPr>
  </w:style>
  <w:style w:type="paragraph" w:customStyle="1" w:styleId="377">
    <w:name w:val="正文文本缩进2"/>
    <w:basedOn w:val="1"/>
    <w:autoRedefine/>
    <w:qFormat/>
    <w:uiPriority w:val="0"/>
    <w:pPr>
      <w:spacing w:after="120"/>
      <w:ind w:left="420" w:leftChars="200"/>
    </w:pPr>
  </w:style>
  <w:style w:type="paragraph" w:customStyle="1" w:styleId="378">
    <w:name w:val="Char Char Char1 Char"/>
    <w:basedOn w:val="365"/>
    <w:autoRedefine/>
    <w:qFormat/>
    <w:uiPriority w:val="0"/>
    <w:pPr>
      <w:shd w:val="clear" w:color="auto" w:fill="auto"/>
    </w:pPr>
    <w:rPr>
      <w:rFonts w:ascii="宋体" w:hAnsi="Verdana" w:eastAsia="黑体"/>
      <w:sz w:val="18"/>
      <w:szCs w:val="18"/>
      <w:shd w:val="clear" w:color="auto" w:fill="auto"/>
      <w:lang w:eastAsia="en-US"/>
    </w:rPr>
  </w:style>
  <w:style w:type="paragraph" w:customStyle="1" w:styleId="379">
    <w:name w:val="正文首行缩进2"/>
    <w:basedOn w:val="1"/>
    <w:autoRedefine/>
    <w:qFormat/>
    <w:uiPriority w:val="0"/>
    <w:pPr>
      <w:ind w:firstLine="420" w:firstLineChars="100"/>
    </w:pPr>
    <w:rPr>
      <w:rFonts w:ascii="黑体" w:hAnsi="Verdana" w:eastAsia="楷体_GB2312"/>
      <w:szCs w:val="32"/>
      <w:lang w:eastAsia="en-US"/>
    </w:rPr>
  </w:style>
  <w:style w:type="paragraph" w:customStyle="1" w:styleId="380">
    <w:name w:val="Char Char Char Char Char Char Char Char Char Char Char Char1 Char Char Char Char"/>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381">
    <w:name w:val="_Style 98"/>
    <w:basedOn w:val="2"/>
    <w:next w:val="1"/>
    <w:autoRedefine/>
    <w:qFormat/>
    <w:uiPriority w:val="0"/>
    <w:pPr>
      <w:spacing w:before="340" w:after="330" w:line="578" w:lineRule="auto"/>
      <w:jc w:val="both"/>
      <w:outlineLvl w:val="9"/>
    </w:pPr>
    <w:rPr>
      <w:sz w:val="44"/>
      <w:lang w:val="en-US"/>
    </w:rPr>
  </w:style>
  <w:style w:type="paragraph" w:customStyle="1" w:styleId="382">
    <w:name w:val="批注主题1"/>
    <w:basedOn w:val="15"/>
    <w:next w:val="15"/>
    <w:autoRedefine/>
    <w:qFormat/>
    <w:uiPriority w:val="0"/>
    <w:rPr>
      <w:b/>
      <w:bCs/>
      <w:kern w:val="2"/>
      <w:lang w:val="en-US"/>
    </w:rPr>
  </w:style>
  <w:style w:type="paragraph" w:customStyle="1" w:styleId="383">
    <w:name w:val="正文 New New New New New New"/>
    <w:next w:val="384"/>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4">
    <w:name w:val="正文首行缩进 New"/>
    <w:basedOn w:val="383"/>
    <w:autoRedefine/>
    <w:qFormat/>
    <w:uiPriority w:val="0"/>
    <w:pPr>
      <w:widowControl/>
      <w:ind w:firstLine="420" w:firstLineChars="100"/>
      <w:jc w:val="left"/>
    </w:pPr>
    <w:rPr>
      <w:sz w:val="24"/>
      <w:lang w:eastAsia="en-US"/>
    </w:rPr>
  </w:style>
  <w:style w:type="paragraph" w:customStyle="1" w:styleId="385">
    <w:name w:val="正文文本 32"/>
    <w:basedOn w:val="1"/>
    <w:autoRedefine/>
    <w:qFormat/>
    <w:uiPriority w:val="0"/>
    <w:rPr>
      <w:rFonts w:ascii="宋体"/>
      <w:sz w:val="24"/>
    </w:rPr>
  </w:style>
  <w:style w:type="paragraph" w:customStyle="1" w:styleId="386">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7">
    <w:name w:val="日期11"/>
    <w:basedOn w:val="1"/>
    <w:next w:val="1"/>
    <w:autoRedefine/>
    <w:qFormat/>
    <w:uiPriority w:val="0"/>
    <w:rPr>
      <w:sz w:val="24"/>
    </w:rPr>
  </w:style>
  <w:style w:type="paragraph" w:customStyle="1" w:styleId="388">
    <w:name w:val="正文 New New New New New New New New New New New New New New New New"/>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9">
    <w:name w:val="正文文本缩进 211"/>
    <w:basedOn w:val="1"/>
    <w:autoRedefine/>
    <w:qFormat/>
    <w:uiPriority w:val="0"/>
    <w:pPr>
      <w:spacing w:after="120" w:line="480" w:lineRule="auto"/>
      <w:ind w:left="420" w:leftChars="200"/>
    </w:pPr>
  </w:style>
  <w:style w:type="paragraph" w:customStyle="1" w:styleId="390">
    <w:name w:val="_Style 1"/>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391">
    <w:name w:val="正文缩进1"/>
    <w:basedOn w:val="1"/>
    <w:autoRedefine/>
    <w:qFormat/>
    <w:uiPriority w:val="0"/>
    <w:pPr>
      <w:ind w:firstLine="420" w:firstLineChars="200"/>
    </w:pPr>
  </w:style>
  <w:style w:type="paragraph" w:customStyle="1" w:styleId="392">
    <w:name w:val="正文 New New New New New New New New New New New New New New New"/>
    <w:next w:val="393"/>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3">
    <w:name w:val="正文首行缩进 New New New New New New New"/>
    <w:basedOn w:val="392"/>
    <w:autoRedefine/>
    <w:qFormat/>
    <w:uiPriority w:val="0"/>
    <w:pPr>
      <w:widowControl/>
      <w:ind w:firstLine="420" w:firstLineChars="100"/>
      <w:jc w:val="left"/>
    </w:pPr>
    <w:rPr>
      <w:sz w:val="24"/>
      <w:lang w:eastAsia="en-US"/>
    </w:rPr>
  </w:style>
  <w:style w:type="paragraph" w:customStyle="1" w:styleId="394">
    <w:name w:val="正文文本缩进21"/>
    <w:basedOn w:val="1"/>
    <w:autoRedefine/>
    <w:qFormat/>
    <w:uiPriority w:val="0"/>
    <w:pPr>
      <w:spacing w:after="120"/>
      <w:ind w:left="420" w:leftChars="200"/>
    </w:pPr>
  </w:style>
  <w:style w:type="paragraph" w:customStyle="1" w:styleId="395">
    <w:name w:val="明显引用1"/>
    <w:basedOn w:val="1"/>
    <w:next w:val="1"/>
    <w:autoRedefine/>
    <w:qFormat/>
    <w:uiPriority w:val="0"/>
    <w:pPr>
      <w:pBdr>
        <w:bottom w:val="single" w:color="4F81BD" w:sz="4" w:space="4"/>
      </w:pBdr>
      <w:spacing w:before="200" w:after="280"/>
      <w:ind w:left="936" w:right="936"/>
    </w:pPr>
    <w:rPr>
      <w:b/>
      <w:bCs/>
      <w:i/>
      <w:iCs/>
      <w:color w:val="4F81BD"/>
      <w:szCs w:val="22"/>
    </w:rPr>
  </w:style>
  <w:style w:type="paragraph" w:customStyle="1" w:styleId="396">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8">
    <w:name w:val="正文 New New New New New New New New"/>
    <w:next w:val="1"/>
    <w:autoRedefine/>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399">
    <w:name w:val="正文 New New New New New New New New New New New"/>
    <w:next w:val="40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00">
    <w:name w:val="正文首行缩进 New New New New"/>
    <w:basedOn w:val="399"/>
    <w:autoRedefine/>
    <w:qFormat/>
    <w:uiPriority w:val="0"/>
    <w:pPr>
      <w:widowControl/>
      <w:ind w:firstLine="420" w:firstLineChars="100"/>
      <w:jc w:val="left"/>
    </w:pPr>
    <w:rPr>
      <w:sz w:val="24"/>
      <w:lang w:eastAsia="en-US"/>
    </w:rPr>
  </w:style>
  <w:style w:type="paragraph" w:customStyle="1" w:styleId="401">
    <w:name w:val="正文 New New New New New New New New New New New New"/>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02">
    <w:name w:val="列出段落21"/>
    <w:basedOn w:val="1"/>
    <w:autoRedefine/>
    <w:qFormat/>
    <w:uiPriority w:val="0"/>
    <w:pPr>
      <w:ind w:firstLine="420" w:firstLineChars="200"/>
    </w:pPr>
    <w:rPr>
      <w:rFonts w:ascii="Calibri" w:hAnsi="Calibri"/>
      <w:szCs w:val="22"/>
    </w:rPr>
  </w:style>
  <w:style w:type="paragraph" w:customStyle="1" w:styleId="403">
    <w:name w:val="标题 1 New"/>
    <w:basedOn w:val="324"/>
    <w:next w:val="324"/>
    <w:autoRedefine/>
    <w:qFormat/>
    <w:uiPriority w:val="0"/>
    <w:pPr>
      <w:keepNext/>
      <w:keepLines/>
      <w:outlineLvl w:val="0"/>
    </w:pPr>
    <w:rPr>
      <w:b/>
      <w:bCs/>
      <w:kern w:val="44"/>
      <w:sz w:val="28"/>
      <w:szCs w:val="44"/>
    </w:rPr>
  </w:style>
  <w:style w:type="paragraph" w:customStyle="1" w:styleId="404">
    <w:name w:val="页脚 New New New New New"/>
    <w:basedOn w:val="401"/>
    <w:autoRedefine/>
    <w:qFormat/>
    <w:uiPriority w:val="0"/>
    <w:pPr>
      <w:tabs>
        <w:tab w:val="center" w:pos="4153"/>
        <w:tab w:val="right" w:pos="8306"/>
      </w:tabs>
      <w:snapToGrid w:val="0"/>
      <w:jc w:val="left"/>
    </w:pPr>
    <w:rPr>
      <w:sz w:val="18"/>
      <w:szCs w:val="18"/>
    </w:rPr>
  </w:style>
  <w:style w:type="paragraph" w:customStyle="1" w:styleId="405">
    <w:name w:val="正文缩进11"/>
    <w:basedOn w:val="1"/>
    <w:autoRedefine/>
    <w:qFormat/>
    <w:uiPriority w:val="0"/>
    <w:pPr>
      <w:ind w:firstLine="420" w:firstLineChars="200"/>
    </w:pPr>
  </w:style>
  <w:style w:type="paragraph" w:customStyle="1" w:styleId="406">
    <w:name w:val="索引 11"/>
    <w:basedOn w:val="1"/>
    <w:next w:val="1"/>
    <w:autoRedefine/>
    <w:qFormat/>
    <w:uiPriority w:val="0"/>
    <w:rPr>
      <w:rFonts w:eastAsia="楷体_GB2312"/>
    </w:rPr>
  </w:style>
  <w:style w:type="paragraph" w:customStyle="1" w:styleId="407">
    <w:name w:val="页脚 New New New New"/>
    <w:basedOn w:val="399"/>
    <w:autoRedefine/>
    <w:qFormat/>
    <w:uiPriority w:val="0"/>
    <w:pPr>
      <w:tabs>
        <w:tab w:val="center" w:pos="4153"/>
        <w:tab w:val="right" w:pos="8306"/>
      </w:tabs>
      <w:snapToGrid w:val="0"/>
      <w:jc w:val="left"/>
    </w:pPr>
    <w:rPr>
      <w:sz w:val="18"/>
      <w:szCs w:val="18"/>
    </w:rPr>
  </w:style>
  <w:style w:type="paragraph" w:customStyle="1" w:styleId="408">
    <w:name w:val="正文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9">
    <w:name w:val="文本块1"/>
    <w:basedOn w:val="1"/>
    <w:autoRedefine/>
    <w:qFormat/>
    <w:uiPriority w:val="0"/>
    <w:pPr>
      <w:widowControl/>
      <w:spacing w:after="120"/>
      <w:ind w:left="1440" w:leftChars="700" w:right="1440" w:rightChars="700"/>
      <w:jc w:val="left"/>
    </w:pPr>
    <w:rPr>
      <w:kern w:val="0"/>
      <w:sz w:val="20"/>
      <w:szCs w:val="20"/>
    </w:rPr>
  </w:style>
  <w:style w:type="paragraph" w:customStyle="1" w:styleId="410">
    <w:name w:val="文档结构图11"/>
    <w:basedOn w:val="1"/>
    <w:autoRedefine/>
    <w:qFormat/>
    <w:uiPriority w:val="0"/>
    <w:rPr>
      <w:rFonts w:ascii="宋体"/>
      <w:sz w:val="18"/>
      <w:szCs w:val="18"/>
    </w:rPr>
  </w:style>
  <w:style w:type="paragraph" w:customStyle="1" w:styleId="411">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_Style 152"/>
    <w:basedOn w:val="1"/>
    <w:next w:val="1"/>
    <w:autoRedefine/>
    <w:qFormat/>
    <w:uiPriority w:val="0"/>
    <w:pPr>
      <w:pBdr>
        <w:top w:val="single" w:color="auto" w:sz="6" w:space="1"/>
      </w:pBdr>
      <w:jc w:val="center"/>
    </w:pPr>
    <w:rPr>
      <w:rFonts w:ascii="Arial"/>
      <w:vanish/>
      <w:sz w:val="16"/>
    </w:rPr>
  </w:style>
  <w:style w:type="paragraph" w:customStyle="1" w:styleId="413">
    <w:name w:val="_Style 125"/>
    <w:autoRedefine/>
    <w:qFormat/>
    <w:uiPriority w:val="0"/>
    <w:rPr>
      <w:rFonts w:ascii="Times New Roman" w:hAnsi="Times New Roman" w:eastAsia="宋体" w:cs="Times New Roman"/>
      <w:kern w:val="2"/>
      <w:sz w:val="21"/>
      <w:szCs w:val="24"/>
      <w:lang w:val="en-US" w:eastAsia="zh-CN" w:bidi="ar-SA"/>
    </w:rPr>
  </w:style>
  <w:style w:type="paragraph" w:customStyle="1" w:styleId="414">
    <w:name w:val="纯文本21"/>
    <w:basedOn w:val="1"/>
    <w:autoRedefine/>
    <w:qFormat/>
    <w:uiPriority w:val="0"/>
    <w:rPr>
      <w:rFonts w:ascii="宋体" w:hAnsi="Courier New"/>
    </w:rPr>
  </w:style>
  <w:style w:type="paragraph" w:customStyle="1" w:styleId="415">
    <w:name w:val="_Style 6"/>
    <w:basedOn w:val="2"/>
    <w:next w:val="1"/>
    <w:autoRedefine/>
    <w:qFormat/>
    <w:uiPriority w:val="0"/>
    <w:pPr>
      <w:spacing w:line="360" w:lineRule="auto"/>
      <w:jc w:val="both"/>
      <w:outlineLvl w:val="9"/>
    </w:pPr>
    <w:rPr>
      <w:rFonts w:ascii="黑体" w:hAnsi="Verdana" w:eastAsia="黑体"/>
      <w:sz w:val="32"/>
      <w:lang w:val="en-US" w:eastAsia="en-US"/>
    </w:rPr>
  </w:style>
  <w:style w:type="paragraph" w:customStyle="1" w:styleId="416">
    <w:name w:val="页脚 New New"/>
    <w:basedOn w:val="368"/>
    <w:autoRedefine/>
    <w:qFormat/>
    <w:uiPriority w:val="0"/>
    <w:pPr>
      <w:tabs>
        <w:tab w:val="center" w:pos="4153"/>
        <w:tab w:val="right" w:pos="8306"/>
      </w:tabs>
      <w:snapToGrid w:val="0"/>
      <w:jc w:val="left"/>
    </w:pPr>
    <w:rPr>
      <w:sz w:val="18"/>
      <w:szCs w:val="18"/>
    </w:rPr>
  </w:style>
  <w:style w:type="paragraph" w:customStyle="1" w:styleId="417">
    <w:name w:val="页脚 New"/>
    <w:basedOn w:val="383"/>
    <w:autoRedefine/>
    <w:qFormat/>
    <w:uiPriority w:val="0"/>
    <w:pPr>
      <w:tabs>
        <w:tab w:val="center" w:pos="4153"/>
        <w:tab w:val="right" w:pos="8306"/>
      </w:tabs>
      <w:snapToGrid w:val="0"/>
      <w:jc w:val="left"/>
    </w:pPr>
    <w:rPr>
      <w:sz w:val="18"/>
      <w:szCs w:val="18"/>
    </w:rPr>
  </w:style>
  <w:style w:type="paragraph" w:customStyle="1" w:styleId="418">
    <w:name w:val="页脚 New New New New New New"/>
    <w:basedOn w:val="370"/>
    <w:autoRedefine/>
    <w:qFormat/>
    <w:uiPriority w:val="0"/>
    <w:pPr>
      <w:tabs>
        <w:tab w:val="center" w:pos="4153"/>
        <w:tab w:val="right" w:pos="8306"/>
      </w:tabs>
      <w:snapToGrid w:val="0"/>
      <w:jc w:val="left"/>
    </w:pPr>
    <w:rPr>
      <w:sz w:val="18"/>
      <w:szCs w:val="18"/>
    </w:rPr>
  </w:style>
  <w:style w:type="paragraph" w:customStyle="1" w:styleId="41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0">
    <w:name w:val="正文文本缩进 311"/>
    <w:basedOn w:val="1"/>
    <w:autoRedefine/>
    <w:qFormat/>
    <w:uiPriority w:val="0"/>
    <w:pPr>
      <w:spacing w:after="120"/>
      <w:ind w:left="420" w:leftChars="200"/>
    </w:pPr>
    <w:rPr>
      <w:sz w:val="16"/>
      <w:szCs w:val="16"/>
    </w:rPr>
  </w:style>
  <w:style w:type="paragraph" w:customStyle="1" w:styleId="421">
    <w:name w:val="正文首行缩进 New New New New New New"/>
    <w:basedOn w:val="324"/>
    <w:autoRedefine/>
    <w:qFormat/>
    <w:uiPriority w:val="0"/>
    <w:pPr>
      <w:widowControl/>
      <w:ind w:firstLine="420" w:firstLineChars="100"/>
      <w:jc w:val="left"/>
    </w:pPr>
    <w:rPr>
      <w:sz w:val="24"/>
      <w:lang w:eastAsia="en-US"/>
    </w:rPr>
  </w:style>
  <w:style w:type="paragraph" w:customStyle="1" w:styleId="422">
    <w:name w:val="Char4"/>
    <w:basedOn w:val="218"/>
    <w:autoRedefine/>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3">
    <w:name w:val="批注引用3"/>
    <w:basedOn w:val="51"/>
    <w:autoRedefine/>
    <w:qFormat/>
    <w:uiPriority w:val="0"/>
    <w:rPr>
      <w:sz w:val="21"/>
      <w:szCs w:val="21"/>
    </w:rPr>
  </w:style>
  <w:style w:type="character" w:customStyle="1" w:styleId="424">
    <w:name w:val="批注引用4"/>
    <w:basedOn w:val="51"/>
    <w:autoRedefine/>
    <w:qFormat/>
    <w:uiPriority w:val="0"/>
    <w:rPr>
      <w:sz w:val="21"/>
      <w:szCs w:val="21"/>
    </w:rPr>
  </w:style>
  <w:style w:type="character" w:customStyle="1" w:styleId="425">
    <w:name w:val="3级 Char"/>
    <w:link w:val="426"/>
    <w:autoRedefine/>
    <w:qFormat/>
    <w:uiPriority w:val="0"/>
    <w:rPr>
      <w:rFonts w:ascii="宋体" w:hAnsi="宋体" w:eastAsia="宋体" w:cs="Times New Roman"/>
      <w:b/>
      <w:color w:val="000000"/>
      <w:szCs w:val="21"/>
    </w:rPr>
  </w:style>
  <w:style w:type="paragraph" w:customStyle="1" w:styleId="426">
    <w:name w:val="3级"/>
    <w:basedOn w:val="254"/>
    <w:link w:val="425"/>
    <w:autoRedefine/>
    <w:qFormat/>
    <w:uiPriority w:val="0"/>
    <w:pPr>
      <w:keepNext/>
      <w:keepLines/>
      <w:spacing w:before="120" w:after="120" w:line="400" w:lineRule="exact"/>
      <w:ind w:firstLine="0" w:firstLineChars="0"/>
      <w:outlineLvl w:val="2"/>
    </w:pPr>
    <w:rPr>
      <w:b/>
      <w:color w:val="000000"/>
      <w:sz w:val="21"/>
      <w:u w:val="none"/>
    </w:rPr>
  </w:style>
  <w:style w:type="paragraph" w:customStyle="1" w:styleId="427">
    <w:name w:val="Char5"/>
    <w:basedOn w:val="218"/>
    <w:autoRedefine/>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8">
    <w:name w:val="font41"/>
    <w:autoRedefine/>
    <w:qFormat/>
    <w:uiPriority w:val="0"/>
    <w:rPr>
      <w:rFonts w:hint="eastAsia" w:ascii="宋体" w:hAnsi="宋体" w:eastAsia="宋体" w:cs="宋体"/>
      <w:b/>
      <w:color w:val="000000"/>
      <w:sz w:val="22"/>
      <w:szCs w:val="22"/>
      <w:u w:val="none"/>
    </w:rPr>
  </w:style>
  <w:style w:type="paragraph" w:customStyle="1" w:styleId="429">
    <w:name w:val="页眉 New"/>
    <w:basedOn w:val="21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ascii="Times New Roman" w:hAnsi="Times New Roman" w:eastAsia="宋体" w:cs="Times New Roman"/>
      <w:color w:val="auto"/>
      <w:sz w:val="18"/>
      <w:szCs w:val="20"/>
    </w:rPr>
  </w:style>
  <w:style w:type="paragraph" w:customStyle="1" w:styleId="430">
    <w:name w:val="页眉 New New"/>
    <w:basedOn w:val="36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customStyle="1" w:styleId="431">
    <w:name w:val="标题 11"/>
    <w:basedOn w:val="1"/>
    <w:autoRedefine/>
    <w:qFormat/>
    <w:uiPriority w:val="0"/>
    <w:pPr>
      <w:ind w:left="256"/>
      <w:jc w:val="left"/>
      <w:outlineLvl w:val="1"/>
    </w:pPr>
    <w:rPr>
      <w:rFonts w:ascii="Microsoft JhengHei" w:hAnsi="Microsoft JhengHei" w:eastAsia="Microsoft JhengHei" w:cs="Mongolian Baiti"/>
      <w:kern w:val="0"/>
      <w:sz w:val="28"/>
      <w:szCs w:val="28"/>
      <w:lang w:eastAsia="en-US"/>
    </w:rPr>
  </w:style>
  <w:style w:type="paragraph" w:customStyle="1" w:styleId="432">
    <w:name w:val="正文 A New New"/>
    <w:autoRedefine/>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33">
    <w:name w:val="批注文字 Char Char"/>
    <w:autoRedefine/>
    <w:qFormat/>
    <w:uiPriority w:val="0"/>
    <w:rPr>
      <w:rFonts w:ascii="宋体" w:hAnsi="Times New Roman" w:eastAsia="宋体" w:cs="Times New Roman"/>
      <w:sz w:val="28"/>
      <w:szCs w:val="20"/>
    </w:rPr>
  </w:style>
  <w:style w:type="paragraph" w:customStyle="1" w:styleId="434">
    <w:name w:val="Table Text"/>
    <w:basedOn w:val="1"/>
    <w:autoRedefine/>
    <w:semiHidden/>
    <w:qFormat/>
    <w:uiPriority w:val="0"/>
    <w:pPr>
      <w:widowControl/>
      <w:kinsoku w:val="0"/>
      <w:autoSpaceDE w:val="0"/>
      <w:autoSpaceDN w:val="0"/>
      <w:adjustRightInd w:val="0"/>
      <w:snapToGrid w:val="0"/>
      <w:jc w:val="left"/>
    </w:pPr>
    <w:rPr>
      <w:rFonts w:ascii="微软雅黑" w:hAnsi="微软雅黑" w:eastAsia="微软雅黑" w:cs="微软雅黑"/>
      <w:color w:val="000000"/>
      <w:kern w:val="0"/>
      <w:sz w:val="20"/>
      <w:szCs w:val="20"/>
      <w:lang w:eastAsia="en-US"/>
    </w:rPr>
  </w:style>
  <w:style w:type="character" w:customStyle="1" w:styleId="435">
    <w:name w:val="fontstyle01"/>
    <w:basedOn w:val="51"/>
    <w:autoRedefine/>
    <w:qFormat/>
    <w:uiPriority w:val="0"/>
    <w:rPr>
      <w:rFonts w:hint="eastAsia" w:ascii="宋体" w:hAnsi="宋体" w:eastAsia="宋体"/>
      <w:color w:val="000000"/>
      <w:sz w:val="22"/>
      <w:szCs w:val="22"/>
    </w:rPr>
  </w:style>
  <w:style w:type="paragraph" w:customStyle="1" w:styleId="436">
    <w:name w:val="Plain Text"/>
    <w:basedOn w:val="1"/>
    <w:autoRedefine/>
    <w:qFormat/>
    <w:uiPriority w:val="0"/>
    <w:rPr>
      <w:rFonts w:ascii="宋体" w:hAnsi="Courier New" w:eastAsia="宋体" w:cs="Times New Roman"/>
      <w:szCs w:val="20"/>
    </w:rPr>
  </w:style>
  <w:style w:type="table" w:customStyle="1" w:styleId="437">
    <w:name w:val="Table Normal"/>
    <w:autoRedefine/>
    <w:semiHidden/>
    <w:unhideWhenUsed/>
    <w:qFormat/>
    <w:uiPriority w:val="0"/>
    <w:tblPr>
      <w:tblCellMar>
        <w:top w:w="0" w:type="dxa"/>
        <w:left w:w="0" w:type="dxa"/>
        <w:bottom w:w="0" w:type="dxa"/>
        <w:right w:w="0" w:type="dxa"/>
      </w:tblCellMar>
    </w:tblPr>
  </w:style>
  <w:style w:type="paragraph" w:customStyle="1" w:styleId="438">
    <w:name w:val="章节三"/>
    <w:basedOn w:val="1"/>
    <w:next w:val="1"/>
    <w:autoRedefine/>
    <w:qFormat/>
    <w:uiPriority w:val="0"/>
    <w:pPr>
      <w:topLinePunct/>
      <w:adjustRightInd w:val="0"/>
      <w:snapToGrid w:val="0"/>
      <w:spacing w:before="156" w:before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119</Pages>
  <Words>76641</Words>
  <Characters>80885</Characters>
  <Lines>376</Lines>
  <Paragraphs>106</Paragraphs>
  <TotalTime>45</TotalTime>
  <ScaleCrop>false</ScaleCrop>
  <LinksUpToDate>false</LinksUpToDate>
  <CharactersWithSpaces>86442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2023-12-16T00:56:00Z</dcterms:created>
  <dc:creator>QQ</dc:creator>
  <cp:lastModifiedBy>杜某</cp:lastModifiedBy>
  <cp:lastPrinted>2024-01-09T23:22:00Z</cp:lastPrinted>
  <dcterms:modified xsi:type="dcterms:W3CDTF">2025-04-29T02:45:40Z</dcterms:modified>
  <cp:revision>430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eyJoZGlkIjoiZjY5ZGJmN2UyZTRlNjdkNjQwOTQ4M2ExZDlhODRjNTAiLCJ1c2VySWQiOiIzMDU3OTc3NjEifQ==</vt:lpwstr>
  </property>
  <property fmtid="{D5CDD505-2E9C-101B-9397-08002B2CF9AE}" pid="4" name="ICV">
    <vt:lpwstr>26F8B9BBD6584C70ABA7109A7F25AEA2_13</vt:lpwstr>
  </property>
</Properties>
</file>