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18A8D">
      <w:pPr>
        <w:spacing w:line="720" w:lineRule="auto"/>
        <w:jc w:val="center"/>
        <w:rPr>
          <w:rFonts w:hint="eastAsia" w:ascii="宋体" w:hAnsi="宋体" w:cs="宋体"/>
          <w:b/>
          <w:color w:val="auto"/>
          <w:kern w:val="0"/>
          <w:sz w:val="48"/>
          <w:szCs w:val="48"/>
          <w:highlight w:val="none"/>
        </w:rPr>
      </w:pPr>
      <w:bookmarkStart w:id="0" w:name="_Hlk53133821"/>
      <w:bookmarkStart w:id="135" w:name="_GoBack"/>
    </w:p>
    <w:p w14:paraId="363D2C33">
      <w:pPr>
        <w:spacing w:line="720" w:lineRule="auto"/>
        <w:jc w:val="center"/>
        <w:rPr>
          <w:rFonts w:hint="eastAsia" w:ascii="宋体" w:hAnsi="宋体" w:cs="宋体"/>
          <w:color w:val="auto"/>
          <w:sz w:val="36"/>
          <w:szCs w:val="36"/>
          <w:highlight w:val="none"/>
          <w:u w:val="single"/>
        </w:rPr>
      </w:pPr>
      <w:r>
        <w:rPr>
          <w:rFonts w:hint="eastAsia" w:ascii="宋体" w:hAnsi="宋体" w:cs="宋体"/>
          <w:color w:val="auto"/>
          <w:sz w:val="36"/>
          <w:szCs w:val="36"/>
          <w:highlight w:val="none"/>
          <w:u w:val="single"/>
        </w:rPr>
        <w:t>迎宾大道机场立交节点交通优化改造项目施工总承包</w:t>
      </w:r>
    </w:p>
    <w:bookmarkEnd w:id="0"/>
    <w:p w14:paraId="63D5665C">
      <w:pPr>
        <w:spacing w:line="360" w:lineRule="auto"/>
        <w:jc w:val="center"/>
        <w:rPr>
          <w:rFonts w:hint="eastAsia" w:ascii="宋体" w:hAnsi="宋体" w:cs="宋体"/>
          <w:color w:val="auto"/>
          <w:sz w:val="36"/>
          <w:szCs w:val="36"/>
          <w:highlight w:val="none"/>
          <w:u w:val="single"/>
        </w:rPr>
      </w:pPr>
    </w:p>
    <w:p w14:paraId="0CC4BC5B">
      <w:pPr>
        <w:spacing w:line="360" w:lineRule="auto"/>
        <w:jc w:val="center"/>
        <w:rPr>
          <w:rFonts w:hint="eastAsia" w:ascii="宋体" w:hAnsi="宋体" w:cs="宋体"/>
          <w:color w:val="auto"/>
          <w:sz w:val="36"/>
          <w:szCs w:val="36"/>
          <w:highlight w:val="none"/>
          <w:u w:val="single"/>
        </w:rPr>
      </w:pPr>
    </w:p>
    <w:p w14:paraId="727A95DE">
      <w:pPr>
        <w:spacing w:line="360" w:lineRule="auto"/>
        <w:jc w:val="center"/>
        <w:rPr>
          <w:rFonts w:hint="eastAsia" w:ascii="宋体" w:hAnsi="宋体" w:cs="宋体"/>
          <w:color w:val="auto"/>
          <w:sz w:val="36"/>
          <w:szCs w:val="36"/>
          <w:highlight w:val="none"/>
          <w:u w:val="single"/>
        </w:rPr>
      </w:pPr>
    </w:p>
    <w:p w14:paraId="55577214">
      <w:pPr>
        <w:pStyle w:val="5"/>
        <w:rPr>
          <w:rFonts w:hint="eastAsia"/>
          <w:color w:val="auto"/>
          <w:highlight w:val="none"/>
        </w:rPr>
      </w:pPr>
    </w:p>
    <w:p w14:paraId="6EA69AFF">
      <w:pPr>
        <w:rPr>
          <w:rFonts w:hint="eastAsia" w:ascii="宋体" w:hAnsi="宋体"/>
          <w:color w:val="auto"/>
          <w:highlight w:val="none"/>
        </w:rPr>
      </w:pPr>
    </w:p>
    <w:p w14:paraId="63D4694C">
      <w:pPr>
        <w:spacing w:line="360" w:lineRule="auto"/>
        <w:jc w:val="center"/>
        <w:rPr>
          <w:rFonts w:hint="eastAsia" w:ascii="宋体" w:hAnsi="宋体" w:cs="宋体"/>
          <w:color w:val="auto"/>
          <w:sz w:val="36"/>
          <w:szCs w:val="36"/>
          <w:highlight w:val="none"/>
          <w:u w:val="single"/>
        </w:rPr>
      </w:pPr>
    </w:p>
    <w:p w14:paraId="66D867FE">
      <w:pPr>
        <w:spacing w:line="360" w:lineRule="auto"/>
        <w:jc w:val="center"/>
        <w:rPr>
          <w:rFonts w:hint="eastAsia"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14:paraId="171A5DE2">
      <w:pPr>
        <w:spacing w:line="360" w:lineRule="auto"/>
        <w:jc w:val="center"/>
        <w:rPr>
          <w:rFonts w:hint="eastAsia" w:ascii="宋体" w:hAnsi="宋体" w:cs="宋体"/>
          <w:color w:val="auto"/>
          <w:sz w:val="32"/>
          <w:szCs w:val="32"/>
          <w:highlight w:val="none"/>
        </w:rPr>
      </w:pPr>
    </w:p>
    <w:p w14:paraId="69905C13">
      <w:pPr>
        <w:spacing w:line="360" w:lineRule="auto"/>
        <w:ind w:firstLine="2560" w:firstLineChars="800"/>
        <w:rPr>
          <w:rFonts w:hint="eastAsia" w:ascii="宋体" w:hAnsi="宋体" w:cs="宋体"/>
          <w:color w:val="auto"/>
          <w:sz w:val="32"/>
          <w:szCs w:val="32"/>
          <w:highlight w:val="none"/>
        </w:rPr>
      </w:pPr>
    </w:p>
    <w:p w14:paraId="62292ED9">
      <w:pPr>
        <w:spacing w:line="360" w:lineRule="auto"/>
        <w:ind w:firstLine="2560" w:firstLineChars="800"/>
        <w:rPr>
          <w:rFonts w:hint="eastAsia" w:ascii="宋体" w:hAnsi="宋体" w:cs="宋体"/>
          <w:color w:val="auto"/>
          <w:sz w:val="32"/>
          <w:szCs w:val="32"/>
          <w:highlight w:val="none"/>
        </w:rPr>
      </w:pPr>
    </w:p>
    <w:p w14:paraId="60F734E3">
      <w:pPr>
        <w:spacing w:line="360" w:lineRule="auto"/>
        <w:ind w:firstLine="1200" w:firstLineChars="400"/>
        <w:rPr>
          <w:rFonts w:hint="eastAsia" w:ascii="宋体" w:hAnsi="宋体" w:cs="宋体"/>
          <w:color w:val="auto"/>
          <w:sz w:val="30"/>
          <w:szCs w:val="30"/>
          <w:highlight w:val="none"/>
        </w:rPr>
      </w:pPr>
    </w:p>
    <w:p w14:paraId="06B4E48D">
      <w:pPr>
        <w:spacing w:line="360" w:lineRule="auto"/>
        <w:ind w:firstLine="1200" w:firstLineChars="400"/>
        <w:rPr>
          <w:rFonts w:hint="eastAsia" w:ascii="宋体" w:hAnsi="宋体" w:cs="宋体"/>
          <w:color w:val="auto"/>
          <w:sz w:val="30"/>
          <w:szCs w:val="30"/>
          <w:highlight w:val="none"/>
        </w:rPr>
      </w:pPr>
    </w:p>
    <w:p w14:paraId="64B0A0E7">
      <w:pPr>
        <w:spacing w:line="360" w:lineRule="auto"/>
        <w:jc w:val="center"/>
        <w:rPr>
          <w:rFonts w:hint="eastAsia" w:ascii="宋体" w:hAnsi="宋体" w:cs="宋体"/>
          <w:color w:val="auto"/>
          <w:spacing w:val="-2"/>
          <w:sz w:val="30"/>
          <w:szCs w:val="30"/>
          <w:highlight w:val="none"/>
        </w:rPr>
      </w:pPr>
    </w:p>
    <w:p w14:paraId="6719BA26">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招标单位：</w:t>
      </w:r>
      <w:r>
        <w:rPr>
          <w:rFonts w:hint="eastAsia" w:ascii="宋体" w:hAnsi="宋体" w:cs="宋体"/>
          <w:b/>
          <w:bCs/>
          <w:color w:val="auto"/>
          <w:spacing w:val="-2"/>
          <w:sz w:val="30"/>
          <w:szCs w:val="30"/>
          <w:highlight w:val="none"/>
          <w:u w:val="single"/>
        </w:rPr>
        <w:t>广州空港建设运营集团有限公司</w:t>
      </w:r>
    </w:p>
    <w:p w14:paraId="610723C9">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招标代理机构：</w:t>
      </w:r>
      <w:r>
        <w:rPr>
          <w:rFonts w:hint="eastAsia" w:ascii="宋体" w:hAnsi="宋体" w:cs="宋体"/>
          <w:b/>
          <w:bCs/>
          <w:color w:val="auto"/>
          <w:spacing w:val="-2"/>
          <w:sz w:val="30"/>
          <w:szCs w:val="30"/>
          <w:highlight w:val="none"/>
          <w:u w:val="single"/>
          <w:lang w:eastAsia="zh-CN"/>
        </w:rPr>
        <w:t>北京中交建设工程咨询有限公司</w:t>
      </w:r>
    </w:p>
    <w:p w14:paraId="69F4CA02">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日期：</w:t>
      </w:r>
      <w:r>
        <w:rPr>
          <w:rFonts w:ascii="宋体" w:hAnsi="宋体" w:cs="宋体"/>
          <w:b/>
          <w:bCs/>
          <w:color w:val="auto"/>
          <w:spacing w:val="-2"/>
          <w:sz w:val="30"/>
          <w:szCs w:val="30"/>
          <w:highlight w:val="none"/>
        </w:rPr>
        <w:t>2025年</w:t>
      </w:r>
      <w:r>
        <w:rPr>
          <w:rFonts w:ascii="宋体" w:hAnsi="宋体" w:cs="宋体"/>
          <w:b/>
          <w:bCs/>
          <w:color w:val="auto"/>
          <w:spacing w:val="-2"/>
          <w:sz w:val="30"/>
          <w:szCs w:val="30"/>
          <w:highlight w:val="none"/>
          <w:u w:val="single"/>
        </w:rPr>
        <w:t>4</w:t>
      </w:r>
      <w:r>
        <w:rPr>
          <w:rFonts w:hint="eastAsia" w:ascii="宋体" w:hAnsi="宋体" w:cs="宋体"/>
          <w:b/>
          <w:bCs/>
          <w:color w:val="auto"/>
          <w:spacing w:val="-2"/>
          <w:sz w:val="30"/>
          <w:szCs w:val="30"/>
          <w:highlight w:val="none"/>
        </w:rPr>
        <w:t>月</w:t>
      </w:r>
    </w:p>
    <w:p w14:paraId="6EF68F75">
      <w:pPr>
        <w:widowControl/>
        <w:jc w:val="left"/>
        <w:rPr>
          <w:rFonts w:hint="eastAsia" w:ascii="宋体" w:hAnsi="宋体" w:cs="宋体"/>
          <w:b/>
          <w:bCs/>
          <w:color w:val="auto"/>
          <w:spacing w:val="-2"/>
          <w:sz w:val="30"/>
          <w:szCs w:val="30"/>
          <w:highlight w:val="none"/>
        </w:rPr>
      </w:pPr>
      <w:r>
        <w:rPr>
          <w:rFonts w:ascii="宋体" w:hAnsi="宋体" w:cs="宋体"/>
          <w:b/>
          <w:bCs/>
          <w:color w:val="auto"/>
          <w:spacing w:val="-2"/>
          <w:sz w:val="30"/>
          <w:szCs w:val="30"/>
          <w:highlight w:val="none"/>
        </w:rPr>
        <w:br w:type="page"/>
      </w:r>
    </w:p>
    <w:p w14:paraId="03EA6874">
      <w:pPr>
        <w:jc w:val="center"/>
        <w:rPr>
          <w:rStyle w:val="58"/>
          <w:rFonts w:hint="eastAsia" w:ascii="宋体" w:hAnsi="宋体" w:cs="宋体"/>
          <w:b/>
          <w:bCs/>
          <w:color w:val="auto"/>
          <w:highlight w:val="none"/>
        </w:rPr>
        <w:sectPr>
          <w:footerReference r:id="rId4" w:type="default"/>
          <w:headerReference r:id="rId3" w:type="even"/>
          <w:footerReference r:id="rId5" w:type="even"/>
          <w:endnotePr>
            <w:numFmt w:val="decimal"/>
          </w:endnotePr>
          <w:type w:val="continuous"/>
          <w:pgSz w:w="11906" w:h="16838"/>
          <w:pgMar w:top="1440" w:right="1080" w:bottom="1440" w:left="1080" w:header="851" w:footer="907" w:gutter="0"/>
          <w:pgNumType w:start="1"/>
          <w:cols w:space="720" w:num="1"/>
          <w:docGrid w:type="lines" w:linePitch="312" w:charSpace="0"/>
        </w:sectPr>
      </w:pPr>
    </w:p>
    <w:p w14:paraId="52B5E1D0">
      <w:pPr>
        <w:jc w:val="center"/>
        <w:rPr>
          <w:rFonts w:hint="eastAsia" w:ascii="宋体" w:hAnsi="宋体" w:cs="宋体"/>
          <w:b/>
          <w:caps/>
          <w:color w:val="auto"/>
          <w:kern w:val="0"/>
          <w:sz w:val="32"/>
          <w:szCs w:val="32"/>
          <w:highlight w:val="none"/>
        </w:rPr>
      </w:pPr>
      <w:r>
        <w:rPr>
          <w:rStyle w:val="58"/>
          <w:rFonts w:hint="eastAsia" w:ascii="宋体" w:hAnsi="宋体" w:cs="宋体"/>
          <w:b/>
          <w:bCs/>
          <w:color w:val="auto"/>
          <w:sz w:val="32"/>
          <w:szCs w:val="32"/>
          <w:highlight w:val="none"/>
          <w:u w:val="none"/>
        </w:rPr>
        <w:t>目</w:t>
      </w:r>
      <w:r>
        <w:rPr>
          <w:rStyle w:val="58"/>
          <w:rFonts w:ascii="宋体" w:hAnsi="宋体" w:cs="宋体"/>
          <w:b/>
          <w:bCs/>
          <w:color w:val="auto"/>
          <w:sz w:val="32"/>
          <w:szCs w:val="32"/>
          <w:highlight w:val="none"/>
          <w:u w:val="none"/>
        </w:rPr>
        <w:t xml:space="preserve">  </w:t>
      </w:r>
      <w:r>
        <w:rPr>
          <w:rStyle w:val="58"/>
          <w:rFonts w:hint="eastAsia" w:ascii="宋体" w:hAnsi="宋体" w:cs="宋体"/>
          <w:b/>
          <w:bCs/>
          <w:color w:val="auto"/>
          <w:sz w:val="32"/>
          <w:szCs w:val="32"/>
          <w:highlight w:val="none"/>
          <w:u w:val="none"/>
        </w:rPr>
        <w:t>录</w:t>
      </w:r>
    </w:p>
    <w:p w14:paraId="635AACA1">
      <w:pPr>
        <w:pStyle w:val="34"/>
        <w:rPr>
          <w:rFonts w:hint="eastAsia" w:cstheme="minorBidi"/>
          <w:caps w:val="0"/>
          <w:color w:val="auto"/>
          <w:kern w:val="2"/>
          <w:sz w:val="22"/>
          <w:szCs w:val="24"/>
          <w:highlight w:val="none"/>
          <w14:ligatures w14:val="standardContextual"/>
        </w:rPr>
      </w:pPr>
      <w:r>
        <w:rPr>
          <w:rFonts w:hint="eastAsia" w:cs="宋体"/>
          <w:color w:val="auto"/>
          <w:szCs w:val="24"/>
          <w:highlight w:val="none"/>
        </w:rPr>
        <w:fldChar w:fldCharType="begin"/>
      </w:r>
      <w:r>
        <w:rPr>
          <w:rFonts w:cs="宋体"/>
          <w:color w:val="auto"/>
          <w:szCs w:val="24"/>
          <w:highlight w:val="none"/>
        </w:rPr>
        <w:instrText xml:space="preserve"> TOC \o "1-3" \h \z \u </w:instrText>
      </w:r>
      <w:r>
        <w:rPr>
          <w:rFonts w:hint="eastAsia" w:cs="宋体"/>
          <w:color w:val="auto"/>
          <w:szCs w:val="24"/>
          <w:highlight w:val="none"/>
        </w:rPr>
        <w:fldChar w:fldCharType="separate"/>
      </w:r>
      <w:r>
        <w:rPr>
          <w:color w:val="auto"/>
          <w:highlight w:val="none"/>
        </w:rPr>
        <w:fldChar w:fldCharType="begin"/>
      </w:r>
      <w:r>
        <w:rPr>
          <w:color w:val="auto"/>
          <w:highlight w:val="none"/>
        </w:rPr>
        <w:instrText xml:space="preserve"> HYPERLINK \l "_Toc194440069" </w:instrText>
      </w:r>
      <w:r>
        <w:rPr>
          <w:color w:val="auto"/>
          <w:highlight w:val="none"/>
        </w:rPr>
        <w:fldChar w:fldCharType="separate"/>
      </w:r>
      <w:r>
        <w:rPr>
          <w:rStyle w:val="58"/>
          <w:rFonts w:hint="eastAsia"/>
          <w:color w:val="auto"/>
          <w:highlight w:val="none"/>
        </w:rPr>
        <w:t>第一章 投标须知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_Toc194440069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w:t>
      </w:r>
      <w:r>
        <w:rPr>
          <w:rFonts w:hint="eastAsia"/>
          <w:color w:val="auto"/>
          <w:highlight w:val="none"/>
        </w:rPr>
        <w:fldChar w:fldCharType="end"/>
      </w:r>
      <w:r>
        <w:rPr>
          <w:rFonts w:hint="eastAsia"/>
          <w:color w:val="auto"/>
          <w:highlight w:val="none"/>
        </w:rPr>
        <w:fldChar w:fldCharType="end"/>
      </w:r>
    </w:p>
    <w:p w14:paraId="6F5C9E1C">
      <w:pPr>
        <w:pStyle w:val="34"/>
        <w:rPr>
          <w:rFonts w:hint="eastAsia" w:cstheme="minorBidi"/>
          <w:caps w:val="0"/>
          <w:color w:val="auto"/>
          <w:kern w:val="2"/>
          <w:sz w:val="22"/>
          <w:szCs w:val="24"/>
          <w:highlight w:val="none"/>
          <w14:ligatures w14:val="standardContextual"/>
        </w:rPr>
      </w:pPr>
      <w:r>
        <w:rPr>
          <w:color w:val="auto"/>
          <w:highlight w:val="none"/>
        </w:rPr>
        <w:fldChar w:fldCharType="begin"/>
      </w:r>
      <w:r>
        <w:rPr>
          <w:color w:val="auto"/>
          <w:highlight w:val="none"/>
        </w:rPr>
        <w:instrText xml:space="preserve"> HYPERLINK \l "_Toc194440078" </w:instrText>
      </w:r>
      <w:r>
        <w:rPr>
          <w:color w:val="auto"/>
          <w:highlight w:val="none"/>
        </w:rPr>
        <w:fldChar w:fldCharType="separate"/>
      </w:r>
      <w:r>
        <w:rPr>
          <w:rStyle w:val="58"/>
          <w:rFonts w:hint="eastAsia"/>
          <w:color w:val="auto"/>
          <w:highlight w:val="none"/>
        </w:rPr>
        <w:t>第二章 开标、评标及定标办法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_Toc194440078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37</w:t>
      </w:r>
      <w:r>
        <w:rPr>
          <w:rFonts w:hint="eastAsia"/>
          <w:color w:val="auto"/>
          <w:highlight w:val="none"/>
        </w:rPr>
        <w:fldChar w:fldCharType="end"/>
      </w:r>
      <w:r>
        <w:rPr>
          <w:rFonts w:hint="eastAsia"/>
          <w:color w:val="auto"/>
          <w:highlight w:val="none"/>
        </w:rPr>
        <w:fldChar w:fldCharType="end"/>
      </w:r>
    </w:p>
    <w:p w14:paraId="00F792E8">
      <w:pPr>
        <w:pStyle w:val="34"/>
        <w:rPr>
          <w:rFonts w:hint="eastAsia" w:cstheme="minorBidi"/>
          <w:caps w:val="0"/>
          <w:color w:val="auto"/>
          <w:kern w:val="2"/>
          <w:sz w:val="22"/>
          <w:szCs w:val="24"/>
          <w:highlight w:val="none"/>
          <w14:ligatures w14:val="standardContextual"/>
        </w:rPr>
      </w:pPr>
      <w:r>
        <w:rPr>
          <w:color w:val="auto"/>
          <w:highlight w:val="none"/>
        </w:rPr>
        <w:fldChar w:fldCharType="begin"/>
      </w:r>
      <w:r>
        <w:rPr>
          <w:color w:val="auto"/>
          <w:highlight w:val="none"/>
        </w:rPr>
        <w:instrText xml:space="preserve"> HYPERLINK \l "_Toc194440091" </w:instrText>
      </w:r>
      <w:r>
        <w:rPr>
          <w:color w:val="auto"/>
          <w:highlight w:val="none"/>
        </w:rPr>
        <w:fldChar w:fldCharType="separate"/>
      </w:r>
      <w:r>
        <w:rPr>
          <w:rStyle w:val="58"/>
          <w:rFonts w:hint="eastAsia"/>
          <w:color w:val="auto"/>
          <w:highlight w:val="none"/>
        </w:rPr>
        <w:t>第三章 合同条款</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_Toc194440091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66</w:t>
      </w:r>
      <w:r>
        <w:rPr>
          <w:rFonts w:hint="eastAsia"/>
          <w:color w:val="auto"/>
          <w:highlight w:val="none"/>
        </w:rPr>
        <w:fldChar w:fldCharType="end"/>
      </w:r>
      <w:r>
        <w:rPr>
          <w:rFonts w:hint="eastAsia"/>
          <w:color w:val="auto"/>
          <w:highlight w:val="none"/>
        </w:rPr>
        <w:fldChar w:fldCharType="end"/>
      </w:r>
    </w:p>
    <w:p w14:paraId="34CB82F5">
      <w:pPr>
        <w:pStyle w:val="34"/>
        <w:rPr>
          <w:rFonts w:hint="eastAsia" w:cstheme="minorBidi"/>
          <w:caps w:val="0"/>
          <w:color w:val="auto"/>
          <w:kern w:val="2"/>
          <w:sz w:val="22"/>
          <w:szCs w:val="24"/>
          <w:highlight w:val="none"/>
          <w14:ligatures w14:val="standardContextual"/>
        </w:rPr>
      </w:pPr>
      <w:r>
        <w:rPr>
          <w:color w:val="auto"/>
          <w:highlight w:val="none"/>
        </w:rPr>
        <w:fldChar w:fldCharType="begin"/>
      </w:r>
      <w:r>
        <w:rPr>
          <w:color w:val="auto"/>
          <w:highlight w:val="none"/>
        </w:rPr>
        <w:instrText xml:space="preserve"> HYPERLINK \l "_Toc194440092" </w:instrText>
      </w:r>
      <w:r>
        <w:rPr>
          <w:color w:val="auto"/>
          <w:highlight w:val="none"/>
        </w:rPr>
        <w:fldChar w:fldCharType="separate"/>
      </w:r>
      <w:r>
        <w:rPr>
          <w:rStyle w:val="58"/>
          <w:rFonts w:hint="eastAsia"/>
          <w:color w:val="auto"/>
          <w:highlight w:val="none"/>
        </w:rPr>
        <w:t>第四章 投标文件格式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_Toc194440092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67</w:t>
      </w:r>
      <w:r>
        <w:rPr>
          <w:rFonts w:hint="eastAsia"/>
          <w:color w:val="auto"/>
          <w:highlight w:val="none"/>
        </w:rPr>
        <w:fldChar w:fldCharType="end"/>
      </w:r>
      <w:r>
        <w:rPr>
          <w:rFonts w:hint="eastAsia"/>
          <w:color w:val="auto"/>
          <w:highlight w:val="none"/>
        </w:rPr>
        <w:fldChar w:fldCharType="end"/>
      </w:r>
    </w:p>
    <w:p w14:paraId="2DAB7EAC">
      <w:pPr>
        <w:pStyle w:val="34"/>
        <w:rPr>
          <w:rFonts w:hint="eastAsia" w:cstheme="minorBidi"/>
          <w:caps w:val="0"/>
          <w:color w:val="auto"/>
          <w:kern w:val="2"/>
          <w:sz w:val="22"/>
          <w:szCs w:val="24"/>
          <w:highlight w:val="none"/>
          <w14:ligatures w14:val="standardContextual"/>
        </w:rPr>
      </w:pPr>
      <w:r>
        <w:rPr>
          <w:color w:val="auto"/>
          <w:highlight w:val="none"/>
        </w:rPr>
        <w:fldChar w:fldCharType="begin"/>
      </w:r>
      <w:r>
        <w:rPr>
          <w:color w:val="auto"/>
          <w:highlight w:val="none"/>
        </w:rPr>
        <w:instrText xml:space="preserve"> HYPERLINK \l "_Toc194440105" </w:instrText>
      </w:r>
      <w:r>
        <w:rPr>
          <w:color w:val="auto"/>
          <w:highlight w:val="none"/>
        </w:rPr>
        <w:fldChar w:fldCharType="separate"/>
      </w:r>
      <w:r>
        <w:rPr>
          <w:rStyle w:val="58"/>
          <w:rFonts w:hint="eastAsia"/>
          <w:color w:val="auto"/>
          <w:highlight w:val="none"/>
        </w:rPr>
        <w:t>第五章 技术条件（工程建设标准）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_Toc194440105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85</w:t>
      </w:r>
      <w:r>
        <w:rPr>
          <w:rFonts w:hint="eastAsia"/>
          <w:color w:val="auto"/>
          <w:highlight w:val="none"/>
        </w:rPr>
        <w:fldChar w:fldCharType="end"/>
      </w:r>
      <w:r>
        <w:rPr>
          <w:rFonts w:hint="eastAsia"/>
          <w:color w:val="auto"/>
          <w:highlight w:val="none"/>
        </w:rPr>
        <w:fldChar w:fldCharType="end"/>
      </w:r>
    </w:p>
    <w:p w14:paraId="1C03F348">
      <w:pPr>
        <w:pStyle w:val="34"/>
        <w:rPr>
          <w:rFonts w:hint="eastAsia" w:cstheme="minorBidi"/>
          <w:caps w:val="0"/>
          <w:color w:val="auto"/>
          <w:kern w:val="2"/>
          <w:sz w:val="22"/>
          <w:szCs w:val="24"/>
          <w:highlight w:val="none"/>
          <w14:ligatures w14:val="standardContextual"/>
        </w:rPr>
      </w:pPr>
      <w:r>
        <w:rPr>
          <w:color w:val="auto"/>
          <w:highlight w:val="none"/>
        </w:rPr>
        <w:fldChar w:fldCharType="begin"/>
      </w:r>
      <w:r>
        <w:rPr>
          <w:color w:val="auto"/>
          <w:highlight w:val="none"/>
        </w:rPr>
        <w:instrText xml:space="preserve"> HYPERLINK \l "_Toc194440108" </w:instrText>
      </w:r>
      <w:r>
        <w:rPr>
          <w:color w:val="auto"/>
          <w:highlight w:val="none"/>
        </w:rPr>
        <w:fldChar w:fldCharType="separate"/>
      </w:r>
      <w:r>
        <w:rPr>
          <w:rStyle w:val="58"/>
          <w:rFonts w:hint="eastAsia"/>
          <w:color w:val="auto"/>
          <w:highlight w:val="none"/>
        </w:rPr>
        <w:t>第六章 图纸及勘察资料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_Toc194440108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87</w:t>
      </w:r>
      <w:r>
        <w:rPr>
          <w:rFonts w:hint="eastAsia"/>
          <w:color w:val="auto"/>
          <w:highlight w:val="none"/>
        </w:rPr>
        <w:fldChar w:fldCharType="end"/>
      </w:r>
      <w:r>
        <w:rPr>
          <w:rFonts w:hint="eastAsia"/>
          <w:color w:val="auto"/>
          <w:highlight w:val="none"/>
        </w:rPr>
        <w:fldChar w:fldCharType="end"/>
      </w:r>
    </w:p>
    <w:p w14:paraId="5E98C89A">
      <w:pPr>
        <w:pStyle w:val="34"/>
        <w:rPr>
          <w:rFonts w:hint="eastAsia" w:cstheme="minorBidi"/>
          <w:caps w:val="0"/>
          <w:color w:val="auto"/>
          <w:kern w:val="2"/>
          <w:sz w:val="22"/>
          <w:szCs w:val="24"/>
          <w:highlight w:val="none"/>
          <w14:ligatures w14:val="standardContextual"/>
        </w:rPr>
      </w:pPr>
      <w:r>
        <w:rPr>
          <w:color w:val="auto"/>
          <w:highlight w:val="none"/>
        </w:rPr>
        <w:fldChar w:fldCharType="begin"/>
      </w:r>
      <w:r>
        <w:rPr>
          <w:color w:val="auto"/>
          <w:highlight w:val="none"/>
        </w:rPr>
        <w:instrText xml:space="preserve"> HYPERLINK \l "_Toc194440109" </w:instrText>
      </w:r>
      <w:r>
        <w:rPr>
          <w:color w:val="auto"/>
          <w:highlight w:val="none"/>
        </w:rPr>
        <w:fldChar w:fldCharType="separate"/>
      </w:r>
      <w:r>
        <w:rPr>
          <w:rStyle w:val="58"/>
          <w:rFonts w:hint="eastAsia"/>
          <w:color w:val="auto"/>
          <w:highlight w:val="none"/>
        </w:rPr>
        <w:t>第七章 工程量清单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_Toc194440109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88</w:t>
      </w:r>
      <w:r>
        <w:rPr>
          <w:rFonts w:hint="eastAsia"/>
          <w:color w:val="auto"/>
          <w:highlight w:val="none"/>
        </w:rPr>
        <w:fldChar w:fldCharType="end"/>
      </w:r>
      <w:r>
        <w:rPr>
          <w:rFonts w:hint="eastAsia"/>
          <w:color w:val="auto"/>
          <w:highlight w:val="none"/>
        </w:rPr>
        <w:fldChar w:fldCharType="end"/>
      </w:r>
    </w:p>
    <w:p w14:paraId="2654A5AC">
      <w:pPr>
        <w:pStyle w:val="34"/>
        <w:rPr>
          <w:rFonts w:hint="eastAsia" w:cstheme="minorBidi"/>
          <w:caps w:val="0"/>
          <w:color w:val="auto"/>
          <w:kern w:val="2"/>
          <w:sz w:val="22"/>
          <w:szCs w:val="24"/>
          <w:highlight w:val="none"/>
          <w14:ligatures w14:val="standardContextual"/>
        </w:rPr>
      </w:pPr>
      <w:r>
        <w:rPr>
          <w:color w:val="auto"/>
          <w:highlight w:val="none"/>
        </w:rPr>
        <w:fldChar w:fldCharType="begin"/>
      </w:r>
      <w:r>
        <w:rPr>
          <w:color w:val="auto"/>
          <w:highlight w:val="none"/>
        </w:rPr>
        <w:instrText xml:space="preserve"> HYPERLINK \l "_Toc194440110" </w:instrText>
      </w:r>
      <w:r>
        <w:rPr>
          <w:color w:val="auto"/>
          <w:highlight w:val="none"/>
        </w:rPr>
        <w:fldChar w:fldCharType="separate"/>
      </w:r>
      <w:r>
        <w:rPr>
          <w:rStyle w:val="58"/>
          <w:rFonts w:hint="eastAsia"/>
          <w:color w:val="auto"/>
          <w:highlight w:val="none"/>
        </w:rPr>
        <w:t>第八章 最高投标限价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_Toc194440110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89</w:t>
      </w:r>
      <w:r>
        <w:rPr>
          <w:rFonts w:hint="eastAsia"/>
          <w:color w:val="auto"/>
          <w:highlight w:val="none"/>
        </w:rPr>
        <w:fldChar w:fldCharType="end"/>
      </w:r>
      <w:r>
        <w:rPr>
          <w:rFonts w:hint="eastAsia"/>
          <w:color w:val="auto"/>
          <w:highlight w:val="none"/>
        </w:rPr>
        <w:fldChar w:fldCharType="end"/>
      </w:r>
    </w:p>
    <w:p w14:paraId="1C4CD168">
      <w:pPr>
        <w:pStyle w:val="326"/>
        <w:adjustRightInd/>
        <w:snapToGrid/>
        <w:spacing w:before="62" w:after="62" w:line="240" w:lineRule="auto"/>
        <w:jc w:val="both"/>
        <w:rPr>
          <w:rFonts w:hint="eastAsia" w:hAnsi="宋体" w:cs="宋体"/>
          <w:b/>
          <w:color w:val="auto"/>
          <w:kern w:val="44"/>
          <w:sz w:val="24"/>
          <w:szCs w:val="24"/>
          <w:highlight w:val="none"/>
        </w:rPr>
      </w:pPr>
      <w:r>
        <w:rPr>
          <w:rFonts w:hint="eastAsia" w:hAnsi="宋体"/>
          <w:color w:val="auto"/>
          <w:highlight w:val="none"/>
        </w:rPr>
        <w:fldChar w:fldCharType="end"/>
      </w:r>
      <w:bookmarkStart w:id="1" w:name="_Toc2272545"/>
      <w:r>
        <w:rPr>
          <w:rFonts w:hAnsi="宋体"/>
          <w:color w:val="auto"/>
          <w:sz w:val="24"/>
          <w:szCs w:val="24"/>
          <w:highlight w:val="none"/>
        </w:rPr>
        <w:br w:type="page"/>
      </w:r>
    </w:p>
    <w:p w14:paraId="4A0A5175">
      <w:pPr>
        <w:pStyle w:val="2"/>
        <w:rPr>
          <w:rFonts w:hint="eastAsia" w:ascii="宋体" w:hAnsi="宋体"/>
          <w:color w:val="auto"/>
          <w:highlight w:val="none"/>
        </w:rPr>
      </w:pPr>
      <w:bookmarkStart w:id="2" w:name="_Toc194440069"/>
      <w:r>
        <w:rPr>
          <w:rFonts w:hint="eastAsia" w:ascii="宋体" w:hAnsi="宋体"/>
          <w:color w:val="auto"/>
          <w:highlight w:val="none"/>
        </w:rPr>
        <w:t>第一章</w:t>
      </w:r>
      <w:r>
        <w:rPr>
          <w:rFonts w:ascii="宋体" w:hAnsi="宋体"/>
          <w:color w:val="auto"/>
          <w:highlight w:val="none"/>
        </w:rPr>
        <w:t xml:space="preserve"> </w:t>
      </w:r>
      <w:r>
        <w:rPr>
          <w:rFonts w:hint="eastAsia" w:ascii="宋体" w:hAnsi="宋体"/>
          <w:color w:val="auto"/>
          <w:highlight w:val="none"/>
        </w:rPr>
        <w:t>投标须知</w:t>
      </w:r>
      <w:bookmarkEnd w:id="1"/>
      <w:bookmarkEnd w:id="2"/>
    </w:p>
    <w:p w14:paraId="08E3C4B5">
      <w:pPr>
        <w:pStyle w:val="6"/>
        <w:rPr>
          <w:rFonts w:hint="eastAsia" w:ascii="宋体" w:hAnsi="宋体"/>
          <w:color w:val="auto"/>
          <w:highlight w:val="none"/>
        </w:rPr>
      </w:pPr>
      <w:bookmarkStart w:id="3" w:name="_Toc184468493"/>
      <w:bookmarkStart w:id="4" w:name="_Toc2272546"/>
      <w:bookmarkStart w:id="5" w:name="_Toc194440070"/>
      <w:r>
        <w:rPr>
          <w:rFonts w:hint="eastAsia" w:ascii="宋体" w:hAnsi="宋体"/>
          <w:color w:val="auto"/>
          <w:highlight w:val="none"/>
        </w:rPr>
        <w:t>一、投标须知前附表</w:t>
      </w:r>
      <w:bookmarkEnd w:id="3"/>
      <w:bookmarkEnd w:id="4"/>
      <w:bookmarkEnd w:id="5"/>
    </w:p>
    <w:p w14:paraId="24FE0702">
      <w:pPr>
        <w:pStyle w:val="7"/>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声明：本投标须知前附表使用</w:t>
      </w:r>
      <w:r>
        <w:rPr>
          <w:rFonts w:ascii="宋体" w:hAnsi="宋体" w:cs="宋体"/>
          <w:b/>
          <w:color w:val="auto"/>
          <w:szCs w:val="21"/>
          <w:highlight w:val="none"/>
        </w:rPr>
        <w:t>GZJTZB2025-3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9"/>
        <w:tblW w:w="99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6436"/>
      </w:tblGrid>
      <w:tr w14:paraId="35BF3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2" w:type="dxa"/>
            <w:tcBorders>
              <w:top w:val="double" w:color="auto" w:sz="4" w:space="0"/>
              <w:left w:val="double" w:color="auto" w:sz="4" w:space="0"/>
              <w:bottom w:val="single" w:color="auto" w:sz="4" w:space="0"/>
              <w:right w:val="single" w:color="auto" w:sz="4" w:space="0"/>
            </w:tcBorders>
            <w:vAlign w:val="center"/>
          </w:tcPr>
          <w:p w14:paraId="405F947E">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2DD08B8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34858725">
            <w:pPr>
              <w:spacing w:line="276" w:lineRule="auto"/>
              <w:ind w:firstLine="458"/>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6436" w:type="dxa"/>
            <w:tcBorders>
              <w:top w:val="double" w:color="auto" w:sz="4" w:space="0"/>
              <w:left w:val="single" w:color="auto" w:sz="4" w:space="0"/>
              <w:bottom w:val="single" w:color="auto" w:sz="4" w:space="0"/>
              <w:right w:val="double" w:color="auto" w:sz="4" w:space="0"/>
            </w:tcBorders>
            <w:vAlign w:val="center"/>
          </w:tcPr>
          <w:p w14:paraId="019E6CC3">
            <w:pPr>
              <w:pStyle w:val="28"/>
              <w:spacing w:line="276" w:lineRule="auto"/>
              <w:ind w:firstLine="458"/>
              <w:jc w:val="center"/>
              <w:rPr>
                <w:rFonts w:hint="eastAsia" w:ascii="宋体" w:hAnsi="宋体" w:cs="宋体"/>
                <w:color w:val="auto"/>
                <w:szCs w:val="21"/>
                <w:highlight w:val="none"/>
              </w:rPr>
            </w:pPr>
            <w:r>
              <w:rPr>
                <w:rFonts w:hint="eastAsia" w:ascii="宋体" w:hAnsi="宋体" w:cs="宋体"/>
                <w:color w:val="auto"/>
                <w:szCs w:val="21"/>
                <w:highlight w:val="none"/>
              </w:rPr>
              <w:t>说明与要求</w:t>
            </w:r>
          </w:p>
        </w:tc>
      </w:tr>
      <w:tr w14:paraId="11254E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2EA6C8D">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7652FEF0">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690B335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定义</w:t>
            </w:r>
          </w:p>
        </w:tc>
        <w:tc>
          <w:tcPr>
            <w:tcW w:w="6436" w:type="dxa"/>
            <w:tcBorders>
              <w:top w:val="single" w:color="auto" w:sz="4" w:space="0"/>
              <w:left w:val="single" w:color="auto" w:sz="4" w:space="0"/>
              <w:bottom w:val="single" w:color="auto" w:sz="4" w:space="0"/>
              <w:right w:val="double" w:color="auto" w:sz="4" w:space="0"/>
            </w:tcBorders>
            <w:vAlign w:val="center"/>
          </w:tcPr>
          <w:p w14:paraId="6DBDDF55">
            <w:pPr>
              <w:spacing w:line="276" w:lineRule="auto"/>
              <w:rPr>
                <w:rFonts w:hint="eastAsia" w:ascii="宋体" w:hAnsi="宋体" w:cs="宋体"/>
                <w:color w:val="auto"/>
                <w:highlight w:val="none"/>
                <w:u w:val="single"/>
              </w:rPr>
            </w:pPr>
            <w:r>
              <w:rPr>
                <w:rFonts w:hint="eastAsia" w:ascii="宋体" w:hAnsi="宋体" w:cs="宋体"/>
                <w:color w:val="auto"/>
                <w:highlight w:val="none"/>
              </w:rPr>
              <w:t>招标人（即发包人）：</w:t>
            </w:r>
            <w:r>
              <w:rPr>
                <w:rFonts w:hint="eastAsia" w:ascii="宋体" w:hAnsi="宋体" w:cs="宋体"/>
                <w:color w:val="auto"/>
                <w:highlight w:val="none"/>
                <w:u w:val="single"/>
              </w:rPr>
              <w:t>广州空港建设运营集团有限公司</w:t>
            </w:r>
          </w:p>
          <w:p w14:paraId="18319F3E">
            <w:pPr>
              <w:spacing w:line="276" w:lineRule="auto"/>
              <w:rPr>
                <w:rFonts w:hint="eastAsia" w:ascii="宋体" w:hAnsi="宋体" w:cs="宋体"/>
                <w:color w:val="auto"/>
                <w:highlight w:val="none"/>
                <w:u w:val="single"/>
              </w:rPr>
            </w:pPr>
            <w:r>
              <w:rPr>
                <w:rFonts w:hint="eastAsia" w:ascii="宋体" w:hAnsi="宋体" w:cs="宋体"/>
                <w:color w:val="auto"/>
                <w:highlight w:val="none"/>
              </w:rPr>
              <w:t>招标代理：</w:t>
            </w:r>
            <w:r>
              <w:rPr>
                <w:rFonts w:hint="eastAsia" w:ascii="宋体" w:hAnsi="宋体" w:cs="宋体"/>
                <w:color w:val="auto"/>
                <w:highlight w:val="none"/>
                <w:u w:val="single"/>
              </w:rPr>
              <w:t>北京中交建设工程咨询有限公司</w:t>
            </w:r>
          </w:p>
          <w:p w14:paraId="42B6D262">
            <w:pPr>
              <w:spacing w:line="276" w:lineRule="auto"/>
              <w:rPr>
                <w:rFonts w:hint="eastAsia" w:ascii="宋体" w:hAnsi="宋体" w:cs="宋体"/>
                <w:color w:val="auto"/>
                <w:highlight w:val="none"/>
              </w:rPr>
            </w:pPr>
            <w:r>
              <w:rPr>
                <w:rFonts w:hint="eastAsia" w:ascii="宋体" w:hAnsi="宋体" w:cs="宋体"/>
                <w:color w:val="auto"/>
                <w:highlight w:val="none"/>
              </w:rPr>
              <w:t>设计单位：</w:t>
            </w:r>
            <w:r>
              <w:rPr>
                <w:rFonts w:hint="eastAsia" w:ascii="宋体" w:hAnsi="宋体" w:cs="宋体"/>
                <w:color w:val="auto"/>
                <w:highlight w:val="none"/>
                <w:u w:val="single"/>
              </w:rPr>
              <w:t>广州市城市规划勘测设计研究院有限公司</w:t>
            </w:r>
          </w:p>
          <w:p w14:paraId="7AB1D0AA">
            <w:pPr>
              <w:spacing w:line="276" w:lineRule="auto"/>
              <w:rPr>
                <w:rFonts w:hint="eastAsia" w:ascii="宋体" w:hAnsi="宋体" w:cs="宋体"/>
                <w:color w:val="auto"/>
                <w:highlight w:val="none"/>
              </w:rPr>
            </w:pPr>
            <w:r>
              <w:rPr>
                <w:rFonts w:hint="eastAsia" w:ascii="宋体" w:hAnsi="宋体" w:cs="宋体"/>
                <w:color w:val="auto"/>
                <w:highlight w:val="none"/>
              </w:rPr>
              <w:t>监理单位：</w:t>
            </w:r>
            <w:r>
              <w:rPr>
                <w:rFonts w:hint="eastAsia" w:ascii="宋体" w:hAnsi="宋体" w:cs="宋体"/>
                <w:color w:val="auto"/>
                <w:highlight w:val="none"/>
                <w:u w:val="single"/>
              </w:rPr>
              <w:t>/</w:t>
            </w:r>
          </w:p>
          <w:p w14:paraId="5284CCB1">
            <w:pPr>
              <w:spacing w:line="276" w:lineRule="auto"/>
              <w:rPr>
                <w:rFonts w:hint="eastAsia" w:ascii="宋体" w:hAnsi="宋体" w:cs="宋体"/>
                <w:color w:val="auto"/>
                <w:highlight w:val="none"/>
                <w:u w:val="single"/>
              </w:rPr>
            </w:pPr>
            <w:r>
              <w:rPr>
                <w:rFonts w:hint="eastAsia" w:ascii="宋体" w:hAnsi="宋体" w:cs="宋体"/>
                <w:color w:val="auto"/>
                <w:highlight w:val="none"/>
              </w:rPr>
              <w:t>检测机构：</w:t>
            </w:r>
            <w:r>
              <w:rPr>
                <w:rFonts w:hint="eastAsia" w:ascii="宋体" w:hAnsi="宋体" w:cs="宋体"/>
                <w:color w:val="auto"/>
                <w:highlight w:val="none"/>
                <w:u w:val="single"/>
              </w:rPr>
              <w:t>/</w:t>
            </w:r>
          </w:p>
          <w:p w14:paraId="65B94F55">
            <w:pPr>
              <w:pStyle w:val="5"/>
              <w:ind w:firstLine="0" w:firstLineChars="0"/>
              <w:rPr>
                <w:rFonts w:hint="eastAsia" w:eastAsia="宋体"/>
                <w:color w:val="auto"/>
                <w:highlight w:val="none"/>
                <w:lang w:eastAsia="zh-CN"/>
              </w:rPr>
            </w:pPr>
            <w:r>
              <w:rPr>
                <w:rFonts w:hint="eastAsia"/>
                <w:color w:val="auto"/>
                <w:highlight w:val="none"/>
              </w:rPr>
              <w:t>造价单位：</w:t>
            </w:r>
            <w:r>
              <w:rPr>
                <w:rFonts w:hint="eastAsia"/>
                <w:color w:val="auto"/>
                <w:highlight w:val="none"/>
                <w:u w:val="single"/>
              </w:rPr>
              <w:t>广州广建和工程造价咨询有限公司</w:t>
            </w:r>
          </w:p>
        </w:tc>
      </w:tr>
      <w:tr w14:paraId="64D7D7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F4A80D9">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483DFD04">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D2069C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6436" w:type="dxa"/>
            <w:tcBorders>
              <w:top w:val="single" w:color="auto" w:sz="4" w:space="0"/>
              <w:left w:val="single" w:color="auto" w:sz="4" w:space="0"/>
              <w:bottom w:val="single" w:color="auto" w:sz="4" w:space="0"/>
              <w:right w:val="double" w:color="auto" w:sz="4" w:space="0"/>
            </w:tcBorders>
            <w:vAlign w:val="center"/>
          </w:tcPr>
          <w:p w14:paraId="2F86E3A4">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14:paraId="59987A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7630590">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3CD94359">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5F9859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6436" w:type="dxa"/>
            <w:tcBorders>
              <w:top w:val="single" w:color="auto" w:sz="4" w:space="0"/>
              <w:left w:val="single" w:color="auto" w:sz="4" w:space="0"/>
              <w:bottom w:val="single" w:color="auto" w:sz="4" w:space="0"/>
              <w:right w:val="double" w:color="auto" w:sz="4" w:space="0"/>
            </w:tcBorders>
            <w:vAlign w:val="center"/>
          </w:tcPr>
          <w:p w14:paraId="00871760">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14:paraId="42D7DA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9AB8B13">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55032839">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52B081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6436" w:type="dxa"/>
            <w:tcBorders>
              <w:top w:val="single" w:color="auto" w:sz="4" w:space="0"/>
              <w:left w:val="single" w:color="auto" w:sz="4" w:space="0"/>
              <w:bottom w:val="single" w:color="auto" w:sz="4" w:space="0"/>
              <w:right w:val="double" w:color="auto" w:sz="4" w:space="0"/>
            </w:tcBorders>
            <w:vAlign w:val="center"/>
          </w:tcPr>
          <w:p w14:paraId="0EE358F1">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详见本工程招标公告，具体以工程量清单及图纸为准。</w:t>
            </w:r>
          </w:p>
        </w:tc>
      </w:tr>
      <w:tr w14:paraId="4D104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DEE44B1">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68CE2C90">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89090A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承包方式</w:t>
            </w:r>
          </w:p>
        </w:tc>
        <w:tc>
          <w:tcPr>
            <w:tcW w:w="6436" w:type="dxa"/>
            <w:tcBorders>
              <w:top w:val="single" w:color="auto" w:sz="4" w:space="0"/>
              <w:left w:val="single" w:color="auto" w:sz="4" w:space="0"/>
              <w:bottom w:val="single" w:color="auto" w:sz="4" w:space="0"/>
              <w:right w:val="double" w:color="auto" w:sz="4" w:space="0"/>
            </w:tcBorders>
            <w:vAlign w:val="center"/>
          </w:tcPr>
          <w:p w14:paraId="6D0AA95D">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按照合同约定范围、招标文件、图纸内容、工程技术文件和工程量清单等有关资料及说明实行施工总承包，即包括但不限于包人工、包材料、包工期、包质量、包安全、包文明施工、包施工措施（含场地准备及临时设施费等）、包海绵城市建设效果评估、包树木迁移保护及施工、包税费、包调试、验收及移交，包保修、包资料整理移交档案、包施工承包管理和现场整体组织等。</w:t>
            </w:r>
          </w:p>
        </w:tc>
      </w:tr>
      <w:tr w14:paraId="6D24F5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54BCEAA">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4843F512">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21D9EE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436" w:type="dxa"/>
            <w:tcBorders>
              <w:top w:val="single" w:color="auto" w:sz="4" w:space="0"/>
              <w:left w:val="single" w:color="auto" w:sz="4" w:space="0"/>
              <w:bottom w:val="single" w:color="auto" w:sz="4" w:space="0"/>
              <w:right w:val="double" w:color="auto" w:sz="4" w:space="0"/>
            </w:tcBorders>
            <w:vAlign w:val="center"/>
          </w:tcPr>
          <w:p w14:paraId="756635A5">
            <w:pPr>
              <w:rPr>
                <w:rFonts w:hint="eastAsia" w:ascii="宋体" w:hAnsi="宋体" w:cs="宋体"/>
                <w:color w:val="auto"/>
                <w:highlight w:val="none"/>
                <w:u w:val="single"/>
              </w:rPr>
            </w:pPr>
            <w:r>
              <w:rPr>
                <w:rFonts w:hint="eastAsia" w:ascii="宋体" w:hAnsi="宋体"/>
                <w:color w:val="auto"/>
                <w:szCs w:val="21"/>
                <w:highlight w:val="none"/>
                <w:u w:val="single"/>
              </w:rPr>
              <w:t>一次验收合格，分部工程验收合格率</w:t>
            </w:r>
            <w:r>
              <w:rPr>
                <w:rFonts w:ascii="宋体" w:hAnsi="宋体"/>
                <w:color w:val="auto"/>
                <w:szCs w:val="21"/>
                <w:highlight w:val="none"/>
                <w:u w:val="single"/>
              </w:rPr>
              <w:t>100%，项目所涉及的政府专项验收全部通过，单位工程一次竣工验收合格。</w:t>
            </w:r>
          </w:p>
        </w:tc>
      </w:tr>
      <w:tr w14:paraId="34BEEC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DE91604">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31FE7E2E">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B3B85AD">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436" w:type="dxa"/>
            <w:tcBorders>
              <w:top w:val="single" w:color="auto" w:sz="4" w:space="0"/>
              <w:left w:val="single" w:color="auto" w:sz="4" w:space="0"/>
              <w:bottom w:val="single" w:color="auto" w:sz="4" w:space="0"/>
              <w:right w:val="double" w:color="auto" w:sz="4" w:space="0"/>
            </w:tcBorders>
            <w:vAlign w:val="center"/>
          </w:tcPr>
          <w:p w14:paraId="058404F5">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14:paraId="6524B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B94AD66">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31CCDF59">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BA1232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工期要求</w:t>
            </w:r>
          </w:p>
        </w:tc>
        <w:tc>
          <w:tcPr>
            <w:tcW w:w="6436" w:type="dxa"/>
            <w:tcBorders>
              <w:top w:val="single" w:color="auto" w:sz="4" w:space="0"/>
              <w:left w:val="single" w:color="auto" w:sz="4" w:space="0"/>
              <w:bottom w:val="single" w:color="auto" w:sz="4" w:space="0"/>
              <w:right w:val="double" w:color="auto" w:sz="4" w:space="0"/>
            </w:tcBorders>
            <w:vAlign w:val="center"/>
          </w:tcPr>
          <w:p w14:paraId="0FCDCC56">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施工总工期：</w:t>
            </w:r>
            <w:r>
              <w:rPr>
                <w:rFonts w:hint="eastAsia" w:ascii="宋体" w:hAnsi="宋体" w:cs="宋体"/>
                <w:color w:val="auto"/>
                <w:szCs w:val="21"/>
                <w:highlight w:val="none"/>
                <w:u w:val="single"/>
                <w:lang w:val="en-US" w:eastAsia="zh-CN"/>
              </w:rPr>
              <w:t>459</w:t>
            </w:r>
            <w:r>
              <w:rPr>
                <w:rFonts w:hint="eastAsia" w:ascii="宋体" w:hAnsi="宋体" w:cs="宋体"/>
                <w:color w:val="auto"/>
                <w:szCs w:val="21"/>
                <w:highlight w:val="none"/>
                <w:u w:val="single"/>
              </w:rPr>
              <w:t>。计划2025年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rPr>
              <w:t>日开工</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2026年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月30前</w:t>
            </w:r>
            <w:r>
              <w:rPr>
                <w:rFonts w:hint="eastAsia" w:ascii="宋体" w:hAnsi="宋体" w:cs="宋体"/>
                <w:color w:val="auto"/>
                <w:szCs w:val="21"/>
                <w:highlight w:val="none"/>
                <w:u w:val="single"/>
                <w:lang w:val="en-US" w:eastAsia="zh-CN"/>
              </w:rPr>
              <w:t>竣工</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其中：</w:t>
            </w:r>
            <w:r>
              <w:rPr>
                <w:rFonts w:hint="eastAsia" w:ascii="宋体" w:hAnsi="宋体" w:cs="宋体"/>
                <w:color w:val="auto"/>
                <w:szCs w:val="21"/>
                <w:highlight w:val="none"/>
                <w:u w:val="single"/>
              </w:rPr>
              <w:t>人行天桥</w:t>
            </w:r>
            <w:r>
              <w:rPr>
                <w:rFonts w:hint="eastAsia" w:ascii="宋体" w:hAnsi="宋体" w:cs="宋体"/>
                <w:color w:val="auto"/>
                <w:szCs w:val="21"/>
                <w:highlight w:val="none"/>
                <w:u w:val="single"/>
                <w:lang w:val="en-US" w:eastAsia="zh-CN"/>
              </w:rPr>
              <w:t>2025年8</w:t>
            </w:r>
            <w:r>
              <w:rPr>
                <w:rFonts w:hint="eastAsia" w:ascii="宋体" w:hAnsi="宋体" w:cs="宋体"/>
                <w:color w:val="auto"/>
                <w:szCs w:val="21"/>
                <w:highlight w:val="none"/>
                <w:u w:val="single"/>
              </w:rPr>
              <w:t>月30日前完工</w:t>
            </w:r>
            <w:r>
              <w:rPr>
                <w:rFonts w:hint="eastAsia" w:ascii="宋体" w:hAnsi="宋体" w:cs="宋体"/>
                <w:color w:val="auto"/>
                <w:szCs w:val="21"/>
                <w:highlight w:val="none"/>
                <w:u w:val="single"/>
                <w:lang w:val="en-US" w:eastAsia="zh-CN"/>
              </w:rPr>
              <w:t>并具备通行条件</w:t>
            </w:r>
            <w:r>
              <w:rPr>
                <w:rFonts w:hint="eastAsia" w:ascii="宋体" w:hAnsi="宋体" w:cs="宋体"/>
                <w:color w:val="auto"/>
                <w:szCs w:val="21"/>
                <w:highlight w:val="none"/>
                <w:u w:val="single"/>
                <w:lang w:eastAsia="zh-CN"/>
              </w:rPr>
              <w:t>。</w:t>
            </w:r>
          </w:p>
        </w:tc>
      </w:tr>
      <w:tr w14:paraId="3FD966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BC69011">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1B91C0A8">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4198B6C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6436" w:type="dxa"/>
            <w:tcBorders>
              <w:top w:val="single" w:color="auto" w:sz="4" w:space="0"/>
              <w:left w:val="single" w:color="auto" w:sz="4" w:space="0"/>
              <w:bottom w:val="single" w:color="auto" w:sz="4" w:space="0"/>
              <w:right w:val="double" w:color="auto" w:sz="4" w:space="0"/>
            </w:tcBorders>
            <w:vAlign w:val="center"/>
          </w:tcPr>
          <w:p w14:paraId="1AA8267E">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14:paraId="7D2D14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23CFA5D">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485D836C">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4687A49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6436" w:type="dxa"/>
            <w:tcBorders>
              <w:top w:val="single" w:color="auto" w:sz="4" w:space="0"/>
              <w:left w:val="single" w:color="auto" w:sz="4" w:space="0"/>
              <w:bottom w:val="single" w:color="auto" w:sz="4" w:space="0"/>
              <w:right w:val="double" w:color="auto" w:sz="4" w:space="0"/>
            </w:tcBorders>
            <w:vAlign w:val="center"/>
          </w:tcPr>
          <w:p w14:paraId="5CC142D0">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14:paraId="29A2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56E0023">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28081D5A">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4.2</w:t>
            </w:r>
          </w:p>
        </w:tc>
        <w:tc>
          <w:tcPr>
            <w:tcW w:w="1810" w:type="dxa"/>
            <w:tcBorders>
              <w:top w:val="single" w:color="auto" w:sz="4" w:space="0"/>
              <w:left w:val="single" w:color="auto" w:sz="4" w:space="0"/>
              <w:bottom w:val="single" w:color="auto" w:sz="4" w:space="0"/>
              <w:right w:val="single" w:color="auto" w:sz="4" w:space="0"/>
            </w:tcBorders>
            <w:vAlign w:val="center"/>
          </w:tcPr>
          <w:p w14:paraId="5A5AC8F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资格审查方式</w:t>
            </w:r>
          </w:p>
        </w:tc>
        <w:tc>
          <w:tcPr>
            <w:tcW w:w="6436" w:type="dxa"/>
            <w:tcBorders>
              <w:top w:val="single" w:color="auto" w:sz="4" w:space="0"/>
              <w:left w:val="single" w:color="auto" w:sz="4" w:space="0"/>
              <w:bottom w:val="single" w:color="auto" w:sz="4" w:space="0"/>
              <w:right w:val="double" w:color="auto" w:sz="4" w:space="0"/>
            </w:tcBorders>
            <w:vAlign w:val="center"/>
          </w:tcPr>
          <w:p w14:paraId="67DD235E">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14:paraId="172B56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FA4273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478176E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4CBB0A1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踏勘现场及投标费用</w:t>
            </w:r>
          </w:p>
        </w:tc>
        <w:tc>
          <w:tcPr>
            <w:tcW w:w="6436" w:type="dxa"/>
            <w:tcBorders>
              <w:top w:val="single" w:color="auto" w:sz="4" w:space="0"/>
              <w:left w:val="single" w:color="auto" w:sz="4" w:space="0"/>
              <w:bottom w:val="single" w:color="auto" w:sz="4" w:space="0"/>
              <w:right w:val="double" w:color="auto" w:sz="4" w:space="0"/>
            </w:tcBorders>
            <w:vAlign w:val="center"/>
          </w:tcPr>
          <w:p w14:paraId="3E7E87C5">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招标人不集中组织，由投标人自行踏勘；自</w:t>
            </w:r>
            <w:r>
              <w:rPr>
                <w:rFonts w:hint="eastAsia" w:ascii="宋体" w:hAnsi="宋体" w:cs="宋体"/>
                <w:color w:val="auto"/>
                <w:szCs w:val="21"/>
                <w:highlight w:val="none"/>
                <w:u w:val="single"/>
              </w:rPr>
              <w:t>招标公告发布之日起</w:t>
            </w:r>
            <w:r>
              <w:rPr>
                <w:rFonts w:hint="eastAsia" w:ascii="宋体" w:hAnsi="宋体" w:cs="宋体"/>
                <w:color w:val="auto"/>
                <w:szCs w:val="21"/>
                <w:highlight w:val="none"/>
              </w:rPr>
              <w:t>具备现场踏勘条件；现场详细地点：</w:t>
            </w:r>
            <w:r>
              <w:rPr>
                <w:rFonts w:hint="eastAsia" w:ascii="宋体" w:hAnsi="宋体" w:cs="宋体"/>
                <w:color w:val="auto"/>
                <w:szCs w:val="21"/>
                <w:highlight w:val="none"/>
                <w:u w:val="single"/>
              </w:rPr>
              <w:t>详见招标公告。</w:t>
            </w:r>
          </w:p>
        </w:tc>
      </w:tr>
      <w:tr w14:paraId="70CBE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048A15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4D61AB91">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36FFBF4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投标答疑</w:t>
            </w:r>
          </w:p>
        </w:tc>
        <w:tc>
          <w:tcPr>
            <w:tcW w:w="6436" w:type="dxa"/>
            <w:tcBorders>
              <w:top w:val="single" w:color="auto" w:sz="4" w:space="0"/>
              <w:left w:val="single" w:color="auto" w:sz="4" w:space="0"/>
              <w:bottom w:val="single" w:color="auto" w:sz="4" w:space="0"/>
              <w:right w:val="double" w:color="auto" w:sz="4" w:space="0"/>
            </w:tcBorders>
            <w:vAlign w:val="center"/>
          </w:tcPr>
          <w:p w14:paraId="1810DFC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rPr>
              <w:t>详见日程安排</w:t>
            </w:r>
            <w:r>
              <w:rPr>
                <w:rFonts w:hint="eastAsia" w:ascii="宋体" w:hAnsi="宋体" w:cs="宋体"/>
                <w:color w:val="auto"/>
                <w:szCs w:val="21"/>
                <w:highlight w:val="none"/>
              </w:rPr>
              <w:t>；</w:t>
            </w:r>
          </w:p>
          <w:p w14:paraId="5A65D6E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14:paraId="0C59EC5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具体要求：按照交易平台关于全流程电子化项目的相关指南进行操作，详见：</w:t>
            </w:r>
            <w:r>
              <w:rPr>
                <w:rFonts w:hint="eastAsia" w:ascii="宋体" w:hAnsi="宋体" w:cs="宋体"/>
                <w:b/>
                <w:bCs/>
                <w:color w:val="auto"/>
                <w:szCs w:val="21"/>
                <w:highlight w:val="none"/>
                <w:u w:val="single"/>
              </w:rPr>
              <w:t>广州交易集团有限公司（广州公共资源交易中心）网站最新指引</w:t>
            </w:r>
            <w:r>
              <w:rPr>
                <w:rFonts w:hint="eastAsia" w:ascii="宋体" w:hAnsi="宋体" w:cs="宋体"/>
                <w:color w:val="auto"/>
                <w:szCs w:val="21"/>
                <w:highlight w:val="none"/>
              </w:rPr>
              <w:t>，提问一律不得署名。</w:t>
            </w:r>
          </w:p>
        </w:tc>
      </w:tr>
      <w:tr w14:paraId="427178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1C7543E">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36F7B27B">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5786D7F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6436" w:type="dxa"/>
            <w:tcBorders>
              <w:top w:val="single" w:color="auto" w:sz="4" w:space="0"/>
              <w:left w:val="single" w:color="auto" w:sz="4" w:space="0"/>
              <w:bottom w:val="single" w:color="auto" w:sz="4" w:space="0"/>
              <w:right w:val="double" w:color="auto" w:sz="4" w:space="0"/>
            </w:tcBorders>
            <w:vAlign w:val="center"/>
          </w:tcPr>
          <w:p w14:paraId="6B193E21">
            <w:pPr>
              <w:spacing w:line="276" w:lineRule="auto"/>
              <w:rPr>
                <w:rFonts w:hint="eastAsia" w:ascii="宋体" w:hAnsi="宋体" w:cs="宋体"/>
                <w:color w:val="auto"/>
                <w:szCs w:val="21"/>
                <w:highlight w:val="none"/>
              </w:rPr>
            </w:pPr>
            <w:bookmarkStart w:id="6" w:name="EBdfd7e3fe86a241738f1c1d356c309534"/>
            <w:r>
              <w:rPr>
                <w:rFonts w:hint="eastAsia" w:ascii="宋体" w:hAnsi="宋体" w:cs="宋体"/>
                <w:color w:val="auto"/>
                <w:szCs w:val="21"/>
                <w:highlight w:val="none"/>
              </w:rPr>
              <w:t>工程量清单计价</w:t>
            </w:r>
            <w:r>
              <w:rPr>
                <w:rFonts w:hint="eastAsia" w:ascii="宋体" w:hAnsi="宋体" w:cs="宋体"/>
                <w:color w:val="auto"/>
                <w:szCs w:val="21"/>
                <w:highlight w:val="none"/>
                <w:u w:val="single"/>
              </w:rPr>
              <w:t>，按国家、省有关计价规范执行。</w:t>
            </w:r>
            <w:bookmarkEnd w:id="6"/>
          </w:p>
        </w:tc>
      </w:tr>
      <w:tr w14:paraId="20CD24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633C084">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5A6D4757">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2D56C81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436" w:type="dxa"/>
            <w:tcBorders>
              <w:top w:val="single" w:color="auto" w:sz="4" w:space="0"/>
              <w:left w:val="single" w:color="auto" w:sz="4" w:space="0"/>
              <w:bottom w:val="single" w:color="auto" w:sz="4" w:space="0"/>
              <w:right w:val="double" w:color="auto" w:sz="4" w:space="0"/>
            </w:tcBorders>
            <w:vAlign w:val="center"/>
          </w:tcPr>
          <w:p w14:paraId="754630DB">
            <w:pPr>
              <w:spacing w:line="276" w:lineRule="auto"/>
              <w:rPr>
                <w:rFonts w:hint="eastAsia" w:ascii="宋体" w:hAnsi="宋体" w:cs="宋体"/>
                <w:color w:val="auto"/>
                <w:szCs w:val="21"/>
                <w:highlight w:val="none"/>
                <w:u w:val="single"/>
              </w:rPr>
            </w:pPr>
            <w:r>
              <w:rPr>
                <w:rFonts w:ascii="宋体" w:hAnsi="宋体" w:cs="宋体"/>
                <w:b/>
                <w:color w:val="auto"/>
                <w:szCs w:val="21"/>
                <w:highlight w:val="none"/>
                <w:u w:val="single"/>
              </w:rPr>
              <w:t>90</w:t>
            </w:r>
            <w:r>
              <w:rPr>
                <w:rFonts w:hint="eastAsia" w:ascii="宋体" w:hAnsi="宋体" w:cs="宋体"/>
                <w:color w:val="auto"/>
                <w:szCs w:val="21"/>
                <w:highlight w:val="none"/>
              </w:rPr>
              <w:t>日历天。（从投标截止之日计起）。</w:t>
            </w:r>
            <w:r>
              <w:rPr>
                <w:rFonts w:hint="eastAsia" w:ascii="宋体" w:hAnsi="宋体" w:cs="宋体"/>
                <w:color w:val="auto"/>
                <w:szCs w:val="21"/>
                <w:highlight w:val="none"/>
                <w:u w:val="single"/>
              </w:rPr>
              <w:t>如投标有效期内发生异议或投诉的，则投标有效期自动延长至异议或投诉处理结束后</w:t>
            </w:r>
            <w:r>
              <w:rPr>
                <w:rFonts w:ascii="宋体" w:hAnsi="宋体" w:cs="宋体"/>
                <w:color w:val="auto"/>
                <w:szCs w:val="21"/>
                <w:highlight w:val="none"/>
                <w:u w:val="single"/>
              </w:rPr>
              <w:t>90日历天。中标人的投标有效期自动延期至合同履行完毕。</w:t>
            </w:r>
          </w:p>
        </w:tc>
      </w:tr>
      <w:tr w14:paraId="770059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910D93F">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166B2FD7">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2916F897">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6436" w:type="dxa"/>
            <w:tcBorders>
              <w:top w:val="single" w:color="auto" w:sz="4" w:space="0"/>
              <w:left w:val="single" w:color="auto" w:sz="4" w:space="0"/>
              <w:bottom w:val="single" w:color="auto" w:sz="4" w:space="0"/>
              <w:right w:val="double" w:color="auto" w:sz="4" w:space="0"/>
            </w:tcBorders>
            <w:vAlign w:val="center"/>
          </w:tcPr>
          <w:p w14:paraId="714B7625">
            <w:pPr>
              <w:rPr>
                <w:rFonts w:hint="eastAsia" w:ascii="宋体" w:hAnsi="宋体"/>
                <w:color w:val="auto"/>
                <w:szCs w:val="21"/>
                <w:highlight w:val="none"/>
                <w:u w:val="single"/>
              </w:rPr>
            </w:pPr>
            <w:r>
              <w:rPr>
                <w:rFonts w:hint="eastAsia" w:ascii="宋体" w:hAnsi="宋体" w:cs="宋体"/>
                <w:color w:val="auto"/>
                <w:szCs w:val="21"/>
                <w:highlight w:val="none"/>
              </w:rPr>
              <w:t>方式一</w:t>
            </w:r>
            <w:r>
              <w:rPr>
                <w:rFonts w:ascii="宋体" w:hAnsi="宋体" w:cs="宋体"/>
                <w:color w:val="auto"/>
                <w:szCs w:val="21"/>
                <w:highlight w:val="none"/>
              </w:rPr>
              <w:t>:</w:t>
            </w:r>
            <w:r>
              <w:rPr>
                <w:rFonts w:hint="eastAsia" w:ascii="宋体" w:hAnsi="宋体" w:cs="宋体"/>
                <w:b/>
                <w:color w:val="auto"/>
                <w:szCs w:val="21"/>
                <w:highlight w:val="none"/>
                <w:u w:val="single"/>
              </w:rPr>
              <w:t>本项目不收投标保证金。</w:t>
            </w:r>
          </w:p>
        </w:tc>
      </w:tr>
      <w:tr w14:paraId="1C6E43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B48ADF8">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17</w:t>
            </w:r>
          </w:p>
        </w:tc>
        <w:tc>
          <w:tcPr>
            <w:tcW w:w="981" w:type="dxa"/>
            <w:tcBorders>
              <w:top w:val="single" w:color="auto" w:sz="4" w:space="0"/>
              <w:left w:val="single" w:color="auto" w:sz="4" w:space="0"/>
              <w:bottom w:val="single" w:color="auto" w:sz="4" w:space="0"/>
              <w:right w:val="single" w:color="auto" w:sz="4" w:space="0"/>
            </w:tcBorders>
            <w:vAlign w:val="center"/>
          </w:tcPr>
          <w:p w14:paraId="5E46E4B9">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60C1811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436" w:type="dxa"/>
            <w:tcBorders>
              <w:top w:val="single" w:color="auto" w:sz="4" w:space="0"/>
              <w:left w:val="single" w:color="auto" w:sz="4" w:space="0"/>
              <w:bottom w:val="single" w:color="auto" w:sz="4" w:space="0"/>
              <w:right w:val="double" w:color="auto" w:sz="4" w:space="0"/>
            </w:tcBorders>
            <w:vAlign w:val="center"/>
          </w:tcPr>
          <w:p w14:paraId="7A835C06">
            <w:pPr>
              <w:spacing w:line="276" w:lineRule="auto"/>
              <w:rPr>
                <w:rFonts w:hint="eastAsia" w:ascii="宋体" w:hAnsi="宋体" w:cs="宋体"/>
                <w:strike/>
                <w:color w:val="auto"/>
                <w:szCs w:val="21"/>
                <w:highlight w:val="none"/>
              </w:rPr>
            </w:pPr>
            <w:r>
              <w:rPr>
                <w:rFonts w:hint="eastAsia" w:ascii="宋体" w:hAnsi="宋体" w:cs="宋体"/>
                <w:color w:val="auto"/>
                <w:szCs w:val="21"/>
                <w:highlight w:val="none"/>
                <w:u w:val="single"/>
              </w:rPr>
              <w:t>详见日程安排</w:t>
            </w:r>
            <w:r>
              <w:rPr>
                <w:rFonts w:hint="eastAsia" w:ascii="宋体" w:hAnsi="宋体" w:cs="宋体"/>
                <w:color w:val="auto"/>
                <w:szCs w:val="21"/>
                <w:highlight w:val="none"/>
              </w:rPr>
              <w:t>。</w:t>
            </w:r>
          </w:p>
        </w:tc>
      </w:tr>
      <w:tr w14:paraId="6C99F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D16A579">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78D6E7C6">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6786887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开标开始时间和地点</w:t>
            </w:r>
          </w:p>
        </w:tc>
        <w:tc>
          <w:tcPr>
            <w:tcW w:w="6436" w:type="dxa"/>
            <w:tcBorders>
              <w:top w:val="single" w:color="auto" w:sz="4" w:space="0"/>
              <w:left w:val="single" w:color="auto" w:sz="4" w:space="0"/>
              <w:bottom w:val="single" w:color="auto" w:sz="4" w:space="0"/>
              <w:right w:val="double" w:color="auto" w:sz="4" w:space="0"/>
            </w:tcBorders>
            <w:vAlign w:val="center"/>
          </w:tcPr>
          <w:p w14:paraId="2F2D5E7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（技术标和经济标同时开标）</w:t>
            </w:r>
          </w:p>
          <w:p w14:paraId="7A8D1DDE">
            <w:pPr>
              <w:spacing w:line="276" w:lineRule="auto"/>
              <w:rPr>
                <w:rFonts w:hint="eastAsia" w:ascii="宋体" w:hAnsi="宋体" w:cs="宋体"/>
                <w:b/>
                <w:b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、开标开始时间：</w:t>
            </w:r>
            <w:r>
              <w:rPr>
                <w:rFonts w:hint="eastAsia" w:ascii="宋体" w:hAnsi="宋体" w:cs="宋体"/>
                <w:color w:val="auto"/>
                <w:szCs w:val="21"/>
                <w:highlight w:val="none"/>
                <w:u w:val="single"/>
              </w:rPr>
              <w:t>详见日程安排</w:t>
            </w:r>
            <w:r>
              <w:rPr>
                <w:rFonts w:hint="eastAsia" w:ascii="宋体" w:hAnsi="宋体" w:cs="宋体"/>
                <w:color w:val="auto"/>
                <w:szCs w:val="21"/>
                <w:highlight w:val="none"/>
              </w:rPr>
              <w:t>，地点：</w:t>
            </w:r>
            <w:r>
              <w:rPr>
                <w:rFonts w:hint="eastAsia" w:ascii="宋体" w:hAnsi="宋体" w:cs="宋体"/>
                <w:color w:val="auto"/>
                <w:szCs w:val="21"/>
                <w:highlight w:val="none"/>
                <w:u w:val="single"/>
              </w:rPr>
              <w:t>广州交易集团有限公司（广州公共资源交易中心）</w:t>
            </w:r>
            <w:r>
              <w:rPr>
                <w:rFonts w:ascii="宋体" w:hAnsi="宋体" w:cs="宋体"/>
                <w:color w:val="auto"/>
                <w:szCs w:val="21"/>
                <w:highlight w:val="none"/>
                <w:u w:val="single"/>
              </w:rPr>
              <w:t xml:space="preserve"> 开标室。</w:t>
            </w:r>
            <w:r>
              <w:rPr>
                <w:rFonts w:hint="eastAsia" w:ascii="宋体" w:hAnsi="宋体" w:cs="宋体"/>
                <w:b/>
                <w:bCs/>
                <w:color w:val="auto"/>
                <w:szCs w:val="21"/>
                <w:highlight w:val="none"/>
                <w:u w:val="single"/>
              </w:rPr>
              <w:t>投标人也可选择参加在线开标，具体按照交易平台相关指南进行操作。详见：广州交易集团有限公司（广州公共资源交易中心）网站最新指引。</w:t>
            </w:r>
          </w:p>
          <w:p w14:paraId="12BFC16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14:paraId="616BCB69">
            <w:pPr>
              <w:spacing w:line="276" w:lineRule="auto"/>
              <w:rPr>
                <w:rFonts w:hint="eastAsia" w:ascii="宋体" w:hAnsi="宋体" w:cs="宋体"/>
                <w:color w:val="auto"/>
                <w:szCs w:val="21"/>
                <w:highlight w:val="none"/>
              </w:rPr>
            </w:pPr>
            <w:r>
              <w:rPr>
                <w:rFonts w:ascii="宋体" w:hAnsi="宋体" w:cs="宋体"/>
                <w:color w:val="auto"/>
                <w:szCs w:val="21"/>
                <w:highlight w:val="none"/>
              </w:rPr>
              <w:t>2、递交投标文件备用光盘时间：</w:t>
            </w:r>
            <w:r>
              <w:rPr>
                <w:rFonts w:hint="eastAsia" w:ascii="宋体" w:hAnsi="宋体" w:cs="宋体"/>
                <w:color w:val="auto"/>
                <w:szCs w:val="21"/>
                <w:highlight w:val="none"/>
                <w:u w:val="single"/>
              </w:rPr>
              <w:t>详见日程安排</w:t>
            </w:r>
            <w:r>
              <w:rPr>
                <w:rFonts w:hint="eastAsia" w:ascii="宋体" w:hAnsi="宋体" w:cs="宋体"/>
                <w:color w:val="auto"/>
                <w:szCs w:val="21"/>
                <w:highlight w:val="none"/>
              </w:rPr>
              <w:t>；递交地点：</w:t>
            </w:r>
            <w:r>
              <w:rPr>
                <w:rFonts w:hint="eastAsia" w:ascii="宋体" w:hAnsi="宋体" w:cs="宋体"/>
                <w:color w:val="auto"/>
                <w:szCs w:val="21"/>
                <w:highlight w:val="none"/>
                <w:u w:val="single"/>
              </w:rPr>
              <w:t>广州交易集团有限公司（广州公共资源交易中心）</w:t>
            </w:r>
            <w:r>
              <w:rPr>
                <w:rFonts w:ascii="宋体" w:hAnsi="宋体" w:cs="宋体"/>
                <w:color w:val="auto"/>
                <w:szCs w:val="21"/>
                <w:highlight w:val="none"/>
                <w:u w:val="single"/>
              </w:rPr>
              <w:t xml:space="preserve"> 开标室</w:t>
            </w:r>
            <w:r>
              <w:rPr>
                <w:rFonts w:hint="eastAsia" w:ascii="宋体" w:hAnsi="宋体" w:cs="宋体"/>
                <w:color w:val="auto"/>
                <w:szCs w:val="21"/>
                <w:highlight w:val="none"/>
              </w:rPr>
              <w:t>。</w:t>
            </w:r>
          </w:p>
          <w:p w14:paraId="7F67550E">
            <w:pPr>
              <w:spacing w:line="276" w:lineRule="auto"/>
              <w:rPr>
                <w:rFonts w:hint="eastAsia" w:ascii="宋体" w:hAnsi="宋体" w:cs="宋体"/>
                <w:color w:val="auto"/>
                <w:highlight w:val="none"/>
              </w:rPr>
            </w:pPr>
            <w:r>
              <w:rPr>
                <w:rFonts w:hint="eastAsia" w:ascii="宋体" w:hAnsi="宋体" w:cs="宋体"/>
                <w:color w:val="auto"/>
                <w:highlight w:val="none"/>
              </w:rPr>
              <w:t>上述时间及地点是否有改变，请密切留意</w:t>
            </w:r>
            <w:r>
              <w:rPr>
                <w:rFonts w:hint="eastAsia" w:ascii="宋体" w:hAnsi="宋体" w:cs="宋体"/>
                <w:b/>
                <w:color w:val="auto"/>
                <w:kern w:val="0"/>
                <w:szCs w:val="21"/>
                <w:highlight w:val="none"/>
              </w:rPr>
              <w:t>补充公告和</w:t>
            </w:r>
            <w:r>
              <w:rPr>
                <w:rFonts w:hint="eastAsia" w:ascii="宋体" w:hAnsi="宋体" w:cs="宋体"/>
                <w:b/>
                <w:color w:val="auto"/>
                <w:highlight w:val="none"/>
              </w:rPr>
              <w:t>招标答疑</w:t>
            </w:r>
            <w:r>
              <w:rPr>
                <w:rFonts w:hint="eastAsia" w:ascii="宋体" w:hAnsi="宋体" w:cs="宋体"/>
                <w:color w:val="auto"/>
                <w:highlight w:val="none"/>
              </w:rPr>
              <w:t>纪要的相关信息。</w:t>
            </w:r>
          </w:p>
          <w:p w14:paraId="3A36F917">
            <w:pPr>
              <w:pStyle w:val="5"/>
              <w:ind w:firstLine="0" w:firstLineChars="0"/>
              <w:rPr>
                <w:rFonts w:hint="eastAsia"/>
                <w:color w:val="auto"/>
                <w:highlight w:val="none"/>
              </w:rPr>
            </w:pPr>
            <w:r>
              <w:rPr>
                <w:color w:val="auto"/>
                <w:highlight w:val="none"/>
              </w:rPr>
              <w:t>3</w:t>
            </w:r>
            <w:r>
              <w:rPr>
                <w:rFonts w:hint="eastAsia"/>
                <w:color w:val="auto"/>
                <w:highlight w:val="none"/>
              </w:rPr>
              <w:t>、投标人应在投标文件递交截止时间前通过广州交易集团有限公司（广州公共资源交易中心）电子招标投标交易平台递交电子投标文件。</w:t>
            </w:r>
          </w:p>
          <w:p w14:paraId="69FEBCB2">
            <w:pPr>
              <w:pStyle w:val="5"/>
              <w:ind w:firstLine="0" w:firstLineChars="0"/>
              <w:rPr>
                <w:rFonts w:hint="eastAsia"/>
                <w:color w:val="auto"/>
                <w:highlight w:val="none"/>
              </w:rPr>
            </w:pPr>
            <w:r>
              <w:rPr>
                <w:rFonts w:hint="eastAsia"/>
                <w:color w:val="auto"/>
                <w:highlight w:val="none"/>
              </w:rPr>
              <w:t>上述时间及地点是否有改变，请密切留意补充公告和招标澄清答疑纪要的相关信息。投标人可登录广州交易集团有限公司（广州公共资源交易中心）网站首页，点击“建设工程”专栏中的“项目查询（日程安排、答疑纪要）”输入项目编号或名称查询最新信息安排。</w:t>
            </w:r>
          </w:p>
        </w:tc>
      </w:tr>
      <w:tr w14:paraId="1A6F2D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94955B1">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3D69457C">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14:paraId="0A9B8C4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开标评标办法</w:t>
            </w:r>
          </w:p>
        </w:tc>
        <w:tc>
          <w:tcPr>
            <w:tcW w:w="6436" w:type="dxa"/>
            <w:tcBorders>
              <w:top w:val="single" w:color="auto" w:sz="4" w:space="0"/>
              <w:left w:val="single" w:color="auto" w:sz="4" w:space="0"/>
              <w:bottom w:val="single" w:color="auto" w:sz="4" w:space="0"/>
              <w:right w:val="double" w:color="auto" w:sz="4" w:space="0"/>
            </w:tcBorders>
            <w:vAlign w:val="center"/>
          </w:tcPr>
          <w:p w14:paraId="5546DBE8">
            <w:pPr>
              <w:pStyle w:val="4"/>
              <w:ind w:firstLine="0" w:firstLineChars="0"/>
              <w:rPr>
                <w:rFonts w:hint="eastAsia" w:ascii="宋体" w:hAnsi="宋体" w:cs="宋体"/>
                <w:color w:val="auto"/>
                <w:highlight w:val="none"/>
              </w:rPr>
            </w:pPr>
            <w:r>
              <w:rPr>
                <w:rFonts w:hint="eastAsia" w:ascii="宋体" w:hAnsi="宋体"/>
                <w:color w:val="auto"/>
                <w:highlight w:val="none"/>
              </w:rPr>
              <w:t xml:space="preserve">方式一：选取 </w:t>
            </w:r>
            <w:r>
              <w:rPr>
                <w:rFonts w:hint="eastAsia" w:ascii="宋体" w:hAnsi="宋体"/>
                <w:b/>
                <w:color w:val="auto"/>
                <w:highlight w:val="none"/>
              </w:rPr>
              <w:t>办法六</w:t>
            </w:r>
            <w:r>
              <w:rPr>
                <w:rFonts w:hint="eastAsia" w:ascii="宋体" w:hAnsi="宋体"/>
                <w:color w:val="auto"/>
                <w:highlight w:val="none"/>
              </w:rPr>
              <w:t>（适合综合评分法三，技术标与经济标同时开启）；</w:t>
            </w:r>
          </w:p>
        </w:tc>
      </w:tr>
      <w:tr w14:paraId="454E85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CFF589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981" w:type="dxa"/>
            <w:tcBorders>
              <w:top w:val="single" w:color="auto" w:sz="4" w:space="0"/>
              <w:left w:val="single" w:color="auto" w:sz="4" w:space="0"/>
              <w:bottom w:val="single" w:color="auto" w:sz="4" w:space="0"/>
              <w:right w:val="single" w:color="auto" w:sz="4" w:space="0"/>
            </w:tcBorders>
            <w:vAlign w:val="center"/>
          </w:tcPr>
          <w:p w14:paraId="1AF598F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27</w:t>
            </w:r>
          </w:p>
        </w:tc>
        <w:tc>
          <w:tcPr>
            <w:tcW w:w="1810" w:type="dxa"/>
            <w:tcBorders>
              <w:top w:val="single" w:color="auto" w:sz="4" w:space="0"/>
              <w:left w:val="single" w:color="auto" w:sz="4" w:space="0"/>
              <w:bottom w:val="single" w:color="auto" w:sz="4" w:space="0"/>
              <w:right w:val="single" w:color="auto" w:sz="4" w:space="0"/>
            </w:tcBorders>
            <w:vAlign w:val="center"/>
          </w:tcPr>
          <w:p w14:paraId="5AF9A03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定标</w:t>
            </w:r>
          </w:p>
        </w:tc>
        <w:tc>
          <w:tcPr>
            <w:tcW w:w="6436" w:type="dxa"/>
            <w:tcBorders>
              <w:top w:val="single" w:color="auto" w:sz="4" w:space="0"/>
              <w:left w:val="single" w:color="auto" w:sz="4" w:space="0"/>
              <w:bottom w:val="single" w:color="auto" w:sz="4" w:space="0"/>
              <w:right w:val="double" w:color="auto" w:sz="4" w:space="0"/>
            </w:tcBorders>
            <w:vAlign w:val="center"/>
          </w:tcPr>
          <w:p w14:paraId="3584DE3C">
            <w:pPr>
              <w:pStyle w:val="4"/>
              <w:ind w:firstLine="0" w:firstLineChars="0"/>
              <w:rPr>
                <w:rFonts w:hint="eastAsia" w:ascii="宋体" w:hAnsi="宋体"/>
                <w:color w:val="auto"/>
                <w:highlight w:val="none"/>
              </w:rPr>
            </w:pPr>
            <w:r>
              <w:rPr>
                <w:rFonts w:hint="eastAsia" w:ascii="宋体" w:hAnsi="宋体"/>
                <w:color w:val="auto"/>
                <w:highlight w:val="none"/>
              </w:rPr>
              <w:t>/</w:t>
            </w:r>
          </w:p>
        </w:tc>
      </w:tr>
      <w:tr w14:paraId="48AF96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639CEE6">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62C32C56">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7488D6D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6436" w:type="dxa"/>
            <w:tcBorders>
              <w:top w:val="single" w:color="auto" w:sz="4" w:space="0"/>
              <w:left w:val="single" w:color="auto" w:sz="4" w:space="0"/>
              <w:bottom w:val="single" w:color="auto" w:sz="4" w:space="0"/>
              <w:right w:val="double" w:color="auto" w:sz="4" w:space="0"/>
            </w:tcBorders>
            <w:vAlign w:val="center"/>
          </w:tcPr>
          <w:p w14:paraId="4ED573E9">
            <w:pPr>
              <w:spacing w:line="276" w:lineRule="auto"/>
              <w:rPr>
                <w:rFonts w:hint="eastAsia" w:ascii="宋体" w:hAnsi="宋体" w:cs="宋体"/>
                <w:color w:val="auto"/>
                <w:highlight w:val="none"/>
              </w:rPr>
            </w:pPr>
            <w:r>
              <w:rPr>
                <w:rFonts w:hint="eastAsia" w:ascii="宋体" w:hAnsi="宋体" w:cs="宋体"/>
                <w:color w:val="auto"/>
                <w:highlight w:val="none"/>
              </w:rPr>
              <w:t>是否要求投标人提交履约担保：</w:t>
            </w:r>
          </w:p>
          <w:p w14:paraId="6DCC9A04">
            <w:pPr>
              <w:spacing w:line="276" w:lineRule="auto"/>
              <w:rPr>
                <w:rFonts w:hint="eastAsia" w:ascii="宋体" w:hAnsi="宋体" w:cs="宋体"/>
                <w:color w:val="auto"/>
                <w:highlight w:val="none"/>
              </w:rPr>
            </w:pPr>
            <w:r>
              <w:rPr>
                <w:rFonts w:hint="eastAsia" w:ascii="宋体" w:hAnsi="宋体" w:cs="宋体"/>
                <w:color w:val="auto"/>
                <w:highlight w:val="none"/>
              </w:rPr>
              <w:t>□不要求</w:t>
            </w:r>
          </w:p>
          <w:p w14:paraId="5D3D8CA1">
            <w:pPr>
              <w:spacing w:line="276" w:lineRule="auto"/>
              <w:rPr>
                <w:rFonts w:hint="eastAsia" w:ascii="宋体" w:hAnsi="宋体" w:cs="宋体"/>
                <w:color w:val="auto"/>
                <w:highlight w:val="none"/>
              </w:rPr>
            </w:pPr>
            <w:r>
              <w:rPr>
                <w:rFonts w:hint="eastAsia" w:ascii="宋体" w:hAnsi="宋体" w:cs="宋体"/>
                <w:color w:val="auto"/>
                <w:highlight w:val="none"/>
              </w:rPr>
              <w:t>■要求：</w:t>
            </w:r>
          </w:p>
          <w:p w14:paraId="7613F9B6">
            <w:pPr>
              <w:spacing w:line="276" w:lineRule="auto"/>
              <w:rPr>
                <w:rFonts w:hint="eastAsia" w:ascii="宋体" w:hAnsi="宋体" w:cs="宋体"/>
                <w:color w:val="auto"/>
                <w:highlight w:val="none"/>
              </w:rPr>
            </w:pPr>
            <w:r>
              <w:rPr>
                <w:rFonts w:hint="eastAsia" w:ascii="宋体" w:hAnsi="宋体" w:cs="宋体"/>
                <w:color w:val="auto"/>
                <w:highlight w:val="none"/>
              </w:rPr>
              <w:t>履约保证金的金额：</w:t>
            </w:r>
            <w:r>
              <w:rPr>
                <w:rFonts w:hint="eastAsia" w:ascii="宋体" w:hAnsi="宋体" w:cs="宋体"/>
                <w:color w:val="auto"/>
                <w:highlight w:val="none"/>
                <w:u w:val="single"/>
              </w:rPr>
              <w:t>中标人提供的履约保证金为中标价款的</w:t>
            </w:r>
            <w:r>
              <w:rPr>
                <w:rFonts w:ascii="宋体" w:hAnsi="宋体" w:cs="宋体"/>
                <w:color w:val="auto"/>
                <w:highlight w:val="none"/>
                <w:u w:val="single"/>
              </w:rPr>
              <w:t>10%。</w:t>
            </w:r>
            <w:r>
              <w:rPr>
                <w:rFonts w:hint="eastAsia" w:ascii="宋体" w:hAnsi="宋体" w:cs="宋体"/>
                <w:color w:val="auto"/>
                <w:highlight w:val="none"/>
                <w:u w:val="single"/>
              </w:rPr>
              <w:t>（如小微）</w:t>
            </w:r>
          </w:p>
          <w:p w14:paraId="40A658F5">
            <w:pPr>
              <w:pStyle w:val="5"/>
              <w:rPr>
                <w:rFonts w:hint="eastAsia"/>
                <w:color w:val="auto"/>
                <w:highlight w:val="none"/>
              </w:rPr>
            </w:pPr>
            <w:r>
              <w:rPr>
                <w:rFonts w:hint="eastAsia"/>
                <w:color w:val="auto"/>
                <w:highlight w:val="none"/>
              </w:rPr>
              <w:t>履约保证金的形式：详见合同。</w:t>
            </w:r>
          </w:p>
        </w:tc>
      </w:tr>
      <w:tr w14:paraId="1193DD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F876FF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981" w:type="dxa"/>
            <w:tcBorders>
              <w:top w:val="single" w:color="auto" w:sz="4" w:space="0"/>
              <w:left w:val="single" w:color="auto" w:sz="4" w:space="0"/>
              <w:bottom w:val="single" w:color="auto" w:sz="4" w:space="0"/>
              <w:right w:val="single" w:color="auto" w:sz="4" w:space="0"/>
            </w:tcBorders>
            <w:vAlign w:val="center"/>
          </w:tcPr>
          <w:p w14:paraId="29E03A3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1810" w:type="dxa"/>
            <w:tcBorders>
              <w:top w:val="single" w:color="auto" w:sz="4" w:space="0"/>
              <w:left w:val="single" w:color="auto" w:sz="4" w:space="0"/>
              <w:bottom w:val="single" w:color="auto" w:sz="4" w:space="0"/>
              <w:right w:val="single" w:color="auto" w:sz="4" w:space="0"/>
            </w:tcBorders>
            <w:vAlign w:val="center"/>
          </w:tcPr>
          <w:p w14:paraId="1A25384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专业分包</w:t>
            </w:r>
          </w:p>
        </w:tc>
        <w:tc>
          <w:tcPr>
            <w:tcW w:w="6436" w:type="dxa"/>
            <w:tcBorders>
              <w:top w:val="single" w:color="auto" w:sz="4" w:space="0"/>
              <w:left w:val="single" w:color="auto" w:sz="4" w:space="0"/>
              <w:bottom w:val="single" w:color="auto" w:sz="4" w:space="0"/>
              <w:right w:val="double" w:color="auto" w:sz="4" w:space="0"/>
            </w:tcBorders>
            <w:vAlign w:val="center"/>
          </w:tcPr>
          <w:p w14:paraId="024178C2">
            <w:pPr>
              <w:spacing w:line="276" w:lineRule="auto"/>
              <w:rPr>
                <w:rFonts w:hint="eastAsia" w:ascii="宋体" w:hAnsi="宋体" w:cs="宋体"/>
                <w:color w:val="auto"/>
                <w:highlight w:val="none"/>
              </w:rPr>
            </w:pPr>
            <w:r>
              <w:rPr>
                <w:rFonts w:hint="eastAsia" w:ascii="宋体" w:hAnsi="宋体" w:cs="宋体"/>
                <w:color w:val="auto"/>
                <w:highlight w:val="none"/>
              </w:rPr>
              <w:t>□不允许；</w:t>
            </w:r>
          </w:p>
          <w:p w14:paraId="24C24C32">
            <w:pPr>
              <w:spacing w:line="276" w:lineRule="auto"/>
              <w:rPr>
                <w:rFonts w:hint="eastAsia" w:ascii="宋体" w:hAnsi="宋体" w:cs="宋体"/>
                <w:color w:val="auto"/>
                <w:highlight w:val="none"/>
              </w:rPr>
            </w:pPr>
            <w:r>
              <w:rPr>
                <w:rFonts w:hint="eastAsia" w:ascii="宋体" w:hAnsi="宋体" w:cs="宋体"/>
                <w:color w:val="auto"/>
                <w:highlight w:val="none"/>
              </w:rPr>
              <w:t>■允许：分包内容要求：</w:t>
            </w:r>
            <w:r>
              <w:rPr>
                <w:rFonts w:hint="eastAsia" w:ascii="宋体" w:hAnsi="宋体" w:cs="宋体"/>
                <w:color w:val="auto"/>
                <w:kern w:val="0"/>
                <w:szCs w:val="21"/>
                <w:highlight w:val="none"/>
                <w:u w:val="single"/>
                <w:lang w:val="zh-CN"/>
              </w:rPr>
              <w:t>详见施工合同。</w:t>
            </w:r>
          </w:p>
          <w:p w14:paraId="4CF1E9F7">
            <w:pPr>
              <w:spacing w:line="276" w:lineRule="auto"/>
              <w:rPr>
                <w:rFonts w:hint="eastAsia" w:ascii="宋体" w:hAnsi="宋体" w:cs="宋体"/>
                <w:color w:val="auto"/>
                <w:highlight w:val="none"/>
              </w:rPr>
            </w:pPr>
            <w:r>
              <w:rPr>
                <w:rFonts w:hint="eastAsia" w:ascii="宋体" w:hAnsi="宋体" w:cs="宋体"/>
                <w:color w:val="auto"/>
                <w:highlight w:val="none"/>
              </w:rPr>
              <w:t xml:space="preserve">        分包金额要求：</w:t>
            </w:r>
            <w:r>
              <w:rPr>
                <w:rFonts w:hint="eastAsia" w:ascii="宋体" w:hAnsi="宋体"/>
                <w:color w:val="auto"/>
                <w:szCs w:val="21"/>
                <w:highlight w:val="none"/>
                <w:u w:val="single"/>
              </w:rPr>
              <w:t>无。</w:t>
            </w:r>
          </w:p>
          <w:p w14:paraId="77A9845D">
            <w:pPr>
              <w:spacing w:line="276" w:lineRule="auto"/>
              <w:rPr>
                <w:rFonts w:hint="eastAsia" w:ascii="宋体" w:hAnsi="宋体" w:cs="宋体"/>
                <w:color w:val="auto"/>
                <w:highlight w:val="none"/>
              </w:rPr>
            </w:pPr>
            <w:r>
              <w:rPr>
                <w:rFonts w:hint="eastAsia" w:ascii="宋体" w:hAnsi="宋体" w:cs="宋体"/>
                <w:color w:val="auto"/>
                <w:highlight w:val="none"/>
              </w:rPr>
              <w:t xml:space="preserve">        对分包人的资质要求：</w:t>
            </w:r>
            <w:r>
              <w:rPr>
                <w:rFonts w:hint="eastAsia" w:ascii="宋体" w:hAnsi="宋体" w:cs="宋体"/>
                <w:color w:val="auto"/>
                <w:kern w:val="0"/>
                <w:szCs w:val="21"/>
                <w:highlight w:val="none"/>
                <w:u w:val="single"/>
                <w:lang w:val="zh-CN"/>
              </w:rPr>
              <w:t>符合有关法律法规和文件规定。</w:t>
            </w:r>
          </w:p>
          <w:p w14:paraId="20EBCFE9">
            <w:pPr>
              <w:spacing w:line="276" w:lineRule="auto"/>
              <w:rPr>
                <w:rFonts w:hint="eastAsia" w:ascii="宋体" w:hAnsi="宋体" w:cs="宋体"/>
                <w:color w:val="auto"/>
                <w:highlight w:val="none"/>
              </w:rPr>
            </w:pPr>
            <w:r>
              <w:rPr>
                <w:rFonts w:hint="eastAsia" w:ascii="宋体" w:hAnsi="宋体" w:cs="宋体"/>
                <w:color w:val="auto"/>
                <w:highlight w:val="none"/>
              </w:rPr>
              <w:t xml:space="preserve">        对分包人的其他要求：</w:t>
            </w:r>
            <w:r>
              <w:rPr>
                <w:rFonts w:hint="eastAsia" w:ascii="宋体" w:hAnsi="宋体"/>
                <w:color w:val="auto"/>
                <w:szCs w:val="21"/>
                <w:highlight w:val="none"/>
                <w:u w:val="single"/>
              </w:rPr>
              <w:t>需经发包人审核批准后分包给具有相应资质和能力的专业单位实施，</w:t>
            </w:r>
            <w:r>
              <w:rPr>
                <w:rFonts w:hint="eastAsia" w:ascii="宋体" w:hAnsi="宋体" w:cs="宋体"/>
                <w:color w:val="auto"/>
                <w:kern w:val="0"/>
                <w:szCs w:val="21"/>
                <w:highlight w:val="none"/>
                <w:u w:val="single"/>
                <w:lang w:val="zh-CN"/>
              </w:rPr>
              <w:t>分包须满足本项目所规定中小企业政策要求</w:t>
            </w:r>
            <w:r>
              <w:rPr>
                <w:rFonts w:hint="eastAsia" w:ascii="宋体" w:hAnsi="宋体"/>
                <w:color w:val="auto"/>
                <w:szCs w:val="21"/>
                <w:highlight w:val="none"/>
                <w:u w:val="single"/>
              </w:rPr>
              <w:t>。</w:t>
            </w:r>
          </w:p>
        </w:tc>
      </w:tr>
      <w:tr w14:paraId="3AA300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31B8162">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213F433A">
            <w:pPr>
              <w:spacing w:line="276" w:lineRule="auto"/>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302CB8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6436" w:type="dxa"/>
            <w:tcBorders>
              <w:top w:val="single" w:color="auto" w:sz="4" w:space="0"/>
              <w:left w:val="single" w:color="auto" w:sz="4" w:space="0"/>
              <w:bottom w:val="single" w:color="auto" w:sz="4" w:space="0"/>
              <w:right w:val="double" w:color="auto" w:sz="4" w:space="0"/>
            </w:tcBorders>
            <w:vAlign w:val="center"/>
          </w:tcPr>
          <w:p w14:paraId="6D45FFF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color w:val="auto"/>
                <w:szCs w:val="21"/>
                <w:highlight w:val="none"/>
                <w:u w:val="single"/>
                <w:lang w:val="en-US" w:eastAsia="zh-CN"/>
              </w:rPr>
              <w:t>38581312.79</w:t>
            </w:r>
            <w:r>
              <w:rPr>
                <w:rFonts w:hint="eastAsia" w:ascii="宋体" w:hAnsi="宋体" w:cs="宋体"/>
                <w:color w:val="auto"/>
                <w:szCs w:val="21"/>
                <w:highlight w:val="none"/>
              </w:rPr>
              <w:t>元，详见招标人最终发出的《最高投标限价公布函》。</w:t>
            </w:r>
          </w:p>
          <w:p w14:paraId="317A4482">
            <w:pPr>
              <w:spacing w:line="276" w:lineRule="auto"/>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投标总报价不能超过最高投标限价，否则其投标将被拒绝。</w:t>
            </w:r>
          </w:p>
        </w:tc>
      </w:tr>
      <w:tr w14:paraId="2EC490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A5DB156">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1768E478">
            <w:pPr>
              <w:spacing w:line="276" w:lineRule="auto"/>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E119A3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非竞争费用</w:t>
            </w:r>
          </w:p>
        </w:tc>
        <w:tc>
          <w:tcPr>
            <w:tcW w:w="6436" w:type="dxa"/>
            <w:tcBorders>
              <w:top w:val="single" w:color="auto" w:sz="4" w:space="0"/>
              <w:left w:val="single" w:color="auto" w:sz="4" w:space="0"/>
              <w:bottom w:val="single" w:color="auto" w:sz="4" w:space="0"/>
              <w:right w:val="double" w:color="auto" w:sz="4" w:space="0"/>
            </w:tcBorders>
            <w:vAlign w:val="center"/>
          </w:tcPr>
          <w:p w14:paraId="7456533F">
            <w:pPr>
              <w:spacing w:line="276" w:lineRule="auto"/>
              <w:ind w:left="50" w:leftChars="24" w:firstLine="1"/>
              <w:jc w:val="left"/>
              <w:rPr>
                <w:rFonts w:hint="eastAsia"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lang w:val="en-US" w:eastAsia="zh-CN"/>
              </w:rPr>
              <w:t xml:space="preserve"> 2482861.17 </w:t>
            </w:r>
            <w:r>
              <w:rPr>
                <w:rFonts w:hint="eastAsia" w:ascii="宋体" w:hAnsi="宋体" w:cs="宋体"/>
                <w:color w:val="auto"/>
                <w:szCs w:val="21"/>
                <w:highlight w:val="none"/>
              </w:rPr>
              <w:t>元，暂列金额为</w:t>
            </w:r>
            <w:r>
              <w:rPr>
                <w:rFonts w:hint="eastAsia" w:ascii="宋体" w:hAnsi="宋体" w:cs="宋体"/>
                <w:color w:val="auto"/>
                <w:szCs w:val="21"/>
                <w:highlight w:val="none"/>
                <w:u w:val="single"/>
                <w:lang w:val="en-US" w:eastAsia="zh-CN"/>
              </w:rPr>
              <w:t xml:space="preserve"> 2813560.46 </w:t>
            </w:r>
            <w:r>
              <w:rPr>
                <w:rFonts w:hint="eastAsia" w:ascii="宋体" w:hAnsi="宋体" w:cs="宋体"/>
                <w:color w:val="auto"/>
                <w:szCs w:val="21"/>
                <w:highlight w:val="none"/>
              </w:rPr>
              <w:t>元，暂估价为</w:t>
            </w:r>
            <w:r>
              <w:rPr>
                <w:rFonts w:ascii="宋体" w:hAnsi="宋体" w:cs="宋体"/>
                <w:color w:val="auto"/>
                <w:szCs w:val="21"/>
                <w:highlight w:val="none"/>
                <w:u w:val="single"/>
              </w:rPr>
              <w:t xml:space="preserve">  /  </w:t>
            </w:r>
            <w:r>
              <w:rPr>
                <w:rFonts w:hint="eastAsia" w:ascii="宋体" w:hAnsi="宋体" w:cs="宋体"/>
                <w:color w:val="auto"/>
                <w:szCs w:val="21"/>
                <w:highlight w:val="none"/>
              </w:rPr>
              <w:t>元。（未按招标文件规定的金额填写的，由评标委员会按照招标文件规定的金额进行修正）</w:t>
            </w:r>
          </w:p>
        </w:tc>
      </w:tr>
      <w:tr w14:paraId="1AFFE3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5DDA9C2">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63C64327">
            <w:pPr>
              <w:spacing w:line="276" w:lineRule="auto"/>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80B1A8A">
            <w:pPr>
              <w:pStyle w:val="4"/>
              <w:ind w:firstLine="309"/>
              <w:rPr>
                <w:rFonts w:hint="eastAsia" w:ascii="宋体" w:hAnsi="宋体"/>
                <w:color w:val="auto"/>
                <w:highlight w:val="none"/>
              </w:rPr>
            </w:pPr>
            <w:r>
              <w:rPr>
                <w:rFonts w:hint="eastAsia" w:ascii="宋体" w:hAnsi="宋体"/>
                <w:color w:val="auto"/>
                <w:highlight w:val="none"/>
              </w:rPr>
              <w:t>保修期</w:t>
            </w:r>
          </w:p>
        </w:tc>
        <w:tc>
          <w:tcPr>
            <w:tcW w:w="6436" w:type="dxa"/>
            <w:tcBorders>
              <w:top w:val="single" w:color="auto" w:sz="4" w:space="0"/>
              <w:left w:val="single" w:color="auto" w:sz="4" w:space="0"/>
              <w:bottom w:val="single" w:color="auto" w:sz="4" w:space="0"/>
              <w:right w:val="double" w:color="auto" w:sz="4" w:space="0"/>
            </w:tcBorders>
            <w:vAlign w:val="center"/>
          </w:tcPr>
          <w:p w14:paraId="6D06052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按照《建设工程质量管理条例》和《工程质量保修书》规定。</w:t>
            </w:r>
          </w:p>
        </w:tc>
      </w:tr>
      <w:tr w14:paraId="20946F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5D54829">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423E338C">
            <w:pPr>
              <w:spacing w:line="276" w:lineRule="auto"/>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74C55D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计算评标参考价的等分点值</w:t>
            </w:r>
          </w:p>
        </w:tc>
        <w:tc>
          <w:tcPr>
            <w:tcW w:w="6436" w:type="dxa"/>
            <w:tcBorders>
              <w:top w:val="single" w:color="auto" w:sz="4" w:space="0"/>
              <w:left w:val="single" w:color="auto" w:sz="4" w:space="0"/>
              <w:bottom w:val="single" w:color="auto" w:sz="4" w:space="0"/>
              <w:right w:val="double" w:color="auto" w:sz="4" w:space="0"/>
            </w:tcBorders>
            <w:vAlign w:val="center"/>
          </w:tcPr>
          <w:p w14:paraId="76867DC9">
            <w:pPr>
              <w:spacing w:line="276" w:lineRule="auto"/>
              <w:rPr>
                <w:rFonts w:hint="eastAsia" w:ascii="宋体" w:hAnsi="宋体" w:cs="宋体"/>
                <w:strike/>
                <w:color w:val="auto"/>
                <w:szCs w:val="21"/>
                <w:highlight w:val="none"/>
                <w:u w:val="single"/>
              </w:rPr>
            </w:pPr>
            <w:r>
              <w:rPr>
                <w:rFonts w:hint="eastAsia" w:ascii="宋体" w:hAnsi="宋体"/>
                <w:color w:val="auto"/>
                <w:szCs w:val="21"/>
                <w:highlight w:val="none"/>
                <w:u w:val="single"/>
              </w:rPr>
              <w:t>计算评标参考价的下浮率X：从2%、3%、4%中通过摇珠机随机抽取其中之一。</w:t>
            </w:r>
          </w:p>
        </w:tc>
      </w:tr>
      <w:tr w14:paraId="6C66EB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9976E5A">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417171EC">
            <w:pPr>
              <w:spacing w:line="276" w:lineRule="auto"/>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82C550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进入第二阶段评审的家数</w:t>
            </w:r>
          </w:p>
        </w:tc>
        <w:tc>
          <w:tcPr>
            <w:tcW w:w="6436" w:type="dxa"/>
            <w:tcBorders>
              <w:top w:val="single" w:color="auto" w:sz="4" w:space="0"/>
              <w:left w:val="single" w:color="auto" w:sz="4" w:space="0"/>
              <w:bottom w:val="single" w:color="auto" w:sz="4" w:space="0"/>
              <w:right w:val="double" w:color="auto" w:sz="4" w:space="0"/>
            </w:tcBorders>
            <w:vAlign w:val="center"/>
          </w:tcPr>
          <w:p w14:paraId="0CAFDD8B">
            <w:pPr>
              <w:spacing w:line="276" w:lineRule="auto"/>
              <w:rPr>
                <w:rFonts w:hint="eastAsia" w:ascii="宋体" w:hAnsi="宋体"/>
                <w:color w:val="auto"/>
                <w:szCs w:val="21"/>
                <w:highlight w:val="none"/>
              </w:rPr>
            </w:pPr>
            <w:r>
              <w:rPr>
                <w:rFonts w:hint="eastAsia" w:ascii="宋体" w:hAnsi="宋体"/>
                <w:color w:val="auto"/>
                <w:szCs w:val="21"/>
                <w:highlight w:val="none"/>
              </w:rPr>
              <w:t>①通过技术有效性审查的投标人均进入第二阶段（适用于通过技术有效性审查家数在</w:t>
            </w:r>
            <w:r>
              <w:rPr>
                <w:rFonts w:ascii="宋体" w:hAnsi="宋体"/>
                <w:color w:val="auto"/>
                <w:szCs w:val="21"/>
                <w:highlight w:val="none"/>
              </w:rPr>
              <w:t>[3,</w:t>
            </w:r>
            <w:r>
              <w:rPr>
                <w:rFonts w:ascii="宋体" w:hAnsi="宋体"/>
                <w:color w:val="auto"/>
                <w:szCs w:val="21"/>
                <w:highlight w:val="none"/>
                <w:u w:val="single"/>
              </w:rPr>
              <w:t>7</w:t>
            </w:r>
            <w:r>
              <w:rPr>
                <w:rFonts w:ascii="宋体" w:hAnsi="宋体"/>
                <w:color w:val="auto"/>
                <w:szCs w:val="21"/>
                <w:highlight w:val="none"/>
              </w:rPr>
              <w:t>]中的）。</w:t>
            </w:r>
          </w:p>
          <w:p w14:paraId="17C7F0A0">
            <w:pPr>
              <w:spacing w:line="276" w:lineRule="auto"/>
              <w:rPr>
                <w:rFonts w:hint="eastAsia" w:ascii="宋体" w:hAnsi="宋体" w:cs="宋体"/>
                <w:strike/>
                <w:color w:val="auto"/>
                <w:szCs w:val="21"/>
                <w:highlight w:val="none"/>
              </w:rPr>
            </w:pPr>
            <w:r>
              <w:rPr>
                <w:rFonts w:hint="eastAsia" w:ascii="宋体" w:hAnsi="宋体"/>
                <w:color w:val="auto"/>
                <w:szCs w:val="21"/>
                <w:highlight w:val="none"/>
              </w:rPr>
              <w:t>②将第一阶段得分由高至低排序，前</w:t>
            </w:r>
            <w:r>
              <w:rPr>
                <w:rFonts w:ascii="宋体" w:hAnsi="宋体"/>
                <w:color w:val="auto"/>
                <w:szCs w:val="21"/>
                <w:highlight w:val="none"/>
                <w:u w:val="single"/>
              </w:rPr>
              <w:t>7</w:t>
            </w:r>
            <w:r>
              <w:rPr>
                <w:rFonts w:hint="eastAsia" w:ascii="宋体" w:hAnsi="宋体"/>
                <w:color w:val="auto"/>
                <w:szCs w:val="21"/>
                <w:highlight w:val="none"/>
              </w:rPr>
              <w:t>名投标人进入第二阶段评审（适用于通过技术有效性审查家数大于</w:t>
            </w:r>
            <w:r>
              <w:rPr>
                <w:rFonts w:ascii="宋体" w:hAnsi="宋体"/>
                <w:color w:val="auto"/>
                <w:szCs w:val="21"/>
                <w:highlight w:val="none"/>
                <w:u w:val="single"/>
              </w:rPr>
              <w:t>7</w:t>
            </w:r>
            <w:r>
              <w:rPr>
                <w:rFonts w:hint="eastAsia" w:ascii="宋体" w:hAnsi="宋体"/>
                <w:color w:val="auto"/>
                <w:szCs w:val="21"/>
                <w:highlight w:val="none"/>
              </w:rPr>
              <w:t>家的）。</w:t>
            </w:r>
          </w:p>
        </w:tc>
      </w:tr>
      <w:tr w14:paraId="2FAE68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35B5714">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222884E4">
            <w:pPr>
              <w:spacing w:line="276" w:lineRule="auto"/>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77EE48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工程成本警示价</w:t>
            </w:r>
          </w:p>
        </w:tc>
        <w:tc>
          <w:tcPr>
            <w:tcW w:w="6436" w:type="dxa"/>
            <w:tcBorders>
              <w:top w:val="single" w:color="auto" w:sz="4" w:space="0"/>
              <w:left w:val="single" w:color="auto" w:sz="4" w:space="0"/>
              <w:bottom w:val="single" w:color="auto" w:sz="4" w:space="0"/>
              <w:right w:val="double" w:color="auto" w:sz="4" w:space="0"/>
            </w:tcBorders>
            <w:vAlign w:val="center"/>
          </w:tcPr>
          <w:p w14:paraId="2A114C95">
            <w:pPr>
              <w:rPr>
                <w:rFonts w:hint="eastAsia" w:ascii="宋体" w:hAnsi="宋体"/>
                <w:color w:val="auto"/>
                <w:szCs w:val="21"/>
                <w:highlight w:val="none"/>
              </w:rPr>
            </w:pPr>
            <w:r>
              <w:rPr>
                <w:rFonts w:hint="eastAsia" w:ascii="宋体" w:hAnsi="宋体"/>
                <w:color w:val="auto"/>
                <w:szCs w:val="21"/>
                <w:highlight w:val="none"/>
              </w:rPr>
              <w:t>工程成本警示价为</w:t>
            </w:r>
            <w:r>
              <w:rPr>
                <w:rFonts w:hint="eastAsia" w:ascii="宋体" w:hAnsi="宋体"/>
                <w:color w:val="auto"/>
                <w:szCs w:val="21"/>
                <w:highlight w:val="none"/>
                <w:u w:val="single"/>
                <w:lang w:val="en-US" w:eastAsia="zh-CN"/>
              </w:rPr>
              <w:t xml:space="preserve"> 34723181.51 </w:t>
            </w:r>
            <w:r>
              <w:rPr>
                <w:rFonts w:hint="eastAsia" w:ascii="宋体" w:hAnsi="宋体"/>
                <w:color w:val="auto"/>
                <w:szCs w:val="21"/>
                <w:highlight w:val="none"/>
              </w:rPr>
              <w:t>元</w:t>
            </w:r>
            <w:r>
              <w:rPr>
                <w:rFonts w:ascii="宋体" w:hAnsi="宋体"/>
                <w:color w:val="auto"/>
                <w:szCs w:val="21"/>
                <w:highlight w:val="none"/>
              </w:rPr>
              <w:t>。对低于该警</w:t>
            </w:r>
            <w:r>
              <w:rPr>
                <w:rFonts w:hint="eastAsia" w:ascii="宋体" w:hAnsi="宋体" w:cs="宋体"/>
                <w:color w:val="auto"/>
                <w:szCs w:val="21"/>
                <w:highlight w:val="none"/>
              </w:rPr>
              <w:t>示</w:t>
            </w:r>
            <w:r>
              <w:rPr>
                <w:rFonts w:ascii="宋体" w:hAnsi="宋体"/>
                <w:color w:val="auto"/>
                <w:szCs w:val="21"/>
                <w:highlight w:val="none"/>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74B3C58B">
            <w:pPr>
              <w:spacing w:line="276" w:lineRule="auto"/>
              <w:rPr>
                <w:rFonts w:hint="eastAsia" w:ascii="宋体" w:hAnsi="宋体" w:cs="宋体"/>
                <w:color w:val="auto"/>
                <w:szCs w:val="21"/>
                <w:highlight w:val="none"/>
                <w:u w:val="single"/>
              </w:rPr>
            </w:pPr>
            <w:r>
              <w:rPr>
                <w:rFonts w:hint="eastAsia" w:ascii="宋体" w:hAnsi="宋体"/>
                <w:color w:val="auto"/>
                <w:szCs w:val="21"/>
                <w:highlight w:val="none"/>
              </w:rPr>
              <w:t>注：为充分体现招标人意愿及落实项目招标人负责制，警示价由招标人确定，并随招标文件一并公布。对于合并招标项目，应按项目分别设置成本警示价。</w:t>
            </w:r>
          </w:p>
        </w:tc>
      </w:tr>
      <w:tr w14:paraId="5C2BCF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0E7D11E">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684E5159">
            <w:pPr>
              <w:spacing w:line="276" w:lineRule="auto"/>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F93C14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第一阶段各分值的权重</w:t>
            </w:r>
          </w:p>
        </w:tc>
        <w:tc>
          <w:tcPr>
            <w:tcW w:w="6436" w:type="dxa"/>
            <w:tcBorders>
              <w:top w:val="single" w:color="auto" w:sz="4" w:space="0"/>
              <w:left w:val="single" w:color="auto" w:sz="4" w:space="0"/>
              <w:bottom w:val="single" w:color="auto" w:sz="4" w:space="0"/>
              <w:right w:val="double" w:color="auto" w:sz="4" w:space="0"/>
            </w:tcBorders>
            <w:vAlign w:val="center"/>
          </w:tcPr>
          <w:p w14:paraId="026AF453">
            <w:pPr>
              <w:spacing w:line="276" w:lineRule="auto"/>
              <w:rPr>
                <w:rFonts w:hint="eastAsia" w:ascii="宋体" w:hAnsi="宋体" w:cs="宋体"/>
                <w:strike/>
                <w:color w:val="auto"/>
                <w:szCs w:val="21"/>
                <w:highlight w:val="none"/>
                <w:u w:val="single"/>
              </w:rPr>
            </w:pPr>
            <w:r>
              <w:rPr>
                <w:rFonts w:hint="eastAsia" w:ascii="宋体" w:hAnsi="宋体"/>
                <w:color w:val="auto"/>
                <w:szCs w:val="21"/>
                <w:highlight w:val="none"/>
                <w:u w:val="single"/>
              </w:rPr>
              <w:t>技术标得分×技术标得分权重</w:t>
            </w:r>
            <w:r>
              <w:rPr>
                <w:rFonts w:hint="eastAsia" w:ascii="宋体" w:hAnsi="宋体"/>
                <w:b/>
                <w:bCs/>
                <w:color w:val="auto"/>
                <w:szCs w:val="21"/>
                <w:highlight w:val="none"/>
                <w:u w:val="single"/>
              </w:rPr>
              <w:t>（</w:t>
            </w:r>
            <w:r>
              <w:rPr>
                <w:rFonts w:hint="eastAsia" w:ascii="宋体" w:hAnsi="宋体"/>
                <w:b/>
                <w:bCs/>
                <w:color w:val="auto"/>
                <w:szCs w:val="21"/>
                <w:highlight w:val="none"/>
                <w:u w:val="single"/>
                <w:lang w:val="en-US" w:eastAsia="zh-CN"/>
              </w:rPr>
              <w:t>100</w:t>
            </w:r>
            <w:r>
              <w:rPr>
                <w:rFonts w:hint="eastAsia" w:ascii="宋体" w:hAnsi="宋体"/>
                <w:b/>
                <w:bCs/>
                <w:color w:val="auto"/>
                <w:szCs w:val="21"/>
                <w:highlight w:val="none"/>
                <w:u w:val="single"/>
              </w:rPr>
              <w:t>%）</w:t>
            </w:r>
          </w:p>
        </w:tc>
      </w:tr>
      <w:tr w14:paraId="689469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7CCAF3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2269EA7B">
            <w:pPr>
              <w:spacing w:line="276" w:lineRule="auto"/>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45537F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评标委员会人数</w:t>
            </w:r>
          </w:p>
        </w:tc>
        <w:tc>
          <w:tcPr>
            <w:tcW w:w="6436" w:type="dxa"/>
            <w:tcBorders>
              <w:top w:val="single" w:color="auto" w:sz="4" w:space="0"/>
              <w:left w:val="single" w:color="auto" w:sz="4" w:space="0"/>
              <w:bottom w:val="single" w:color="auto" w:sz="4" w:space="0"/>
              <w:right w:val="double" w:color="auto" w:sz="4" w:space="0"/>
            </w:tcBorders>
            <w:vAlign w:val="center"/>
          </w:tcPr>
          <w:p w14:paraId="644FE86C">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18BF36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094ADE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14:paraId="02E16C97">
            <w:pPr>
              <w:spacing w:line="276" w:lineRule="auto"/>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D0F8A4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企业信用评价分数</w:t>
            </w:r>
          </w:p>
        </w:tc>
        <w:tc>
          <w:tcPr>
            <w:tcW w:w="6436" w:type="dxa"/>
            <w:tcBorders>
              <w:top w:val="single" w:color="auto" w:sz="4" w:space="0"/>
              <w:left w:val="single" w:color="auto" w:sz="4" w:space="0"/>
              <w:bottom w:val="single" w:color="auto" w:sz="4" w:space="0"/>
              <w:right w:val="double" w:color="auto" w:sz="4" w:space="0"/>
            </w:tcBorders>
            <w:vAlign w:val="center"/>
          </w:tcPr>
          <w:p w14:paraId="6DBC31F0">
            <w:pPr>
              <w:spacing w:line="276"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本款不适用。</w:t>
            </w:r>
          </w:p>
          <w:p w14:paraId="78380906">
            <w:pPr>
              <w:wordWrap w:val="0"/>
              <w:spacing w:line="276" w:lineRule="auto"/>
              <w:rPr>
                <w:rFonts w:hint="eastAsia" w:ascii="宋体" w:hAnsi="宋体" w:cs="宋体"/>
                <w:b/>
                <w:color w:val="auto"/>
                <w:szCs w:val="21"/>
                <w:highlight w:val="none"/>
                <w:u w:val="single"/>
              </w:rPr>
            </w:pPr>
            <w:r>
              <w:rPr>
                <w:rFonts w:hint="eastAsia" w:ascii="宋体" w:hAnsi="宋体" w:cs="宋体"/>
                <w:color w:val="auto"/>
                <w:szCs w:val="21"/>
                <w:highlight w:val="none"/>
                <w:lang w:val="en-US" w:eastAsia="zh-CN"/>
              </w:rPr>
              <w:t>注：根据《广州市交通运输局关于开展广州市城市道路建设行业信用评价工作的通知》（穗交运函〔2025〕86号），招标人可于6月1日起将该信用评分结果应用于招投标活动中。因此本款不适用。</w:t>
            </w:r>
          </w:p>
        </w:tc>
      </w:tr>
      <w:tr w14:paraId="471E4F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A998D34">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6FCB0E81">
            <w:pPr>
              <w:spacing w:line="276" w:lineRule="auto"/>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BF86C90">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6436" w:type="dxa"/>
            <w:tcBorders>
              <w:top w:val="single" w:color="auto" w:sz="4" w:space="0"/>
              <w:left w:val="single" w:color="auto" w:sz="4" w:space="0"/>
              <w:bottom w:val="single" w:color="auto" w:sz="4" w:space="0"/>
              <w:right w:val="double" w:color="auto" w:sz="4" w:space="0"/>
            </w:tcBorders>
            <w:vAlign w:val="center"/>
          </w:tcPr>
          <w:p w14:paraId="6469BA56">
            <w:pPr>
              <w:spacing w:line="276" w:lineRule="auto"/>
              <w:rPr>
                <w:rFonts w:hint="eastAsia" w:ascii="宋体" w:hAnsi="宋体" w:cs="宋体"/>
                <w:strike/>
                <w:color w:val="auto"/>
                <w:szCs w:val="21"/>
                <w:highlight w:val="none"/>
              </w:rPr>
            </w:pPr>
            <w:r>
              <w:rPr>
                <w:rFonts w:hint="eastAsia" w:ascii="宋体" w:hAnsi="宋体"/>
                <w:color w:val="auto"/>
                <w:szCs w:val="21"/>
                <w:highlight w:val="none"/>
              </w:rPr>
              <w:t>本款不适用</w:t>
            </w:r>
            <w:r>
              <w:rPr>
                <w:rFonts w:hint="eastAsia" w:ascii="宋体" w:hAnsi="宋体" w:cs="仿宋_GB2312"/>
                <w:color w:val="auto"/>
                <w:szCs w:val="21"/>
                <w:highlight w:val="none"/>
              </w:rPr>
              <w:t>。</w:t>
            </w:r>
          </w:p>
        </w:tc>
      </w:tr>
      <w:tr w14:paraId="4BE100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285AB5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1D0B87D2">
            <w:pPr>
              <w:spacing w:line="276" w:lineRule="auto"/>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E663AE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6436" w:type="dxa"/>
            <w:tcBorders>
              <w:top w:val="single" w:color="auto" w:sz="4" w:space="0"/>
              <w:left w:val="single" w:color="auto" w:sz="4" w:space="0"/>
              <w:bottom w:val="single" w:color="auto" w:sz="4" w:space="0"/>
              <w:right w:val="double" w:color="auto" w:sz="4" w:space="0"/>
            </w:tcBorders>
            <w:vAlign w:val="center"/>
          </w:tcPr>
          <w:p w14:paraId="12EDE7C4">
            <w:pPr>
              <w:spacing w:line="276" w:lineRule="auto"/>
              <w:rPr>
                <w:rFonts w:hint="eastAsia" w:ascii="宋体" w:hAnsi="宋体"/>
                <w:color w:val="auto"/>
                <w:szCs w:val="21"/>
                <w:highlight w:val="none"/>
              </w:rPr>
            </w:pPr>
            <w:r>
              <w:rPr>
                <w:rFonts w:hint="eastAsia" w:ascii="宋体" w:hAnsi="宋体"/>
                <w:color w:val="auto"/>
                <w:szCs w:val="21"/>
                <w:highlight w:val="none"/>
              </w:rPr>
              <w:t>本款不适用</w:t>
            </w:r>
            <w:r>
              <w:rPr>
                <w:rFonts w:hint="eastAsia" w:ascii="宋体" w:hAnsi="宋体" w:cs="仿宋_GB2312"/>
                <w:color w:val="auto"/>
                <w:szCs w:val="21"/>
                <w:highlight w:val="none"/>
              </w:rPr>
              <w:t>。</w:t>
            </w:r>
          </w:p>
        </w:tc>
      </w:tr>
      <w:tr w14:paraId="73CF7C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9D712FE">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2B009349">
            <w:pPr>
              <w:spacing w:line="276" w:lineRule="auto"/>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01F186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6436" w:type="dxa"/>
            <w:tcBorders>
              <w:top w:val="single" w:color="auto" w:sz="4" w:space="0"/>
              <w:left w:val="single" w:color="auto" w:sz="4" w:space="0"/>
              <w:bottom w:val="single" w:color="auto" w:sz="4" w:space="0"/>
              <w:right w:val="double" w:color="auto" w:sz="4" w:space="0"/>
            </w:tcBorders>
            <w:vAlign w:val="center"/>
          </w:tcPr>
          <w:p w14:paraId="720903C1">
            <w:pPr>
              <w:spacing w:line="276" w:lineRule="auto"/>
              <w:rPr>
                <w:rFonts w:hint="eastAsia" w:ascii="宋体" w:hAnsi="宋体"/>
                <w:color w:val="auto"/>
                <w:szCs w:val="21"/>
                <w:highlight w:val="none"/>
              </w:rPr>
            </w:pPr>
            <w:r>
              <w:rPr>
                <w:rFonts w:hint="eastAsia" w:ascii="宋体" w:hAnsi="宋体"/>
                <w:color w:val="auto"/>
                <w:szCs w:val="21"/>
                <w:highlight w:val="none"/>
              </w:rPr>
              <w:t>选取方法</w:t>
            </w:r>
            <w:r>
              <w:rPr>
                <w:rFonts w:ascii="宋体" w:hAnsi="宋体"/>
                <w:color w:val="auto"/>
                <w:szCs w:val="21"/>
                <w:highlight w:val="none"/>
                <w:u w:val="single"/>
              </w:rPr>
              <w:t xml:space="preserve"> </w:t>
            </w:r>
            <w:r>
              <w:rPr>
                <w:rFonts w:hint="eastAsia" w:ascii="宋体" w:hAnsi="宋体"/>
                <w:color w:val="auto"/>
                <w:szCs w:val="21"/>
                <w:highlight w:val="none"/>
                <w:u w:val="single"/>
              </w:rPr>
              <w:t>二</w:t>
            </w:r>
            <w:r>
              <w:rPr>
                <w:rFonts w:ascii="宋体" w:hAnsi="宋体"/>
                <w:color w:val="auto"/>
                <w:szCs w:val="21"/>
                <w:highlight w:val="none"/>
                <w:u w:val="single"/>
              </w:rPr>
              <w:t xml:space="preserve"> </w:t>
            </w:r>
          </w:p>
          <w:p w14:paraId="0A8A45A3">
            <w:pPr>
              <w:pStyle w:val="4"/>
              <w:ind w:firstLine="0" w:firstLineChars="0"/>
              <w:rPr>
                <w:rFonts w:hint="eastAsia" w:ascii="宋体" w:hAnsi="宋体"/>
                <w:color w:val="auto"/>
                <w:highlight w:val="none"/>
              </w:rPr>
            </w:pPr>
            <w:r>
              <w:rPr>
                <w:rFonts w:hint="eastAsia" w:ascii="宋体" w:hAnsi="宋体"/>
                <w:color w:val="auto"/>
                <w:highlight w:val="none"/>
              </w:rPr>
              <w:t>方法二：评标委员会按照“总分=</w:t>
            </w:r>
            <w:r>
              <w:rPr>
                <w:rFonts w:hint="eastAsia" w:ascii="宋体" w:hAnsi="宋体"/>
                <w:b/>
                <w:bCs/>
                <w:color w:val="auto"/>
                <w:highlight w:val="none"/>
              </w:rPr>
              <w:t>技术标得分×技术标得分权重（</w:t>
            </w:r>
            <w:r>
              <w:rPr>
                <w:rFonts w:ascii="宋体" w:hAnsi="宋体"/>
                <w:b/>
                <w:bCs/>
                <w:color w:val="auto"/>
                <w:highlight w:val="none"/>
              </w:rPr>
              <w:t>20</w:t>
            </w:r>
            <w:r>
              <w:rPr>
                <w:rFonts w:hint="eastAsia" w:ascii="宋体" w:hAnsi="宋体"/>
                <w:b/>
                <w:bCs/>
                <w:color w:val="auto"/>
                <w:highlight w:val="none"/>
              </w:rPr>
              <w:t>%）+经济标得分×经济标得分权重（</w:t>
            </w:r>
            <w:r>
              <w:rPr>
                <w:rFonts w:ascii="宋体" w:hAnsi="宋体"/>
                <w:b/>
                <w:bCs/>
                <w:color w:val="auto"/>
                <w:highlight w:val="none"/>
              </w:rPr>
              <w:t>8</w:t>
            </w:r>
            <w:r>
              <w:rPr>
                <w:rFonts w:hint="eastAsia" w:ascii="宋体" w:hAnsi="宋体"/>
                <w:b/>
                <w:bCs/>
                <w:color w:val="auto"/>
                <w:highlight w:val="none"/>
              </w:rPr>
              <w:t>0%）</w:t>
            </w:r>
            <w:r>
              <w:rPr>
                <w:rFonts w:hint="eastAsia" w:ascii="宋体" w:hAnsi="宋体"/>
                <w:color w:val="auto"/>
                <w:highlight w:val="none"/>
              </w:rPr>
              <w:t>”的公式，计算各有效投标文件的总分，并按照总分从高到低排序。总得分相同的投标文件</w:t>
            </w:r>
            <w:r>
              <w:rPr>
                <w:rFonts w:hint="eastAsia" w:ascii="宋体" w:hAnsi="宋体"/>
                <w:color w:val="auto"/>
                <w:highlight w:val="none"/>
                <w:lang w:eastAsia="zh-CN"/>
              </w:rPr>
              <w:t>，以</w:t>
            </w:r>
            <w:r>
              <w:rPr>
                <w:rFonts w:hint="eastAsia" w:ascii="宋体" w:hAnsi="宋体"/>
                <w:color w:val="auto"/>
                <w:highlight w:val="none"/>
              </w:rPr>
              <w:t>技术得分较高的排前；总得分与技术得分均相同的投标文件，以经济得分较高的排前；如仍存在相同情况，则对具有相同情况的投标人，按中标候选人数量规定，由评标委员会采用投票方式，确定中标候选人的排序。</w:t>
            </w:r>
          </w:p>
          <w:p w14:paraId="53F83329">
            <w:pPr>
              <w:spacing w:line="276" w:lineRule="auto"/>
              <w:rPr>
                <w:rFonts w:hint="eastAsia" w:ascii="宋体" w:hAnsi="宋体"/>
                <w:color w:val="auto"/>
                <w:szCs w:val="21"/>
                <w:highlight w:val="none"/>
              </w:rPr>
            </w:pPr>
            <w:r>
              <w:rPr>
                <w:rFonts w:hint="eastAsia" w:ascii="宋体" w:hAnsi="宋体" w:cs="宋体"/>
                <w:color w:val="auto"/>
                <w:szCs w:val="21"/>
                <w:highlight w:val="none"/>
                <w:u w:val="single"/>
              </w:rPr>
              <w:t>注：投票方式确定排序的具体操作步骤为：由评标会对出现该情况的投标人进行编号，然后通过记名投票方式依次确定投标人的排序。</w:t>
            </w:r>
          </w:p>
        </w:tc>
      </w:tr>
      <w:tr w14:paraId="44EC48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9E8BEDF">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70EF7901">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13.4、13.5.2</w:t>
            </w:r>
          </w:p>
        </w:tc>
        <w:tc>
          <w:tcPr>
            <w:tcW w:w="1810" w:type="dxa"/>
            <w:tcBorders>
              <w:top w:val="single" w:color="auto" w:sz="4" w:space="0"/>
              <w:left w:val="single" w:color="auto" w:sz="4" w:space="0"/>
              <w:bottom w:val="single" w:color="auto" w:sz="4" w:space="0"/>
              <w:right w:val="single" w:color="auto" w:sz="4" w:space="0"/>
            </w:tcBorders>
            <w:vAlign w:val="center"/>
          </w:tcPr>
          <w:p w14:paraId="2E020F47">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合同价款的调整办法</w:t>
            </w:r>
          </w:p>
        </w:tc>
        <w:tc>
          <w:tcPr>
            <w:tcW w:w="6436" w:type="dxa"/>
            <w:tcBorders>
              <w:top w:val="single" w:color="auto" w:sz="4" w:space="0"/>
              <w:left w:val="single" w:color="auto" w:sz="4" w:space="0"/>
              <w:bottom w:val="single" w:color="auto" w:sz="4" w:space="0"/>
              <w:right w:val="double" w:color="auto" w:sz="4" w:space="0"/>
            </w:tcBorders>
            <w:vAlign w:val="center"/>
          </w:tcPr>
          <w:p w14:paraId="2010F0A2">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详见招标文件及相关合同条款。</w:t>
            </w:r>
          </w:p>
        </w:tc>
      </w:tr>
      <w:tr w14:paraId="2D2828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7A71612">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20067EC4">
            <w:pPr>
              <w:spacing w:line="276" w:lineRule="auto"/>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439F0F5">
            <w:pPr>
              <w:spacing w:line="276" w:lineRule="auto"/>
              <w:rPr>
                <w:rFonts w:hint="eastAsia" w:ascii="宋体" w:hAnsi="宋体" w:cs="宋体"/>
                <w:color w:val="auto"/>
                <w:szCs w:val="21"/>
                <w:highlight w:val="none"/>
              </w:rPr>
            </w:pPr>
            <w:r>
              <w:rPr>
                <w:rFonts w:hint="eastAsia" w:ascii="宋体" w:hAnsi="宋体" w:cs="宋体"/>
                <w:color w:val="auto"/>
                <w:kern w:val="0"/>
                <w:szCs w:val="21"/>
                <w:highlight w:val="none"/>
                <w:lang w:val="zh-CN"/>
              </w:rPr>
              <w:t>建设工程质量检测单位</w:t>
            </w:r>
          </w:p>
        </w:tc>
        <w:tc>
          <w:tcPr>
            <w:tcW w:w="6436" w:type="dxa"/>
            <w:tcBorders>
              <w:top w:val="single" w:color="auto" w:sz="4" w:space="0"/>
              <w:left w:val="single" w:color="auto" w:sz="4" w:space="0"/>
              <w:bottom w:val="single" w:color="auto" w:sz="4" w:space="0"/>
              <w:right w:val="double" w:color="auto" w:sz="4" w:space="0"/>
            </w:tcBorders>
            <w:vAlign w:val="center"/>
          </w:tcPr>
          <w:p w14:paraId="2DDDB2FC">
            <w:pPr>
              <w:spacing w:line="276" w:lineRule="auto"/>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lang w:bidi="ar"/>
              </w:rPr>
              <w:t>建设单位和中标人均不得委托近二年</w:t>
            </w:r>
            <w:r>
              <w:rPr>
                <w:rFonts w:ascii="宋体" w:hAnsi="宋体" w:cs="宋体"/>
                <w:color w:val="auto"/>
                <w:szCs w:val="21"/>
                <w:highlight w:val="none"/>
                <w:u w:val="single"/>
                <w:lang w:bidi="ar"/>
              </w:rPr>
              <w:t>(从招标公告发布年度起逆推2年的1月1日起至投标截止时间止)因伪造检测数据、出具虚假检测报告被各级建设行政主管部门或市场监督管理部门行政处罚或通报的检测单位负责本项目的检测工作。</w:t>
            </w:r>
          </w:p>
        </w:tc>
      </w:tr>
      <w:tr w14:paraId="3DD3FC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EF1A38B">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671BC09E">
            <w:pPr>
              <w:spacing w:line="276" w:lineRule="auto"/>
              <w:jc w:val="center"/>
              <w:rPr>
                <w:rFonts w:hint="eastAsia" w:ascii="宋体" w:hAnsi="宋体" w:cs="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EB96549">
            <w:pPr>
              <w:spacing w:line="276" w:lineRule="auto"/>
              <w:jc w:val="left"/>
              <w:rPr>
                <w:rFonts w:hint="eastAsia" w:ascii="宋体" w:hAnsi="宋体" w:cs="宋体"/>
                <w:color w:val="auto"/>
                <w:highlight w:val="none"/>
              </w:rPr>
            </w:pPr>
            <w:r>
              <w:rPr>
                <w:rFonts w:hint="eastAsia" w:ascii="宋体" w:hAnsi="宋体" w:cs="宋体"/>
                <w:color w:val="auto"/>
                <w:highlight w:val="none"/>
              </w:rPr>
              <w:t>电子招标投标解密失败及突发情况的补救</w:t>
            </w:r>
          </w:p>
        </w:tc>
        <w:tc>
          <w:tcPr>
            <w:tcW w:w="6436" w:type="dxa"/>
            <w:tcBorders>
              <w:top w:val="single" w:color="auto" w:sz="4" w:space="0"/>
              <w:left w:val="single" w:color="auto" w:sz="4" w:space="0"/>
              <w:bottom w:val="single" w:color="auto" w:sz="4" w:space="0"/>
              <w:right w:val="double" w:color="auto" w:sz="4" w:space="0"/>
            </w:tcBorders>
            <w:vAlign w:val="center"/>
          </w:tcPr>
          <w:p w14:paraId="196F6CFA">
            <w:pPr>
              <w:spacing w:line="276" w:lineRule="auto"/>
              <w:rPr>
                <w:rFonts w:hint="eastAsia" w:ascii="宋体" w:hAnsi="宋体" w:cs="宋体"/>
                <w:color w:val="auto"/>
                <w:szCs w:val="21"/>
                <w:highlight w:val="none"/>
              </w:rPr>
            </w:pPr>
            <w:r>
              <w:rPr>
                <w:rFonts w:ascii="宋体" w:hAnsi="宋体" w:cs="宋体"/>
                <w:color w:val="auto"/>
                <w:szCs w:val="21"/>
                <w:highlight w:val="none"/>
              </w:rPr>
              <w:t>1、按照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62B462EC">
            <w:pPr>
              <w:spacing w:line="276" w:lineRule="auto"/>
              <w:rPr>
                <w:rFonts w:hint="eastAsia" w:ascii="宋体" w:hAnsi="宋体" w:cs="宋体"/>
                <w:color w:val="auto"/>
                <w:szCs w:val="21"/>
                <w:highlight w:val="none"/>
              </w:rPr>
            </w:pPr>
            <w:r>
              <w:rPr>
                <w:rFonts w:ascii="宋体" w:hAnsi="宋体" w:cs="宋体"/>
                <w:color w:val="auto"/>
                <w:szCs w:val="21"/>
                <w:highlight w:val="none"/>
              </w:rPr>
              <w:t>2、提交投标文件光盘备用</w:t>
            </w:r>
          </w:p>
          <w:p w14:paraId="3D43E91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投标人可制作非加密的电子投标文件（</w:t>
            </w:r>
            <w:r>
              <w:rPr>
                <w:rFonts w:ascii="宋体" w:hAnsi="宋体" w:cs="宋体"/>
                <w:color w:val="auto"/>
                <w:szCs w:val="21"/>
                <w:highlight w:val="none"/>
              </w:rPr>
              <w:t>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1525D77">
            <w:pPr>
              <w:spacing w:line="276" w:lineRule="auto"/>
              <w:rPr>
                <w:rFonts w:hint="eastAsia" w:ascii="宋体" w:hAnsi="宋体" w:cs="宋体"/>
                <w:color w:val="auto"/>
                <w:szCs w:val="21"/>
                <w:highlight w:val="none"/>
              </w:rPr>
            </w:pPr>
            <w:r>
              <w:rPr>
                <w:rFonts w:ascii="宋体" w:hAnsi="宋体" w:cs="宋体"/>
                <w:color w:val="auto"/>
                <w:szCs w:val="21"/>
                <w:highlight w:val="none"/>
              </w:rPr>
              <w:t xml:space="preserve"> 3、补救方案</w:t>
            </w:r>
          </w:p>
          <w:p w14:paraId="7FD881F5">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1）投标文件解密失败的补救方案：</w:t>
            </w:r>
          </w:p>
          <w:p w14:paraId="2FFE8B37">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在规定时间内，因投标人之外原因</w:t>
            </w:r>
            <w:r>
              <w:rPr>
                <w:rFonts w:ascii="宋体" w:hAnsi="宋体" w:cs="宋体"/>
                <w:color w:val="auto"/>
                <w:szCs w:val="21"/>
                <w:highlight w:val="none"/>
              </w:rPr>
              <w:t>(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32F9685">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2）评标时突发情况的补救方案</w:t>
            </w:r>
          </w:p>
          <w:p w14:paraId="63AE487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301F5A3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3）除发生上述情况外，开标评标均以投标人通过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交易平台网上递交的电子投标文件为准。</w:t>
            </w:r>
          </w:p>
        </w:tc>
      </w:tr>
      <w:tr w14:paraId="36B8AD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5EF7BB4">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5F699962">
            <w:pPr>
              <w:spacing w:line="276" w:lineRule="auto"/>
              <w:jc w:val="center"/>
              <w:rPr>
                <w:rFonts w:hint="eastAsia" w:ascii="宋体" w:hAnsi="宋体" w:cs="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12E1B24">
            <w:pPr>
              <w:spacing w:line="276" w:lineRule="auto"/>
              <w:jc w:val="left"/>
              <w:rPr>
                <w:rFonts w:hint="eastAsia" w:ascii="宋体" w:hAnsi="宋体" w:cs="宋体"/>
                <w:color w:val="auto"/>
                <w:highlight w:val="none"/>
              </w:rPr>
            </w:pPr>
            <w:r>
              <w:rPr>
                <w:rFonts w:hint="eastAsia" w:ascii="宋体" w:hAnsi="宋体"/>
                <w:color w:val="auto"/>
                <w:highlight w:val="none"/>
              </w:rPr>
              <w:t>招标人对中标人参与“百千万工程”的具体要求</w:t>
            </w:r>
          </w:p>
        </w:tc>
        <w:tc>
          <w:tcPr>
            <w:tcW w:w="6436" w:type="dxa"/>
            <w:tcBorders>
              <w:top w:val="single" w:color="auto" w:sz="4" w:space="0"/>
              <w:left w:val="single" w:color="auto" w:sz="4" w:space="0"/>
              <w:bottom w:val="single" w:color="auto" w:sz="4" w:space="0"/>
              <w:right w:val="double" w:color="auto" w:sz="4" w:space="0"/>
            </w:tcBorders>
            <w:vAlign w:val="center"/>
          </w:tcPr>
          <w:p w14:paraId="7F4E2C99">
            <w:pPr>
              <w:rPr>
                <w:rFonts w:hint="eastAsia" w:ascii="宋体" w:hAnsi="宋体" w:cs="Courier New"/>
                <w:color w:val="auto"/>
                <w:szCs w:val="21"/>
                <w:highlight w:val="none"/>
              </w:rPr>
            </w:pPr>
            <w:r>
              <w:rPr>
                <w:rFonts w:ascii="宋体" w:hAnsi="宋体" w:cs="宋体"/>
                <w:color w:val="auto"/>
                <w:kern w:val="0"/>
                <w:szCs w:val="21"/>
                <w:highlight w:val="none"/>
                <w:lang w:val="zh-CN"/>
              </w:rPr>
              <w:sym w:font="Wingdings 2" w:char="0052"/>
            </w:r>
            <w:r>
              <w:rPr>
                <w:rFonts w:hint="eastAsia" w:ascii="宋体" w:hAnsi="宋体" w:cs="Courier New"/>
                <w:color w:val="auto"/>
                <w:szCs w:val="21"/>
                <w:highlight w:val="none"/>
              </w:rPr>
              <w:t>具体要求在中标后按照投标承诺和招标人的要求执行。</w:t>
            </w:r>
          </w:p>
          <w:p w14:paraId="10D42C6B">
            <w:pPr>
              <w:spacing w:line="276" w:lineRule="auto"/>
              <w:rPr>
                <w:rFonts w:hint="eastAsia" w:ascii="宋体" w:hAnsi="宋体" w:cs="宋体"/>
                <w:color w:val="auto"/>
                <w:szCs w:val="21"/>
                <w:highlight w:val="none"/>
              </w:rPr>
            </w:pPr>
            <w:r>
              <w:rPr>
                <w:rFonts w:hint="eastAsia" w:ascii="宋体" w:hAnsi="宋体" w:cs="Courier New"/>
                <w:color w:val="auto"/>
                <w:szCs w:val="21"/>
                <w:highlight w:val="none"/>
              </w:rPr>
              <w:t>□具体要求：（由招标人填写）</w:t>
            </w:r>
          </w:p>
        </w:tc>
      </w:tr>
      <w:tr w14:paraId="353418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89990AC">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064FC1CC">
            <w:pPr>
              <w:spacing w:line="276" w:lineRule="auto"/>
              <w:jc w:val="center"/>
              <w:rPr>
                <w:rFonts w:hint="eastAsia" w:ascii="宋体" w:hAnsi="宋体" w:cs="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CCA622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招标人拒绝接收投标文件备用光盘的情况</w:t>
            </w:r>
          </w:p>
        </w:tc>
        <w:tc>
          <w:tcPr>
            <w:tcW w:w="6436" w:type="dxa"/>
            <w:tcBorders>
              <w:top w:val="single" w:color="auto" w:sz="4" w:space="0"/>
              <w:left w:val="single" w:color="auto" w:sz="4" w:space="0"/>
              <w:bottom w:val="single" w:color="auto" w:sz="4" w:space="0"/>
              <w:right w:val="double" w:color="auto" w:sz="4" w:space="0"/>
            </w:tcBorders>
            <w:vAlign w:val="center"/>
          </w:tcPr>
          <w:p w14:paraId="3B23A6F1">
            <w:pPr>
              <w:spacing w:line="276" w:lineRule="auto"/>
              <w:rPr>
                <w:rFonts w:hint="eastAsia" w:ascii="宋体" w:hAnsi="宋体" w:cs="宋体"/>
                <w:color w:val="auto"/>
                <w:szCs w:val="21"/>
                <w:highlight w:val="none"/>
                <w:u w:val="single"/>
              </w:rPr>
            </w:pPr>
            <w:r>
              <w:rPr>
                <w:rFonts w:ascii="宋体" w:hAnsi="宋体" w:cs="宋体"/>
                <w:color w:val="auto"/>
                <w:szCs w:val="21"/>
                <w:highlight w:val="none"/>
                <w:u w:val="single"/>
              </w:rPr>
              <w:t>1、在投标截止期后逾期或未在指定地点递交投标文件备用光盘的；</w:t>
            </w:r>
          </w:p>
          <w:p w14:paraId="61C8374D">
            <w:pPr>
              <w:spacing w:line="276" w:lineRule="auto"/>
              <w:rPr>
                <w:rFonts w:hint="eastAsia" w:ascii="宋体" w:hAnsi="宋体" w:cs="宋体"/>
                <w:color w:val="auto"/>
                <w:szCs w:val="21"/>
                <w:highlight w:val="none"/>
                <w:u w:val="single"/>
              </w:rPr>
            </w:pPr>
            <w:r>
              <w:rPr>
                <w:rFonts w:ascii="宋体" w:hAnsi="宋体" w:cs="宋体"/>
                <w:color w:val="auto"/>
                <w:szCs w:val="21"/>
                <w:highlight w:val="none"/>
                <w:u w:val="single"/>
              </w:rPr>
              <w:t>2、投标文件备用光盘未按招标文件要求密封或未在密封处盖章的；</w:t>
            </w:r>
          </w:p>
          <w:p w14:paraId="58FE7750">
            <w:pPr>
              <w:spacing w:line="276" w:lineRule="auto"/>
              <w:rPr>
                <w:rFonts w:hint="eastAsia" w:ascii="宋体" w:hAnsi="宋体" w:cs="宋体"/>
                <w:color w:val="auto"/>
                <w:szCs w:val="21"/>
                <w:highlight w:val="none"/>
                <w:u w:val="single"/>
              </w:rPr>
            </w:pPr>
            <w:r>
              <w:rPr>
                <w:rFonts w:ascii="宋体" w:hAnsi="宋体" w:cs="宋体"/>
                <w:color w:val="auto"/>
                <w:szCs w:val="21"/>
                <w:highlight w:val="none"/>
                <w:u w:val="single"/>
              </w:rPr>
              <w:t>3、投标人代表未凭法定代表人证明书（原件）、授权委托书原件（仅限于非法定代表人）、本人身份证原件递交投标文件备用光盘的。</w:t>
            </w:r>
          </w:p>
        </w:tc>
      </w:tr>
      <w:tr w14:paraId="4344BD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AADD06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40</w:t>
            </w:r>
          </w:p>
        </w:tc>
        <w:tc>
          <w:tcPr>
            <w:tcW w:w="981" w:type="dxa"/>
            <w:tcBorders>
              <w:top w:val="single" w:color="auto" w:sz="4" w:space="0"/>
              <w:left w:val="single" w:color="auto" w:sz="4" w:space="0"/>
              <w:bottom w:val="single" w:color="auto" w:sz="4" w:space="0"/>
              <w:right w:val="single" w:color="auto" w:sz="4" w:space="0"/>
            </w:tcBorders>
            <w:vAlign w:val="center"/>
          </w:tcPr>
          <w:p w14:paraId="692207F7">
            <w:pPr>
              <w:spacing w:line="276" w:lineRule="auto"/>
              <w:jc w:val="center"/>
              <w:rPr>
                <w:rFonts w:hint="eastAsia" w:ascii="宋体" w:hAnsi="宋体" w:cs="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998802C">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中标公示后中标单位提交投标文件要求</w:t>
            </w:r>
          </w:p>
        </w:tc>
        <w:tc>
          <w:tcPr>
            <w:tcW w:w="6436" w:type="dxa"/>
            <w:tcBorders>
              <w:top w:val="single" w:color="auto" w:sz="4" w:space="0"/>
              <w:left w:val="single" w:color="auto" w:sz="4" w:space="0"/>
              <w:bottom w:val="single" w:color="auto" w:sz="4" w:space="0"/>
              <w:right w:val="double" w:color="auto" w:sz="4" w:space="0"/>
            </w:tcBorders>
            <w:vAlign w:val="center"/>
          </w:tcPr>
          <w:p w14:paraId="4A79F1F9">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中标人在签订合同前需向招标人另行提供与投标递交的电子标书一致且加盖单位公章的纸质投标文件（含投标人须知</w:t>
            </w:r>
            <w:r>
              <w:rPr>
                <w:rFonts w:ascii="宋体" w:hAnsi="宋体" w:cs="宋体"/>
                <w:color w:val="auto"/>
                <w:szCs w:val="21"/>
                <w:highlight w:val="none"/>
                <w:u w:val="single"/>
              </w:rPr>
              <w:t xml:space="preserve">11.3列表明细包含的所有工程量清单报价表）4份及电子文件1份（不用生成投标书；包括用Microsoft Excel </w:t>
            </w:r>
            <w:r>
              <w:rPr>
                <w:rFonts w:hint="eastAsia" w:ascii="宋体" w:hAnsi="宋体" w:cs="宋体"/>
                <w:color w:val="auto"/>
                <w:szCs w:val="21"/>
                <w:highlight w:val="none"/>
                <w:u w:val="single"/>
              </w:rPr>
              <w:t>软件或广州交易集团有限公司（广州公共资源交易中心）提供的投标书制作软件制作的工程量清单报价表和单价分析表，用</w:t>
            </w:r>
            <w:r>
              <w:rPr>
                <w:rFonts w:ascii="宋体" w:hAnsi="宋体" w:cs="宋体"/>
                <w:color w:val="auto"/>
                <w:szCs w:val="21"/>
                <w:highlight w:val="none"/>
                <w:u w:val="single"/>
              </w:rPr>
              <w:t xml:space="preserve"> Microsoft Word </w:t>
            </w:r>
            <w:r>
              <w:rPr>
                <w:rFonts w:hint="eastAsia" w:ascii="宋体" w:hAnsi="宋体" w:cs="宋体"/>
                <w:color w:val="auto"/>
                <w:szCs w:val="21"/>
                <w:highlight w:val="none"/>
                <w:u w:val="single"/>
              </w:rPr>
              <w:t>软件或广州交易集团有限公司（广州公共资源交易中心）提供的投标书制作软件制作的经济投标文件其他部分。电子文件介质使用</w:t>
            </w:r>
            <w:r>
              <w:rPr>
                <w:rFonts w:ascii="宋体" w:hAnsi="宋体" w:cs="宋体"/>
                <w:color w:val="auto"/>
                <w:szCs w:val="21"/>
                <w:highlight w:val="none"/>
                <w:u w:val="single"/>
              </w:rPr>
              <w:t>CD-R光盘，所有电子文件不能采用压缩处理）。</w:t>
            </w:r>
          </w:p>
        </w:tc>
      </w:tr>
      <w:tr w14:paraId="42FF96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F160653">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4AFD6D20">
            <w:pPr>
              <w:spacing w:line="276" w:lineRule="auto"/>
              <w:jc w:val="center"/>
              <w:rPr>
                <w:rFonts w:hint="eastAsia" w:ascii="宋体" w:hAnsi="宋体" w:cs="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7504FB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其他费用</w:t>
            </w:r>
          </w:p>
        </w:tc>
        <w:tc>
          <w:tcPr>
            <w:tcW w:w="6436" w:type="dxa"/>
            <w:tcBorders>
              <w:top w:val="single" w:color="auto" w:sz="4" w:space="0"/>
              <w:left w:val="single" w:color="auto" w:sz="4" w:space="0"/>
              <w:bottom w:val="single" w:color="auto" w:sz="4" w:space="0"/>
              <w:right w:val="double" w:color="auto" w:sz="4" w:space="0"/>
            </w:tcBorders>
            <w:vAlign w:val="center"/>
          </w:tcPr>
          <w:p w14:paraId="5F0E4F28">
            <w:pPr>
              <w:spacing w:line="276" w:lineRule="auto"/>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本项目招标代理服务费由中标人支付，招标代理服务费参照国家发改委颁布的《招标代理服务收费管理暂行办法》</w:t>
            </w:r>
            <w:r>
              <w:rPr>
                <w:rFonts w:ascii="宋体" w:hAnsi="宋体" w:cs="宋体"/>
                <w:b/>
                <w:color w:val="auto"/>
                <w:szCs w:val="21"/>
                <w:highlight w:val="none"/>
                <w:u w:val="single"/>
              </w:rPr>
              <w:t>(计价格</w:t>
            </w:r>
            <w:r>
              <w:rPr>
                <w:rFonts w:hint="eastAsia" w:ascii="宋体" w:hAnsi="宋体" w:cs="宋体"/>
                <w:b/>
                <w:color w:val="auto"/>
                <w:szCs w:val="21"/>
                <w:highlight w:val="none"/>
                <w:u w:val="single"/>
                <w:lang w:eastAsia="zh-CN"/>
              </w:rPr>
              <w:t>〔2002〕1980号</w:t>
            </w:r>
            <w:r>
              <w:rPr>
                <w:rFonts w:ascii="宋体" w:hAnsi="宋体" w:cs="宋体"/>
                <w:b/>
                <w:color w:val="auto"/>
                <w:szCs w:val="21"/>
                <w:highlight w:val="none"/>
                <w:u w:val="single"/>
              </w:rPr>
              <w:t>)的收费标准计算。</w:t>
            </w:r>
          </w:p>
        </w:tc>
      </w:tr>
      <w:tr w14:paraId="484CC1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BC4BE12">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15BC69B2">
            <w:pPr>
              <w:spacing w:line="276" w:lineRule="auto"/>
              <w:jc w:val="center"/>
              <w:rPr>
                <w:rFonts w:hint="eastAsia" w:ascii="宋体" w:hAnsi="宋体" w:cs="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82F8B22">
            <w:pPr>
              <w:spacing w:line="276" w:lineRule="auto"/>
              <w:rPr>
                <w:rFonts w:hint="eastAsia" w:ascii="宋体" w:hAnsi="宋体" w:cs="宋体"/>
                <w:b/>
                <w:color w:val="auto"/>
                <w:szCs w:val="21"/>
                <w:highlight w:val="none"/>
              </w:rPr>
            </w:pPr>
            <w:r>
              <w:rPr>
                <w:rFonts w:hint="eastAsia" w:ascii="宋体" w:hAnsi="宋体" w:cs="宋体"/>
                <w:b/>
                <w:color w:val="auto"/>
                <w:szCs w:val="21"/>
                <w:highlight w:val="none"/>
              </w:rPr>
              <w:t>关于中小企业</w:t>
            </w:r>
          </w:p>
        </w:tc>
        <w:tc>
          <w:tcPr>
            <w:tcW w:w="6436" w:type="dxa"/>
            <w:tcBorders>
              <w:top w:val="single" w:color="auto" w:sz="4" w:space="0"/>
              <w:left w:val="single" w:color="auto" w:sz="4" w:space="0"/>
              <w:bottom w:val="single" w:color="auto" w:sz="4" w:space="0"/>
              <w:right w:val="double" w:color="auto" w:sz="4" w:space="0"/>
            </w:tcBorders>
            <w:vAlign w:val="center"/>
          </w:tcPr>
          <w:p w14:paraId="54566C95">
            <w:pPr>
              <w:pStyle w:val="5"/>
              <w:ind w:firstLine="0" w:firstLineChars="0"/>
              <w:rPr>
                <w:rFonts w:hint="eastAsia"/>
                <w:color w:val="auto"/>
                <w:highlight w:val="none"/>
              </w:rPr>
            </w:pPr>
            <w:r>
              <w:rPr>
                <w:rFonts w:hint="eastAsia"/>
                <w:color w:val="auto"/>
                <w:highlight w:val="none"/>
              </w:rPr>
              <w:t>关于中小微企业：</w:t>
            </w:r>
          </w:p>
          <w:p w14:paraId="34A4720C">
            <w:pPr>
              <w:pStyle w:val="5"/>
              <w:rPr>
                <w:rFonts w:hint="eastAsia"/>
                <w:color w:val="auto"/>
                <w:highlight w:val="none"/>
              </w:rPr>
            </w:pPr>
            <w:r>
              <w:rPr>
                <w:rFonts w:hint="eastAsia"/>
                <w:color w:val="auto"/>
                <w:highlight w:val="none"/>
              </w:rPr>
              <w:t>①投标人应按《政府采购促进中小企业发展管理办法》（财库〔2020〕46号）规定出具《分包（采购）意向承诺书》、《中小企业声明函》或由省级以上监狱管理局、戒毒管理局（含新疆生产建设兵团）出具的属于监狱企业的证明文件或《残疾人福利性单位声明函》（格式详见第四章投标文件格式）。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3D112B81">
            <w:pPr>
              <w:pStyle w:val="5"/>
              <w:rPr>
                <w:rFonts w:hint="eastAsia"/>
                <w:color w:val="auto"/>
                <w:highlight w:val="none"/>
              </w:rPr>
            </w:pPr>
            <w:r>
              <w:rPr>
                <w:rFonts w:hint="eastAsia"/>
                <w:color w:val="auto"/>
                <w:highlight w:val="none"/>
              </w:rPr>
              <w:t>②中小企业划分标准按照《工业和信息化部 国家统计局 国家发展和改革委员会 财政部关于印发中小企业划型标准规定的通知》（工信部联企业〔2011〕300号）执行。本招标项目属于</w:t>
            </w:r>
            <w:r>
              <w:rPr>
                <w:rFonts w:hint="eastAsia"/>
                <w:b/>
                <w:color w:val="auto"/>
                <w:highlight w:val="none"/>
              </w:rPr>
              <w:t>建筑业</w:t>
            </w:r>
            <w:r>
              <w:rPr>
                <w:rFonts w:hint="eastAsia"/>
                <w:color w:val="auto"/>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80194D">
            <w:pPr>
              <w:pStyle w:val="5"/>
              <w:rPr>
                <w:rFonts w:hint="eastAsia"/>
                <w:color w:val="auto"/>
                <w:highlight w:val="none"/>
              </w:rPr>
            </w:pPr>
            <w:r>
              <w:rPr>
                <w:rFonts w:hint="eastAsia"/>
                <w:color w:val="auto"/>
                <w:highlight w:val="none"/>
              </w:rPr>
              <w:t>③享受扶持政策获得承包合同的，小微企业不得将合同分包给大中型企业，中型企业不得将合同分包给大型企业。</w:t>
            </w:r>
          </w:p>
          <w:p w14:paraId="64DB5A71">
            <w:pPr>
              <w:pStyle w:val="5"/>
              <w:rPr>
                <w:rFonts w:hint="eastAsia"/>
                <w:color w:val="auto"/>
                <w:highlight w:val="none"/>
              </w:rPr>
            </w:pPr>
            <w:r>
              <w:rPr>
                <w:rFonts w:hint="eastAsia"/>
                <w:color w:val="auto"/>
                <w:highlight w:val="none"/>
              </w:rPr>
              <w:t>④本条款所称中小微企业，是指在中华人民共和国境内依法设立，依据国务院批准的中小企业划分标准确定的中型企业、小型企业和微型企业，但与大企业的负责人为同一人，或者与大企业存在直接控股、管理关系的除外。</w:t>
            </w:r>
          </w:p>
          <w:p w14:paraId="4E2988AD">
            <w:pPr>
              <w:pStyle w:val="5"/>
              <w:rPr>
                <w:rFonts w:hint="eastAsia"/>
                <w:color w:val="auto"/>
                <w:highlight w:val="none"/>
              </w:rPr>
            </w:pPr>
            <w:r>
              <w:rPr>
                <w:rFonts w:hint="eastAsia"/>
                <w:color w:val="auto"/>
                <w:highlight w:val="none"/>
              </w:rPr>
              <w:t>⑤根据财库〔2014〕68号《财政部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2F97D67">
            <w:pPr>
              <w:pStyle w:val="5"/>
              <w:rPr>
                <w:rFonts w:hint="eastAsia"/>
                <w:color w:val="auto"/>
                <w:highlight w:val="none"/>
              </w:rPr>
            </w:pPr>
            <w:r>
              <w:rPr>
                <w:rFonts w:hint="eastAsia"/>
                <w:color w:val="auto"/>
                <w:highlight w:val="none"/>
              </w:rPr>
              <w:t>⑥根据财库〔2017〕141号《财政部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tc>
      </w:tr>
    </w:tbl>
    <w:p w14:paraId="62307A8F">
      <w:pPr>
        <w:rPr>
          <w:rFonts w:hint="eastAsia" w:ascii="宋体" w:hAnsi="宋体" w:cs="宋体"/>
          <w:strike/>
          <w:color w:val="auto"/>
          <w:kern w:val="0"/>
          <w:szCs w:val="21"/>
          <w:highlight w:val="none"/>
        </w:rPr>
      </w:pPr>
    </w:p>
    <w:p w14:paraId="78DAADB7">
      <w:pPr>
        <w:pStyle w:val="6"/>
        <w:rPr>
          <w:rFonts w:hint="eastAsia" w:ascii="宋体" w:hAnsi="宋体"/>
          <w:color w:val="auto"/>
          <w:highlight w:val="none"/>
        </w:rPr>
      </w:pPr>
      <w:r>
        <w:rPr>
          <w:rFonts w:ascii="宋体" w:hAnsi="宋体"/>
          <w:color w:val="auto"/>
          <w:highlight w:val="none"/>
        </w:rPr>
        <w:br w:type="page"/>
      </w:r>
      <w:bookmarkStart w:id="7" w:name="_Toc184468494"/>
      <w:bookmarkStart w:id="8" w:name="_Toc194440071"/>
      <w:bookmarkStart w:id="9" w:name="_Toc2272547"/>
      <w:r>
        <w:rPr>
          <w:rFonts w:hint="eastAsia" w:ascii="宋体" w:hAnsi="宋体"/>
          <w:color w:val="auto"/>
          <w:highlight w:val="none"/>
        </w:rPr>
        <w:t>二、投标须知修改表</w:t>
      </w:r>
      <w:bookmarkEnd w:id="7"/>
      <w:bookmarkEnd w:id="8"/>
      <w:bookmarkEnd w:id="9"/>
    </w:p>
    <w:p w14:paraId="784749A7">
      <w:pPr>
        <w:pStyle w:val="4"/>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声明：本投标须知使用招标文件范本的投标须知通用条款，与该通用条款不同之处，均在本表中列明，并以现文为准，原文不再有效。</w:t>
      </w:r>
      <w:r>
        <w:rPr>
          <w:rFonts w:hint="eastAsia" w:ascii="宋体" w:hAnsi="宋体" w:eastAsia="宋体" w:cs="宋体"/>
          <w:color w:val="auto"/>
          <w:sz w:val="24"/>
          <w:szCs w:val="24"/>
          <w:highlight w:val="none"/>
        </w:rPr>
        <w:t>（注：招标人按《投标须知修改表》修改的内容对应修改通用条款，属于删除的采用“</w:t>
      </w:r>
      <w:r>
        <w:rPr>
          <w:rFonts w:hint="eastAsia" w:ascii="宋体" w:hAnsi="宋体" w:eastAsia="宋体" w:cs="宋体"/>
          <w:strike/>
          <w:color w:val="auto"/>
          <w:sz w:val="24"/>
          <w:szCs w:val="24"/>
          <w:highlight w:val="none"/>
        </w:rPr>
        <w:t xml:space="preserve">   </w:t>
      </w:r>
      <w:r>
        <w:rPr>
          <w:rFonts w:hint="eastAsia" w:ascii="宋体" w:hAnsi="宋体" w:eastAsia="宋体" w:cs="宋体"/>
          <w:color w:val="auto"/>
          <w:sz w:val="24"/>
          <w:szCs w:val="24"/>
          <w:highlight w:val="none"/>
        </w:rPr>
        <w:t>”表示，如“</w:t>
      </w:r>
      <w:r>
        <w:rPr>
          <w:rFonts w:hint="eastAsia" w:ascii="宋体" w:hAnsi="宋体" w:eastAsia="宋体" w:cs="宋体"/>
          <w:strike/>
          <w:color w:val="auto"/>
          <w:sz w:val="24"/>
          <w:szCs w:val="24"/>
          <w:highlight w:val="none"/>
        </w:rPr>
        <w:t>删除</w:t>
      </w:r>
      <w:r>
        <w:rPr>
          <w:rFonts w:hint="eastAsia" w:ascii="宋体" w:hAnsi="宋体" w:eastAsia="宋体" w:cs="宋体"/>
          <w:color w:val="auto"/>
          <w:sz w:val="24"/>
          <w:szCs w:val="24"/>
          <w:highlight w:val="none"/>
        </w:rPr>
        <w:t>”；属于新增、修改的内容，用</w:t>
      </w:r>
      <w:r>
        <w:rPr>
          <w:rFonts w:hint="eastAsia" w:ascii="宋体" w:hAnsi="宋体" w:eastAsia="宋体" w:cs="宋体"/>
          <w:b/>
          <w:color w:val="auto"/>
          <w:sz w:val="24"/>
          <w:szCs w:val="24"/>
          <w:highlight w:val="none"/>
        </w:rPr>
        <w:t>黑色加粗</w:t>
      </w:r>
      <w:r>
        <w:rPr>
          <w:rFonts w:hint="eastAsia" w:ascii="宋体" w:hAnsi="宋体" w:eastAsia="宋体" w:cs="宋体"/>
          <w:color w:val="auto"/>
          <w:sz w:val="24"/>
          <w:szCs w:val="24"/>
          <w:highlight w:val="none"/>
        </w:rPr>
        <w:t>字体显示,并加注下划线，如“</w:t>
      </w:r>
      <w:r>
        <w:rPr>
          <w:rFonts w:hint="eastAsia" w:ascii="宋体" w:hAnsi="宋体" w:eastAsia="宋体" w:cs="宋体"/>
          <w:b/>
          <w:color w:val="auto"/>
          <w:sz w:val="24"/>
          <w:szCs w:val="24"/>
          <w:highlight w:val="none"/>
        </w:rPr>
        <w:t>新增修改</w:t>
      </w:r>
      <w:r>
        <w:rPr>
          <w:rFonts w:hint="eastAsia" w:ascii="宋体" w:hAnsi="宋体" w:eastAsia="宋体" w:cs="宋体"/>
          <w:color w:val="auto"/>
          <w:sz w:val="24"/>
          <w:szCs w:val="24"/>
          <w:highlight w:val="none"/>
        </w:rPr>
        <w:t>”。）</w:t>
      </w:r>
    </w:p>
    <w:p w14:paraId="7D3EA5E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条款号：8.1                         修改类型：修改</w:t>
      </w:r>
    </w:p>
    <w:p w14:paraId="676EF597">
      <w:pPr>
        <w:pStyle w:val="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8.1投标人若对招标文件（包括招标图纸）中有疑问，可以书面形式通过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交易平台提交给招标人或招标代理人，提交形式见本须知前附表第13项。</w:t>
      </w:r>
    </w:p>
    <w:p w14:paraId="26D09313">
      <w:pPr>
        <w:pStyle w:val="4"/>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8.1投标人若对招标文件（包括招标图纸）中有疑问，可以书面形式通过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交易平台提交给招标人或招标代理人，提交形式见本须知前附表第13项。</w:t>
      </w:r>
    </w:p>
    <w:p w14:paraId="2AA704F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条款号：8.2                         修改类型：修改</w:t>
      </w:r>
    </w:p>
    <w:p w14:paraId="64772384">
      <w:pPr>
        <w:pStyle w:val="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8.2招标答疑会会议纪要将在提交投标文件截止时间15日前在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 “项目答疑纪要”专区公开发布。答疑纪要一经在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交易平台发布，视作已发放给所有投标人。</w:t>
      </w:r>
    </w:p>
    <w:p w14:paraId="499A7557">
      <w:pPr>
        <w:pStyle w:val="4"/>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8.2招标答疑会会议纪要将在提交投标文件截止时间15日前在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"http://ggzy.gz.gov.cn/xmcxjsgc/index.jhtml"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项目查询(日程安排、答疑纪要)</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”专区公开发布。答疑纪要一经在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交易平台发布，视作已发放给所有投标人。</w:t>
      </w:r>
    </w:p>
    <w:p w14:paraId="4594642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条款号：8.3             修改类型：修改</w:t>
      </w:r>
    </w:p>
    <w:p w14:paraId="68D2BB9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8.3答疑会会议纪要为招标文件的一部分。</w:t>
      </w:r>
    </w:p>
    <w:p w14:paraId="7773ECD1">
      <w:pPr>
        <w:pBdr>
          <w:bottom w:val="single" w:color="auto" w:sz="6" w:space="1"/>
        </w:pBd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u w:val="single"/>
        </w:rPr>
        <w:t>招标答疑纪要</w:t>
      </w:r>
      <w:r>
        <w:rPr>
          <w:rFonts w:hint="eastAsia" w:ascii="宋体" w:hAnsi="宋体" w:eastAsia="宋体" w:cs="宋体"/>
          <w:color w:val="auto"/>
          <w:sz w:val="24"/>
          <w:szCs w:val="24"/>
          <w:highlight w:val="none"/>
        </w:rPr>
        <w:t>为招标文件的一部分。</w:t>
      </w:r>
      <w:r>
        <w:rPr>
          <w:rFonts w:hint="eastAsia" w:ascii="宋体" w:hAnsi="宋体" w:eastAsia="宋体" w:cs="宋体"/>
          <w:color w:val="auto"/>
          <w:sz w:val="24"/>
          <w:szCs w:val="24"/>
          <w:highlight w:val="none"/>
          <w:u w:val="single"/>
        </w:rPr>
        <w:t>投标人可在广州交易集团有限公司（广州公共资源交易中心）网站浏览、下载招标答疑纪要。</w:t>
      </w:r>
    </w:p>
    <w:p w14:paraId="3551010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条款号：8.4             修改类型：修改</w:t>
      </w:r>
    </w:p>
    <w:p w14:paraId="7FA0D04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8.4若招标答疑会会议纪要与招标文件有矛盾，以答疑会议纪要最后发出的书面形式的文件为准。</w:t>
      </w:r>
    </w:p>
    <w:p w14:paraId="57639EEB">
      <w:pPr>
        <w:pBdr>
          <w:bottom w:val="single" w:color="auto" w:sz="6" w:space="1"/>
        </w:pBd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8.4若招标答疑纪要与招标文件有矛盾时，以</w:t>
      </w:r>
      <w:r>
        <w:rPr>
          <w:rFonts w:hint="eastAsia" w:ascii="宋体" w:hAnsi="宋体" w:eastAsia="宋体" w:cs="宋体"/>
          <w:color w:val="auto"/>
          <w:sz w:val="24"/>
          <w:szCs w:val="24"/>
          <w:highlight w:val="none"/>
          <w:u w:val="single"/>
        </w:rPr>
        <w:t>广州交易集团有限公司（广州公共资源交易中心）网站</w:t>
      </w:r>
      <w:r>
        <w:rPr>
          <w:rFonts w:hint="eastAsia" w:ascii="宋体" w:hAnsi="宋体" w:eastAsia="宋体" w:cs="宋体"/>
          <w:color w:val="auto"/>
          <w:sz w:val="24"/>
          <w:szCs w:val="24"/>
          <w:highlight w:val="none"/>
        </w:rPr>
        <w:t>最后发布的</w:t>
      </w:r>
      <w:r>
        <w:rPr>
          <w:rFonts w:hint="eastAsia" w:ascii="宋体" w:hAnsi="宋体" w:eastAsia="宋体" w:cs="宋体"/>
          <w:color w:val="auto"/>
          <w:sz w:val="24"/>
          <w:szCs w:val="24"/>
          <w:highlight w:val="none"/>
          <w:u w:val="single"/>
        </w:rPr>
        <w:t>答疑纪要</w:t>
      </w:r>
      <w:r>
        <w:rPr>
          <w:rFonts w:hint="eastAsia" w:ascii="宋体" w:hAnsi="宋体" w:eastAsia="宋体" w:cs="宋体"/>
          <w:color w:val="auto"/>
          <w:sz w:val="24"/>
          <w:szCs w:val="24"/>
          <w:highlight w:val="none"/>
        </w:rPr>
        <w:t>为准。</w:t>
      </w:r>
    </w:p>
    <w:p w14:paraId="23D476E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条款号：9.2                         修改类型：修改</w:t>
      </w:r>
    </w:p>
    <w:p w14:paraId="28E2A4CF">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9.2招标文件的澄清或修改将在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交易平台上网发布时间作为送达时间。</w:t>
      </w:r>
    </w:p>
    <w:p w14:paraId="19D95CB6">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9.2招标文件的澄清或修改将在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"http://ggzy.gz.gov.cn/xmcxjsgc/index.jhtml"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u w:val="single"/>
        </w:rPr>
        <w:t>项目查询(日程安排、答疑纪要)</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rPr>
        <w:t>”专区公开发布。答疑纪要一经在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交易平台上网发布时间作为送达时间。</w:t>
      </w:r>
    </w:p>
    <w:p w14:paraId="42C67ED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条款号：9.4                         修改类型：修改</w:t>
      </w:r>
    </w:p>
    <w:p w14:paraId="53FCFE4F">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9.4招标文件的澄清或修改均以</w:t>
      </w:r>
      <w:r>
        <w:rPr>
          <w:rFonts w:hint="eastAsia" w:ascii="宋体" w:hAnsi="宋体" w:eastAsia="宋体" w:cs="宋体"/>
          <w:color w:val="auto"/>
          <w:sz w:val="24"/>
          <w:szCs w:val="24"/>
          <w:highlight w:val="none"/>
          <w:u w:val="single"/>
        </w:rPr>
        <w:t xml:space="preserve">          网站</w:t>
      </w:r>
      <w:r>
        <w:rPr>
          <w:rFonts w:hint="eastAsia" w:ascii="宋体" w:hAnsi="宋体" w:eastAsia="宋体" w:cs="宋体"/>
          <w:color w:val="auto"/>
          <w:sz w:val="24"/>
          <w:szCs w:val="24"/>
          <w:highlight w:val="none"/>
        </w:rPr>
        <w:t>的内容为准。当招标文件的澄清、修改、补充等在同一内容的表述不一致时，以最后发出的书面形式的文件为准。</w:t>
      </w:r>
    </w:p>
    <w:p w14:paraId="2BB4EE5F">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9.4招标文件的澄清或修改均以</w:t>
      </w:r>
      <w:r>
        <w:rPr>
          <w:rFonts w:hint="eastAsia" w:ascii="宋体" w:hAnsi="宋体" w:eastAsia="宋体" w:cs="宋体"/>
          <w:color w:val="auto"/>
          <w:sz w:val="24"/>
          <w:szCs w:val="24"/>
          <w:highlight w:val="none"/>
          <w:u w:val="single"/>
        </w:rPr>
        <w:t>广州交易集团有限公司（广州公共资源交易中心）网站公布</w:t>
      </w:r>
      <w:r>
        <w:rPr>
          <w:rFonts w:hint="eastAsia" w:ascii="宋体" w:hAnsi="宋体" w:eastAsia="宋体" w:cs="宋体"/>
          <w:color w:val="auto"/>
          <w:sz w:val="24"/>
          <w:szCs w:val="24"/>
          <w:highlight w:val="none"/>
        </w:rPr>
        <w:t>的内容为准。当招标文件的澄清、修改、补充等在同一内容的表述不一致时，以最后发出的文件为准。</w:t>
      </w:r>
    </w:p>
    <w:p w14:paraId="57298BE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条款号：11.2                        修改类型：修改</w:t>
      </w:r>
    </w:p>
    <w:p w14:paraId="6FE8EB2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p>
    <w:p w14:paraId="7DF1F0D1">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11.2投标文件技术标部分主要包括下列内容:</w:t>
      </w:r>
    </w:p>
    <w:p w14:paraId="45B08F3E">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11.2.1资格审查文件</w:t>
      </w:r>
    </w:p>
    <w:p w14:paraId="2174156B">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（1）投标人声明；</w:t>
      </w:r>
    </w:p>
    <w:p w14:paraId="7D665FD1">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（2）法定代表人证明书、法定代表人签字或盖章的本投标文件授权委托证明书；</w:t>
      </w:r>
    </w:p>
    <w:p w14:paraId="5B76CCBC">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（3）企业营业执照；</w:t>
      </w:r>
    </w:p>
    <w:p w14:paraId="77993337">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（4）企业资质证书；</w:t>
      </w:r>
    </w:p>
    <w:p w14:paraId="4B4ECCE6">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（5）建筑施工企业安全生产许可证；</w:t>
      </w:r>
    </w:p>
    <w:p w14:paraId="29178094">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（6）项目负责人（按网上投标登记时选择拟投标的项目负责人。投标人须在广州市交通建设项目企业信息库建立企业信用信息档案，拟担任本工程项目负责人须是本企业信息档案中的在册人员）；</w:t>
      </w:r>
    </w:p>
    <w:p w14:paraId="05AC6C42">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（7）专职安全员（按网上投标登记时选择拟投标的专职安全员，投标人须在广州市交通建设项目企业信息库建立企业信用信息档案，拟担任本工程专职安全员须是本企业信息档案中的在册人员）；</w:t>
      </w:r>
    </w:p>
    <w:p w14:paraId="42C1E62F">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（8）拟委派项目负责人的建造师注册证书（取自广州市交通建设项目企业信息库内上传件）；</w:t>
      </w:r>
    </w:p>
    <w:p w14:paraId="23A87A7C">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（9）项目负责人安全生产考核合格证明或在有效期内的安全生产考核合格证书（B类）或建筑施工企业项目负责人安全生产考核合格证书；</w:t>
      </w:r>
    </w:p>
    <w:p w14:paraId="116F9F9F">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（10）专职安全员须具有在有效期内的安全生产考核合格证书（C类）或建筑施工企业专职安全生产管理人员安全生产考核合格证书；</w:t>
      </w:r>
    </w:p>
    <w:p w14:paraId="024B4F90">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（11）用于资格审查的业绩（设置业绩要求时选择此项，具体格式由招标人自定）</w:t>
      </w:r>
    </w:p>
    <w:p w14:paraId="1E37EEA7">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（12）列明主办单位的联合体工作协议（采用联合体投标时需递交，联合体工作协议应明确约定各方拟承担的工作和责任）；</w:t>
      </w:r>
    </w:p>
    <w:p w14:paraId="62CB3E02">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（13）投标人认为应提交的其他资料。</w:t>
      </w:r>
    </w:p>
    <w:p w14:paraId="2A16AC31">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11.2.2技术投标文件主要包括下列内容：</w:t>
      </w:r>
    </w:p>
    <w:p w14:paraId="42D8A8FF">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（1）《广州建设工程施工招标投标书》；</w:t>
      </w:r>
    </w:p>
    <w:p w14:paraId="0CD80646">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（2）项目管理机构配备：</w:t>
      </w:r>
    </w:p>
    <w:p w14:paraId="5675516B">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①投标人应列出该项目工程的施工组织机构构成和画出机构框架图及其负责人；</w:t>
      </w:r>
    </w:p>
    <w:p w14:paraId="6DC1533B">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②投标人应详细列出该施工组织机构中主要成员的名单、简历资料、职务职称和在本项目中拟担任的职务等资料，并附上有关证明材料扫描件；</w:t>
      </w:r>
    </w:p>
    <w:p w14:paraId="2CA2E4B6">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③其他辅助说明资料。</w:t>
      </w:r>
    </w:p>
    <w:p w14:paraId="002CF1B6">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（3）施工组织设计或施工方案；</w:t>
      </w:r>
    </w:p>
    <w:p w14:paraId="5741938E">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注：建议招标人在招标文件中提出篇幅上限，国家及地方现有工法规范已有的内容无需重复提交。</w:t>
      </w:r>
    </w:p>
    <w:p w14:paraId="09C69086">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（4）（选择性条款）有余泥渣土产生的项目可要求提供余泥渣土运输与排放方案；</w:t>
      </w:r>
    </w:p>
    <w:p w14:paraId="21A30FB1">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（5）（选择性条款）投标人可使用适合本工程的机械设备；</w:t>
      </w:r>
    </w:p>
    <w:p w14:paraId="079DB6D2">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（6）（选择性条款）类似工程业绩材料；</w:t>
      </w:r>
    </w:p>
    <w:p w14:paraId="487B4EA3">
      <w:pPr>
        <w:tabs>
          <w:tab w:val="left" w:pos="1125"/>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（7）按本招标文件规定提交的其它所有技术资料；</w:t>
      </w:r>
    </w:p>
    <w:p w14:paraId="60777D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（8）按照招标文件要求填写的《参与编制技术标投标文件人员名单》。</w:t>
      </w:r>
    </w:p>
    <w:p w14:paraId="6305BC4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p>
    <w:p w14:paraId="6E14FE7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11.2投标文件技术标部分主要包括下列内容:</w:t>
      </w:r>
    </w:p>
    <w:p w14:paraId="66CB140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11.2.1资格审查文件：</w:t>
      </w:r>
    </w:p>
    <w:p w14:paraId="17CD7A9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（1）投标人声明</w:t>
      </w:r>
      <w:bookmarkStart w:id="10" w:name="_Hlk194443733"/>
      <w:r>
        <w:rPr>
          <w:rFonts w:hint="eastAsia" w:ascii="宋体" w:hAnsi="宋体" w:eastAsia="宋体" w:cs="宋体"/>
          <w:bCs/>
          <w:color w:val="auto"/>
          <w:sz w:val="24"/>
          <w:szCs w:val="24"/>
          <w:highlight w:val="none"/>
          <w:u w:val="single"/>
        </w:rPr>
        <w:t>（须按招标公告附件内容及格式要求编制）</w:t>
      </w:r>
      <w:bookmarkEnd w:id="10"/>
      <w:r>
        <w:rPr>
          <w:rFonts w:hint="eastAsia" w:ascii="宋体" w:hAnsi="宋体" w:eastAsia="宋体" w:cs="宋体"/>
          <w:bCs/>
          <w:color w:val="auto"/>
          <w:sz w:val="24"/>
          <w:szCs w:val="24"/>
          <w:highlight w:val="none"/>
        </w:rPr>
        <w:t>；</w:t>
      </w:r>
    </w:p>
    <w:p w14:paraId="40E49EF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（2）法定代表人证明书、法定代表人签字或盖章的本投标文件授权委托证明书；</w:t>
      </w:r>
    </w:p>
    <w:p w14:paraId="43C78EF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（3）企业营业执照</w:t>
      </w:r>
      <w:r>
        <w:rPr>
          <w:rFonts w:hint="eastAsia" w:ascii="宋体" w:hAnsi="宋体" w:eastAsia="宋体" w:cs="宋体"/>
          <w:bCs/>
          <w:color w:val="auto"/>
          <w:sz w:val="24"/>
          <w:szCs w:val="24"/>
          <w:highlight w:val="none"/>
          <w:u w:val="single"/>
        </w:rPr>
        <w:t>（扫描件或电子证照）</w:t>
      </w:r>
      <w:r>
        <w:rPr>
          <w:rFonts w:hint="eastAsia" w:ascii="宋体" w:hAnsi="宋体" w:eastAsia="宋体" w:cs="宋体"/>
          <w:bCs/>
          <w:color w:val="auto"/>
          <w:sz w:val="24"/>
          <w:szCs w:val="24"/>
          <w:highlight w:val="none"/>
        </w:rPr>
        <w:t>；</w:t>
      </w:r>
    </w:p>
    <w:p w14:paraId="59C4599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（4）企业资质证书</w:t>
      </w:r>
      <w:r>
        <w:rPr>
          <w:rFonts w:hint="eastAsia" w:ascii="宋体" w:hAnsi="宋体" w:eastAsia="宋体" w:cs="宋体"/>
          <w:bCs/>
          <w:color w:val="auto"/>
          <w:sz w:val="24"/>
          <w:szCs w:val="24"/>
          <w:highlight w:val="none"/>
          <w:u w:val="single"/>
        </w:rPr>
        <w:t>（扫描件或电子证照）</w:t>
      </w:r>
      <w:r>
        <w:rPr>
          <w:rFonts w:hint="eastAsia" w:ascii="宋体" w:hAnsi="宋体" w:eastAsia="宋体" w:cs="宋体"/>
          <w:bCs/>
          <w:color w:val="auto"/>
          <w:sz w:val="24"/>
          <w:szCs w:val="24"/>
          <w:highlight w:val="none"/>
        </w:rPr>
        <w:t>；</w:t>
      </w:r>
    </w:p>
    <w:p w14:paraId="0D6F2F6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（5）建筑施工企业安全生产许可证</w:t>
      </w:r>
      <w:r>
        <w:rPr>
          <w:rFonts w:hint="eastAsia" w:ascii="宋体" w:hAnsi="宋体" w:eastAsia="宋体" w:cs="宋体"/>
          <w:bCs/>
          <w:color w:val="auto"/>
          <w:sz w:val="24"/>
          <w:szCs w:val="24"/>
          <w:highlight w:val="none"/>
          <w:u w:val="single"/>
        </w:rPr>
        <w:t>（扫描件或电子证照）</w:t>
      </w:r>
      <w:r>
        <w:rPr>
          <w:rFonts w:hint="eastAsia" w:ascii="宋体" w:hAnsi="宋体" w:eastAsia="宋体" w:cs="宋体"/>
          <w:bCs/>
          <w:color w:val="auto"/>
          <w:sz w:val="24"/>
          <w:szCs w:val="24"/>
          <w:highlight w:val="none"/>
        </w:rPr>
        <w:t>；</w:t>
      </w:r>
    </w:p>
    <w:p w14:paraId="77D3F93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（6）项目负责人（按网上投标登记时选择拟投标的项目负责人</w:t>
      </w:r>
      <w:r>
        <w:rPr>
          <w:rFonts w:hint="eastAsia" w:ascii="宋体" w:hAnsi="宋体" w:eastAsia="宋体" w:cs="宋体"/>
          <w:bCs/>
          <w:color w:val="auto"/>
          <w:sz w:val="24"/>
          <w:szCs w:val="24"/>
          <w:highlight w:val="none"/>
          <w:u w:val="single"/>
        </w:rPr>
        <w:t>，提供扫描件或电子证照</w:t>
      </w:r>
      <w:r>
        <w:rPr>
          <w:rFonts w:hint="eastAsia" w:ascii="宋体" w:hAnsi="宋体" w:eastAsia="宋体" w:cs="宋体"/>
          <w:bCs/>
          <w:color w:val="auto"/>
          <w:sz w:val="24"/>
          <w:szCs w:val="24"/>
          <w:highlight w:val="none"/>
        </w:rPr>
        <w:t>）；</w:t>
      </w:r>
    </w:p>
    <w:p w14:paraId="16C45D8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（7）专职安全员（按网上投标登记时选择拟投标的专职安全员</w:t>
      </w:r>
      <w:r>
        <w:rPr>
          <w:rFonts w:hint="eastAsia" w:ascii="宋体" w:hAnsi="宋体" w:eastAsia="宋体" w:cs="宋体"/>
          <w:bCs/>
          <w:color w:val="auto"/>
          <w:sz w:val="24"/>
          <w:szCs w:val="24"/>
          <w:highlight w:val="none"/>
          <w:u w:val="single"/>
        </w:rPr>
        <w:t>，提供扫描件或电子证照</w:t>
      </w:r>
      <w:r>
        <w:rPr>
          <w:rFonts w:hint="eastAsia" w:ascii="宋体" w:hAnsi="宋体" w:eastAsia="宋体" w:cs="宋体"/>
          <w:bCs/>
          <w:color w:val="auto"/>
          <w:sz w:val="24"/>
          <w:szCs w:val="24"/>
          <w:highlight w:val="none"/>
        </w:rPr>
        <w:t>）；</w:t>
      </w:r>
    </w:p>
    <w:p w14:paraId="4785DAE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（8）拟委派项目负责人的建造师注册证书</w:t>
      </w:r>
      <w:r>
        <w:rPr>
          <w:rFonts w:hint="eastAsia" w:ascii="宋体" w:hAnsi="宋体" w:eastAsia="宋体" w:cs="宋体"/>
          <w:bCs/>
          <w:color w:val="auto"/>
          <w:sz w:val="24"/>
          <w:szCs w:val="24"/>
          <w:highlight w:val="none"/>
          <w:u w:val="single"/>
        </w:rPr>
        <w:t>（扫描件或电子证照）</w:t>
      </w:r>
      <w:r>
        <w:rPr>
          <w:rFonts w:hint="eastAsia" w:ascii="宋体" w:hAnsi="宋体" w:eastAsia="宋体" w:cs="宋体"/>
          <w:bCs/>
          <w:color w:val="auto"/>
          <w:sz w:val="24"/>
          <w:szCs w:val="24"/>
          <w:highlight w:val="none"/>
        </w:rPr>
        <w:t>；</w:t>
      </w:r>
    </w:p>
    <w:p w14:paraId="752C1FB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（9）项目负责人安全生产考核合格证明或在有效期内的安全生产考核合格证书（B类）或建筑施工企业项目负责人安全生产考核合格证书</w:t>
      </w:r>
      <w:r>
        <w:rPr>
          <w:rFonts w:hint="eastAsia" w:ascii="宋体" w:hAnsi="宋体" w:eastAsia="宋体" w:cs="宋体"/>
          <w:bCs/>
          <w:color w:val="auto"/>
          <w:sz w:val="24"/>
          <w:szCs w:val="24"/>
          <w:highlight w:val="none"/>
          <w:u w:val="single"/>
        </w:rPr>
        <w:t>（扫描件或电子证照）</w:t>
      </w:r>
      <w:r>
        <w:rPr>
          <w:rFonts w:hint="eastAsia" w:ascii="宋体" w:hAnsi="宋体" w:eastAsia="宋体" w:cs="宋体"/>
          <w:bCs/>
          <w:color w:val="auto"/>
          <w:sz w:val="24"/>
          <w:szCs w:val="24"/>
          <w:highlight w:val="none"/>
        </w:rPr>
        <w:t>；</w:t>
      </w:r>
    </w:p>
    <w:p w14:paraId="38C8BD9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（10）专职安全员须具有在有效期内的安全生产考核合格证书（C类）或建筑施工企业专职安全生产管理人员安全生产考核合格证书</w:t>
      </w:r>
      <w:r>
        <w:rPr>
          <w:rFonts w:hint="eastAsia" w:ascii="宋体" w:hAnsi="宋体" w:eastAsia="宋体" w:cs="宋体"/>
          <w:bCs/>
          <w:color w:val="auto"/>
          <w:sz w:val="24"/>
          <w:szCs w:val="24"/>
          <w:highlight w:val="none"/>
          <w:u w:val="single"/>
        </w:rPr>
        <w:t>（扫描件或电子证照）</w:t>
      </w:r>
      <w:r>
        <w:rPr>
          <w:rFonts w:hint="eastAsia" w:ascii="宋体" w:hAnsi="宋体" w:eastAsia="宋体" w:cs="宋体"/>
          <w:bCs/>
          <w:color w:val="auto"/>
          <w:sz w:val="24"/>
          <w:szCs w:val="24"/>
          <w:highlight w:val="none"/>
        </w:rPr>
        <w:t>；</w:t>
      </w:r>
    </w:p>
    <w:p w14:paraId="081E201A">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（11）投标登记前，投标人须在广州交易集团有限公司（广州公共资源交易中心）办理企业信息登记及拟担任本工程项目负责人、专职安全员须是本企业信息登记信息中的在册人员。（提供网页信息截图）</w:t>
      </w:r>
    </w:p>
    <w:p w14:paraId="2263AF4F">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（12）投标人认为应提供的其他资料。</w:t>
      </w:r>
    </w:p>
    <w:p w14:paraId="18CE03EA">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11.2.2技术投标文件主要包括下列内容：</w:t>
      </w:r>
    </w:p>
    <w:p w14:paraId="672A8211">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《广州建设工程施工招标投标书》</w:t>
      </w:r>
      <w:r>
        <w:rPr>
          <w:rFonts w:hint="eastAsia" w:ascii="宋体" w:hAnsi="宋体" w:eastAsia="宋体" w:cs="宋体"/>
          <w:bCs/>
          <w:color w:val="auto"/>
          <w:sz w:val="24"/>
          <w:szCs w:val="24"/>
          <w:highlight w:val="none"/>
          <w:u w:val="single"/>
        </w:rPr>
        <w:t>（需按招标文件第四章要求的格式填写，具体格式以《广州建设工程施工招标投标书（技术标）》为准）</w:t>
      </w:r>
      <w:r>
        <w:rPr>
          <w:rFonts w:hint="eastAsia" w:ascii="宋体" w:hAnsi="宋体" w:eastAsia="宋体" w:cs="宋体"/>
          <w:bCs/>
          <w:color w:val="auto"/>
          <w:sz w:val="24"/>
          <w:szCs w:val="24"/>
          <w:highlight w:val="none"/>
        </w:rPr>
        <w:t>；</w:t>
      </w:r>
    </w:p>
    <w:p w14:paraId="2DD8671C">
      <w:pPr>
        <w:pBdr>
          <w:bottom w:val="single" w:color="auto" w:sz="6" w:space="1"/>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（2）《投标函》（格式见第四章）；</w:t>
      </w:r>
    </w:p>
    <w:p w14:paraId="6D38338E">
      <w:pPr>
        <w:pBdr>
          <w:bottom w:val="single" w:color="auto" w:sz="6" w:space="1"/>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（3）项目管理机构配备，按《项目管理机构人员信息表》、《主要人员简历表》格式填写（格式见第四章）：</w:t>
      </w:r>
    </w:p>
    <w:p w14:paraId="30AB27D3">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①投标人应列出该项目工程的施工组织机构构成和画出机构框架图及其负责人；</w:t>
      </w:r>
    </w:p>
    <w:p w14:paraId="312393D5">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②投标人应详细列出该施工组织机构中主要成员的名单、简历资料、职务职称和在本项目中拟担任的职务等资料，并附上有关证明材料扫描件；</w:t>
      </w:r>
    </w:p>
    <w:p w14:paraId="3C262F22">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③其他辅助说明资料。</w:t>
      </w:r>
    </w:p>
    <w:p w14:paraId="4831048C">
      <w:pPr>
        <w:pBdr>
          <w:bottom w:val="single" w:color="auto" w:sz="6" w:space="1"/>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（4）企业资信证明资料；</w:t>
      </w:r>
    </w:p>
    <w:p w14:paraId="75E95768">
      <w:pPr>
        <w:pBdr>
          <w:bottom w:val="single" w:color="auto" w:sz="6" w:space="1"/>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（5）《参与编制技术标投标文件人员名单》（格式见第四章）；</w:t>
      </w:r>
    </w:p>
    <w:p w14:paraId="3409F59F">
      <w:pPr>
        <w:pBdr>
          <w:bottom w:val="single" w:color="auto" w:sz="6" w:space="1"/>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（6）《危险性较大的分部分项工程清单及超过一定规模的危险性较大的分部分项工程清单》（格式见第四章）；</w:t>
      </w:r>
    </w:p>
    <w:p w14:paraId="2D6B75AF">
      <w:pPr>
        <w:pBdr>
          <w:bottom w:val="single" w:color="auto" w:sz="6" w:space="1"/>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w:t>
      </w:r>
      <w:r>
        <w:rPr>
          <w:rFonts w:hint="eastAsia" w:ascii="宋体" w:hAnsi="宋体" w:eastAsia="宋体" w:cs="宋体"/>
          <w:color w:val="auto"/>
          <w:sz w:val="24"/>
          <w:szCs w:val="24"/>
          <w:highlight w:val="none"/>
        </w:rPr>
        <w:t>施工组织设计或施工方案；</w:t>
      </w:r>
      <w:r>
        <w:rPr>
          <w:rFonts w:hint="eastAsia" w:ascii="宋体" w:hAnsi="宋体" w:eastAsia="宋体" w:cs="宋体"/>
          <w:color w:val="auto"/>
          <w:sz w:val="24"/>
          <w:szCs w:val="24"/>
          <w:highlight w:val="none"/>
          <w:u w:val="single"/>
        </w:rPr>
        <w:t>（投标人在编制施工组织设计或施工方案时应按照招标文件要求，并针对本项目的关键技术、工艺、重点、难点以及拟在本项目采用的新工艺、新技术、新材料编制，应突出重点，标准、规范中已有的内容无需赘述，篇幅不宜超过</w:t>
      </w:r>
      <w:r>
        <w:rPr>
          <w:rFonts w:hint="eastAsia" w:ascii="宋体" w:hAnsi="宋体" w:eastAsia="宋体" w:cs="宋体"/>
          <w:b/>
          <w:bCs/>
          <w:color w:val="auto"/>
          <w:sz w:val="24"/>
          <w:szCs w:val="24"/>
          <w:highlight w:val="none"/>
          <w:u w:val="single"/>
        </w:rPr>
        <w:t>200页</w:t>
      </w:r>
      <w:r>
        <w:rPr>
          <w:rFonts w:hint="eastAsia" w:ascii="宋体" w:hAnsi="宋体" w:eastAsia="宋体" w:cs="宋体"/>
          <w:color w:val="auto"/>
          <w:sz w:val="24"/>
          <w:szCs w:val="24"/>
          <w:highlight w:val="none"/>
          <w:u w:val="single"/>
        </w:rPr>
        <w:t>，</w:t>
      </w:r>
      <w:r>
        <w:rPr>
          <w:rFonts w:hint="eastAsia" w:ascii="宋体" w:hAnsi="宋体" w:eastAsia="宋体" w:cs="宋体"/>
          <w:b/>
          <w:bCs/>
          <w:color w:val="auto"/>
          <w:sz w:val="24"/>
          <w:szCs w:val="24"/>
          <w:highlight w:val="none"/>
          <w:u w:val="single"/>
        </w:rPr>
        <w:t>超过部分将不予评审</w:t>
      </w:r>
      <w:r>
        <w:rPr>
          <w:rFonts w:hint="eastAsia" w:ascii="宋体" w:hAnsi="宋体" w:eastAsia="宋体" w:cs="宋体"/>
          <w:color w:val="auto"/>
          <w:sz w:val="24"/>
          <w:szCs w:val="24"/>
          <w:highlight w:val="none"/>
          <w:u w:val="single"/>
        </w:rPr>
        <w:t>。）</w:t>
      </w:r>
    </w:p>
    <w:p w14:paraId="5C945113">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（8）投标人认为须要提供的其他资料。</w:t>
      </w:r>
    </w:p>
    <w:p w14:paraId="54587426">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条款号：11.3                        修改类型：修改</w:t>
      </w:r>
    </w:p>
    <w:p w14:paraId="614E8E03">
      <w:pPr>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11.3经济部分投标文件主要包括下列内容：</w:t>
      </w:r>
    </w:p>
    <w:p w14:paraId="1DAAEBFF">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11.3.1经济投标文件</w:t>
      </w:r>
    </w:p>
    <w:p w14:paraId="412C667C">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5F647C82">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（1）投标总价封面、扉页；</w:t>
      </w:r>
    </w:p>
    <w:p w14:paraId="2D0982C9">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60EB20A6">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（3）工程项目投标报价汇总表；</w:t>
      </w:r>
    </w:p>
    <w:p w14:paraId="37507305">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（4）单项工程投标报价汇总表；</w:t>
      </w:r>
    </w:p>
    <w:p w14:paraId="2459642E">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（5）单位工程投标报价汇总表；</w:t>
      </w:r>
    </w:p>
    <w:p w14:paraId="1464F8A1">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（6）分部分项工程清单与计价表；</w:t>
      </w:r>
    </w:p>
    <w:p w14:paraId="00A2E9A5">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（7）单价措施项目清单与计价表；</w:t>
      </w:r>
    </w:p>
    <w:p w14:paraId="04EA186A">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（8）总价措施项目清单与计价表；</w:t>
      </w:r>
    </w:p>
    <w:p w14:paraId="23B75A33">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（9）综合单价分析表；</w:t>
      </w:r>
    </w:p>
    <w:p w14:paraId="4C0C24A3">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（10）其他项目清单与计价汇总表；</w:t>
      </w:r>
    </w:p>
    <w:p w14:paraId="08E64E0F">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（11）暂列金额明细表；</w:t>
      </w:r>
    </w:p>
    <w:p w14:paraId="064D402A">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（12）材料（工程设备）暂估价明细表；</w:t>
      </w:r>
    </w:p>
    <w:p w14:paraId="5CA32CE6">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（13）专业工程暂估价明细表；</w:t>
      </w:r>
    </w:p>
    <w:p w14:paraId="7AFE62BF">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（14）计日工表；</w:t>
      </w:r>
    </w:p>
    <w:p w14:paraId="0C1F2882">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（15）总承包服务计价表；</w:t>
      </w:r>
    </w:p>
    <w:p w14:paraId="2261C517">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（16）规费和税金项目计价表；</w:t>
      </w:r>
    </w:p>
    <w:p w14:paraId="1BD2D03C">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（17）人工、主要材料和设备一览表</w:t>
      </w:r>
    </w:p>
    <w:p w14:paraId="018B4F37">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11.3.3按照招标文件要求填写的《参与编制经济标投标文件人员名单》。</w:t>
      </w:r>
    </w:p>
    <w:p w14:paraId="606CC48C">
      <w:pPr>
        <w:spacing w:line="360" w:lineRule="auto"/>
        <w:ind w:firstLine="480"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11.3.4若投标人的投标报价低于工程成本警示价的，投标人还须提供详细的施工组织设计、单价、措施性费用、单价分析表、主要材料价格表、投标人成本分析供评标委员会评审。</w:t>
      </w:r>
    </w:p>
    <w:p w14:paraId="7457DD7F">
      <w:pPr>
        <w:pBdr>
          <w:bottom w:val="single" w:color="auto" w:sz="6" w:space="1"/>
        </w:pBdr>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11.3经济部分投标文件主要包括下列内容：</w:t>
      </w:r>
    </w:p>
    <w:p w14:paraId="6C963ABA">
      <w:pPr>
        <w:pBdr>
          <w:bottom w:val="single" w:color="auto" w:sz="6" w:space="1"/>
        </w:pBd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11.3.1</w:t>
      </w:r>
      <w:r>
        <w:rPr>
          <w:rFonts w:hint="eastAsia" w:ascii="宋体" w:hAnsi="宋体" w:eastAsia="宋体" w:cs="宋体"/>
          <w:bCs/>
          <w:color w:val="auto"/>
          <w:sz w:val="24"/>
          <w:szCs w:val="24"/>
          <w:highlight w:val="none"/>
          <w:u w:val="single"/>
        </w:rPr>
        <w:t>广州建设工程施工招标投标书（需按招标文件第四章要求的格式填写，具体格式以《广州建设工程施工招标投标书（经济标）》为准）</w:t>
      </w:r>
      <w:r>
        <w:rPr>
          <w:rFonts w:hint="eastAsia" w:ascii="宋体" w:hAnsi="宋体" w:eastAsia="宋体" w:cs="宋体"/>
          <w:color w:val="auto"/>
          <w:sz w:val="24"/>
          <w:szCs w:val="24"/>
          <w:highlight w:val="none"/>
        </w:rPr>
        <w:t>。</w:t>
      </w:r>
    </w:p>
    <w:p w14:paraId="5A57D78C">
      <w:pPr>
        <w:pBdr>
          <w:bottom w:val="single" w:color="auto" w:sz="6" w:space="1"/>
        </w:pBd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76F4F7F0">
      <w:pPr>
        <w:pBdr>
          <w:bottom w:val="single" w:color="auto" w:sz="6" w:space="1"/>
        </w:pBd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（1）投标总价封面、扉页；</w:t>
      </w:r>
    </w:p>
    <w:p w14:paraId="2ED8A97A">
      <w:pPr>
        <w:pBdr>
          <w:bottom w:val="single" w:color="auto" w:sz="6" w:space="1"/>
        </w:pBd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48EA6764">
      <w:pPr>
        <w:pBdr>
          <w:bottom w:val="single" w:color="auto" w:sz="6" w:space="1"/>
        </w:pBdr>
        <w:spacing w:line="360" w:lineRule="auto"/>
        <w:ind w:firstLine="480"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（3）工程量清单报价表及综合单价分析表（相关表格的内容及格式要求以招标人发出的最新版电子招标文件中的相应内容及格式为准）；</w:t>
      </w:r>
    </w:p>
    <w:p w14:paraId="638D3866">
      <w:pPr>
        <w:pBdr>
          <w:bottom w:val="single" w:color="auto" w:sz="6" w:space="1"/>
        </w:pBd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（4）其它辅助说明资料</w:t>
      </w:r>
      <w:r>
        <w:rPr>
          <w:rFonts w:hint="eastAsia" w:ascii="宋体" w:hAnsi="宋体" w:eastAsia="宋体" w:cs="宋体"/>
          <w:color w:val="auto"/>
          <w:sz w:val="24"/>
          <w:szCs w:val="24"/>
          <w:highlight w:val="none"/>
        </w:rPr>
        <w:t>。</w:t>
      </w:r>
    </w:p>
    <w:p w14:paraId="3BB98F6D">
      <w:pPr>
        <w:pBdr>
          <w:bottom w:val="single" w:color="auto" w:sz="6" w:space="1"/>
        </w:pBd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11.3.3按照招标文件要求填写的《参与编制经济标投标文件人员名单》</w:t>
      </w:r>
      <w:r>
        <w:rPr>
          <w:rFonts w:hint="eastAsia" w:ascii="宋体" w:hAnsi="宋体" w:eastAsia="宋体" w:cs="宋体"/>
          <w:color w:val="auto"/>
          <w:sz w:val="24"/>
          <w:szCs w:val="24"/>
          <w:highlight w:val="none"/>
          <w:u w:val="single"/>
        </w:rPr>
        <w:t>（格式见第四章）</w:t>
      </w:r>
      <w:r>
        <w:rPr>
          <w:rFonts w:hint="eastAsia" w:ascii="宋体" w:hAnsi="宋体" w:eastAsia="宋体" w:cs="宋体"/>
          <w:color w:val="auto"/>
          <w:sz w:val="24"/>
          <w:szCs w:val="24"/>
          <w:highlight w:val="none"/>
        </w:rPr>
        <w:t>。</w:t>
      </w:r>
    </w:p>
    <w:p w14:paraId="58C0116D">
      <w:pPr>
        <w:pBdr>
          <w:bottom w:val="single" w:color="auto" w:sz="6" w:space="1"/>
        </w:pBd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w:t>
      </w:r>
      <w:r>
        <w:rPr>
          <w:rFonts w:hint="eastAsia" w:ascii="宋体" w:hAnsi="宋体" w:eastAsia="宋体" w:cs="宋体"/>
          <w:color w:val="auto"/>
          <w:sz w:val="24"/>
          <w:szCs w:val="24"/>
          <w:highlight w:val="none"/>
          <w:u w:val="single"/>
        </w:rPr>
        <w:t>《对投标文件编制的承诺》（格式见第四章）</w:t>
      </w:r>
      <w:r>
        <w:rPr>
          <w:rFonts w:hint="eastAsia" w:ascii="宋体" w:hAnsi="宋体" w:eastAsia="宋体" w:cs="宋体"/>
          <w:color w:val="auto"/>
          <w:sz w:val="24"/>
          <w:szCs w:val="24"/>
          <w:highlight w:val="none"/>
        </w:rPr>
        <w:t>。</w:t>
      </w:r>
    </w:p>
    <w:p w14:paraId="5B6971B7">
      <w:pPr>
        <w:pBdr>
          <w:bottom w:val="single" w:color="auto" w:sz="6" w:space="1"/>
        </w:pBdr>
        <w:spacing w:line="360" w:lineRule="auto"/>
        <w:ind w:firstLine="480" w:firstLineChars="20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11.3.5若投标人的投标报价低于工程成本警戒价的，投标人还须提供详细的施工组织设计、单价、措施性费用、单价分析表、主要材料价格表、投标人成本分析供评标委员会评审。</w:t>
      </w:r>
    </w:p>
    <w:p w14:paraId="47BD1A88">
      <w:pPr>
        <w:pBdr>
          <w:bottom w:val="single" w:color="auto" w:sz="6" w:space="1"/>
        </w:pBd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11.3.6投标人认为应提供的其他资料。</w:t>
      </w:r>
    </w:p>
    <w:p w14:paraId="08DFC1A6">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条款号：12.2                        修改类型：修改</w:t>
      </w:r>
    </w:p>
    <w:p w14:paraId="0B14C46A">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EF2749">
      <w:pPr>
        <w:pBdr>
          <w:bottom w:val="single" w:color="auto" w:sz="6" w:space="1"/>
        </w:pBdr>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12.2投标文件全部采用电子文档，投标文件所附证书证件均为原件</w:t>
      </w:r>
      <w:r>
        <w:rPr>
          <w:rFonts w:hint="eastAsia" w:ascii="宋体" w:hAnsi="宋体" w:eastAsia="宋体" w:cs="宋体"/>
          <w:color w:val="auto"/>
          <w:sz w:val="24"/>
          <w:szCs w:val="24"/>
          <w:highlight w:val="none"/>
          <w:u w:val="single"/>
        </w:rPr>
        <w:t>清晰</w:t>
      </w:r>
      <w:r>
        <w:rPr>
          <w:rFonts w:hint="eastAsia" w:ascii="宋体" w:hAnsi="宋体" w:eastAsia="宋体" w:cs="宋体"/>
          <w:color w:val="auto"/>
          <w:sz w:val="24"/>
          <w:szCs w:val="24"/>
          <w:highlight w:val="none"/>
        </w:rPr>
        <w:t>扫描件，并采用单位数字证书，按招标文件要求在相应位置加盖电子印章。投标文件中需个人签字或盖章的，应加盖个人电子印章或在线下完成后扫描上传。按照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广州交易集团有限公司（广州公共资源交易中心）网站最新指引</w:t>
      </w:r>
      <w:r>
        <w:rPr>
          <w:rFonts w:hint="eastAsia" w:ascii="宋体" w:hAnsi="宋体" w:eastAsia="宋体" w:cs="宋体"/>
          <w:color w:val="auto"/>
          <w:sz w:val="24"/>
          <w:szCs w:val="24"/>
          <w:highlight w:val="none"/>
        </w:rPr>
        <w:t>。</w:t>
      </w:r>
    </w:p>
    <w:p w14:paraId="78DF6141">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条款号：12.3                        修改类型：修改</w:t>
      </w:r>
    </w:p>
    <w:p w14:paraId="2CA304A2">
      <w:pPr>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12.3投标文件应按照交易平台关于全流程电子化项目的相关指南进行编制，详见：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4F584CF">
      <w:pPr>
        <w:spacing w:line="360" w:lineRule="auto"/>
        <w:ind w:firstLine="480"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如不按上述要求编制引起系统无法检索、读取相关信息的，其后果由投标人承担。</w:t>
      </w:r>
    </w:p>
    <w:p w14:paraId="59F4B763">
      <w:pPr>
        <w:pBdr>
          <w:bottom w:val="single" w:color="auto" w:sz="6" w:space="1"/>
        </w:pBdr>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12.3</w:t>
      </w:r>
      <w:r>
        <w:rPr>
          <w:rFonts w:hint="eastAsia" w:ascii="宋体" w:hAnsi="宋体" w:eastAsia="宋体" w:cs="宋体"/>
          <w:bCs/>
          <w:color w:val="auto"/>
          <w:sz w:val="24"/>
          <w:szCs w:val="24"/>
          <w:highlight w:val="none"/>
        </w:rPr>
        <w:t>投标文件应按</w:t>
      </w:r>
      <w:r>
        <w:rPr>
          <w:rFonts w:hint="eastAsia" w:ascii="宋体" w:hAnsi="宋体" w:eastAsia="宋体" w:cs="宋体"/>
          <w:color w:val="auto"/>
          <w:sz w:val="24"/>
          <w:szCs w:val="24"/>
          <w:highlight w:val="none"/>
        </w:rPr>
        <w:t>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交易平台关于全流程电子化项目的相关指南进行编制，详见：</w:t>
      </w:r>
      <w:r>
        <w:rPr>
          <w:rFonts w:hint="eastAsia" w:ascii="宋体" w:hAnsi="宋体" w:eastAsia="宋体" w:cs="宋体"/>
          <w:color w:val="auto"/>
          <w:sz w:val="24"/>
          <w:szCs w:val="24"/>
          <w:highlight w:val="none"/>
          <w:u w:val="single"/>
        </w:rPr>
        <w:t>广州交易集团有限公司（广州公共资源交易中心）网站最新指引</w:t>
      </w:r>
      <w:r>
        <w:rPr>
          <w:rFonts w:hint="eastAsia" w:ascii="宋体" w:hAnsi="宋体" w:eastAsia="宋体" w:cs="宋体"/>
          <w:color w:val="auto"/>
          <w:sz w:val="24"/>
          <w:szCs w:val="24"/>
          <w:highlight w:val="none"/>
        </w:rPr>
        <w:t>。</w:t>
      </w:r>
    </w:p>
    <w:p w14:paraId="1C2C4807">
      <w:pPr>
        <w:pBdr>
          <w:bottom w:val="single" w:color="auto" w:sz="6" w:space="1"/>
        </w:pBdr>
        <w:spacing w:line="360" w:lineRule="auto"/>
        <w:ind w:firstLine="480"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如不按上述要求编制引起系统无法检索、读取相关信息的，其后果由投标人承担。</w:t>
      </w:r>
    </w:p>
    <w:p w14:paraId="69D4001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条款号：13.1                        修改类型：修改</w:t>
      </w:r>
    </w:p>
    <w:p w14:paraId="05138FFB">
      <w:pPr>
        <w:pBdr>
          <w:bottom w:val="single" w:color="auto" w:sz="6" w:space="1"/>
        </w:pBd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13.1本工程的投标报价采用投标须知前附表第14项所规定的方式。投标报价（含单价及总价）精确到“分”。</w:t>
      </w:r>
    </w:p>
    <w:p w14:paraId="5A8730B4">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13.1本工程的投标报价采用投标须知前附表第14项所规定的方式。</w:t>
      </w:r>
      <w:r>
        <w:rPr>
          <w:rFonts w:hint="eastAsia" w:ascii="宋体" w:hAnsi="宋体" w:eastAsia="宋体" w:cs="宋体"/>
          <w:color w:val="auto"/>
          <w:sz w:val="24"/>
          <w:szCs w:val="24"/>
          <w:highlight w:val="none"/>
          <w:u w:val="single"/>
        </w:rPr>
        <w:t>投标文件中的大写金额和小写金额不一致的，以大写金额为准。</w:t>
      </w:r>
      <w:r>
        <w:rPr>
          <w:rFonts w:hint="eastAsia" w:ascii="宋体" w:hAnsi="宋体" w:eastAsia="宋体" w:cs="宋体"/>
          <w:color w:val="auto"/>
          <w:sz w:val="24"/>
          <w:szCs w:val="24"/>
          <w:highlight w:val="none"/>
        </w:rPr>
        <w:t>投标报价（含单价及总价）精确到“分”。</w:t>
      </w:r>
    </w:p>
    <w:p w14:paraId="0F643CC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条款号：13.3                        修改类型：修改</w:t>
      </w:r>
    </w:p>
    <w:p w14:paraId="137CCB3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58D529A">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eastAsia="宋体" w:cs="宋体"/>
          <w:color w:val="auto"/>
          <w:sz w:val="24"/>
          <w:szCs w:val="24"/>
          <w:highlight w:val="none"/>
          <w:u w:val="single"/>
        </w:rPr>
        <w:t>提供的招标图纸（包括有关于本项目招标的相关资料）及</w:t>
      </w:r>
      <w:r>
        <w:rPr>
          <w:rFonts w:hint="eastAsia" w:ascii="宋体" w:hAnsi="宋体" w:eastAsia="宋体" w:cs="宋体"/>
          <w:color w:val="auto"/>
          <w:sz w:val="24"/>
          <w:szCs w:val="24"/>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9A6B25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条款号：13.4                         修改类型：修改</w:t>
      </w:r>
    </w:p>
    <w:p w14:paraId="5B139521">
      <w:pPr>
        <w:pStyle w:val="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94D0CAD">
      <w:pPr>
        <w:pBdr>
          <w:bottom w:val="single" w:color="auto" w:sz="6" w:space="1"/>
        </w:pBd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13.4投标人一旦中标，投标人对招标人提供的招标工程量清单中列出的工程项目所报出的综合单价</w:t>
      </w:r>
      <w:r>
        <w:rPr>
          <w:rFonts w:hint="eastAsia" w:ascii="宋体" w:hAnsi="宋体" w:eastAsia="宋体" w:cs="宋体"/>
          <w:color w:val="auto"/>
          <w:sz w:val="24"/>
          <w:szCs w:val="24"/>
          <w:highlight w:val="none"/>
          <w:u w:val="single"/>
        </w:rPr>
        <w:t>和措施项目费（措施项目费必须单列，没有单独列出的，视为已经包含在投标报价中），在工程结算时，按招标文件第三章合同条款相关约定调整。</w:t>
      </w:r>
    </w:p>
    <w:p w14:paraId="3BEBFBB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条款号：13.5                        修改类型：修改</w:t>
      </w:r>
    </w:p>
    <w:p w14:paraId="6724CEDB">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0A20A1EC">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13.5.1中标的投标文件工程量清单中已有相同项目的适用综合单价，则沿用；</w:t>
      </w:r>
    </w:p>
    <w:p w14:paraId="20F07F9A">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455BF882">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13.5.3中标的投标文件工程量清单中没有相同项目或类似项目的，如可套取相关定额，则以相关定额为基数下浮计算单价,下浮率为中标价相对于最高投标限价的下浮率（下浮率=(最高投标限价-中标价)/最高投标限价）。</w:t>
      </w:r>
    </w:p>
    <w:p w14:paraId="74596A97">
      <w:pPr>
        <w:pBdr>
          <w:bottom w:val="single" w:color="auto" w:sz="6" w:space="1"/>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13.5.4如相关定额没有相应子目的，其计价方式由招标人在本招标文件第三章中另行规定。未规定的，中标后双方协商约定。</w:t>
      </w:r>
    </w:p>
    <w:p w14:paraId="255B1B1E">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13.5</w:t>
      </w:r>
      <w:r>
        <w:rPr>
          <w:rFonts w:hint="eastAsia" w:ascii="宋体" w:hAnsi="宋体" w:eastAsia="宋体" w:cs="宋体"/>
          <w:color w:val="auto"/>
          <w:sz w:val="24"/>
          <w:szCs w:val="24"/>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具体约定以招标合同为准）</w:t>
      </w:r>
    </w:p>
    <w:p w14:paraId="332C15E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条款号：13.6.2                      修改类型：修改</w:t>
      </w:r>
    </w:p>
    <w:p w14:paraId="3D512E1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6E62D74A">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eastAsia="宋体" w:cs="宋体"/>
          <w:color w:val="auto"/>
          <w:sz w:val="24"/>
          <w:szCs w:val="24"/>
          <w:highlight w:val="none"/>
          <w:u w:val="single"/>
        </w:rPr>
        <w:t>应由招标人招标确定承包人和承包价格。</w:t>
      </w:r>
    </w:p>
    <w:p w14:paraId="60EA1A0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条款号：13.6.4                      修改类型：修改</w:t>
      </w:r>
    </w:p>
    <w:p w14:paraId="0FF59155">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5AD516FC">
      <w:pPr>
        <w:pBdr>
          <w:bottom w:val="single" w:color="auto" w:sz="6" w:space="1"/>
        </w:pBdr>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eastAsia="宋体" w:cs="宋体"/>
          <w:b w:val="0"/>
          <w:bCs/>
          <w:color w:val="auto"/>
          <w:sz w:val="24"/>
          <w:szCs w:val="24"/>
          <w:highlight w:val="none"/>
          <w:u w:val="single"/>
        </w:rPr>
        <w:t>经发包人同意，</w:t>
      </w:r>
      <w:r>
        <w:rPr>
          <w:rFonts w:hint="eastAsia" w:ascii="宋体" w:hAnsi="宋体" w:eastAsia="宋体" w:cs="宋体"/>
          <w:b w:val="0"/>
          <w:bCs/>
          <w:color w:val="auto"/>
          <w:sz w:val="24"/>
          <w:szCs w:val="24"/>
          <w:highlight w:val="none"/>
        </w:rPr>
        <w:t>承包人有法定的承包资格的，由承包人承包，承包人无法定的承包资格但有法定的分包权的，由承包人分包，招标人同承包人结算的价格按本投标须知13.5款规定确定。</w:t>
      </w:r>
    </w:p>
    <w:p w14:paraId="3BDFA8B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条款号：15.2                       修改类型：修改</w:t>
      </w:r>
    </w:p>
    <w:p w14:paraId="0E589F9F">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78F04524">
      <w:pPr>
        <w:pBdr>
          <w:bottom w:val="single" w:color="auto" w:sz="6" w:space="1"/>
        </w:pBdr>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rPr>
        <w:t>15.2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14:paraId="349960A1">
      <w:pPr>
        <w:pStyle w:val="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条款号：16 </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修改类型：删除</w:t>
      </w:r>
    </w:p>
    <w:p w14:paraId="7B1CBF5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16．投标保证金</w:t>
      </w:r>
    </w:p>
    <w:p w14:paraId="0205EB95">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16.1投标人应按国家、省、市有关规定和投标须知前附表第16项所述金额和时间递交投标保证金。招标人应当允许投标人自主选择现金、银行保函、保证保险、专业工程担保公司担保等方式缴纳投标保证金。</w:t>
      </w:r>
    </w:p>
    <w:p w14:paraId="382B64F5">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16.1.1采用现金或者支票形式提交的，投标保证金须从投标人的银行基本账户转出。</w:t>
      </w:r>
    </w:p>
    <w:p w14:paraId="73CCDCD3">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54088FC">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16.1.3采用电子形式的保函、担保或保证保险提交投标保证金的，应在招标文件中明确电子递交途径。</w:t>
      </w:r>
    </w:p>
    <w:p w14:paraId="67D3E89D">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478FAA4C">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16.3投标保证金应依据法律法规的相关规定退还。</w:t>
      </w:r>
    </w:p>
    <w:p w14:paraId="6D850896">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16.4如有下列情况之一的，招标人可以不予退还投标保证金（是否退还投标保证金由招标人在招标文件中规定）：</w:t>
      </w:r>
    </w:p>
    <w:p w14:paraId="06399717">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16.5投标人如存在下列情况之一的，将被拒绝在一定时期内参与招标人后续工程投标（由招标人依法依规在招标文件中明确）：</w:t>
      </w:r>
    </w:p>
    <w:p w14:paraId="6A6613A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条款号：17.1                        修改类型：修改</w:t>
      </w:r>
    </w:p>
    <w:p w14:paraId="690C3C9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7D47AC">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17.1投标人应采用单位数字证书，按招标文件要求在相应位置加盖电子印章。投标文件中需个人签字或盖章的，应加盖个人电子印章或在线下完成后扫描上传。按照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广州交易集团有限公司（广州公共资源交易中心）网站最新指引</w:t>
      </w:r>
      <w:r>
        <w:rPr>
          <w:rFonts w:hint="eastAsia" w:ascii="宋体" w:hAnsi="宋体" w:eastAsia="宋体" w:cs="宋体"/>
          <w:color w:val="auto"/>
          <w:sz w:val="24"/>
          <w:szCs w:val="24"/>
          <w:highlight w:val="none"/>
        </w:rPr>
        <w:t>。</w:t>
      </w:r>
    </w:p>
    <w:p w14:paraId="02334AA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条款号：18.1                       修改类型：修改</w:t>
      </w:r>
    </w:p>
    <w:p w14:paraId="04C3D937">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18.1</w:t>
      </w:r>
      <w:r>
        <w:rPr>
          <w:rFonts w:hint="eastAsia" w:ascii="宋体" w:hAnsi="宋体" w:eastAsia="宋体" w:cs="宋体"/>
          <w:bCs/>
          <w:color w:val="auto"/>
          <w:sz w:val="24"/>
          <w:szCs w:val="24"/>
          <w:highlight w:val="none"/>
        </w:rPr>
        <w:t>递交的电子投标文件（不含备用光盘）必须进行加密。按照交易平台关于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870BFB6">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18.1</w:t>
      </w:r>
      <w:r>
        <w:rPr>
          <w:rFonts w:hint="eastAsia" w:ascii="宋体" w:hAnsi="宋体" w:eastAsia="宋体" w:cs="宋体"/>
          <w:bCs/>
          <w:color w:val="auto"/>
          <w:sz w:val="24"/>
          <w:szCs w:val="24"/>
          <w:highlight w:val="none"/>
        </w:rPr>
        <w:t>递交的电子投标文件（不含备用光盘）必须进行加密。按照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bCs/>
          <w:color w:val="auto"/>
          <w:sz w:val="24"/>
          <w:szCs w:val="24"/>
          <w:highlight w:val="none"/>
        </w:rPr>
        <w:t>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广州交易集团有限公司（广州公共资源交易中心）网站最新指引</w:t>
      </w:r>
      <w:r>
        <w:rPr>
          <w:rFonts w:hint="eastAsia" w:ascii="宋体" w:hAnsi="宋体" w:eastAsia="宋体" w:cs="宋体"/>
          <w:color w:val="auto"/>
          <w:sz w:val="24"/>
          <w:szCs w:val="24"/>
          <w:highlight w:val="none"/>
        </w:rPr>
        <w:t>。</w:t>
      </w:r>
    </w:p>
    <w:p w14:paraId="4877AACF">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条款号：18.2                       修改类型：修改</w:t>
      </w:r>
    </w:p>
    <w:p w14:paraId="31E0A1DD">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18.2</w:t>
      </w:r>
      <w:r>
        <w:rPr>
          <w:rFonts w:hint="eastAsia" w:ascii="宋体" w:hAnsi="宋体" w:eastAsia="宋体" w:cs="宋体"/>
          <w:bCs/>
          <w:color w:val="auto"/>
          <w:sz w:val="24"/>
          <w:szCs w:val="24"/>
          <w:highlight w:val="none"/>
        </w:rPr>
        <w:t>未按要求加密的投标文件，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bCs/>
          <w:color w:val="auto"/>
          <w:sz w:val="24"/>
          <w:szCs w:val="24"/>
          <w:highlight w:val="none"/>
        </w:rPr>
        <w:t>将予以拒收。</w:t>
      </w:r>
    </w:p>
    <w:p w14:paraId="11AE6CE3">
      <w:pPr>
        <w:pBdr>
          <w:bottom w:val="single" w:color="auto" w:sz="6" w:space="1"/>
        </w:pBdr>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18.2</w:t>
      </w:r>
      <w:r>
        <w:rPr>
          <w:rFonts w:hint="eastAsia" w:ascii="宋体" w:hAnsi="宋体" w:eastAsia="宋体" w:cs="宋体"/>
          <w:bCs/>
          <w:color w:val="auto"/>
          <w:sz w:val="24"/>
          <w:szCs w:val="24"/>
          <w:highlight w:val="none"/>
        </w:rPr>
        <w:t>未按要求加密的投标文件，</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bCs/>
          <w:color w:val="auto"/>
          <w:sz w:val="24"/>
          <w:szCs w:val="24"/>
          <w:highlight w:val="none"/>
        </w:rPr>
        <w:t>将予以拒收。</w:t>
      </w:r>
    </w:p>
    <w:p w14:paraId="1BC8231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条款号：19.1                       修改类型：修改</w:t>
      </w:r>
    </w:p>
    <w:p w14:paraId="67F78DCF">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19.1</w:t>
      </w:r>
      <w:r>
        <w:rPr>
          <w:rFonts w:hint="eastAsia" w:ascii="宋体" w:hAnsi="宋体" w:eastAsia="宋体" w:cs="宋体"/>
          <w:bCs/>
          <w:color w:val="auto"/>
          <w:sz w:val="24"/>
          <w:szCs w:val="24"/>
          <w:highlight w:val="none"/>
        </w:rPr>
        <w:t>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交易平台递交电子投标文件。</w:t>
      </w:r>
    </w:p>
    <w:p w14:paraId="1F083796">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19.1</w:t>
      </w:r>
      <w:r>
        <w:rPr>
          <w:rFonts w:hint="eastAsia" w:ascii="宋体" w:hAnsi="宋体" w:eastAsia="宋体" w:cs="宋体"/>
          <w:bCs/>
          <w:color w:val="auto"/>
          <w:sz w:val="24"/>
          <w:szCs w:val="24"/>
          <w:highlight w:val="none"/>
        </w:rPr>
        <w:t>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交易平台递交电子投标文件。</w:t>
      </w:r>
    </w:p>
    <w:p w14:paraId="194932DC">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条款号：19.2                       修改类型：修改</w:t>
      </w:r>
    </w:p>
    <w:p w14:paraId="2830F2B2">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19.2</w:t>
      </w:r>
      <w:r>
        <w:rPr>
          <w:rFonts w:hint="eastAsia" w:ascii="宋体" w:hAnsi="宋体" w:eastAsia="宋体" w:cs="宋体"/>
          <w:bCs/>
          <w:color w:val="auto"/>
          <w:sz w:val="24"/>
          <w:szCs w:val="24"/>
          <w:highlight w:val="none"/>
        </w:rPr>
        <w:t>投标人完成电子</w:t>
      </w:r>
      <w:r>
        <w:rPr>
          <w:rFonts w:hint="eastAsia" w:ascii="宋体" w:hAnsi="宋体" w:eastAsia="宋体" w:cs="宋体"/>
          <w:color w:val="auto"/>
          <w:sz w:val="24"/>
          <w:szCs w:val="24"/>
          <w:highlight w:val="none"/>
        </w:rPr>
        <w:t>投标文件</w:t>
      </w:r>
      <w:r>
        <w:rPr>
          <w:rFonts w:hint="eastAsia" w:ascii="宋体" w:hAnsi="宋体" w:eastAsia="宋体" w:cs="宋体"/>
          <w:bCs/>
          <w:color w:val="auto"/>
          <w:sz w:val="24"/>
          <w:szCs w:val="24"/>
          <w:highlight w:val="none"/>
        </w:rPr>
        <w:t>上传后，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78DB6928">
      <w:pPr>
        <w:pBdr>
          <w:bottom w:val="single" w:color="auto" w:sz="6" w:space="1"/>
        </w:pBdr>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19.2</w:t>
      </w:r>
      <w:r>
        <w:rPr>
          <w:rFonts w:hint="eastAsia" w:ascii="宋体" w:hAnsi="宋体" w:eastAsia="宋体" w:cs="宋体"/>
          <w:bCs/>
          <w:color w:val="auto"/>
          <w:sz w:val="24"/>
          <w:szCs w:val="24"/>
          <w:highlight w:val="none"/>
        </w:rPr>
        <w:t>投标人完成电子</w:t>
      </w:r>
      <w:r>
        <w:rPr>
          <w:rFonts w:hint="eastAsia" w:ascii="宋体" w:hAnsi="宋体" w:eastAsia="宋体" w:cs="宋体"/>
          <w:color w:val="auto"/>
          <w:sz w:val="24"/>
          <w:szCs w:val="24"/>
          <w:highlight w:val="none"/>
        </w:rPr>
        <w:t>投标文件</w:t>
      </w:r>
      <w:r>
        <w:rPr>
          <w:rFonts w:hint="eastAsia" w:ascii="宋体" w:hAnsi="宋体" w:eastAsia="宋体" w:cs="宋体"/>
          <w:bCs/>
          <w:color w:val="auto"/>
          <w:sz w:val="24"/>
          <w:szCs w:val="24"/>
          <w:highlight w:val="none"/>
        </w:rPr>
        <w:t>上传后，</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145E2336">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条款号：19.3                       修改类型：修改</w:t>
      </w:r>
    </w:p>
    <w:p w14:paraId="7A7995DF">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19.3</w:t>
      </w:r>
      <w:r>
        <w:rPr>
          <w:rFonts w:hint="eastAsia" w:ascii="宋体" w:hAnsi="宋体" w:eastAsia="宋体" w:cs="宋体"/>
          <w:bCs/>
          <w:color w:val="auto"/>
          <w:sz w:val="24"/>
          <w:szCs w:val="24"/>
          <w:highlight w:val="none"/>
        </w:rPr>
        <w:t>逾期送达的电子投标文件，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25778240">
      <w:pPr>
        <w:pBdr>
          <w:bottom w:val="single" w:color="auto" w:sz="6" w:space="1"/>
        </w:pBdr>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19.3</w:t>
      </w:r>
      <w:r>
        <w:rPr>
          <w:rFonts w:hint="eastAsia" w:ascii="宋体" w:hAnsi="宋体" w:eastAsia="宋体" w:cs="宋体"/>
          <w:bCs/>
          <w:color w:val="auto"/>
          <w:sz w:val="24"/>
          <w:szCs w:val="24"/>
          <w:highlight w:val="none"/>
        </w:rPr>
        <w:t>逾期送达的电子投标文件，</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交易平台将予以拒收。</w:t>
      </w:r>
    </w:p>
    <w:p w14:paraId="74CC9D00">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条款号：19.5                       修改类型：修改</w:t>
      </w:r>
    </w:p>
    <w:p w14:paraId="68AFFB57">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19.5如技术标和经济标先后分别开启，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交易平台将按招标文件规定的时间分别开启技术标和经济标。</w:t>
      </w:r>
    </w:p>
    <w:p w14:paraId="424A19A3">
      <w:pPr>
        <w:pBdr>
          <w:bottom w:val="single" w:color="auto" w:sz="6" w:space="1"/>
        </w:pBdr>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19.5如技术标和经济标先后分别开启，</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交易平台将按招标文件规定的时间分别开启技术标和经济标。</w:t>
      </w:r>
    </w:p>
    <w:p w14:paraId="2FC664AC">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条款号：21.1                       修改类型：修改</w:t>
      </w:r>
    </w:p>
    <w:p w14:paraId="6910E7E2">
      <w:pPr>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21.1本须知前附表第17项规定的投标截止时间</w:t>
      </w:r>
      <w:r>
        <w:rPr>
          <w:rFonts w:hint="eastAsia" w:ascii="宋体" w:hAnsi="宋体" w:eastAsia="宋体" w:cs="宋体"/>
          <w:bCs/>
          <w:color w:val="auto"/>
          <w:sz w:val="24"/>
          <w:szCs w:val="24"/>
          <w:highlight w:val="none"/>
        </w:rPr>
        <w:t>后送达的电子投标文件，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489CBB4B">
      <w:pPr>
        <w:pBdr>
          <w:bottom w:val="single" w:color="auto" w:sz="6" w:space="1"/>
        </w:pBdr>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21.1本须知前附表第17项规定的投标截止时间</w:t>
      </w:r>
      <w:r>
        <w:rPr>
          <w:rFonts w:hint="eastAsia" w:ascii="宋体" w:hAnsi="宋体" w:eastAsia="宋体" w:cs="宋体"/>
          <w:bCs/>
          <w:color w:val="auto"/>
          <w:sz w:val="24"/>
          <w:szCs w:val="24"/>
          <w:highlight w:val="none"/>
        </w:rPr>
        <w:t>后送达的电子投标文件，</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交易平台将予以拒收。</w:t>
      </w:r>
    </w:p>
    <w:p w14:paraId="3FC9FF3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条款号：28.1                        修改类型：修改</w:t>
      </w:r>
    </w:p>
    <w:p w14:paraId="434FD790">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28.1招标人将在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广东省招标投标监管网和中国招标投标公共服务平台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690D8434">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28.1招标人将在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广东省招标投标监管网和中国招标投标公共服务平台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4695B76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条款号：28.4                        修改类型：修改</w:t>
      </w:r>
    </w:p>
    <w:p w14:paraId="78A8BAB5">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28.4在产生中标候选人后，招标人将中标候选人的投标文件商务部分文件的所有内容（包括人员、业绩、奖项等资料）在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交易平台和广东省招标投标监管网公开。</w:t>
      </w:r>
    </w:p>
    <w:p w14:paraId="72F77888">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28.4在产生中标候选人后，招标人将中标候选人的投标文件商务部分文件的所有内容（包括人员、业绩、奖项等资料）在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交易平台和广东省招标投标监管网公开。</w:t>
      </w:r>
    </w:p>
    <w:p w14:paraId="0178725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条款号：29.2                        修改类型：修改</w:t>
      </w:r>
    </w:p>
    <w:p w14:paraId="04C7121B">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29.2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40E4683">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29.2中标通知书发出之日起30日后，中标人未按上款的规定与招标人订立合同，招标人将解除中标通知书，</w:t>
      </w:r>
      <w:r>
        <w:rPr>
          <w:rFonts w:hint="eastAsia" w:ascii="宋体" w:hAnsi="宋体" w:eastAsia="宋体" w:cs="宋体"/>
          <w:color w:val="auto"/>
          <w:sz w:val="24"/>
          <w:szCs w:val="24"/>
          <w:highlight w:val="none"/>
          <w:u w:val="single"/>
        </w:rPr>
        <w:t>原中标人依法承担相应法律责任</w:t>
      </w:r>
      <w:r>
        <w:rPr>
          <w:rFonts w:hint="eastAsia" w:ascii="宋体" w:hAnsi="宋体" w:eastAsia="宋体" w:cs="宋体"/>
          <w:color w:val="auto"/>
          <w:sz w:val="24"/>
          <w:szCs w:val="24"/>
          <w:highlight w:val="none"/>
        </w:rPr>
        <w:t>。原中标人给招标人造成损失的，</w:t>
      </w:r>
      <w:r>
        <w:rPr>
          <w:rFonts w:hint="eastAsia" w:ascii="宋体" w:hAnsi="宋体" w:eastAsia="宋体" w:cs="宋体"/>
          <w:color w:val="auto"/>
          <w:sz w:val="24"/>
          <w:szCs w:val="24"/>
          <w:highlight w:val="none"/>
          <w:u w:val="single"/>
        </w:rPr>
        <w:t>还应当对超过部分予以赔偿</w:t>
      </w:r>
      <w:r>
        <w:rPr>
          <w:rFonts w:hint="eastAsia" w:ascii="宋体" w:hAnsi="宋体" w:eastAsia="宋体" w:cs="宋体"/>
          <w:color w:val="auto"/>
          <w:sz w:val="24"/>
          <w:szCs w:val="24"/>
          <w:highlight w:val="none"/>
        </w:rPr>
        <w:t>。原中标人有异议的，可以向人民法院起诉。</w:t>
      </w:r>
    </w:p>
    <w:p w14:paraId="652E181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条款号：30.1                        修改类型：修改</w:t>
      </w:r>
    </w:p>
    <w:p w14:paraId="345EB4D9">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30.1在收到中标通知书后的</w:t>
      </w:r>
      <w:r>
        <w:rPr>
          <w:rFonts w:hint="eastAsia" w:ascii="宋体" w:hAnsi="宋体" w:eastAsia="宋体" w:cs="宋体"/>
          <w:bCs/>
          <w:color w:val="auto"/>
          <w:sz w:val="24"/>
          <w:szCs w:val="24"/>
          <w:highlight w:val="none"/>
        </w:rPr>
        <w:t>15日</w:t>
      </w:r>
      <w:r>
        <w:rPr>
          <w:rFonts w:hint="eastAsia" w:ascii="宋体" w:hAnsi="宋体" w:eastAsia="宋体" w:cs="宋体"/>
          <w:color w:val="auto"/>
          <w:sz w:val="24"/>
          <w:szCs w:val="24"/>
          <w:highlight w:val="none"/>
        </w:rPr>
        <w:t>内，中标人应按本须知前附表第20项的规定向招标人提交履约担保。</w:t>
      </w:r>
    </w:p>
    <w:p w14:paraId="304CACCB">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30.1</w:t>
      </w:r>
      <w:r>
        <w:rPr>
          <w:rFonts w:hint="eastAsia" w:ascii="宋体" w:hAnsi="宋体" w:eastAsia="宋体" w:cs="宋体"/>
          <w:color w:val="auto"/>
          <w:sz w:val="24"/>
          <w:szCs w:val="24"/>
          <w:highlight w:val="none"/>
          <w:u w:val="single"/>
        </w:rPr>
        <w:t>在收到中标通知书后的30日历天内</w:t>
      </w:r>
      <w:r>
        <w:rPr>
          <w:rFonts w:hint="eastAsia" w:ascii="宋体" w:hAnsi="宋体" w:eastAsia="宋体" w:cs="宋体"/>
          <w:color w:val="auto"/>
          <w:sz w:val="24"/>
          <w:szCs w:val="24"/>
          <w:highlight w:val="none"/>
        </w:rPr>
        <w:t>，中标人应按本须知前附表第20项的规定向招标人提交履约担保。</w:t>
      </w:r>
    </w:p>
    <w:p w14:paraId="088DB7EC">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条款号：30.2                        修改类型：修改</w:t>
      </w:r>
    </w:p>
    <w:p w14:paraId="3FD599D9">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30.2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07BEDC2">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：30.2</w:t>
      </w:r>
      <w:r>
        <w:rPr>
          <w:rFonts w:hint="eastAsia" w:ascii="宋体" w:hAnsi="宋体" w:eastAsia="宋体" w:cs="宋体"/>
          <w:color w:val="auto"/>
          <w:sz w:val="24"/>
          <w:szCs w:val="24"/>
          <w:highlight w:val="none"/>
          <w:u w:val="single"/>
        </w:rPr>
        <w:t>中标通知书发出之日起30日历天后</w:t>
      </w:r>
      <w:r>
        <w:rPr>
          <w:rFonts w:hint="eastAsia" w:ascii="宋体" w:hAnsi="宋体" w:eastAsia="宋体" w:cs="宋体"/>
          <w:color w:val="auto"/>
          <w:sz w:val="24"/>
          <w:szCs w:val="24"/>
          <w:highlight w:val="none"/>
        </w:rPr>
        <w:t>，中标人未按上款的规定递交履约担保，招标人将解除中标通知书，</w:t>
      </w:r>
      <w:r>
        <w:rPr>
          <w:rFonts w:hint="eastAsia" w:ascii="宋体" w:hAnsi="宋体" w:eastAsia="宋体" w:cs="宋体"/>
          <w:color w:val="auto"/>
          <w:sz w:val="24"/>
          <w:szCs w:val="24"/>
          <w:highlight w:val="none"/>
          <w:u w:val="single"/>
        </w:rPr>
        <w:t>原中标人依法承担相应法律责任</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原中标人给招标人造成损失的，应当予以赔偿</w:t>
      </w:r>
      <w:r>
        <w:rPr>
          <w:rFonts w:hint="eastAsia" w:ascii="宋体" w:hAnsi="宋体" w:eastAsia="宋体" w:cs="宋体"/>
          <w:color w:val="auto"/>
          <w:sz w:val="24"/>
          <w:szCs w:val="24"/>
          <w:highlight w:val="none"/>
        </w:rPr>
        <w:t>。原中标人有异议的，可以向人民法院起诉。</w:t>
      </w:r>
    </w:p>
    <w:p w14:paraId="2D5CC96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条款号：34                          修改类型：修改</w:t>
      </w:r>
    </w:p>
    <w:p w14:paraId="5BA62D8F">
      <w:pPr>
        <w:pBdr>
          <w:bottom w:val="single" w:color="auto" w:sz="6" w:space="1"/>
        </w:pBd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原文：34.其它费用</w:t>
      </w:r>
    </w:p>
    <w:p w14:paraId="112EA972">
      <w:pPr>
        <w:pBdr>
          <w:bottom w:val="single" w:color="auto" w:sz="6" w:space="1"/>
        </w:pBd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34.</w:t>
      </w:r>
      <w:r>
        <w:rPr>
          <w:rFonts w:hint="eastAsia" w:ascii="宋体" w:hAnsi="宋体" w:eastAsia="宋体" w:cs="宋体"/>
          <w:b/>
          <w:bCs/>
          <w:color w:val="auto"/>
          <w:sz w:val="24"/>
          <w:szCs w:val="24"/>
          <w:highlight w:val="none"/>
        </w:rPr>
        <w:t>其它费用</w:t>
      </w:r>
    </w:p>
    <w:p w14:paraId="46273828">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中标人应交纳交易服务费，该费用包含在投标价中。</w:t>
      </w:r>
    </w:p>
    <w:p w14:paraId="69A223C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0C4393EA">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（以下无正文）</w:t>
      </w:r>
    </w:p>
    <w:p w14:paraId="178E2CD6">
      <w:pPr>
        <w:pStyle w:val="6"/>
        <w:rPr>
          <w:rFonts w:hint="eastAsia" w:ascii="宋体" w:hAnsi="宋体"/>
          <w:color w:val="auto"/>
          <w:highlight w:val="none"/>
        </w:rPr>
      </w:pPr>
      <w:r>
        <w:rPr>
          <w:rFonts w:ascii="宋体" w:hAnsi="宋体"/>
          <w:color w:val="auto"/>
          <w:highlight w:val="none"/>
        </w:rPr>
        <w:br w:type="page"/>
      </w:r>
      <w:bookmarkStart w:id="11" w:name="_Toc194440072"/>
      <w:bookmarkStart w:id="12" w:name="_Toc2272548"/>
      <w:bookmarkStart w:id="13" w:name="_Toc184468495"/>
      <w:r>
        <w:rPr>
          <w:rFonts w:hint="eastAsia" w:ascii="宋体" w:hAnsi="宋体"/>
          <w:color w:val="auto"/>
          <w:highlight w:val="none"/>
        </w:rPr>
        <w:t>三、投标须知通用条款</w:t>
      </w:r>
      <w:bookmarkEnd w:id="11"/>
      <w:bookmarkEnd w:id="12"/>
      <w:bookmarkEnd w:id="13"/>
    </w:p>
    <w:p w14:paraId="445AC364">
      <w:pPr>
        <w:widowControl/>
        <w:spacing w:before="100" w:beforeAutospacing="1" w:after="100" w:afterAutospacing="1" w:line="360" w:lineRule="auto"/>
        <w:jc w:val="left"/>
        <w:outlineLvl w:val="2"/>
        <w:rPr>
          <w:rFonts w:hint="eastAsia" w:ascii="宋体" w:hAnsi="宋体" w:cs="宋体"/>
          <w:color w:val="auto"/>
          <w:kern w:val="0"/>
          <w:sz w:val="24"/>
          <w:szCs w:val="24"/>
          <w:highlight w:val="none"/>
        </w:rPr>
      </w:pPr>
      <w:bookmarkStart w:id="14" w:name="_Toc2272549"/>
      <w:bookmarkStart w:id="15" w:name="_Toc184468496"/>
      <w:bookmarkStart w:id="16" w:name="_Toc58838571"/>
      <w:bookmarkStart w:id="17" w:name="_Toc194440073"/>
      <w:r>
        <w:rPr>
          <w:rFonts w:hint="eastAsia" w:ascii="宋体" w:hAnsi="宋体" w:cs="宋体"/>
          <w:color w:val="auto"/>
          <w:kern w:val="0"/>
          <w:sz w:val="24"/>
          <w:szCs w:val="24"/>
          <w:highlight w:val="none"/>
        </w:rPr>
        <w:t>（一）总则</w:t>
      </w:r>
      <w:bookmarkEnd w:id="14"/>
      <w:bookmarkEnd w:id="15"/>
      <w:bookmarkEnd w:id="16"/>
      <w:bookmarkEnd w:id="17"/>
    </w:p>
    <w:p w14:paraId="6906AF43">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1</w:t>
      </w:r>
      <w:r>
        <w:rPr>
          <w:rFonts w:hint="eastAsia" w:ascii="宋体" w:hAnsi="宋体"/>
          <w:b/>
          <w:bCs/>
          <w:color w:val="auto"/>
          <w:sz w:val="24"/>
          <w:szCs w:val="24"/>
          <w:highlight w:val="none"/>
        </w:rPr>
        <w:t>、定义</w:t>
      </w:r>
    </w:p>
    <w:p w14:paraId="407E98AC">
      <w:pPr>
        <w:spacing w:line="360" w:lineRule="auto"/>
        <w:ind w:firstLine="480" w:firstLineChars="200"/>
        <w:rPr>
          <w:rFonts w:hint="eastAsia" w:ascii="宋体" w:hAnsi="宋体"/>
          <w:b/>
          <w:bCs/>
          <w:color w:val="auto"/>
          <w:sz w:val="24"/>
          <w:szCs w:val="24"/>
          <w:highlight w:val="none"/>
        </w:rPr>
      </w:pPr>
      <w:r>
        <w:rPr>
          <w:rFonts w:hint="eastAsia" w:ascii="宋体" w:hAnsi="宋体"/>
          <w:color w:val="auto"/>
          <w:sz w:val="24"/>
          <w:szCs w:val="24"/>
          <w:highlight w:val="none"/>
        </w:rPr>
        <w:t>本招标文件使用的下列词语具有如下规定的意义：</w:t>
      </w:r>
    </w:p>
    <w:p w14:paraId="53B3D793">
      <w:pPr>
        <w:spacing w:line="360" w:lineRule="auto"/>
        <w:ind w:firstLine="480" w:firstLineChars="200"/>
        <w:rPr>
          <w:rFonts w:hint="eastAsia" w:ascii="宋体" w:hAnsi="宋体"/>
          <w:b/>
          <w:bCs/>
          <w:color w:val="auto"/>
          <w:sz w:val="24"/>
          <w:szCs w:val="24"/>
          <w:highlight w:val="none"/>
          <w:u w:val="singl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）“招标人”（即发包人）、“项目建设管理单位”（或称“项目代建单位”）、“招标代理”、“设计单位”、“监理单位”均已在投标须知前附表中列明。</w:t>
      </w:r>
    </w:p>
    <w:p w14:paraId="3561FB1E">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）“投标人”指向招标人提交投标文件的当事人。</w:t>
      </w:r>
      <w:r>
        <w:rPr>
          <w:rFonts w:ascii="宋体" w:hAnsi="宋体"/>
          <w:color w:val="auto"/>
          <w:sz w:val="24"/>
          <w:szCs w:val="24"/>
          <w:highlight w:val="none"/>
        </w:rPr>
        <w:t xml:space="preserve">   </w:t>
      </w:r>
    </w:p>
    <w:p w14:paraId="0AEB8A2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）“承包人”指其投标被招标人接受并与其签订承包合同的当事人。</w:t>
      </w:r>
    </w:p>
    <w:p w14:paraId="091F2B32">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）“招标文件”指由招标代理发出的本文件（包括全部章节、附件）及招标答疑会会议纪要和</w:t>
      </w:r>
      <w:r>
        <w:rPr>
          <w:rFonts w:hint="eastAsia" w:ascii="宋体" w:hAnsi="宋体"/>
          <w:bCs/>
          <w:color w:val="auto"/>
          <w:sz w:val="24"/>
          <w:szCs w:val="24"/>
          <w:highlight w:val="none"/>
        </w:rPr>
        <w:t>招标文件的澄清与修改</w:t>
      </w:r>
      <w:r>
        <w:rPr>
          <w:rFonts w:hint="eastAsia" w:ascii="宋体" w:hAnsi="宋体"/>
          <w:color w:val="auto"/>
          <w:sz w:val="24"/>
          <w:szCs w:val="24"/>
          <w:highlight w:val="none"/>
        </w:rPr>
        <w:t>文件。</w:t>
      </w:r>
    </w:p>
    <w:p w14:paraId="0BC8E5C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）“投标文件”指投标人根据本项目招标文件向招标人提交的全部文件。</w:t>
      </w:r>
    </w:p>
    <w:p w14:paraId="352390C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6</w:t>
      </w:r>
      <w:r>
        <w:rPr>
          <w:rFonts w:hint="eastAsia" w:ascii="宋体" w:hAnsi="宋体"/>
          <w:color w:val="auto"/>
          <w:sz w:val="24"/>
          <w:szCs w:val="24"/>
          <w:highlight w:val="none"/>
        </w:rPr>
        <w:t>）“书面形式”指打字或印刷的文件和数据电文（包括电报、电传、传真、电子数据交换和电子邮件）。</w:t>
      </w:r>
    </w:p>
    <w:p w14:paraId="307616CF">
      <w:pPr>
        <w:spacing w:line="360" w:lineRule="auto"/>
        <w:ind w:firstLine="482" w:firstLineChars="200"/>
        <w:rPr>
          <w:rFonts w:hint="eastAsia" w:ascii="宋体" w:hAnsi="宋体"/>
          <w:b/>
          <w:color w:val="auto"/>
          <w:sz w:val="24"/>
          <w:szCs w:val="24"/>
          <w:highlight w:val="none"/>
        </w:rPr>
      </w:pPr>
      <w:r>
        <w:rPr>
          <w:rFonts w:ascii="宋体" w:hAnsi="宋体"/>
          <w:b/>
          <w:color w:val="auto"/>
          <w:sz w:val="24"/>
          <w:szCs w:val="24"/>
          <w:highlight w:val="none"/>
        </w:rPr>
        <w:t>2</w:t>
      </w:r>
      <w:r>
        <w:rPr>
          <w:rFonts w:hint="eastAsia" w:ascii="宋体" w:hAnsi="宋体"/>
          <w:b/>
          <w:color w:val="auto"/>
          <w:sz w:val="24"/>
          <w:szCs w:val="24"/>
          <w:highlight w:val="none"/>
        </w:rPr>
        <w:t>、招标说明</w:t>
      </w:r>
    </w:p>
    <w:p w14:paraId="3D55C7FC">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2.1</w:t>
      </w:r>
      <w:r>
        <w:rPr>
          <w:rFonts w:hint="eastAsia" w:ascii="宋体" w:hAnsi="宋体"/>
          <w:bCs/>
          <w:color w:val="auto"/>
          <w:sz w:val="24"/>
          <w:szCs w:val="24"/>
          <w:highlight w:val="none"/>
        </w:rPr>
        <w:t>本招标工程项目按照《中华人民共和国招标投标法》等有关法律、行政法规、规章和规范性文件，通过招标方式选定承包人。</w:t>
      </w:r>
    </w:p>
    <w:p w14:paraId="1EE5DEA6">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2.2</w:t>
      </w:r>
      <w:r>
        <w:rPr>
          <w:rFonts w:hint="eastAsia" w:ascii="宋体" w:hAnsi="宋体"/>
          <w:bCs/>
          <w:color w:val="auto"/>
          <w:sz w:val="24"/>
          <w:szCs w:val="24"/>
          <w:highlight w:val="none"/>
        </w:rPr>
        <w:t>工程名称、招标项目名称、建设地点、建设规模、承包方式、质量标准、招标范围、工期要求等均在投标须知前附表中列明。</w:t>
      </w:r>
    </w:p>
    <w:p w14:paraId="739B4072">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2.3</w:t>
      </w:r>
      <w:r>
        <w:rPr>
          <w:rFonts w:hint="eastAsia" w:ascii="宋体" w:hAnsi="宋体"/>
          <w:bCs/>
          <w:color w:val="auto"/>
          <w:sz w:val="24"/>
          <w:szCs w:val="24"/>
          <w:highlight w:val="none"/>
        </w:rPr>
        <w:t>设计说明：详见招标图纸。</w:t>
      </w:r>
    </w:p>
    <w:p w14:paraId="260453D2">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2.4</w:t>
      </w:r>
      <w:r>
        <w:rPr>
          <w:rFonts w:hint="eastAsia" w:ascii="宋体" w:hAnsi="宋体"/>
          <w:bCs/>
          <w:color w:val="auto"/>
          <w:sz w:val="24"/>
          <w:szCs w:val="24"/>
          <w:highlight w:val="none"/>
        </w:rPr>
        <w:t>工程施工特点：详见招标图纸。</w:t>
      </w:r>
    </w:p>
    <w:p w14:paraId="0F106341">
      <w:pPr>
        <w:tabs>
          <w:tab w:val="left" w:pos="105"/>
        </w:tabs>
        <w:spacing w:line="360" w:lineRule="auto"/>
        <w:ind w:firstLine="482" w:firstLineChars="200"/>
        <w:rPr>
          <w:rFonts w:hint="eastAsia" w:ascii="宋体" w:hAnsi="宋体"/>
          <w:b/>
          <w:color w:val="auto"/>
          <w:sz w:val="24"/>
          <w:szCs w:val="24"/>
          <w:highlight w:val="none"/>
        </w:rPr>
      </w:pPr>
      <w:r>
        <w:rPr>
          <w:rFonts w:ascii="宋体" w:hAnsi="宋体"/>
          <w:b/>
          <w:color w:val="auto"/>
          <w:sz w:val="24"/>
          <w:szCs w:val="24"/>
          <w:highlight w:val="none"/>
        </w:rPr>
        <w:t>3</w:t>
      </w:r>
      <w:r>
        <w:rPr>
          <w:rFonts w:hint="eastAsia" w:ascii="宋体" w:hAnsi="宋体"/>
          <w:b/>
          <w:color w:val="auto"/>
          <w:sz w:val="24"/>
          <w:szCs w:val="24"/>
          <w:highlight w:val="none"/>
        </w:rPr>
        <w:t>．资金来源</w:t>
      </w:r>
    </w:p>
    <w:p w14:paraId="02BC5E6D">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3.1</w:t>
      </w:r>
      <w:r>
        <w:rPr>
          <w:rFonts w:hint="eastAsia" w:ascii="宋体" w:hAnsi="宋体"/>
          <w:bCs/>
          <w:color w:val="auto"/>
          <w:sz w:val="24"/>
          <w:szCs w:val="24"/>
          <w:highlight w:val="none"/>
        </w:rPr>
        <w:t>本招标工程项目资金来源见投标须知前附表第</w:t>
      </w:r>
      <w:r>
        <w:rPr>
          <w:rFonts w:ascii="宋体" w:hAnsi="宋体"/>
          <w:bCs/>
          <w:color w:val="auto"/>
          <w:sz w:val="24"/>
          <w:szCs w:val="24"/>
          <w:highlight w:val="none"/>
        </w:rPr>
        <w:t>9</w:t>
      </w:r>
      <w:r>
        <w:rPr>
          <w:rFonts w:hint="eastAsia" w:ascii="宋体" w:hAnsi="宋体"/>
          <w:bCs/>
          <w:color w:val="auto"/>
          <w:sz w:val="24"/>
          <w:szCs w:val="24"/>
          <w:highlight w:val="none"/>
        </w:rPr>
        <w:t>项</w:t>
      </w:r>
    </w:p>
    <w:p w14:paraId="0F7F3CB7">
      <w:pPr>
        <w:tabs>
          <w:tab w:val="left" w:pos="105"/>
        </w:tabs>
        <w:spacing w:line="360" w:lineRule="auto"/>
        <w:ind w:firstLine="482" w:firstLineChars="200"/>
        <w:rPr>
          <w:rFonts w:hint="eastAsia" w:ascii="宋体" w:hAnsi="宋体"/>
          <w:b/>
          <w:color w:val="auto"/>
          <w:sz w:val="24"/>
          <w:szCs w:val="24"/>
          <w:highlight w:val="none"/>
        </w:rPr>
      </w:pPr>
      <w:r>
        <w:rPr>
          <w:rFonts w:ascii="宋体" w:hAnsi="宋体"/>
          <w:b/>
          <w:color w:val="auto"/>
          <w:sz w:val="24"/>
          <w:szCs w:val="24"/>
          <w:highlight w:val="none"/>
        </w:rPr>
        <w:t>4</w:t>
      </w:r>
      <w:r>
        <w:rPr>
          <w:rFonts w:hint="eastAsia" w:ascii="宋体" w:hAnsi="宋体"/>
          <w:b/>
          <w:color w:val="auto"/>
          <w:sz w:val="24"/>
          <w:szCs w:val="24"/>
          <w:highlight w:val="none"/>
        </w:rPr>
        <w:t>．合格投标人的条件</w:t>
      </w:r>
    </w:p>
    <w:p w14:paraId="1F48E60B">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4.1</w:t>
      </w:r>
      <w:r>
        <w:rPr>
          <w:rFonts w:hint="eastAsia" w:ascii="宋体" w:hAnsi="宋体"/>
          <w:bCs/>
          <w:color w:val="auto"/>
          <w:sz w:val="24"/>
          <w:szCs w:val="24"/>
          <w:highlight w:val="none"/>
        </w:rPr>
        <w:t>投标人合格条件详见本项目招标公告。</w:t>
      </w:r>
    </w:p>
    <w:p w14:paraId="14387E7B">
      <w:pPr>
        <w:tabs>
          <w:tab w:val="left" w:pos="105"/>
        </w:tabs>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4.2资格审查方式详见本项目招标公告。</w:t>
      </w:r>
    </w:p>
    <w:p w14:paraId="4AADE8E5">
      <w:pPr>
        <w:tabs>
          <w:tab w:val="left" w:pos="105"/>
        </w:tabs>
        <w:spacing w:line="360" w:lineRule="auto"/>
        <w:ind w:firstLine="482" w:firstLineChars="200"/>
        <w:rPr>
          <w:rFonts w:hint="eastAsia" w:ascii="宋体" w:hAnsi="宋体"/>
          <w:b/>
          <w:color w:val="auto"/>
          <w:sz w:val="24"/>
          <w:szCs w:val="24"/>
          <w:highlight w:val="none"/>
        </w:rPr>
      </w:pPr>
      <w:r>
        <w:rPr>
          <w:rFonts w:ascii="宋体" w:hAnsi="宋体"/>
          <w:b/>
          <w:color w:val="auto"/>
          <w:sz w:val="24"/>
          <w:szCs w:val="24"/>
          <w:highlight w:val="none"/>
        </w:rPr>
        <w:t>5</w:t>
      </w:r>
      <w:r>
        <w:rPr>
          <w:rFonts w:hint="eastAsia" w:ascii="宋体" w:hAnsi="宋体"/>
          <w:b/>
          <w:color w:val="auto"/>
          <w:sz w:val="24"/>
          <w:szCs w:val="24"/>
          <w:highlight w:val="none"/>
        </w:rPr>
        <w:t>．踏勘现场</w:t>
      </w:r>
    </w:p>
    <w:p w14:paraId="0CCC7C2D">
      <w:pPr>
        <w:spacing w:line="360" w:lineRule="auto"/>
        <w:ind w:firstLine="480" w:firstLineChars="200"/>
        <w:rPr>
          <w:rFonts w:hint="eastAsia" w:ascii="宋体" w:hAnsi="宋体"/>
          <w:bCs/>
          <w:color w:val="auto"/>
          <w:sz w:val="24"/>
          <w:szCs w:val="24"/>
          <w:highlight w:val="none"/>
          <w:u w:val="single"/>
        </w:rPr>
      </w:pPr>
      <w:r>
        <w:rPr>
          <w:rFonts w:ascii="宋体" w:hAnsi="宋体"/>
          <w:bCs/>
          <w:color w:val="auto"/>
          <w:sz w:val="24"/>
          <w:szCs w:val="24"/>
          <w:highlight w:val="none"/>
        </w:rPr>
        <w:t>5.1</w:t>
      </w:r>
      <w:r>
        <w:rPr>
          <w:rFonts w:hint="eastAsia" w:ascii="宋体" w:hAnsi="宋体"/>
          <w:bCs/>
          <w:color w:val="auto"/>
          <w:sz w:val="24"/>
          <w:szCs w:val="24"/>
          <w:highlight w:val="none"/>
        </w:rPr>
        <w:t>投标人应按本投标须知前附表第</w:t>
      </w:r>
      <w:r>
        <w:rPr>
          <w:rFonts w:ascii="宋体" w:hAnsi="宋体"/>
          <w:bCs/>
          <w:color w:val="auto"/>
          <w:sz w:val="24"/>
          <w:szCs w:val="24"/>
          <w:highlight w:val="none"/>
        </w:rPr>
        <w:t>1</w:t>
      </w:r>
      <w:r>
        <w:rPr>
          <w:rFonts w:hint="eastAsia" w:ascii="宋体" w:hAnsi="宋体"/>
          <w:bCs/>
          <w:color w:val="auto"/>
          <w:sz w:val="24"/>
          <w:szCs w:val="24"/>
          <w:highlight w:val="none"/>
        </w:rPr>
        <w:t>2项所述时间和要求自行对工程现场及周围环境进行踏勘，</w:t>
      </w:r>
      <w:r>
        <w:rPr>
          <w:rFonts w:hint="eastAsia" w:ascii="宋体" w:hAnsi="宋体"/>
          <w:color w:val="auto"/>
          <w:sz w:val="24"/>
          <w:szCs w:val="24"/>
          <w:highlight w:val="none"/>
        </w:rPr>
        <w:t>投标人应充分重视和仔细地进行这种考察，</w:t>
      </w:r>
      <w:r>
        <w:rPr>
          <w:rFonts w:hint="eastAsia" w:ascii="宋体" w:hAnsi="宋体"/>
          <w:bCs/>
          <w:color w:val="auto"/>
          <w:sz w:val="24"/>
          <w:szCs w:val="24"/>
          <w:highlight w:val="none"/>
        </w:rPr>
        <w:t>以便投标人获取</w:t>
      </w:r>
      <w:r>
        <w:rPr>
          <w:rFonts w:hint="eastAsia" w:ascii="宋体" w:hAnsi="宋体"/>
          <w:color w:val="auto"/>
          <w:sz w:val="24"/>
          <w:szCs w:val="24"/>
          <w:highlight w:val="none"/>
        </w:rPr>
        <w:t>那些须投标人自己负责的</w:t>
      </w:r>
      <w:r>
        <w:rPr>
          <w:rFonts w:hint="eastAsia" w:ascii="宋体" w:hAnsi="宋体"/>
          <w:bCs/>
          <w:color w:val="auto"/>
          <w:sz w:val="24"/>
          <w:szCs w:val="24"/>
          <w:highlight w:val="none"/>
        </w:rPr>
        <w:t>有关编制投标文件和签署合同所涉及现场所有的资料。</w:t>
      </w:r>
      <w:r>
        <w:rPr>
          <w:rFonts w:hint="eastAsia" w:ascii="宋体" w:hAnsi="宋体"/>
          <w:color w:val="auto"/>
          <w:sz w:val="24"/>
          <w:szCs w:val="24"/>
          <w:highlight w:val="none"/>
        </w:rPr>
        <w:t>一旦中标，这种考察即被认为其结果已在中标文件中得到充分反映。</w:t>
      </w:r>
    </w:p>
    <w:p w14:paraId="2DF0A986">
      <w:pPr>
        <w:tabs>
          <w:tab w:val="left" w:pos="105"/>
        </w:tabs>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5.2</w:t>
      </w:r>
      <w:r>
        <w:rPr>
          <w:rFonts w:hint="eastAsia" w:ascii="宋体" w:hAnsi="宋体"/>
          <w:bCs/>
          <w:color w:val="auto"/>
          <w:sz w:val="24"/>
          <w:szCs w:val="24"/>
          <w:highlight w:val="none"/>
        </w:rPr>
        <w:t>投标人踏勘现场的费用自理。</w:t>
      </w:r>
    </w:p>
    <w:p w14:paraId="1BC47BCE">
      <w:pPr>
        <w:tabs>
          <w:tab w:val="left" w:pos="105"/>
        </w:tabs>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5.3招标人向投标人提供的有关现场的数据和资料，是招标人现有的能被投标人利用的资料，招标人对投标人做出的任何推论、理解和结论均不负责任。</w:t>
      </w:r>
    </w:p>
    <w:p w14:paraId="5BCE3CD1">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5.</w:t>
      </w:r>
      <w:r>
        <w:rPr>
          <w:rFonts w:hint="eastAsia" w:ascii="宋体" w:hAnsi="宋体"/>
          <w:bCs/>
          <w:color w:val="auto"/>
          <w:sz w:val="24"/>
          <w:szCs w:val="24"/>
          <w:highlight w:val="none"/>
        </w:rPr>
        <w:t>4经招标人允许，投标人可为踏勘目的进入招标人的项目现场。</w:t>
      </w:r>
      <w:r>
        <w:rPr>
          <w:rFonts w:hint="eastAsia" w:ascii="宋体" w:hAnsi="宋体"/>
          <w:color w:val="auto"/>
          <w:sz w:val="24"/>
          <w:szCs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szCs w:val="24"/>
          <w:highlight w:val="none"/>
        </w:rPr>
        <w:t>投标人不得因此使招标人承担有关的责任和蒙受损失。</w:t>
      </w:r>
    </w:p>
    <w:p w14:paraId="1C9E2DCE">
      <w:pPr>
        <w:tabs>
          <w:tab w:val="left" w:pos="105"/>
        </w:tabs>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5.5由于投标人没有对工程现场及周围环境进行踏勘，造成投标失误的，由投标人自行承担责任和损失。</w:t>
      </w:r>
    </w:p>
    <w:p w14:paraId="11FFF37F">
      <w:pPr>
        <w:tabs>
          <w:tab w:val="left" w:pos="105"/>
        </w:tabs>
        <w:spacing w:line="360" w:lineRule="auto"/>
        <w:ind w:firstLine="482" w:firstLineChars="200"/>
        <w:rPr>
          <w:rFonts w:hint="eastAsia" w:ascii="宋体" w:hAnsi="宋体"/>
          <w:b/>
          <w:color w:val="auto"/>
          <w:sz w:val="24"/>
          <w:szCs w:val="24"/>
          <w:highlight w:val="none"/>
        </w:rPr>
      </w:pPr>
      <w:r>
        <w:rPr>
          <w:rFonts w:ascii="宋体" w:hAnsi="宋体"/>
          <w:b/>
          <w:color w:val="auto"/>
          <w:sz w:val="24"/>
          <w:szCs w:val="24"/>
          <w:highlight w:val="none"/>
        </w:rPr>
        <w:t>6</w:t>
      </w:r>
      <w:r>
        <w:rPr>
          <w:rFonts w:hint="eastAsia" w:ascii="宋体" w:hAnsi="宋体"/>
          <w:b/>
          <w:color w:val="auto"/>
          <w:sz w:val="24"/>
          <w:szCs w:val="24"/>
          <w:highlight w:val="none"/>
        </w:rPr>
        <w:t>．投标费用</w:t>
      </w:r>
    </w:p>
    <w:p w14:paraId="1CF722A1">
      <w:pPr>
        <w:tabs>
          <w:tab w:val="left" w:pos="105"/>
        </w:tabs>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6.1</w:t>
      </w:r>
      <w:r>
        <w:rPr>
          <w:rFonts w:hint="eastAsia" w:ascii="宋体" w:hAnsi="宋体"/>
          <w:bCs/>
          <w:color w:val="auto"/>
          <w:sz w:val="24"/>
          <w:szCs w:val="24"/>
          <w:highlight w:val="none"/>
        </w:rPr>
        <w:t>投标人准备和参加投标活动发生的费用自理。</w:t>
      </w:r>
    </w:p>
    <w:p w14:paraId="232D1340">
      <w:pPr>
        <w:tabs>
          <w:tab w:val="left" w:pos="105"/>
        </w:tabs>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6.2不论投标结果如何，投标人应承担</w:t>
      </w:r>
      <w:r>
        <w:rPr>
          <w:rFonts w:hint="eastAsia" w:ascii="宋体" w:hAnsi="宋体"/>
          <w:bCs/>
          <w:color w:val="auto"/>
          <w:sz w:val="24"/>
          <w:szCs w:val="24"/>
          <w:highlight w:val="none"/>
        </w:rPr>
        <w:t>自身</w:t>
      </w:r>
      <w:r>
        <w:rPr>
          <w:rFonts w:hint="eastAsia" w:ascii="宋体" w:hAnsi="宋体"/>
          <w:color w:val="auto"/>
          <w:sz w:val="24"/>
          <w:szCs w:val="24"/>
          <w:highlight w:val="none"/>
        </w:rPr>
        <w:t>因投标文件编制、递交及其他</w:t>
      </w:r>
      <w:r>
        <w:rPr>
          <w:rFonts w:hint="eastAsia" w:ascii="宋体" w:hAnsi="宋体"/>
          <w:bCs/>
          <w:color w:val="auto"/>
          <w:sz w:val="24"/>
          <w:szCs w:val="24"/>
          <w:highlight w:val="none"/>
        </w:rPr>
        <w:t>参加本招标活动</w:t>
      </w:r>
      <w:r>
        <w:rPr>
          <w:rFonts w:hint="eastAsia" w:ascii="宋体" w:hAnsi="宋体"/>
          <w:color w:val="auto"/>
          <w:sz w:val="24"/>
          <w:szCs w:val="24"/>
          <w:highlight w:val="none"/>
        </w:rPr>
        <w:t>所涉及的一切费用，招标人对上述费用不负任何责任。</w:t>
      </w:r>
    </w:p>
    <w:p w14:paraId="13483600">
      <w:pPr>
        <w:widowControl/>
        <w:spacing w:before="100" w:beforeAutospacing="1" w:after="100" w:afterAutospacing="1" w:line="360" w:lineRule="auto"/>
        <w:jc w:val="left"/>
        <w:outlineLvl w:val="2"/>
        <w:rPr>
          <w:rFonts w:hint="eastAsia" w:ascii="宋体" w:hAnsi="宋体" w:cs="宋体"/>
          <w:color w:val="auto"/>
          <w:kern w:val="0"/>
          <w:sz w:val="24"/>
          <w:szCs w:val="24"/>
          <w:highlight w:val="none"/>
        </w:rPr>
      </w:pPr>
      <w:bookmarkStart w:id="18" w:name="_Toc194440074"/>
      <w:bookmarkStart w:id="19" w:name="_Toc2272550"/>
      <w:bookmarkStart w:id="20" w:name="_Toc58838572"/>
      <w:bookmarkStart w:id="21" w:name="_Toc184468497"/>
      <w:r>
        <w:rPr>
          <w:rFonts w:hint="eastAsia" w:ascii="宋体" w:hAnsi="宋体" w:cs="宋体"/>
          <w:color w:val="auto"/>
          <w:kern w:val="0"/>
          <w:sz w:val="24"/>
          <w:szCs w:val="24"/>
          <w:highlight w:val="none"/>
        </w:rPr>
        <w:t>（二）招标文件</w:t>
      </w:r>
      <w:bookmarkEnd w:id="18"/>
      <w:bookmarkEnd w:id="19"/>
      <w:bookmarkEnd w:id="20"/>
      <w:bookmarkEnd w:id="21"/>
    </w:p>
    <w:p w14:paraId="544C56DF">
      <w:pPr>
        <w:tabs>
          <w:tab w:val="left" w:pos="105"/>
        </w:tabs>
        <w:spacing w:line="360" w:lineRule="auto"/>
        <w:ind w:firstLine="482" w:firstLineChars="200"/>
        <w:rPr>
          <w:rFonts w:hint="eastAsia" w:ascii="宋体" w:hAnsi="宋体"/>
          <w:b/>
          <w:color w:val="auto"/>
          <w:sz w:val="24"/>
          <w:szCs w:val="24"/>
          <w:highlight w:val="none"/>
        </w:rPr>
      </w:pPr>
      <w:r>
        <w:rPr>
          <w:rFonts w:ascii="宋体" w:hAnsi="宋体"/>
          <w:b/>
          <w:color w:val="auto"/>
          <w:sz w:val="24"/>
          <w:szCs w:val="24"/>
          <w:highlight w:val="none"/>
        </w:rPr>
        <w:t>7.</w:t>
      </w:r>
      <w:r>
        <w:rPr>
          <w:rFonts w:hint="eastAsia" w:ascii="宋体" w:hAnsi="宋体"/>
          <w:b/>
          <w:color w:val="auto"/>
          <w:sz w:val="24"/>
          <w:szCs w:val="24"/>
          <w:highlight w:val="none"/>
        </w:rPr>
        <w:t>招标文件的组成</w:t>
      </w:r>
    </w:p>
    <w:p w14:paraId="0FAD7DAF">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7.1</w:t>
      </w:r>
      <w:r>
        <w:rPr>
          <w:rFonts w:hint="eastAsia" w:ascii="宋体" w:hAnsi="宋体"/>
          <w:color w:val="auto"/>
          <w:sz w:val="24"/>
          <w:szCs w:val="24"/>
          <w:highlight w:val="none"/>
        </w:rPr>
        <w:t>本招标文件包括下列文件，以及所有按本须知第</w:t>
      </w:r>
      <w:r>
        <w:rPr>
          <w:rFonts w:ascii="宋体" w:hAnsi="宋体"/>
          <w:color w:val="auto"/>
          <w:sz w:val="24"/>
          <w:szCs w:val="24"/>
          <w:highlight w:val="none"/>
        </w:rPr>
        <w:t>8</w:t>
      </w:r>
      <w:r>
        <w:rPr>
          <w:rFonts w:hint="eastAsia" w:ascii="宋体" w:hAnsi="宋体"/>
          <w:color w:val="auto"/>
          <w:sz w:val="24"/>
          <w:szCs w:val="24"/>
          <w:highlight w:val="none"/>
        </w:rPr>
        <w:t>条发出的招标答疑会会议纪要和按本须知第</w:t>
      </w:r>
      <w:r>
        <w:rPr>
          <w:rFonts w:ascii="宋体" w:hAnsi="宋体"/>
          <w:color w:val="auto"/>
          <w:sz w:val="24"/>
          <w:szCs w:val="24"/>
          <w:highlight w:val="none"/>
        </w:rPr>
        <w:t>9</w:t>
      </w:r>
      <w:r>
        <w:rPr>
          <w:rFonts w:hint="eastAsia" w:ascii="宋体" w:hAnsi="宋体"/>
          <w:color w:val="auto"/>
          <w:sz w:val="24"/>
          <w:szCs w:val="24"/>
          <w:highlight w:val="none"/>
        </w:rPr>
        <w:t>条发出的澄清或修改：</w:t>
      </w:r>
    </w:p>
    <w:p w14:paraId="094EDBE6">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（1）招标公告</w:t>
      </w:r>
    </w:p>
    <w:p w14:paraId="3156B6F6">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（2）投标须知</w:t>
      </w:r>
    </w:p>
    <w:p w14:paraId="66B5BBE1">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（3）开标、评标及定标办法</w:t>
      </w:r>
    </w:p>
    <w:p w14:paraId="64F58FA3">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（4）合同条款</w:t>
      </w:r>
    </w:p>
    <w:p w14:paraId="3B944572">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（5）投标文件格式</w:t>
      </w:r>
    </w:p>
    <w:p w14:paraId="4238E91A">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（6）技术条件（工程建设标准）</w:t>
      </w:r>
    </w:p>
    <w:p w14:paraId="1C535740">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（7）图纸及勘察资料</w:t>
      </w:r>
    </w:p>
    <w:p w14:paraId="4446ECB2">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（8）招标工程量清单</w:t>
      </w:r>
    </w:p>
    <w:p w14:paraId="52102B3D">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（9）最高投标限价</w:t>
      </w:r>
    </w:p>
    <w:p w14:paraId="79F7261E">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注：招标人应在技术条件（工程建设标准）中明确如下内容：</w:t>
      </w:r>
    </w:p>
    <w:p w14:paraId="197E3859">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1.施工现场建筑垃圾源头减量的具体要求和建筑垃圾综合利用产品的使用要求。</w:t>
      </w:r>
    </w:p>
    <w:p w14:paraId="1A447418">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2.占道施工相关告知、围蔽、修复等要求。</w:t>
      </w:r>
    </w:p>
    <w:p w14:paraId="4F267451">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3.对照《广州市智能建造技术清单（1.0版）》对招标项目智能建造提出要求。</w:t>
      </w:r>
    </w:p>
    <w:p w14:paraId="114918BA">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4.招标人对中标人参与“百千万工程”的具体要求。</w:t>
      </w:r>
    </w:p>
    <w:p w14:paraId="7E288C50">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5.在建筑废弃物运输上落实《关于加快推动氢能产业高质量发展的若干措施》的要求。</w:t>
      </w:r>
    </w:p>
    <w:p w14:paraId="749BE6D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7.2</w:t>
      </w:r>
      <w:r>
        <w:rPr>
          <w:rFonts w:hint="eastAsia" w:ascii="宋体" w:hAnsi="宋体"/>
          <w:color w:val="auto"/>
          <w:sz w:val="24"/>
          <w:szCs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BF3370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7.3</w:t>
      </w:r>
      <w:r>
        <w:rPr>
          <w:rFonts w:hint="eastAsia" w:ascii="宋体" w:hAnsi="宋体"/>
          <w:color w:val="auto"/>
          <w:sz w:val="24"/>
          <w:szCs w:val="24"/>
          <w:highlight w:val="none"/>
        </w:rPr>
        <w:t>投标人一旦中标，招标文件的内容对招标人和中标人双方均有约束力。</w:t>
      </w:r>
    </w:p>
    <w:p w14:paraId="5C938DB7">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8</w:t>
      </w:r>
      <w:r>
        <w:rPr>
          <w:rFonts w:hint="eastAsia" w:ascii="宋体" w:hAnsi="宋体"/>
          <w:b/>
          <w:bCs/>
          <w:color w:val="auto"/>
          <w:sz w:val="24"/>
          <w:szCs w:val="24"/>
          <w:highlight w:val="none"/>
        </w:rPr>
        <w:t>．招标答疑</w:t>
      </w:r>
    </w:p>
    <w:p w14:paraId="23B094D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8.1</w:t>
      </w:r>
      <w:r>
        <w:rPr>
          <w:rFonts w:hint="eastAsia" w:ascii="宋体" w:hAnsi="宋体"/>
          <w:color w:val="auto"/>
          <w:sz w:val="24"/>
          <w:szCs w:val="24"/>
          <w:highlight w:val="none"/>
        </w:rPr>
        <w:t>投标人若对招标文件（包括招标图纸）中有疑问，可以书面形式通过</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交易平台提交给招标人或招标代理人，提交形式见本须知前附表第</w:t>
      </w:r>
      <w:r>
        <w:rPr>
          <w:rFonts w:ascii="宋体" w:hAnsi="宋体"/>
          <w:color w:val="auto"/>
          <w:sz w:val="24"/>
          <w:szCs w:val="24"/>
          <w:highlight w:val="none"/>
        </w:rPr>
        <w:t>1</w:t>
      </w:r>
      <w:r>
        <w:rPr>
          <w:rFonts w:hint="eastAsia" w:ascii="宋体" w:hAnsi="宋体"/>
          <w:color w:val="auto"/>
          <w:sz w:val="24"/>
          <w:szCs w:val="24"/>
          <w:highlight w:val="none"/>
        </w:rPr>
        <w:t>3项。</w:t>
      </w:r>
    </w:p>
    <w:p w14:paraId="484A395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8.2</w:t>
      </w:r>
      <w:r>
        <w:rPr>
          <w:rFonts w:hint="eastAsia" w:ascii="宋体" w:hAnsi="宋体"/>
          <w:color w:val="auto"/>
          <w:sz w:val="24"/>
          <w:szCs w:val="24"/>
          <w:highlight w:val="none"/>
        </w:rPr>
        <w:t>招标答疑会会议纪要将在提交投标文件截止时间</w:t>
      </w:r>
      <w:r>
        <w:rPr>
          <w:rFonts w:ascii="宋体" w:hAnsi="宋体"/>
          <w:color w:val="auto"/>
          <w:sz w:val="24"/>
          <w:szCs w:val="24"/>
          <w:highlight w:val="none"/>
        </w:rPr>
        <w:t>15日前在</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ascii="宋体" w:hAnsi="宋体"/>
          <w:color w:val="auto"/>
          <w:sz w:val="24"/>
          <w:szCs w:val="24"/>
          <w:highlight w:val="none"/>
        </w:rPr>
        <w:t xml:space="preserve"> </w:t>
      </w:r>
      <w:r>
        <w:rPr>
          <w:rFonts w:hint="eastAsia" w:ascii="宋体" w:hAnsi="宋体"/>
          <w:color w:val="auto"/>
          <w:sz w:val="24"/>
          <w:szCs w:val="24"/>
          <w:highlight w:val="none"/>
        </w:rPr>
        <w:t>“项目答疑纪要”专区公开发布。答疑纪要一经在</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交易平台发布，视作已发放给所有投标人。</w:t>
      </w:r>
    </w:p>
    <w:p w14:paraId="6286C4E0">
      <w:pPr>
        <w:spacing w:line="360" w:lineRule="auto"/>
        <w:ind w:firstLine="480" w:firstLineChars="200"/>
        <w:rPr>
          <w:rFonts w:hint="eastAsia" w:ascii="宋体" w:hAnsi="宋体"/>
          <w:color w:val="auto"/>
          <w:sz w:val="24"/>
          <w:szCs w:val="24"/>
          <w:highlight w:val="none"/>
          <w:u w:val="single"/>
        </w:rPr>
      </w:pPr>
      <w:r>
        <w:rPr>
          <w:rFonts w:ascii="宋体" w:hAnsi="宋体"/>
          <w:color w:val="auto"/>
          <w:sz w:val="24"/>
          <w:szCs w:val="24"/>
          <w:highlight w:val="none"/>
        </w:rPr>
        <w:t>8.3</w:t>
      </w:r>
      <w:r>
        <w:rPr>
          <w:rFonts w:hint="eastAsia" w:ascii="宋体" w:hAnsi="宋体"/>
          <w:color w:val="auto"/>
          <w:sz w:val="24"/>
          <w:szCs w:val="24"/>
          <w:highlight w:val="none"/>
          <w:u w:val="single"/>
        </w:rPr>
        <w:t>招标答疑纪要</w:t>
      </w:r>
      <w:r>
        <w:rPr>
          <w:rFonts w:hint="eastAsia" w:ascii="宋体" w:hAnsi="宋体"/>
          <w:color w:val="auto"/>
          <w:sz w:val="24"/>
          <w:szCs w:val="24"/>
          <w:highlight w:val="none"/>
        </w:rPr>
        <w:t>为招标文件的一部分。</w:t>
      </w:r>
      <w:r>
        <w:rPr>
          <w:rFonts w:hint="eastAsia" w:ascii="宋体" w:hAnsi="宋体"/>
          <w:color w:val="auto"/>
          <w:sz w:val="24"/>
          <w:szCs w:val="24"/>
          <w:highlight w:val="none"/>
          <w:u w:val="single"/>
        </w:rPr>
        <w:t>投标人可在广州交易集团有限公司（广州公共资源交易中心）网站浏览、下载招标答疑纪要。</w:t>
      </w:r>
    </w:p>
    <w:p w14:paraId="673BB26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8.4</w:t>
      </w:r>
      <w:r>
        <w:rPr>
          <w:rFonts w:hint="eastAsia" w:ascii="宋体" w:hAnsi="宋体"/>
          <w:color w:val="auto"/>
          <w:sz w:val="24"/>
          <w:szCs w:val="24"/>
          <w:highlight w:val="none"/>
        </w:rPr>
        <w:t>若招标答疑会会议纪要与招标文件有矛盾，以</w:t>
      </w:r>
      <w:r>
        <w:rPr>
          <w:rFonts w:hint="eastAsia" w:ascii="宋体" w:hAnsi="宋体"/>
          <w:color w:val="auto"/>
          <w:sz w:val="24"/>
          <w:szCs w:val="24"/>
          <w:highlight w:val="none"/>
          <w:u w:val="single"/>
        </w:rPr>
        <w:t>广州交易集团有限公司（广州公共资源交易中心）网站</w:t>
      </w:r>
      <w:r>
        <w:rPr>
          <w:rFonts w:hint="eastAsia" w:ascii="宋体" w:hAnsi="宋体"/>
          <w:color w:val="auto"/>
          <w:sz w:val="24"/>
          <w:szCs w:val="24"/>
          <w:highlight w:val="none"/>
        </w:rPr>
        <w:t>最后发出的</w:t>
      </w:r>
      <w:r>
        <w:rPr>
          <w:rFonts w:hint="eastAsia" w:ascii="宋体" w:hAnsi="宋体"/>
          <w:color w:val="auto"/>
          <w:sz w:val="24"/>
          <w:szCs w:val="24"/>
          <w:highlight w:val="none"/>
          <w:u w:val="single"/>
        </w:rPr>
        <w:t>答疑纪要</w:t>
      </w:r>
      <w:r>
        <w:rPr>
          <w:rFonts w:hint="eastAsia" w:ascii="宋体" w:hAnsi="宋体"/>
          <w:color w:val="auto"/>
          <w:sz w:val="24"/>
          <w:szCs w:val="24"/>
          <w:highlight w:val="none"/>
        </w:rPr>
        <w:t>为准。</w:t>
      </w:r>
    </w:p>
    <w:p w14:paraId="7837B18B">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9.</w:t>
      </w:r>
      <w:r>
        <w:rPr>
          <w:rFonts w:hint="eastAsia" w:ascii="宋体" w:hAnsi="宋体"/>
          <w:b/>
          <w:bCs/>
          <w:color w:val="auto"/>
          <w:sz w:val="24"/>
          <w:szCs w:val="24"/>
          <w:highlight w:val="none"/>
        </w:rPr>
        <w:t>招标文件的澄清与修改</w:t>
      </w:r>
    </w:p>
    <w:p w14:paraId="0BA30E1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9.1</w:t>
      </w:r>
      <w:r>
        <w:rPr>
          <w:rFonts w:hint="eastAsia" w:ascii="宋体" w:hAnsi="宋体"/>
          <w:color w:val="auto"/>
          <w:sz w:val="24"/>
          <w:szCs w:val="24"/>
          <w:highlight w:val="none"/>
        </w:rPr>
        <w:t>招标文件发出后</w:t>
      </w:r>
      <w:r>
        <w:rPr>
          <w:rFonts w:ascii="宋体" w:hAnsi="宋体"/>
          <w:color w:val="auto"/>
          <w:sz w:val="24"/>
          <w:szCs w:val="24"/>
          <w:highlight w:val="none"/>
        </w:rPr>
        <w:t>,</w:t>
      </w:r>
      <w:r>
        <w:rPr>
          <w:rFonts w:hint="eastAsia" w:ascii="宋体" w:hAnsi="宋体"/>
          <w:color w:val="auto"/>
          <w:sz w:val="24"/>
          <w:szCs w:val="24"/>
          <w:highlight w:val="none"/>
        </w:rPr>
        <w:t>在提交投标文件截止时间</w:t>
      </w:r>
      <w:r>
        <w:rPr>
          <w:rFonts w:ascii="宋体" w:hAnsi="宋体"/>
          <w:color w:val="auto"/>
          <w:sz w:val="24"/>
          <w:szCs w:val="24"/>
          <w:highlight w:val="none"/>
        </w:rPr>
        <w:t>15日前，招标人可对招标文件进行必要的澄清或修改。</w:t>
      </w:r>
    </w:p>
    <w:p w14:paraId="095F83A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9.2</w:t>
      </w:r>
      <w:r>
        <w:rPr>
          <w:rFonts w:hint="eastAsia" w:ascii="宋体" w:hAnsi="宋体"/>
          <w:color w:val="auto"/>
          <w:sz w:val="24"/>
          <w:szCs w:val="24"/>
          <w:highlight w:val="none"/>
        </w:rPr>
        <w:t>招标文件的澄清或修改将在</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交易平台“项目答疑纪要”专区公开发布。答疑纪要一经在</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交易平台发布，视作已发放给所有投标人，以</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交易平台上网发布时间作为送达时间。</w:t>
      </w:r>
    </w:p>
    <w:p w14:paraId="304AA9E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9.3</w:t>
      </w:r>
      <w:r>
        <w:rPr>
          <w:rFonts w:hint="eastAsia" w:ascii="宋体" w:hAnsi="宋体"/>
          <w:color w:val="auto"/>
          <w:sz w:val="24"/>
          <w:szCs w:val="24"/>
          <w:highlight w:val="none"/>
        </w:rPr>
        <w:t>招标文件的澄清或修改内容为招标文件的组成部分，对投标人起约束作用。</w:t>
      </w:r>
    </w:p>
    <w:p w14:paraId="3B6610D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9.4</w:t>
      </w:r>
      <w:r>
        <w:rPr>
          <w:rFonts w:hint="eastAsia" w:ascii="宋体" w:hAnsi="宋体"/>
          <w:color w:val="auto"/>
          <w:sz w:val="24"/>
          <w:szCs w:val="24"/>
          <w:highlight w:val="none"/>
        </w:rPr>
        <w:t>招标文件的澄清或修改均以</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0"/>
          <w:highlight w:val="none"/>
          <w:u w:val="single"/>
        </w:rPr>
        <w:t>网站</w:t>
      </w:r>
      <w:r>
        <w:rPr>
          <w:rFonts w:hint="eastAsia" w:ascii="宋体" w:hAnsi="宋体"/>
          <w:color w:val="auto"/>
          <w:sz w:val="24"/>
          <w:szCs w:val="20"/>
          <w:highlight w:val="none"/>
          <w:u w:val="single"/>
          <w:lang w:val="en-US" w:eastAsia="zh-CN"/>
        </w:rPr>
        <w:t>公布</w:t>
      </w:r>
      <w:r>
        <w:rPr>
          <w:rFonts w:hint="eastAsia" w:ascii="宋体" w:hAnsi="宋体"/>
          <w:color w:val="auto"/>
          <w:sz w:val="24"/>
          <w:szCs w:val="24"/>
          <w:highlight w:val="none"/>
        </w:rPr>
        <w:t>的内容为准。当招标文件的澄清、修改、补充等在同一内容的表述不一致时，以最后发出的书面形式的文件为准。</w:t>
      </w:r>
    </w:p>
    <w:p w14:paraId="55A1BC5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9.5</w:t>
      </w:r>
      <w:r>
        <w:rPr>
          <w:rFonts w:hint="eastAsia" w:ascii="宋体" w:hAnsi="宋体"/>
          <w:color w:val="auto"/>
          <w:sz w:val="24"/>
          <w:szCs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8C3F99A">
      <w:pPr>
        <w:widowControl/>
        <w:spacing w:before="100" w:beforeAutospacing="1" w:after="100" w:afterAutospacing="1" w:line="360" w:lineRule="auto"/>
        <w:jc w:val="left"/>
        <w:outlineLvl w:val="2"/>
        <w:rPr>
          <w:rFonts w:hint="eastAsia" w:ascii="宋体" w:hAnsi="宋体" w:cs="宋体"/>
          <w:color w:val="auto"/>
          <w:kern w:val="0"/>
          <w:sz w:val="24"/>
          <w:szCs w:val="24"/>
          <w:highlight w:val="none"/>
        </w:rPr>
      </w:pPr>
      <w:bookmarkStart w:id="22" w:name="_Toc2272551"/>
      <w:bookmarkStart w:id="23" w:name="_Toc194440075"/>
      <w:bookmarkStart w:id="24" w:name="_Toc184468498"/>
      <w:bookmarkStart w:id="25" w:name="_Toc58838573"/>
      <w:r>
        <w:rPr>
          <w:rFonts w:hint="eastAsia" w:ascii="宋体" w:hAnsi="宋体" w:cs="宋体"/>
          <w:color w:val="auto"/>
          <w:kern w:val="0"/>
          <w:sz w:val="24"/>
          <w:szCs w:val="24"/>
          <w:highlight w:val="none"/>
        </w:rPr>
        <w:t>（三）投标文件的编制</w:t>
      </w:r>
      <w:bookmarkEnd w:id="22"/>
      <w:bookmarkEnd w:id="23"/>
      <w:bookmarkEnd w:id="24"/>
      <w:bookmarkEnd w:id="25"/>
    </w:p>
    <w:p w14:paraId="514B5D2A">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10</w:t>
      </w:r>
      <w:r>
        <w:rPr>
          <w:rFonts w:hint="eastAsia" w:ascii="宋体" w:hAnsi="宋体"/>
          <w:b/>
          <w:bCs/>
          <w:color w:val="auto"/>
          <w:sz w:val="24"/>
          <w:szCs w:val="24"/>
          <w:highlight w:val="none"/>
        </w:rPr>
        <w:t>．投标文件的语言及度量衡单位</w:t>
      </w:r>
    </w:p>
    <w:p w14:paraId="5341F46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10.1</w:t>
      </w:r>
      <w:r>
        <w:rPr>
          <w:rFonts w:hint="eastAsia" w:ascii="宋体" w:hAnsi="宋体"/>
          <w:color w:val="auto"/>
          <w:sz w:val="24"/>
          <w:szCs w:val="24"/>
          <w:highlight w:val="none"/>
        </w:rPr>
        <w:t>投标文件和与投标有关的所有文件均应使用中文。</w:t>
      </w:r>
    </w:p>
    <w:p w14:paraId="24497BE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10.2</w:t>
      </w:r>
      <w:r>
        <w:rPr>
          <w:rFonts w:hint="eastAsia" w:ascii="宋体" w:hAnsi="宋体"/>
          <w:color w:val="auto"/>
          <w:sz w:val="24"/>
          <w:szCs w:val="24"/>
          <w:highlight w:val="none"/>
        </w:rPr>
        <w:t>除工程规范另有规定外，投标文件使用的度量衡单位，均采用中华人民共和国法定计量单位。</w:t>
      </w:r>
    </w:p>
    <w:p w14:paraId="3222B252">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11</w:t>
      </w:r>
      <w:r>
        <w:rPr>
          <w:rFonts w:hint="eastAsia" w:ascii="宋体" w:hAnsi="宋体"/>
          <w:b/>
          <w:bCs/>
          <w:color w:val="auto"/>
          <w:sz w:val="24"/>
          <w:szCs w:val="24"/>
          <w:highlight w:val="none"/>
        </w:rPr>
        <w:t>．投标文件的组成</w:t>
      </w:r>
    </w:p>
    <w:p w14:paraId="275452B4">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11.1投标文件由技术部分（含资格审查文件）和经济部分二部分投标文件组成。</w:t>
      </w:r>
    </w:p>
    <w:p w14:paraId="68F59B81">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11.2投标文件技术标部分主要包括下列内容:</w:t>
      </w:r>
    </w:p>
    <w:p w14:paraId="315B9515">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11.2.1资格审查文件</w:t>
      </w:r>
    </w:p>
    <w:p w14:paraId="21730BB7">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（1）投标人声明</w:t>
      </w:r>
      <w:r>
        <w:rPr>
          <w:rFonts w:hint="eastAsia" w:ascii="宋体" w:hAnsi="宋体"/>
          <w:color w:val="auto"/>
          <w:sz w:val="24"/>
          <w:szCs w:val="24"/>
          <w:highlight w:val="none"/>
          <w:u w:val="single"/>
        </w:rPr>
        <w:t>（须按招标公告附件内容及格式要求编制）</w:t>
      </w:r>
      <w:r>
        <w:rPr>
          <w:rFonts w:hint="eastAsia" w:ascii="宋体" w:hAnsi="宋体"/>
          <w:color w:val="auto"/>
          <w:sz w:val="24"/>
          <w:szCs w:val="24"/>
          <w:highlight w:val="none"/>
        </w:rPr>
        <w:t>；</w:t>
      </w:r>
    </w:p>
    <w:p w14:paraId="55953116">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（2）法定代表人证明书、法定代表人签字或盖章的本投标文件授权委托证明书；</w:t>
      </w:r>
    </w:p>
    <w:p w14:paraId="57890F61">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（3）企业营业执照</w:t>
      </w:r>
      <w:r>
        <w:rPr>
          <w:rFonts w:hint="eastAsia" w:ascii="宋体" w:hAnsi="宋体"/>
          <w:color w:val="auto"/>
          <w:sz w:val="24"/>
          <w:szCs w:val="24"/>
          <w:highlight w:val="none"/>
          <w:u w:val="single"/>
        </w:rPr>
        <w:t>（扫描件或电子证照）</w:t>
      </w:r>
      <w:r>
        <w:rPr>
          <w:rFonts w:hint="eastAsia" w:ascii="宋体" w:hAnsi="宋体"/>
          <w:color w:val="auto"/>
          <w:sz w:val="24"/>
          <w:szCs w:val="24"/>
          <w:highlight w:val="none"/>
        </w:rPr>
        <w:t>；</w:t>
      </w:r>
    </w:p>
    <w:p w14:paraId="401FD5C7">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（4）企业资质证书</w:t>
      </w:r>
      <w:r>
        <w:rPr>
          <w:rFonts w:hint="eastAsia" w:ascii="宋体" w:hAnsi="宋体"/>
          <w:color w:val="auto"/>
          <w:sz w:val="24"/>
          <w:szCs w:val="24"/>
          <w:highlight w:val="none"/>
          <w:u w:val="single"/>
        </w:rPr>
        <w:t>（扫描件或电子证照）</w:t>
      </w:r>
      <w:r>
        <w:rPr>
          <w:rFonts w:hint="eastAsia" w:ascii="宋体" w:hAnsi="宋体"/>
          <w:color w:val="auto"/>
          <w:sz w:val="24"/>
          <w:szCs w:val="24"/>
          <w:highlight w:val="none"/>
        </w:rPr>
        <w:t>；</w:t>
      </w:r>
    </w:p>
    <w:p w14:paraId="20590F75">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（5）建筑施工企业安全生产许可证</w:t>
      </w:r>
      <w:r>
        <w:rPr>
          <w:rFonts w:hint="eastAsia" w:ascii="宋体" w:hAnsi="宋体"/>
          <w:color w:val="auto"/>
          <w:sz w:val="24"/>
          <w:szCs w:val="24"/>
          <w:highlight w:val="none"/>
          <w:u w:val="single"/>
        </w:rPr>
        <w:t>（扫描件或电子证照）</w:t>
      </w:r>
      <w:r>
        <w:rPr>
          <w:rFonts w:hint="eastAsia" w:ascii="宋体" w:hAnsi="宋体"/>
          <w:color w:val="auto"/>
          <w:sz w:val="24"/>
          <w:szCs w:val="24"/>
          <w:highlight w:val="none"/>
        </w:rPr>
        <w:t>；</w:t>
      </w:r>
    </w:p>
    <w:p w14:paraId="13B2BF04">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（6）项目负责人（按网上投标登记时选择拟投标的项目负责人</w:t>
      </w:r>
      <w:r>
        <w:rPr>
          <w:rFonts w:hint="eastAsia" w:ascii="宋体" w:hAnsi="宋体"/>
          <w:color w:val="auto"/>
          <w:sz w:val="24"/>
          <w:szCs w:val="24"/>
          <w:highlight w:val="none"/>
          <w:u w:val="single"/>
        </w:rPr>
        <w:t>，提供扫描件或电子证照</w:t>
      </w:r>
      <w:r>
        <w:rPr>
          <w:rFonts w:hint="eastAsia" w:ascii="宋体" w:hAnsi="宋体"/>
          <w:color w:val="auto"/>
          <w:sz w:val="24"/>
          <w:szCs w:val="24"/>
          <w:highlight w:val="none"/>
        </w:rPr>
        <w:t>）；</w:t>
      </w:r>
    </w:p>
    <w:p w14:paraId="4B56C92E">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（7）专职安全员（按网上投标登记时选择拟投标的专职安全员</w:t>
      </w:r>
      <w:r>
        <w:rPr>
          <w:rFonts w:hint="eastAsia" w:ascii="宋体" w:hAnsi="宋体"/>
          <w:color w:val="auto"/>
          <w:sz w:val="24"/>
          <w:szCs w:val="24"/>
          <w:highlight w:val="none"/>
          <w:u w:val="single"/>
        </w:rPr>
        <w:t>，提供扫描件或电子证照</w:t>
      </w:r>
      <w:r>
        <w:rPr>
          <w:rFonts w:hint="eastAsia" w:ascii="宋体" w:hAnsi="宋体"/>
          <w:color w:val="auto"/>
          <w:sz w:val="24"/>
          <w:szCs w:val="24"/>
          <w:highlight w:val="none"/>
        </w:rPr>
        <w:t>）；</w:t>
      </w:r>
    </w:p>
    <w:p w14:paraId="5B70C38C">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（8）拟委派项目负责人的建造师注册证书</w:t>
      </w:r>
      <w:r>
        <w:rPr>
          <w:rFonts w:hint="eastAsia" w:ascii="宋体" w:hAnsi="宋体"/>
          <w:color w:val="auto"/>
          <w:sz w:val="24"/>
          <w:szCs w:val="24"/>
          <w:highlight w:val="none"/>
          <w:u w:val="single"/>
        </w:rPr>
        <w:t>（扫描件或电子证照）</w:t>
      </w:r>
      <w:r>
        <w:rPr>
          <w:rFonts w:hint="eastAsia" w:ascii="宋体" w:hAnsi="宋体"/>
          <w:color w:val="auto"/>
          <w:sz w:val="24"/>
          <w:szCs w:val="24"/>
          <w:highlight w:val="none"/>
        </w:rPr>
        <w:t>；</w:t>
      </w:r>
    </w:p>
    <w:p w14:paraId="100AC9E6">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（9）项目负责人安全生产考核合格证明或在有效期内的安全生产考核合格证书（B类）或建筑施工企业项目负责人安全生产考核合格证书</w:t>
      </w:r>
      <w:r>
        <w:rPr>
          <w:rFonts w:hint="eastAsia" w:ascii="宋体" w:hAnsi="宋体"/>
          <w:color w:val="auto"/>
          <w:sz w:val="24"/>
          <w:szCs w:val="24"/>
          <w:highlight w:val="none"/>
          <w:u w:val="single"/>
        </w:rPr>
        <w:t>（扫描件或电子证照）</w:t>
      </w:r>
      <w:r>
        <w:rPr>
          <w:rFonts w:hint="eastAsia" w:ascii="宋体" w:hAnsi="宋体"/>
          <w:color w:val="auto"/>
          <w:sz w:val="24"/>
          <w:szCs w:val="24"/>
          <w:highlight w:val="none"/>
        </w:rPr>
        <w:t>；</w:t>
      </w:r>
    </w:p>
    <w:p w14:paraId="08F02F96">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（10）专职安全员须具有在有效期内的安全生产考核合格证书（C类）或建筑施工企业专职安全生产管理人员安全生产考核合格证书</w:t>
      </w:r>
      <w:r>
        <w:rPr>
          <w:rFonts w:hint="eastAsia" w:ascii="宋体" w:hAnsi="宋体"/>
          <w:color w:val="auto"/>
          <w:sz w:val="24"/>
          <w:szCs w:val="24"/>
          <w:highlight w:val="none"/>
          <w:u w:val="single"/>
        </w:rPr>
        <w:t>（扫描件或电子证照）</w:t>
      </w:r>
      <w:r>
        <w:rPr>
          <w:rFonts w:hint="eastAsia" w:ascii="宋体" w:hAnsi="宋体"/>
          <w:color w:val="auto"/>
          <w:sz w:val="24"/>
          <w:szCs w:val="24"/>
          <w:highlight w:val="none"/>
        </w:rPr>
        <w:t>；</w:t>
      </w:r>
    </w:p>
    <w:p w14:paraId="087BF443">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（11）投标登记前，投标人须在广州交易集团有限公司（广州公共资源交易中心）办理企业信息登记及拟担任本工程项目负责人、专职安全员须是本企业信息登记信息中的在册人员。（提供网页信息截图）</w:t>
      </w:r>
    </w:p>
    <w:p w14:paraId="49DFD4C7">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（12）投标人认为应提供的其他资料。</w:t>
      </w:r>
    </w:p>
    <w:p w14:paraId="2CF9BC85">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11.2.2技术投标文件主要包括下列内容：</w:t>
      </w:r>
    </w:p>
    <w:p w14:paraId="03C1F720">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（1）《广州建设工程施工招标投标书》</w:t>
      </w:r>
      <w:r>
        <w:rPr>
          <w:rFonts w:hint="eastAsia" w:ascii="宋体" w:hAnsi="宋体"/>
          <w:color w:val="auto"/>
          <w:sz w:val="24"/>
          <w:szCs w:val="24"/>
          <w:highlight w:val="none"/>
          <w:u w:val="single"/>
        </w:rPr>
        <w:t>（需按招标文件第四章要求的格式填写，具体格式以《广州建设工程施工招标投标书（技术标）》为准）</w:t>
      </w:r>
      <w:r>
        <w:rPr>
          <w:rFonts w:hint="eastAsia" w:ascii="宋体" w:hAnsi="宋体"/>
          <w:color w:val="auto"/>
          <w:sz w:val="24"/>
          <w:szCs w:val="24"/>
          <w:highlight w:val="none"/>
        </w:rPr>
        <w:t>；</w:t>
      </w:r>
    </w:p>
    <w:p w14:paraId="16D53EF1">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（2）</w:t>
      </w:r>
      <w:r>
        <w:rPr>
          <w:rFonts w:hint="eastAsia" w:ascii="宋体" w:hAnsi="宋体"/>
          <w:color w:val="auto"/>
          <w:sz w:val="24"/>
          <w:szCs w:val="24"/>
          <w:highlight w:val="none"/>
          <w:u w:val="single"/>
        </w:rPr>
        <w:t>《投标函》（格式见第四章）；</w:t>
      </w:r>
    </w:p>
    <w:p w14:paraId="4B4D7832">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（3）项目管理机构配备，按《项目管理机构人员信息表》、《主要人员简历表》格式填写（格式见第四章）：</w:t>
      </w:r>
    </w:p>
    <w:p w14:paraId="785A9FA5">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①投标人应列出该项目工程的施工组织机构构成和画出机构框架图及其负责人；</w:t>
      </w:r>
    </w:p>
    <w:p w14:paraId="47AB79C6">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②投标人应详细列出该施工组织机构中主要成员的名单、简历资料、职务职称和在本项目中拟担任的职务等资料，并附上有关证明材料扫描件；</w:t>
      </w:r>
    </w:p>
    <w:p w14:paraId="186B6C16">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③其他辅助说明资料。</w:t>
      </w:r>
    </w:p>
    <w:p w14:paraId="67FE229D">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（4）企业资信证明资料；</w:t>
      </w:r>
    </w:p>
    <w:p w14:paraId="5F1AC1D3">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（5）《参与编制技术标投标文件人员名单》（格式见第四章）；</w:t>
      </w:r>
    </w:p>
    <w:p w14:paraId="6EBFDA28">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（6）《危险性较大的分部分项工程清单及超过一定规模的危险性较大的分部分项工程清单》（格式见第四章）；</w:t>
      </w:r>
    </w:p>
    <w:p w14:paraId="6C1E4295">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（7）</w:t>
      </w:r>
      <w:r>
        <w:rPr>
          <w:rFonts w:hint="eastAsia" w:ascii="宋体" w:hAnsi="宋体"/>
          <w:color w:val="auto"/>
          <w:sz w:val="24"/>
          <w:szCs w:val="24"/>
          <w:highlight w:val="none"/>
        </w:rPr>
        <w:t>施工组织设计或施工方案；</w:t>
      </w:r>
      <w:r>
        <w:rPr>
          <w:rFonts w:hint="eastAsia" w:ascii="宋体" w:hAnsi="宋体"/>
          <w:color w:val="auto"/>
          <w:sz w:val="24"/>
          <w:szCs w:val="24"/>
          <w:highlight w:val="none"/>
          <w:u w:val="single"/>
        </w:rPr>
        <w:t>（投标人在编制施工组织设计或施工方案时应按照招标文件要求，并针对本项目的关键技术、工艺、重点、难点以及拟在本项目采用的新工艺、新技术、新材料编制，应突出重点，标准、规范中已有的内容无需赘述，篇幅不宜超过200页，超过部分将不予评审。）</w:t>
      </w:r>
    </w:p>
    <w:p w14:paraId="6DD4477C">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（8）投标人认为须要提供的其他资料。</w:t>
      </w:r>
    </w:p>
    <w:p w14:paraId="1242EEE5">
      <w:pPr>
        <w:tabs>
          <w:tab w:val="left" w:pos="1125"/>
        </w:tabs>
        <w:spacing w:line="360" w:lineRule="auto"/>
        <w:ind w:firstLine="480" w:firstLineChars="200"/>
        <w:rPr>
          <w:rFonts w:hint="eastAsia" w:ascii="宋体" w:hAnsi="宋体"/>
          <w:color w:val="auto"/>
          <w:sz w:val="24"/>
          <w:szCs w:val="24"/>
          <w:highlight w:val="none"/>
        </w:rPr>
      </w:pPr>
      <w:bookmarkStart w:id="26" w:name="_Hlk194825702"/>
      <w:r>
        <w:rPr>
          <w:rFonts w:hint="eastAsia" w:ascii="宋体" w:hAnsi="宋体"/>
          <w:color w:val="auto"/>
          <w:sz w:val="24"/>
          <w:szCs w:val="24"/>
          <w:highlight w:val="none"/>
        </w:rPr>
        <w:t>11.3经济部分投标文件主要包括下列内容：</w:t>
      </w:r>
    </w:p>
    <w:p w14:paraId="2CD381C9">
      <w:pPr>
        <w:tabs>
          <w:tab w:val="left" w:pos="1125"/>
        </w:tabs>
        <w:spacing w:line="360" w:lineRule="auto"/>
        <w:ind w:firstLine="480" w:firstLineChars="2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u w:val="single"/>
        </w:rPr>
        <w:t>11.3.1广州建设工程施工招标投标书（需按招标文件第四章要求的格式填写，具体格式以《广州建设工程施工招标投标书（经济标）》为准）</w:t>
      </w:r>
      <w:r>
        <w:rPr>
          <w:rFonts w:hint="eastAsia" w:ascii="宋体" w:hAnsi="宋体"/>
          <w:color w:val="auto"/>
          <w:sz w:val="24"/>
          <w:szCs w:val="24"/>
          <w:highlight w:val="none"/>
          <w:u w:val="single"/>
          <w:lang w:eastAsia="zh-CN"/>
        </w:rPr>
        <w:t>。</w:t>
      </w:r>
    </w:p>
    <w:p w14:paraId="4926D782">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722667BF">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（1）投标总价封面、扉页；</w:t>
      </w:r>
    </w:p>
    <w:p w14:paraId="4666FC34">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（2）总说明；</w:t>
      </w:r>
    </w:p>
    <w:p w14:paraId="18E97F50">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（3）工程量清单报价表及综合单价分析表（相关表格的内容及格式要求以招标人发出的最新版电子招标文件中的相应内容及格式为准）；</w:t>
      </w:r>
    </w:p>
    <w:p w14:paraId="54ABD1D8">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（4）其它辅助说明资料。</w:t>
      </w:r>
    </w:p>
    <w:p w14:paraId="5E9E38B6">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11.3.3按照招标文件要求填写的《参与编制经济标投标文件人员名单》</w:t>
      </w:r>
      <w:r>
        <w:rPr>
          <w:rFonts w:hint="eastAsia" w:ascii="宋体" w:hAnsi="宋体"/>
          <w:color w:val="auto"/>
          <w:sz w:val="24"/>
          <w:szCs w:val="24"/>
          <w:highlight w:val="none"/>
          <w:u w:val="single"/>
        </w:rPr>
        <w:t>（格式见第四章）</w:t>
      </w:r>
      <w:r>
        <w:rPr>
          <w:rFonts w:hint="eastAsia" w:ascii="宋体" w:hAnsi="宋体"/>
          <w:color w:val="auto"/>
          <w:sz w:val="24"/>
          <w:szCs w:val="24"/>
          <w:highlight w:val="none"/>
        </w:rPr>
        <w:t>。</w:t>
      </w:r>
    </w:p>
    <w:p w14:paraId="15ED83E6">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11.3.4</w:t>
      </w:r>
      <w:r>
        <w:rPr>
          <w:rFonts w:hint="eastAsia" w:ascii="宋体" w:hAnsi="宋体"/>
          <w:color w:val="auto"/>
          <w:sz w:val="24"/>
          <w:szCs w:val="24"/>
          <w:highlight w:val="none"/>
          <w:u w:val="single"/>
        </w:rPr>
        <w:t>《对投标文件编制的承诺》（格式见第四章）。</w:t>
      </w:r>
    </w:p>
    <w:p w14:paraId="026AEFC6">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11.3.5若投标人的投标报价低于工程成本警戒价的，投标人还须提供详细的施工组织设计、单价、措施性费用、单价分析表、主要材料价格表、投标人成本分析供评标委员会评审。</w:t>
      </w:r>
    </w:p>
    <w:p w14:paraId="163A22DC">
      <w:pPr>
        <w:tabs>
          <w:tab w:val="left" w:pos="1125"/>
        </w:tabs>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11.3.6投标人认为应提供的其他资料。</w:t>
      </w:r>
    </w:p>
    <w:bookmarkEnd w:id="26"/>
    <w:p w14:paraId="4F580C71">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12</w:t>
      </w:r>
      <w:r>
        <w:rPr>
          <w:rFonts w:hint="eastAsia" w:ascii="宋体" w:hAnsi="宋体"/>
          <w:b/>
          <w:bCs/>
          <w:color w:val="auto"/>
          <w:sz w:val="24"/>
          <w:szCs w:val="24"/>
          <w:highlight w:val="none"/>
        </w:rPr>
        <w:t>．投标文件格式</w:t>
      </w:r>
    </w:p>
    <w:p w14:paraId="7FE21F9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12.1</w:t>
      </w:r>
      <w:r>
        <w:rPr>
          <w:rFonts w:hint="eastAsia" w:ascii="宋体" w:hAnsi="宋体"/>
          <w:color w:val="auto"/>
          <w:sz w:val="24"/>
          <w:szCs w:val="24"/>
          <w:highlight w:val="none"/>
        </w:rPr>
        <w:t>投标文件包括本须知第</w:t>
      </w:r>
      <w:r>
        <w:rPr>
          <w:rFonts w:ascii="宋体" w:hAnsi="宋体"/>
          <w:color w:val="auto"/>
          <w:sz w:val="24"/>
          <w:szCs w:val="24"/>
          <w:highlight w:val="none"/>
        </w:rPr>
        <w:t>11</w:t>
      </w:r>
      <w:r>
        <w:rPr>
          <w:rFonts w:hint="eastAsia" w:ascii="宋体" w:hAnsi="宋体"/>
          <w:color w:val="auto"/>
          <w:sz w:val="24"/>
          <w:szCs w:val="24"/>
          <w:highlight w:val="none"/>
        </w:rPr>
        <w:t>条中规定的内容，投标人提交的投标文件应当使用招标文件所提供的投标文件全部格式（表格可以按同样格式扩展）。</w:t>
      </w:r>
    </w:p>
    <w:p w14:paraId="20E1F9A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12.2</w:t>
      </w:r>
      <w:r>
        <w:rPr>
          <w:rFonts w:hint="eastAsia" w:ascii="宋体" w:hAnsi="宋体"/>
          <w:color w:val="auto"/>
          <w:sz w:val="24"/>
          <w:szCs w:val="24"/>
          <w:highlight w:val="none"/>
        </w:rPr>
        <w:t>投标文件全部采用电子文档，投标文件所附证书证件均为原件</w:t>
      </w:r>
      <w:r>
        <w:rPr>
          <w:rFonts w:hint="eastAsia" w:ascii="宋体" w:hAnsi="宋体"/>
          <w:color w:val="auto"/>
          <w:sz w:val="24"/>
          <w:szCs w:val="24"/>
          <w:highlight w:val="none"/>
          <w:u w:val="single"/>
        </w:rPr>
        <w:t>清晰</w:t>
      </w:r>
      <w:r>
        <w:rPr>
          <w:rFonts w:hint="eastAsia" w:ascii="宋体" w:hAnsi="宋体"/>
          <w:color w:val="auto"/>
          <w:sz w:val="24"/>
          <w:szCs w:val="24"/>
          <w:highlight w:val="none"/>
        </w:rPr>
        <w:t>扫描件，并采用单位数字证书，按招标文件要求在相应位置加盖电子印章。投标文件中需个人签字或盖章的，应加盖个人电子印章或在线下完成后扫描上传。按照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w:t>
      </w:r>
      <w:r>
        <w:rPr>
          <w:rFonts w:ascii="宋体" w:hAnsi="宋体"/>
          <w:color w:val="auto"/>
          <w:sz w:val="24"/>
          <w:szCs w:val="24"/>
          <w:highlight w:val="none"/>
        </w:rPr>
        <w:t>。</w:t>
      </w:r>
    </w:p>
    <w:p w14:paraId="183479B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12.3</w:t>
      </w:r>
      <w:r>
        <w:rPr>
          <w:rFonts w:hint="eastAsia" w:ascii="宋体" w:hAnsi="宋体"/>
          <w:bCs/>
          <w:color w:val="auto"/>
          <w:sz w:val="24"/>
          <w:szCs w:val="24"/>
          <w:highlight w:val="none"/>
        </w:rPr>
        <w:t>投标文件应按</w:t>
      </w:r>
      <w:r>
        <w:rPr>
          <w:rFonts w:hint="eastAsia" w:ascii="宋体" w:hAnsi="宋体"/>
          <w:color w:val="auto"/>
          <w:sz w:val="24"/>
          <w:szCs w:val="24"/>
          <w:highlight w:val="none"/>
        </w:rPr>
        <w:t>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交易平台关于全流程电子化项目的相关指南进行编制，详见：</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w:t>
      </w:r>
    </w:p>
    <w:p w14:paraId="302EB587">
      <w:pPr>
        <w:spacing w:line="360" w:lineRule="auto"/>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0AF6D789">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13</w:t>
      </w:r>
      <w:r>
        <w:rPr>
          <w:rFonts w:hint="eastAsia" w:ascii="宋体" w:hAnsi="宋体"/>
          <w:b/>
          <w:bCs/>
          <w:color w:val="auto"/>
          <w:sz w:val="24"/>
          <w:szCs w:val="24"/>
          <w:highlight w:val="none"/>
        </w:rPr>
        <w:t>．投标报价及造价承包和变更结算方式</w:t>
      </w:r>
    </w:p>
    <w:p w14:paraId="3AB74DE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13.1</w:t>
      </w:r>
      <w:r>
        <w:rPr>
          <w:rFonts w:hint="eastAsia" w:ascii="宋体" w:hAnsi="宋体"/>
          <w:color w:val="auto"/>
          <w:sz w:val="24"/>
          <w:szCs w:val="24"/>
          <w:highlight w:val="none"/>
        </w:rPr>
        <w:t>本工程的投标报价采用投标须知前附表第</w:t>
      </w:r>
      <w:r>
        <w:rPr>
          <w:rFonts w:ascii="宋体" w:hAnsi="宋体"/>
          <w:color w:val="auto"/>
          <w:sz w:val="24"/>
          <w:szCs w:val="24"/>
          <w:highlight w:val="none"/>
        </w:rPr>
        <w:t>1</w:t>
      </w:r>
      <w:r>
        <w:rPr>
          <w:rFonts w:hint="eastAsia" w:ascii="宋体" w:hAnsi="宋体"/>
          <w:color w:val="auto"/>
          <w:sz w:val="24"/>
          <w:szCs w:val="24"/>
          <w:highlight w:val="none"/>
        </w:rPr>
        <w:t>4项所规定的方式。</w:t>
      </w:r>
      <w:r>
        <w:rPr>
          <w:rFonts w:hint="eastAsia" w:ascii="宋体" w:hAnsi="宋体" w:eastAsia="宋体" w:cs="宋体"/>
          <w:color w:val="auto"/>
          <w:sz w:val="24"/>
          <w:szCs w:val="24"/>
          <w:highlight w:val="none"/>
          <w:u w:val="single"/>
        </w:rPr>
        <w:t>投标文件中的大写金额和小写金额不一致的，以大写金额为准。</w:t>
      </w:r>
      <w:r>
        <w:rPr>
          <w:rFonts w:hint="eastAsia" w:ascii="宋体" w:hAnsi="宋体"/>
          <w:color w:val="auto"/>
          <w:sz w:val="24"/>
          <w:szCs w:val="24"/>
          <w:highlight w:val="none"/>
        </w:rPr>
        <w:t>投标报价（含单价及总价）精确到“分”。</w:t>
      </w:r>
    </w:p>
    <w:p w14:paraId="25356EE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13.2</w:t>
      </w:r>
      <w:r>
        <w:rPr>
          <w:rFonts w:hint="eastAsia" w:ascii="宋体" w:hAnsi="宋体"/>
          <w:color w:val="auto"/>
          <w:sz w:val="24"/>
          <w:szCs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DECDD7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13.3</w:t>
      </w:r>
      <w:r>
        <w:rPr>
          <w:rFonts w:hint="eastAsia" w:ascii="宋体" w:hAnsi="宋体"/>
          <w:color w:val="auto"/>
          <w:sz w:val="24"/>
          <w:szCs w:val="24"/>
          <w:highlight w:val="none"/>
        </w:rPr>
        <w:t>投标人的投标报价，应是按照投标须知前附表第</w:t>
      </w:r>
      <w:r>
        <w:rPr>
          <w:rFonts w:ascii="宋体" w:hAnsi="宋体"/>
          <w:color w:val="auto"/>
          <w:sz w:val="24"/>
          <w:szCs w:val="24"/>
          <w:highlight w:val="none"/>
        </w:rPr>
        <w:t>8</w:t>
      </w:r>
      <w:r>
        <w:rPr>
          <w:rFonts w:hint="eastAsia" w:ascii="宋体" w:hAnsi="宋体"/>
          <w:color w:val="auto"/>
          <w:sz w:val="24"/>
          <w:szCs w:val="24"/>
          <w:highlight w:val="none"/>
        </w:rPr>
        <w:t>项的工期要求，在投标须知前附表第</w:t>
      </w:r>
      <w:r>
        <w:rPr>
          <w:rFonts w:ascii="宋体" w:hAnsi="宋体"/>
          <w:color w:val="auto"/>
          <w:sz w:val="24"/>
          <w:szCs w:val="24"/>
          <w:highlight w:val="none"/>
        </w:rPr>
        <w:t>3</w:t>
      </w:r>
      <w:r>
        <w:rPr>
          <w:rFonts w:hint="eastAsia" w:ascii="宋体" w:hAnsi="宋体"/>
          <w:color w:val="auto"/>
          <w:sz w:val="24"/>
          <w:szCs w:val="24"/>
          <w:highlight w:val="none"/>
        </w:rPr>
        <w:t>项的建设地点，完成投标须知前附表第</w:t>
      </w:r>
      <w:r>
        <w:rPr>
          <w:rFonts w:ascii="宋体" w:hAnsi="宋体"/>
          <w:color w:val="auto"/>
          <w:sz w:val="24"/>
          <w:szCs w:val="24"/>
          <w:highlight w:val="none"/>
        </w:rPr>
        <w:t>7</w:t>
      </w:r>
      <w:r>
        <w:rPr>
          <w:rFonts w:hint="eastAsia" w:ascii="宋体" w:hAnsi="宋体"/>
          <w:color w:val="auto"/>
          <w:sz w:val="24"/>
          <w:szCs w:val="24"/>
          <w:highlight w:val="none"/>
        </w:rPr>
        <w:t>项的招标范围内已由招标人</w:t>
      </w:r>
      <w:r>
        <w:rPr>
          <w:rFonts w:hint="eastAsia" w:ascii="宋体" w:hAnsi="宋体" w:eastAsia="宋体" w:cs="宋体"/>
          <w:color w:val="auto"/>
          <w:sz w:val="24"/>
          <w:szCs w:val="24"/>
          <w:highlight w:val="none"/>
          <w:u w:val="single"/>
        </w:rPr>
        <w:t>提供的招标图纸（包括有关于本项目招标的相关资料）及</w:t>
      </w:r>
      <w:r>
        <w:rPr>
          <w:rFonts w:hint="eastAsia" w:ascii="宋体" w:hAnsi="宋体"/>
          <w:color w:val="auto"/>
          <w:sz w:val="24"/>
          <w:szCs w:val="24"/>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2F95C5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13.4</w:t>
      </w:r>
      <w:r>
        <w:rPr>
          <w:rFonts w:hint="eastAsia" w:ascii="宋体" w:hAnsi="宋体"/>
          <w:color w:val="auto"/>
          <w:sz w:val="24"/>
          <w:szCs w:val="24"/>
          <w:highlight w:val="none"/>
        </w:rPr>
        <w:t>投标人一旦中标，投标人对招标人提供的招标工程量清单中列出的工程项目所报出的综合单价</w:t>
      </w:r>
      <w:r>
        <w:rPr>
          <w:rFonts w:hint="eastAsia" w:ascii="宋体" w:hAnsi="宋体" w:eastAsia="宋体" w:cs="宋体"/>
          <w:color w:val="auto"/>
          <w:sz w:val="24"/>
          <w:szCs w:val="24"/>
          <w:highlight w:val="none"/>
          <w:u w:val="single"/>
        </w:rPr>
        <w:t>和措施项目费（措施项目费必须单列，没有单独列出的，视为已经包含在投标报价中），在工程结算时，按招标文件第三章合同条款相关约定调整。</w:t>
      </w:r>
      <w:r>
        <w:rPr>
          <w:rFonts w:hint="eastAsia" w:ascii="宋体" w:hAnsi="宋体"/>
          <w:strike/>
          <w:dstrike w:val="0"/>
          <w:color w:val="auto"/>
          <w:sz w:val="24"/>
          <w:szCs w:val="24"/>
          <w:highlight w:val="none"/>
        </w:rPr>
        <w:t>，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hint="eastAsia" w:ascii="宋体" w:hAnsi="宋体"/>
          <w:color w:val="auto"/>
          <w:sz w:val="24"/>
          <w:szCs w:val="24"/>
          <w:highlight w:val="none"/>
        </w:rPr>
        <w:t>。</w:t>
      </w:r>
    </w:p>
    <w:p w14:paraId="4357AF2C">
      <w:pPr>
        <w:spacing w:line="360" w:lineRule="auto"/>
        <w:ind w:firstLine="480" w:firstLineChars="200"/>
        <w:rPr>
          <w:rFonts w:hint="eastAsia" w:ascii="宋体" w:hAnsi="宋体"/>
          <w:strike/>
          <w:dstrike w:val="0"/>
          <w:color w:val="auto"/>
          <w:sz w:val="24"/>
          <w:szCs w:val="24"/>
          <w:highlight w:val="none"/>
        </w:rPr>
      </w:pPr>
      <w:r>
        <w:rPr>
          <w:rFonts w:ascii="宋体" w:hAnsi="宋体"/>
          <w:color w:val="auto"/>
          <w:sz w:val="24"/>
          <w:szCs w:val="24"/>
          <w:highlight w:val="none"/>
        </w:rPr>
        <w:t>13.5</w:t>
      </w:r>
      <w:r>
        <w:rPr>
          <w:rFonts w:hint="eastAsia" w:ascii="宋体" w:hAnsi="宋体" w:eastAsia="宋体" w:cs="宋体"/>
          <w:color w:val="auto"/>
          <w:sz w:val="24"/>
          <w:szCs w:val="24"/>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具体约定以招标合同为准）</w:t>
      </w:r>
      <w:r>
        <w:rPr>
          <w:rFonts w:hint="eastAsia" w:ascii="宋体" w:hAnsi="宋体"/>
          <w:strike/>
          <w:dstrike w:val="0"/>
          <w:color w:val="auto"/>
          <w:sz w:val="24"/>
          <w:szCs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15E80EB8">
      <w:pPr>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13.5.1</w:t>
      </w:r>
      <w:r>
        <w:rPr>
          <w:rFonts w:hint="eastAsia" w:ascii="宋体" w:hAnsi="宋体"/>
          <w:strike/>
          <w:dstrike w:val="0"/>
          <w:color w:val="auto"/>
          <w:sz w:val="24"/>
          <w:szCs w:val="24"/>
          <w:highlight w:val="none"/>
        </w:rPr>
        <w:t>中标的投标文件工程量清单中已有相同项目的适用综合单价，则沿用；</w:t>
      </w:r>
    </w:p>
    <w:p w14:paraId="02895342">
      <w:pPr>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13.5.2</w:t>
      </w:r>
      <w:r>
        <w:rPr>
          <w:rFonts w:hint="eastAsia" w:ascii="宋体" w:hAnsi="宋体"/>
          <w:strike/>
          <w:dstrike w:val="0"/>
          <w:color w:val="auto"/>
          <w:sz w:val="24"/>
          <w:szCs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94BB71B">
      <w:pPr>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13.5.3</w:t>
      </w:r>
      <w:r>
        <w:rPr>
          <w:rFonts w:hint="eastAsia" w:ascii="宋体" w:hAnsi="宋体"/>
          <w:strike/>
          <w:dstrike w:val="0"/>
          <w:color w:val="auto"/>
          <w:sz w:val="24"/>
          <w:szCs w:val="24"/>
          <w:highlight w:val="none"/>
        </w:rPr>
        <w:t>中标的投标文件工程量清单中没有相同项目或类似项目的，如可套取相关定额，则以相关定额为基数下浮计算单价</w:t>
      </w:r>
      <w:r>
        <w:rPr>
          <w:rFonts w:ascii="宋体" w:hAnsi="宋体"/>
          <w:strike/>
          <w:dstrike w:val="0"/>
          <w:color w:val="auto"/>
          <w:sz w:val="24"/>
          <w:szCs w:val="24"/>
          <w:highlight w:val="none"/>
        </w:rPr>
        <w:t>,</w:t>
      </w:r>
      <w:r>
        <w:rPr>
          <w:rFonts w:hint="eastAsia" w:ascii="宋体" w:hAnsi="宋体"/>
          <w:strike/>
          <w:dstrike w:val="0"/>
          <w:color w:val="auto"/>
          <w:sz w:val="24"/>
          <w:szCs w:val="24"/>
          <w:highlight w:val="none"/>
        </w:rPr>
        <w:t>下浮率为中标价相对于最高投标限价的下浮率（下浮率</w:t>
      </w:r>
      <w:r>
        <w:rPr>
          <w:rFonts w:ascii="宋体" w:hAnsi="宋体"/>
          <w:strike/>
          <w:dstrike w:val="0"/>
          <w:color w:val="auto"/>
          <w:sz w:val="24"/>
          <w:szCs w:val="24"/>
          <w:highlight w:val="none"/>
        </w:rPr>
        <w:t>=(</w:t>
      </w:r>
      <w:r>
        <w:rPr>
          <w:rFonts w:hint="eastAsia" w:ascii="宋体" w:hAnsi="宋体"/>
          <w:strike/>
          <w:dstrike w:val="0"/>
          <w:color w:val="auto"/>
          <w:sz w:val="24"/>
          <w:szCs w:val="24"/>
          <w:highlight w:val="none"/>
        </w:rPr>
        <w:t>最高投标限价</w:t>
      </w:r>
      <w:r>
        <w:rPr>
          <w:rFonts w:ascii="宋体" w:hAnsi="宋体"/>
          <w:strike/>
          <w:dstrike w:val="0"/>
          <w:color w:val="auto"/>
          <w:sz w:val="24"/>
          <w:szCs w:val="24"/>
          <w:highlight w:val="none"/>
        </w:rPr>
        <w:t>-</w:t>
      </w:r>
      <w:r>
        <w:rPr>
          <w:rFonts w:hint="eastAsia" w:ascii="宋体" w:hAnsi="宋体"/>
          <w:strike/>
          <w:dstrike w:val="0"/>
          <w:color w:val="auto"/>
          <w:sz w:val="24"/>
          <w:szCs w:val="24"/>
          <w:highlight w:val="none"/>
        </w:rPr>
        <w:t>中标价</w:t>
      </w:r>
      <w:r>
        <w:rPr>
          <w:rFonts w:ascii="宋体" w:hAnsi="宋体"/>
          <w:strike/>
          <w:dstrike w:val="0"/>
          <w:color w:val="auto"/>
          <w:sz w:val="24"/>
          <w:szCs w:val="24"/>
          <w:highlight w:val="none"/>
        </w:rPr>
        <w:t>)/</w:t>
      </w:r>
      <w:r>
        <w:rPr>
          <w:rFonts w:hint="eastAsia" w:ascii="宋体" w:hAnsi="宋体"/>
          <w:strike/>
          <w:dstrike w:val="0"/>
          <w:color w:val="auto"/>
          <w:sz w:val="24"/>
          <w:szCs w:val="24"/>
          <w:highlight w:val="none"/>
        </w:rPr>
        <w:t>最高投标限价）。</w:t>
      </w:r>
    </w:p>
    <w:p w14:paraId="18BC867E">
      <w:pPr>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13.5.4</w:t>
      </w:r>
      <w:r>
        <w:rPr>
          <w:rFonts w:hint="eastAsia" w:ascii="宋体" w:hAnsi="宋体"/>
          <w:strike/>
          <w:dstrike w:val="0"/>
          <w:color w:val="auto"/>
          <w:sz w:val="24"/>
          <w:szCs w:val="24"/>
          <w:highlight w:val="none"/>
        </w:rPr>
        <w:t>如相关定额没有相应子目的，其计价方式由招标人在本招标文件第三章中另行规定。未规定的，中标后双方协商约定。</w:t>
      </w:r>
    </w:p>
    <w:p w14:paraId="138047A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13.6</w:t>
      </w:r>
      <w:r>
        <w:rPr>
          <w:rFonts w:hint="eastAsia" w:ascii="宋体" w:hAnsi="宋体"/>
          <w:color w:val="auto"/>
          <w:sz w:val="24"/>
          <w:szCs w:val="24"/>
          <w:highlight w:val="none"/>
        </w:rPr>
        <w:t>暂列金额、暂估价</w:t>
      </w:r>
    </w:p>
    <w:p w14:paraId="3B4A584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13.6.1</w:t>
      </w:r>
      <w:r>
        <w:rPr>
          <w:rFonts w:hint="eastAsia" w:ascii="宋体" w:hAnsi="宋体"/>
          <w:color w:val="auto"/>
          <w:sz w:val="24"/>
          <w:szCs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2E2A01A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暂估价是指招标人在工程量清单中提供的用于支付必然发生但暂时不能确定价格的材料的单价以及专业工程的金额。</w:t>
      </w:r>
    </w:p>
    <w:p w14:paraId="1C8F07D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13.6.2</w:t>
      </w:r>
      <w:r>
        <w:rPr>
          <w:rFonts w:hint="eastAsia" w:ascii="宋体" w:hAnsi="宋体"/>
          <w:color w:val="auto"/>
          <w:sz w:val="24"/>
          <w:szCs w:val="24"/>
          <w:highlight w:val="none"/>
        </w:rPr>
        <w:t>在工程实施中，暂列金额、暂估价所包含的工作范围和图纸、标准深化固定后，按照工程专业、设备、材料类别等分类汇总的金额，达到法定招标范围标准的</w:t>
      </w:r>
      <w:r>
        <w:rPr>
          <w:rFonts w:hint="eastAsia" w:ascii="宋体" w:hAnsi="宋体" w:eastAsia="宋体" w:cs="宋体"/>
          <w:color w:val="auto"/>
          <w:sz w:val="24"/>
          <w:szCs w:val="24"/>
          <w:highlight w:val="none"/>
          <w:u w:val="single"/>
        </w:rPr>
        <w:t>应由招标人招标确定承包人和承包价格。</w:t>
      </w:r>
      <w:r>
        <w:rPr>
          <w:rFonts w:hint="eastAsia" w:ascii="宋体" w:hAnsi="宋体"/>
          <w:strike/>
          <w:dstrike w:val="0"/>
          <w:color w:val="auto"/>
          <w:sz w:val="24"/>
          <w:szCs w:val="24"/>
          <w:highlight w:val="none"/>
        </w:rPr>
        <w:t>，应由招标人同中标人联合招标，确定承包人和承包价格</w:t>
      </w:r>
      <w:r>
        <w:rPr>
          <w:rFonts w:hint="eastAsia" w:ascii="宋体" w:hAnsi="宋体"/>
          <w:color w:val="auto"/>
          <w:sz w:val="24"/>
          <w:szCs w:val="24"/>
          <w:highlight w:val="none"/>
        </w:rPr>
        <w:t>。</w:t>
      </w:r>
    </w:p>
    <w:p w14:paraId="362B98B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13.6.3</w:t>
      </w:r>
      <w:r>
        <w:rPr>
          <w:rFonts w:hint="eastAsia" w:ascii="宋体" w:hAnsi="宋体"/>
          <w:color w:val="auto"/>
          <w:sz w:val="24"/>
          <w:szCs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18EA2B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13.6.4</w:t>
      </w:r>
      <w:r>
        <w:rPr>
          <w:rFonts w:hint="eastAsia" w:ascii="宋体" w:hAnsi="宋体"/>
          <w:color w:val="auto"/>
          <w:sz w:val="24"/>
          <w:szCs w:val="24"/>
          <w:highlight w:val="none"/>
        </w:rPr>
        <w:t>在工程实施中，暂列金额、暂估价所包含的工作范围和图纸、标准深化固定后，按照工程专业、设备、材料类别等分类汇总的金额，未达到法定招标范围标准也不适用政府采购规定，</w:t>
      </w:r>
      <w:r>
        <w:rPr>
          <w:rFonts w:hint="eastAsia" w:ascii="宋体" w:hAnsi="宋体" w:eastAsia="宋体" w:cs="宋体"/>
          <w:b w:val="0"/>
          <w:bCs/>
          <w:color w:val="auto"/>
          <w:sz w:val="24"/>
          <w:szCs w:val="24"/>
          <w:highlight w:val="none"/>
          <w:u w:val="single"/>
        </w:rPr>
        <w:t>经发包人同意，</w:t>
      </w:r>
      <w:r>
        <w:rPr>
          <w:rFonts w:hint="eastAsia" w:ascii="宋体" w:hAnsi="宋体"/>
          <w:color w:val="auto"/>
          <w:sz w:val="24"/>
          <w:szCs w:val="24"/>
          <w:highlight w:val="none"/>
        </w:rPr>
        <w:t>承包人有法定的承包资格的，由承包人承包，承包人无法定的承包资格但有法定的分包权的，由承包人分包，招标人同承包人结算的价格按本投标须知</w:t>
      </w:r>
      <w:r>
        <w:rPr>
          <w:rFonts w:ascii="宋体" w:hAnsi="宋体"/>
          <w:color w:val="auto"/>
          <w:sz w:val="24"/>
          <w:szCs w:val="24"/>
          <w:highlight w:val="none"/>
        </w:rPr>
        <w:t>13.5</w:t>
      </w:r>
      <w:r>
        <w:rPr>
          <w:rFonts w:hint="eastAsia" w:ascii="宋体" w:hAnsi="宋体"/>
          <w:color w:val="auto"/>
          <w:sz w:val="24"/>
          <w:szCs w:val="24"/>
          <w:highlight w:val="none"/>
        </w:rPr>
        <w:t>款规定确定。</w:t>
      </w:r>
    </w:p>
    <w:p w14:paraId="1805E29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13.6.5</w:t>
      </w:r>
      <w:r>
        <w:rPr>
          <w:rFonts w:hint="eastAsia" w:ascii="宋体" w:hAnsi="宋体"/>
          <w:color w:val="auto"/>
          <w:sz w:val="24"/>
          <w:szCs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34D34C1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13.6.6</w:t>
      </w:r>
      <w:r>
        <w:rPr>
          <w:rFonts w:hint="eastAsia" w:ascii="宋体" w:hAnsi="宋体"/>
          <w:color w:val="auto"/>
          <w:sz w:val="24"/>
          <w:szCs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291C05B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13.7</w:t>
      </w:r>
      <w:r>
        <w:rPr>
          <w:rFonts w:hint="eastAsia" w:ascii="宋体" w:hAnsi="宋体"/>
          <w:color w:val="auto"/>
          <w:sz w:val="24"/>
          <w:szCs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33154AF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13.8</w:t>
      </w:r>
      <w:r>
        <w:rPr>
          <w:rFonts w:hint="eastAsia" w:ascii="宋体" w:hAnsi="宋体"/>
          <w:color w:val="auto"/>
          <w:sz w:val="24"/>
          <w:szCs w:val="24"/>
          <w:highlight w:val="none"/>
        </w:rPr>
        <w:t>属于承包人自行采购的主要材料、设备，招标人应当在招标文件中提出材料、设备的技术标准或者质量要求，或者提出不少于</w:t>
      </w:r>
      <w:r>
        <w:rPr>
          <w:rFonts w:ascii="宋体" w:hAnsi="宋体"/>
          <w:color w:val="auto"/>
          <w:sz w:val="24"/>
          <w:szCs w:val="24"/>
          <w:highlight w:val="none"/>
        </w:rPr>
        <w:t>3</w:t>
      </w:r>
      <w:r>
        <w:rPr>
          <w:rFonts w:hint="eastAsia" w:ascii="宋体" w:hAnsi="宋体"/>
          <w:color w:val="auto"/>
          <w:sz w:val="24"/>
          <w:szCs w:val="24"/>
          <w:highlight w:val="none"/>
        </w:rPr>
        <w:t>个同等档次品牌或分包商供投标人报价时选择</w:t>
      </w:r>
      <w:r>
        <w:rPr>
          <w:rFonts w:ascii="宋体" w:hAnsi="宋体"/>
          <w:color w:val="auto"/>
          <w:sz w:val="24"/>
          <w:szCs w:val="24"/>
          <w:highlight w:val="none"/>
        </w:rPr>
        <w:t>,</w:t>
      </w:r>
      <w:r>
        <w:rPr>
          <w:rFonts w:hint="eastAsia" w:ascii="宋体" w:hAnsi="宋体"/>
          <w:color w:val="auto"/>
          <w:sz w:val="24"/>
          <w:szCs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52EA237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13.9</w:t>
      </w:r>
      <w:r>
        <w:rPr>
          <w:rFonts w:hint="eastAsia" w:ascii="宋体" w:hAns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7B5EC951">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14</w:t>
      </w:r>
      <w:r>
        <w:rPr>
          <w:rFonts w:hint="eastAsia" w:ascii="宋体" w:hAnsi="宋体"/>
          <w:b/>
          <w:bCs/>
          <w:color w:val="auto"/>
          <w:sz w:val="24"/>
          <w:szCs w:val="24"/>
          <w:highlight w:val="none"/>
        </w:rPr>
        <w:t>．投标货币</w:t>
      </w:r>
    </w:p>
    <w:p w14:paraId="7E5E20C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14.1</w:t>
      </w:r>
      <w:r>
        <w:rPr>
          <w:rFonts w:hint="eastAsia" w:ascii="宋体" w:hAnsi="宋体"/>
          <w:color w:val="auto"/>
          <w:sz w:val="24"/>
          <w:szCs w:val="24"/>
          <w:highlight w:val="none"/>
        </w:rPr>
        <w:t>本工程投标报价采用的币种为人民币。</w:t>
      </w:r>
    </w:p>
    <w:p w14:paraId="7C1BA7E3">
      <w:pPr>
        <w:spacing w:line="360" w:lineRule="auto"/>
        <w:ind w:firstLine="482" w:firstLineChars="200"/>
        <w:rPr>
          <w:rFonts w:hint="eastAsia" w:ascii="宋体" w:hAnsi="宋体"/>
          <w:color w:val="auto"/>
          <w:sz w:val="24"/>
          <w:szCs w:val="24"/>
          <w:highlight w:val="none"/>
        </w:rPr>
      </w:pPr>
      <w:r>
        <w:rPr>
          <w:rFonts w:ascii="宋体" w:hAnsi="宋体"/>
          <w:b/>
          <w:bCs/>
          <w:color w:val="auto"/>
          <w:sz w:val="24"/>
          <w:szCs w:val="24"/>
          <w:highlight w:val="none"/>
        </w:rPr>
        <w:t>15</w:t>
      </w:r>
      <w:r>
        <w:rPr>
          <w:rFonts w:hint="eastAsia" w:ascii="宋体" w:hAnsi="宋体"/>
          <w:b/>
          <w:bCs/>
          <w:color w:val="auto"/>
          <w:sz w:val="24"/>
          <w:szCs w:val="24"/>
          <w:highlight w:val="none"/>
        </w:rPr>
        <w:t>．投标有效期</w:t>
      </w:r>
    </w:p>
    <w:p w14:paraId="4C04A19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15.1</w:t>
      </w:r>
      <w:r>
        <w:rPr>
          <w:rFonts w:hint="eastAsia" w:ascii="宋体" w:hAnsi="宋体"/>
          <w:color w:val="auto"/>
          <w:sz w:val="24"/>
          <w:szCs w:val="24"/>
          <w:highlight w:val="none"/>
        </w:rPr>
        <w:t>投标有效期见投标须知前附表第</w:t>
      </w:r>
      <w:r>
        <w:rPr>
          <w:rFonts w:ascii="宋体" w:hAnsi="宋体"/>
          <w:color w:val="auto"/>
          <w:sz w:val="24"/>
          <w:szCs w:val="24"/>
          <w:highlight w:val="none"/>
        </w:rPr>
        <w:t>1</w:t>
      </w:r>
      <w:r>
        <w:rPr>
          <w:rFonts w:hint="eastAsia" w:ascii="宋体" w:hAnsi="宋体"/>
          <w:color w:val="auto"/>
          <w:sz w:val="24"/>
          <w:szCs w:val="24"/>
          <w:highlight w:val="none"/>
        </w:rPr>
        <w:t>5项所规定的期限，在此期限内，凡符合本招标文件要求的投标文件均保持有效。</w:t>
      </w:r>
    </w:p>
    <w:p w14:paraId="68B79D2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15.2</w:t>
      </w:r>
      <w:r>
        <w:rPr>
          <w:rFonts w:hint="eastAsia" w:ascii="宋体" w:hAnsi="宋体"/>
          <w:color w:val="auto"/>
          <w:sz w:val="24"/>
          <w:szCs w:val="24"/>
          <w:highlight w:val="none"/>
        </w:rPr>
        <w:t>在特殊情况下，招标人在原定投标有效期内，可以根据需要以书面形式向投标人提出延长投标有效期的要求，对此要求投标人须以书面形式予以答复。投标人可以拒绝招标人这种要求</w:t>
      </w:r>
      <w:r>
        <w:rPr>
          <w:rFonts w:hint="eastAsia" w:ascii="宋体" w:hAnsi="宋体"/>
          <w:strike/>
          <w:dstrike w:val="0"/>
          <w:color w:val="auto"/>
          <w:sz w:val="24"/>
          <w:szCs w:val="24"/>
          <w:highlight w:val="none"/>
        </w:rPr>
        <w:t>，而不影响退还其投标保证金</w:t>
      </w:r>
      <w:r>
        <w:rPr>
          <w:rFonts w:hint="eastAsia" w:ascii="宋体" w:hAnsi="宋体"/>
          <w:color w:val="auto"/>
          <w:sz w:val="24"/>
          <w:szCs w:val="24"/>
          <w:highlight w:val="none"/>
        </w:rPr>
        <w:t>。同意延长投标有效期的投标人既不能要求也不允许修改其投标文件</w:t>
      </w:r>
      <w:r>
        <w:rPr>
          <w:rFonts w:hint="eastAsia" w:ascii="宋体" w:hAnsi="宋体"/>
          <w:strike/>
          <w:dstrike w:val="0"/>
          <w:color w:val="auto"/>
          <w:sz w:val="24"/>
          <w:szCs w:val="24"/>
          <w:highlight w:val="none"/>
        </w:rPr>
        <w:t>，但需要相应的延长投标保证金的有效期，在延长的投标有效期内，本须知第16条关于投标保证金的退还与不予退还的规定仍然适用</w:t>
      </w:r>
      <w:r>
        <w:rPr>
          <w:rFonts w:hint="eastAsia" w:ascii="宋体" w:hAnsi="宋体"/>
          <w:color w:val="auto"/>
          <w:sz w:val="24"/>
          <w:szCs w:val="24"/>
          <w:highlight w:val="none"/>
        </w:rPr>
        <w:t>。</w:t>
      </w:r>
    </w:p>
    <w:p w14:paraId="6715D58F">
      <w:pPr>
        <w:pStyle w:val="4"/>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16．投标保证金</w:t>
      </w:r>
    </w:p>
    <w:p w14:paraId="4BAEC5B6">
      <w:pPr>
        <w:pStyle w:val="4"/>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16.1投标人应按</w:t>
      </w:r>
      <w:r>
        <w:rPr>
          <w:rFonts w:hint="eastAsia" w:ascii="宋体" w:hAnsi="宋体"/>
          <w:strike/>
          <w:dstrike w:val="0"/>
          <w:color w:val="auto"/>
          <w:sz w:val="24"/>
          <w:szCs w:val="24"/>
          <w:highlight w:val="none"/>
        </w:rPr>
        <w:t>国家、省、市有关规定和</w:t>
      </w:r>
      <w:r>
        <w:rPr>
          <w:rFonts w:ascii="宋体" w:hAnsi="宋体"/>
          <w:strike/>
          <w:dstrike w:val="0"/>
          <w:color w:val="auto"/>
          <w:sz w:val="24"/>
          <w:szCs w:val="24"/>
          <w:highlight w:val="none"/>
        </w:rPr>
        <w:t>投标须知前附表第1</w:t>
      </w:r>
      <w:r>
        <w:rPr>
          <w:rFonts w:hint="eastAsia" w:ascii="宋体" w:hAnsi="宋体"/>
          <w:strike/>
          <w:dstrike w:val="0"/>
          <w:color w:val="auto"/>
          <w:sz w:val="24"/>
          <w:szCs w:val="24"/>
          <w:highlight w:val="none"/>
        </w:rPr>
        <w:t>6</w:t>
      </w:r>
      <w:r>
        <w:rPr>
          <w:rFonts w:ascii="宋体" w:hAnsi="宋体"/>
          <w:strike/>
          <w:dstrike w:val="0"/>
          <w:color w:val="auto"/>
          <w:sz w:val="24"/>
          <w:szCs w:val="24"/>
          <w:highlight w:val="none"/>
        </w:rPr>
        <w:t>项所述金额和时间递交投标保证金。招标人应当允许投标人自主选择现金、银行保函、保证保险、专业工程担保公司担保等方式缴纳投标保证金。</w:t>
      </w:r>
    </w:p>
    <w:p w14:paraId="0AE3AD23">
      <w:pPr>
        <w:pStyle w:val="4"/>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16.1.1采用现金或者支票形式提交的，投标保证金须从投标人的银行基本账户转出。</w:t>
      </w:r>
    </w:p>
    <w:p w14:paraId="5B75DF45">
      <w:pPr>
        <w:pStyle w:val="4"/>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16.1.2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40345D0">
      <w:pPr>
        <w:pStyle w:val="4"/>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16.1.3采用电子形式的保函、担保或保证保险提交投标保证金的，应在招标文件中明确电子递交途径。</w:t>
      </w:r>
    </w:p>
    <w:p w14:paraId="1C9A1E0C">
      <w:pPr>
        <w:pStyle w:val="4"/>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16.2开标时投标人没有按要求提供投标保证金的，其投标文件将被否决；未按招标文件要求提交符合免予提供投标保证金相关证明材料，且未提交投标保证金的投标人，</w:t>
      </w:r>
      <w:r>
        <w:rPr>
          <w:rFonts w:hint="eastAsia" w:ascii="宋体" w:hAnsi="宋体"/>
          <w:strike/>
          <w:dstrike w:val="0"/>
          <w:color w:val="auto"/>
          <w:sz w:val="24"/>
          <w:szCs w:val="24"/>
          <w:highlight w:val="none"/>
        </w:rPr>
        <w:t>视为未按要求提供投标保证金。</w:t>
      </w:r>
    </w:p>
    <w:p w14:paraId="5F7F71E6">
      <w:pPr>
        <w:pStyle w:val="4"/>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16.3投标保证金应依据法律法规的相关规定退还。</w:t>
      </w:r>
    </w:p>
    <w:p w14:paraId="37415F98">
      <w:pPr>
        <w:pStyle w:val="4"/>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16.4如有下列情况之一的，招标人可以不予退还投标保证金（是否退还投标保证金由招标人在招标文件中规定）：</w:t>
      </w:r>
    </w:p>
    <w:p w14:paraId="5A3CB303">
      <w:pPr>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16.5投标人如存在下列情况之一的，将被拒绝在一定时期内参与招标人后续工程投标（</w:t>
      </w:r>
      <w:r>
        <w:rPr>
          <w:rFonts w:hint="eastAsia" w:ascii="宋体" w:hAnsi="宋体"/>
          <w:strike/>
          <w:dstrike w:val="0"/>
          <w:color w:val="auto"/>
          <w:sz w:val="24"/>
          <w:szCs w:val="24"/>
          <w:highlight w:val="none"/>
        </w:rPr>
        <w:t>由招标人依法依规</w:t>
      </w:r>
      <w:r>
        <w:rPr>
          <w:rFonts w:ascii="宋体" w:hAnsi="宋体"/>
          <w:strike/>
          <w:dstrike w:val="0"/>
          <w:color w:val="auto"/>
          <w:sz w:val="24"/>
          <w:szCs w:val="24"/>
          <w:highlight w:val="none"/>
        </w:rPr>
        <w:t>在招标文件中明确）：</w:t>
      </w:r>
    </w:p>
    <w:p w14:paraId="7EE841D6">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17</w:t>
      </w:r>
      <w:r>
        <w:rPr>
          <w:rFonts w:hint="eastAsia" w:ascii="宋体" w:hAnsi="宋体"/>
          <w:b/>
          <w:bCs/>
          <w:color w:val="auto"/>
          <w:sz w:val="24"/>
          <w:szCs w:val="24"/>
          <w:highlight w:val="none"/>
        </w:rPr>
        <w:t>．投标文件的签署</w:t>
      </w:r>
    </w:p>
    <w:p w14:paraId="2F32980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17.1</w:t>
      </w:r>
      <w:r>
        <w:rPr>
          <w:rFonts w:hint="eastAsia" w:ascii="宋体" w:hAnsi="宋体"/>
          <w:color w:val="auto"/>
          <w:sz w:val="24"/>
          <w:szCs w:val="24"/>
          <w:highlight w:val="none"/>
        </w:rPr>
        <w:t>投标人应采用单位数字证书，按招标文件要求在相应位置加盖电子印章。投标文件中需个人签字或盖章的，应加盖个人电子印章或在线下完成后扫描上传。按照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广州交易集团有限公司（广州公共资源交易中心）网站最新指引</w:t>
      </w:r>
      <w:r>
        <w:rPr>
          <w:rFonts w:ascii="宋体" w:hAnsi="宋体"/>
          <w:color w:val="auto"/>
          <w:sz w:val="24"/>
          <w:szCs w:val="24"/>
          <w:highlight w:val="none"/>
        </w:rPr>
        <w:t>。</w:t>
      </w:r>
    </w:p>
    <w:p w14:paraId="42FEB33C">
      <w:pPr>
        <w:widowControl/>
        <w:spacing w:before="100" w:beforeAutospacing="1" w:after="100" w:afterAutospacing="1" w:line="360" w:lineRule="auto"/>
        <w:jc w:val="left"/>
        <w:outlineLvl w:val="2"/>
        <w:rPr>
          <w:rFonts w:hint="eastAsia" w:ascii="宋体" w:hAnsi="宋体" w:cs="宋体"/>
          <w:color w:val="auto"/>
          <w:kern w:val="0"/>
          <w:sz w:val="24"/>
          <w:szCs w:val="24"/>
          <w:highlight w:val="none"/>
        </w:rPr>
      </w:pPr>
      <w:bookmarkStart w:id="27" w:name="_Toc194440076"/>
      <w:bookmarkStart w:id="28" w:name="_Toc2272552"/>
      <w:bookmarkStart w:id="29" w:name="_Toc184468499"/>
      <w:bookmarkStart w:id="30" w:name="_Toc58838574"/>
      <w:r>
        <w:rPr>
          <w:rFonts w:hint="eastAsia" w:ascii="宋体" w:hAnsi="宋体" w:cs="宋体"/>
          <w:color w:val="auto"/>
          <w:kern w:val="0"/>
          <w:sz w:val="24"/>
          <w:szCs w:val="24"/>
          <w:highlight w:val="none"/>
        </w:rPr>
        <w:t>（四）投标文件的提交</w:t>
      </w:r>
      <w:bookmarkEnd w:id="27"/>
      <w:bookmarkEnd w:id="28"/>
      <w:bookmarkEnd w:id="29"/>
      <w:bookmarkEnd w:id="30"/>
    </w:p>
    <w:p w14:paraId="402EE036">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18</w:t>
      </w:r>
      <w:r>
        <w:rPr>
          <w:rFonts w:hint="eastAsia" w:ascii="宋体" w:hAnsi="宋体"/>
          <w:b/>
          <w:bCs/>
          <w:color w:val="auto"/>
          <w:sz w:val="24"/>
          <w:szCs w:val="24"/>
          <w:highlight w:val="none"/>
        </w:rPr>
        <w:t>．</w:t>
      </w:r>
      <w:r>
        <w:rPr>
          <w:rFonts w:hint="eastAsia" w:ascii="宋体" w:hAnsi="宋体"/>
          <w:b/>
          <w:color w:val="auto"/>
          <w:sz w:val="24"/>
          <w:szCs w:val="24"/>
          <w:highlight w:val="none"/>
        </w:rPr>
        <w:t>投标文件的密封和标记</w:t>
      </w:r>
    </w:p>
    <w:p w14:paraId="615C422B">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18.1</w:t>
      </w:r>
      <w:r>
        <w:rPr>
          <w:rFonts w:hint="eastAsia" w:ascii="宋体" w:hAnsi="宋体"/>
          <w:bCs/>
          <w:color w:val="auto"/>
          <w:sz w:val="24"/>
          <w:szCs w:val="24"/>
          <w:highlight w:val="none"/>
        </w:rPr>
        <w:t>递交的电子投标文件（不含备用光盘）必须进行加密。按照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bCs/>
          <w:color w:val="auto"/>
          <w:sz w:val="24"/>
          <w:szCs w:val="24"/>
          <w:highlight w:val="none"/>
        </w:rPr>
        <w:t>交易平台关于</w:t>
      </w:r>
      <w:r>
        <w:rPr>
          <w:rFonts w:hint="eastAsia" w:ascii="宋体" w:hAnsi="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广州交易集团有限公司（广州公共资源交易中心）网站最新指引</w:t>
      </w:r>
      <w:r>
        <w:rPr>
          <w:rFonts w:ascii="宋体" w:hAnsi="宋体"/>
          <w:color w:val="auto"/>
          <w:sz w:val="24"/>
          <w:szCs w:val="24"/>
          <w:highlight w:val="none"/>
        </w:rPr>
        <w:t>。</w:t>
      </w:r>
    </w:p>
    <w:p w14:paraId="2B63618F">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18.2</w:t>
      </w:r>
      <w:r>
        <w:rPr>
          <w:rFonts w:hint="eastAsia" w:ascii="宋体" w:hAnsi="宋体"/>
          <w:bCs/>
          <w:color w:val="auto"/>
          <w:sz w:val="24"/>
          <w:szCs w:val="24"/>
          <w:highlight w:val="none"/>
        </w:rPr>
        <w:t>未按要求加密的投标文件，</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bCs/>
          <w:color w:val="auto"/>
          <w:sz w:val="24"/>
          <w:szCs w:val="24"/>
          <w:highlight w:val="none"/>
        </w:rPr>
        <w:t>将予以拒收。</w:t>
      </w:r>
    </w:p>
    <w:p w14:paraId="1EA2810B">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19</w:t>
      </w:r>
      <w:r>
        <w:rPr>
          <w:rFonts w:hint="eastAsia" w:ascii="宋体" w:hAnsi="宋体"/>
          <w:b/>
          <w:bCs/>
          <w:color w:val="auto"/>
          <w:sz w:val="24"/>
          <w:szCs w:val="24"/>
          <w:highlight w:val="none"/>
        </w:rPr>
        <w:t>．投标文件的递交和接收</w:t>
      </w:r>
    </w:p>
    <w:p w14:paraId="5B3D5185">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19.1投标人通过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交易平台递交电子投标文件。</w:t>
      </w:r>
    </w:p>
    <w:p w14:paraId="5A6D42F1">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19.2投标人完成电子</w:t>
      </w:r>
      <w:r>
        <w:rPr>
          <w:rFonts w:hint="eastAsia" w:ascii="宋体" w:hAnsi="宋体"/>
          <w:color w:val="auto"/>
          <w:sz w:val="24"/>
          <w:szCs w:val="24"/>
          <w:highlight w:val="none"/>
        </w:rPr>
        <w:t>投标文件</w:t>
      </w:r>
      <w:r>
        <w:rPr>
          <w:rFonts w:hint="eastAsia" w:ascii="宋体" w:hAnsi="宋体"/>
          <w:bCs/>
          <w:color w:val="auto"/>
          <w:sz w:val="24"/>
          <w:szCs w:val="24"/>
          <w:highlight w:val="none"/>
        </w:rPr>
        <w:t>上传后，</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交易平台即时向投标人发出递交回执通知。递交时间以递交回执通知载明的传输完成时间为准。</w:t>
      </w:r>
    </w:p>
    <w:p w14:paraId="2CADF969">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19.3逾期送达的电子投标文件，</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交易平台将予以拒收。</w:t>
      </w:r>
    </w:p>
    <w:p w14:paraId="2945ED2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19.4</w:t>
      </w:r>
      <w:r>
        <w:rPr>
          <w:rFonts w:hint="eastAsia" w:ascii="宋体" w:hAnsi="宋体"/>
          <w:color w:val="auto"/>
          <w:sz w:val="24"/>
          <w:szCs w:val="24"/>
          <w:highlight w:val="none"/>
        </w:rPr>
        <w:t>投标截止前，招标人拒绝接收符合条件的投标文件，投标人可向招标投标监督机构投诉。</w:t>
      </w:r>
    </w:p>
    <w:p w14:paraId="7AA82AB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19.5如技术标和经济标先后分别开启，</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交易平台将按招标文件规定的时间分别开启技术标和经济标。</w:t>
      </w:r>
    </w:p>
    <w:p w14:paraId="207A9840">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20</w:t>
      </w:r>
      <w:r>
        <w:rPr>
          <w:rFonts w:hint="eastAsia" w:ascii="宋体" w:hAnsi="宋体"/>
          <w:b/>
          <w:bCs/>
          <w:color w:val="auto"/>
          <w:sz w:val="24"/>
          <w:szCs w:val="24"/>
          <w:highlight w:val="none"/>
        </w:rPr>
        <w:t>．投标文件提交的截止时间</w:t>
      </w:r>
    </w:p>
    <w:p w14:paraId="1A2FA1E6">
      <w:pPr>
        <w:spacing w:line="360" w:lineRule="auto"/>
        <w:ind w:firstLine="480" w:firstLineChars="200"/>
        <w:rPr>
          <w:rFonts w:hint="eastAsia" w:ascii="宋体" w:hAnsi="宋体"/>
          <w:b/>
          <w:bCs/>
          <w:color w:val="auto"/>
          <w:sz w:val="24"/>
          <w:szCs w:val="24"/>
          <w:highlight w:val="none"/>
        </w:rPr>
      </w:pPr>
      <w:r>
        <w:rPr>
          <w:rFonts w:ascii="宋体" w:hAnsi="宋体"/>
          <w:color w:val="auto"/>
          <w:sz w:val="24"/>
          <w:szCs w:val="24"/>
          <w:highlight w:val="none"/>
        </w:rPr>
        <w:t>20.1</w:t>
      </w:r>
      <w:r>
        <w:rPr>
          <w:rFonts w:hint="eastAsia" w:ascii="宋体" w:hAnsi="宋体"/>
          <w:color w:val="auto"/>
          <w:sz w:val="24"/>
          <w:szCs w:val="24"/>
          <w:highlight w:val="none"/>
        </w:rPr>
        <w:t>投标人应在投标须知前附表第</w:t>
      </w:r>
      <w:r>
        <w:rPr>
          <w:rFonts w:ascii="宋体" w:hAnsi="宋体"/>
          <w:color w:val="auto"/>
          <w:sz w:val="24"/>
          <w:szCs w:val="24"/>
          <w:highlight w:val="none"/>
        </w:rPr>
        <w:t>17项所述的时间前提交投标文件。</w:t>
      </w:r>
    </w:p>
    <w:p w14:paraId="3062B57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20.2</w:t>
      </w:r>
      <w:r>
        <w:rPr>
          <w:rFonts w:hint="eastAsia" w:ascii="宋体" w:hAnsi="宋体"/>
          <w:color w:val="auto"/>
          <w:sz w:val="24"/>
          <w:szCs w:val="24"/>
          <w:highlight w:val="none"/>
        </w:rPr>
        <w:t>招标人可按本须知第</w:t>
      </w:r>
      <w:r>
        <w:rPr>
          <w:rFonts w:ascii="宋体" w:hAnsi="宋体"/>
          <w:color w:val="auto"/>
          <w:sz w:val="24"/>
          <w:szCs w:val="24"/>
          <w:highlight w:val="none"/>
        </w:rPr>
        <w:t>9</w:t>
      </w:r>
      <w:r>
        <w:rPr>
          <w:rFonts w:hint="eastAsia" w:ascii="宋体" w:hAnsi="宋体"/>
          <w:color w:val="auto"/>
          <w:sz w:val="24"/>
          <w:szCs w:val="24"/>
          <w:highlight w:val="none"/>
        </w:rPr>
        <w:t>条规定以招标文件修改的方式，酌情延长提交投标文件的截止时间。在此情况下，投标人的所有权利和义务以及投标人受制约的截止时间，均以延长后新的投标截止时间为准。</w:t>
      </w:r>
    </w:p>
    <w:p w14:paraId="55D7956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20.3</w:t>
      </w:r>
      <w:r>
        <w:rPr>
          <w:rFonts w:hint="eastAsia" w:ascii="宋体" w:hAnsi="宋体"/>
          <w:color w:val="auto"/>
          <w:sz w:val="24"/>
          <w:szCs w:val="24"/>
          <w:highlight w:val="none"/>
        </w:rPr>
        <w:t>到投标截止时间止，招标人收到的投标文件少于</w:t>
      </w:r>
      <w:r>
        <w:rPr>
          <w:rFonts w:ascii="宋体" w:hAnsi="宋体"/>
          <w:color w:val="auto"/>
          <w:sz w:val="24"/>
          <w:szCs w:val="24"/>
          <w:highlight w:val="none"/>
        </w:rPr>
        <w:t>3家的，招标人将重新组织招标（当N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N+2家，则重新组织招标）。</w:t>
      </w:r>
    </w:p>
    <w:p w14:paraId="4A8C6D95">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21</w:t>
      </w:r>
      <w:r>
        <w:rPr>
          <w:rFonts w:hint="eastAsia" w:ascii="宋体" w:hAnsi="宋体"/>
          <w:b/>
          <w:bCs/>
          <w:color w:val="auto"/>
          <w:sz w:val="24"/>
          <w:szCs w:val="24"/>
          <w:highlight w:val="none"/>
        </w:rPr>
        <w:t>．迟交的投标文件</w:t>
      </w:r>
    </w:p>
    <w:p w14:paraId="0854D80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21.1</w:t>
      </w:r>
      <w:r>
        <w:rPr>
          <w:rFonts w:hint="eastAsia" w:ascii="宋体" w:hAnsi="宋体"/>
          <w:color w:val="auto"/>
          <w:sz w:val="24"/>
          <w:szCs w:val="24"/>
          <w:highlight w:val="none"/>
        </w:rPr>
        <w:t>本须知前附表第</w:t>
      </w:r>
      <w:r>
        <w:rPr>
          <w:rFonts w:ascii="宋体" w:hAnsi="宋体"/>
          <w:color w:val="auto"/>
          <w:sz w:val="24"/>
          <w:szCs w:val="24"/>
          <w:highlight w:val="none"/>
        </w:rPr>
        <w:t>17项规定的投标截止时间</w:t>
      </w:r>
      <w:r>
        <w:rPr>
          <w:rFonts w:hint="eastAsia" w:ascii="宋体" w:hAnsi="宋体"/>
          <w:bCs/>
          <w:color w:val="auto"/>
          <w:sz w:val="24"/>
          <w:szCs w:val="24"/>
          <w:highlight w:val="none"/>
        </w:rPr>
        <w:t>后送达的电子投标文件，</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交易平台将予以拒收。</w:t>
      </w:r>
    </w:p>
    <w:p w14:paraId="39F14C48">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22</w:t>
      </w:r>
      <w:r>
        <w:rPr>
          <w:rFonts w:hint="eastAsia" w:ascii="宋体" w:hAnsi="宋体"/>
          <w:b/>
          <w:bCs/>
          <w:color w:val="auto"/>
          <w:sz w:val="24"/>
          <w:szCs w:val="24"/>
          <w:highlight w:val="none"/>
        </w:rPr>
        <w:t>．投标文件的修改与撤回</w:t>
      </w:r>
    </w:p>
    <w:p w14:paraId="79082CA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22.1</w:t>
      </w:r>
      <w:r>
        <w:rPr>
          <w:rFonts w:hint="eastAsia" w:ascii="宋体" w:hAnsi="宋体"/>
          <w:color w:val="auto"/>
          <w:sz w:val="24"/>
          <w:szCs w:val="24"/>
          <w:highlight w:val="none"/>
        </w:rPr>
        <w:t>在规定的投标截止时间前，投标人可以修改或撤回已递交的投标文件，但应以书面形式通知招标人。</w:t>
      </w:r>
    </w:p>
    <w:p w14:paraId="49A64CA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22.2投标人修改或撤回已递交</w:t>
      </w:r>
      <w:r>
        <w:rPr>
          <w:rFonts w:hint="eastAsia" w:ascii="宋体" w:hAnsi="宋体"/>
          <w:color w:val="auto"/>
          <w:sz w:val="24"/>
          <w:szCs w:val="24"/>
          <w:highlight w:val="none"/>
        </w:rPr>
        <w:t>的</w:t>
      </w:r>
      <w:r>
        <w:rPr>
          <w:rFonts w:ascii="宋体" w:hAnsi="宋体"/>
          <w:color w:val="auto"/>
          <w:sz w:val="24"/>
          <w:szCs w:val="24"/>
          <w:highlight w:val="none"/>
        </w:rPr>
        <w:t>投标文件</w:t>
      </w:r>
      <w:r>
        <w:rPr>
          <w:rFonts w:hint="eastAsia" w:ascii="宋体" w:hAnsi="宋体"/>
          <w:color w:val="auto"/>
          <w:sz w:val="24"/>
          <w:szCs w:val="24"/>
          <w:highlight w:val="none"/>
        </w:rPr>
        <w:t>，需在交易平台发出修改或撤回</w:t>
      </w:r>
      <w:r>
        <w:rPr>
          <w:rFonts w:ascii="宋体" w:hAnsi="宋体"/>
          <w:color w:val="auto"/>
          <w:sz w:val="24"/>
          <w:szCs w:val="24"/>
          <w:highlight w:val="none"/>
        </w:rPr>
        <w:t>通知，</w:t>
      </w:r>
      <w:r>
        <w:rPr>
          <w:rFonts w:hint="eastAsia" w:ascii="宋体" w:hAnsi="宋体"/>
          <w:color w:val="auto"/>
          <w:sz w:val="24"/>
          <w:szCs w:val="24"/>
          <w:highlight w:val="none"/>
        </w:rPr>
        <w:t>并按</w:t>
      </w:r>
      <w:r>
        <w:rPr>
          <w:rFonts w:ascii="宋体" w:hAnsi="宋体"/>
          <w:color w:val="auto"/>
          <w:sz w:val="24"/>
          <w:szCs w:val="24"/>
          <w:highlight w:val="none"/>
        </w:rPr>
        <w:t>要求加盖电子印章。</w:t>
      </w:r>
      <w:r>
        <w:rPr>
          <w:rFonts w:ascii="宋体" w:hAnsi="宋体"/>
          <w:bCs/>
          <w:iCs/>
          <w:color w:val="auto"/>
          <w:sz w:val="24"/>
          <w:szCs w:val="24"/>
          <w:highlight w:val="none"/>
        </w:rPr>
        <w:t>电子招标投标交易平台收到通知后，</w:t>
      </w:r>
      <w:r>
        <w:rPr>
          <w:rFonts w:ascii="宋体" w:hAnsi="宋体"/>
          <w:color w:val="auto"/>
          <w:sz w:val="24"/>
          <w:szCs w:val="24"/>
          <w:highlight w:val="none"/>
        </w:rPr>
        <w:t>即时向投标人发出确认回执通知。</w:t>
      </w:r>
    </w:p>
    <w:p w14:paraId="0BD8574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22.3修改后再次递交的，按19点的规定执行。</w:t>
      </w:r>
    </w:p>
    <w:p w14:paraId="0599DF4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22.4</w:t>
      </w:r>
      <w:r>
        <w:rPr>
          <w:rFonts w:hint="eastAsia" w:ascii="宋体" w:hAnsi="宋体"/>
          <w:color w:val="auto"/>
          <w:sz w:val="24"/>
          <w:szCs w:val="24"/>
          <w:highlight w:val="none"/>
        </w:rPr>
        <w:t>在投标截止时间之后，投标人不得补充、修改和更换投标文件。</w:t>
      </w:r>
    </w:p>
    <w:p w14:paraId="7B1719AD">
      <w:pPr>
        <w:widowControl/>
        <w:spacing w:before="100" w:beforeAutospacing="1" w:after="100" w:afterAutospacing="1" w:line="360" w:lineRule="auto"/>
        <w:jc w:val="left"/>
        <w:outlineLvl w:val="2"/>
        <w:rPr>
          <w:rFonts w:hint="eastAsia" w:ascii="宋体" w:hAnsi="宋体" w:cs="宋体"/>
          <w:color w:val="auto"/>
          <w:kern w:val="0"/>
          <w:sz w:val="24"/>
          <w:szCs w:val="24"/>
          <w:highlight w:val="none"/>
        </w:rPr>
      </w:pPr>
      <w:bookmarkStart w:id="31" w:name="_Toc194440077"/>
      <w:bookmarkStart w:id="32" w:name="_Toc2272553"/>
      <w:bookmarkStart w:id="33" w:name="_Toc184468500"/>
      <w:bookmarkStart w:id="34" w:name="_Toc58838575"/>
      <w:r>
        <w:rPr>
          <w:rFonts w:hint="eastAsia" w:ascii="宋体" w:hAnsi="宋体" w:cs="宋体"/>
          <w:color w:val="auto"/>
          <w:kern w:val="0"/>
          <w:sz w:val="24"/>
          <w:szCs w:val="24"/>
          <w:highlight w:val="none"/>
        </w:rPr>
        <w:t>（五）开标、评标、定标及合同签定</w:t>
      </w:r>
      <w:bookmarkEnd w:id="31"/>
      <w:bookmarkEnd w:id="32"/>
      <w:bookmarkEnd w:id="33"/>
      <w:bookmarkEnd w:id="34"/>
    </w:p>
    <w:p w14:paraId="40410A38">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23</w:t>
      </w:r>
      <w:r>
        <w:rPr>
          <w:rFonts w:hint="eastAsia" w:ascii="宋体" w:hAnsi="宋体"/>
          <w:b/>
          <w:bCs/>
          <w:color w:val="auto"/>
          <w:sz w:val="24"/>
          <w:szCs w:val="24"/>
          <w:highlight w:val="none"/>
        </w:rPr>
        <w:t>、开标。</w:t>
      </w:r>
    </w:p>
    <w:p w14:paraId="1A31D04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详见第二章开标、评标及定标办法</w:t>
      </w:r>
    </w:p>
    <w:p w14:paraId="0410D82B">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24</w:t>
      </w:r>
      <w:r>
        <w:rPr>
          <w:rFonts w:hint="eastAsia" w:ascii="宋体" w:hAnsi="宋体"/>
          <w:b/>
          <w:bCs/>
          <w:color w:val="auto"/>
          <w:sz w:val="24"/>
          <w:szCs w:val="24"/>
          <w:highlight w:val="none"/>
        </w:rPr>
        <w:t>．评标过程的保密</w:t>
      </w:r>
    </w:p>
    <w:p w14:paraId="154193F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24.1</w:t>
      </w:r>
      <w:r>
        <w:rPr>
          <w:rFonts w:hint="eastAsia" w:ascii="宋体" w:hAnsi="宋体"/>
          <w:color w:val="auto"/>
          <w:sz w:val="24"/>
          <w:szCs w:val="24"/>
          <w:highlight w:val="none"/>
        </w:rPr>
        <w:t>开标后，直至中标公示为止，凡属于对投标文件的审查、澄清、评价和比较有关的资料以及中标候选人的推荐情况，与评标有关的其他任何情况均严格保密。</w:t>
      </w:r>
    </w:p>
    <w:p w14:paraId="0FD5E98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24.2</w:t>
      </w:r>
      <w:r>
        <w:rPr>
          <w:rFonts w:hint="eastAsia" w:ascii="宋体" w:hAnsi="宋体"/>
          <w:color w:val="auto"/>
          <w:sz w:val="24"/>
          <w:szCs w:val="24"/>
          <w:highlight w:val="none"/>
        </w:rPr>
        <w:t>在投标文件的评审和比较、中标候选人推荐以及授予合同的过程中，投标人向招标人和评标委员会施加不公正影响的任何行为，都将会导致其投标被拒绝。</w:t>
      </w:r>
    </w:p>
    <w:p w14:paraId="1C6CE3D8">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25</w:t>
      </w:r>
      <w:r>
        <w:rPr>
          <w:rFonts w:hint="eastAsia" w:ascii="宋体" w:hAnsi="宋体"/>
          <w:b/>
          <w:bCs/>
          <w:color w:val="auto"/>
          <w:sz w:val="24"/>
          <w:szCs w:val="24"/>
          <w:highlight w:val="none"/>
        </w:rPr>
        <w:t>．投标文件的澄清，计算错误的修正</w:t>
      </w:r>
    </w:p>
    <w:p w14:paraId="186D9C5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详见招标文件第二章开标、评标及定标办法</w:t>
      </w:r>
    </w:p>
    <w:p w14:paraId="4013FC17">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26</w:t>
      </w:r>
      <w:r>
        <w:rPr>
          <w:rFonts w:hint="eastAsia" w:ascii="宋体" w:hAnsi="宋体"/>
          <w:b/>
          <w:bCs/>
          <w:color w:val="auto"/>
          <w:sz w:val="24"/>
          <w:szCs w:val="24"/>
          <w:highlight w:val="none"/>
        </w:rPr>
        <w:t>．投标文件的评审、比较和否决</w:t>
      </w:r>
    </w:p>
    <w:p w14:paraId="59BADE90">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详见招标文件第二章开标、评标及定标办法。</w:t>
      </w:r>
    </w:p>
    <w:p w14:paraId="5FC02A91">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27．定标</w:t>
      </w:r>
    </w:p>
    <w:p w14:paraId="6A2DD89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27.1按照投标人须知前附表的规定，由招标人或招标人授权的评标委员会依法确定中标人。</w:t>
      </w:r>
    </w:p>
    <w:p w14:paraId="1A2818D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27.2采用评定分离方式确定中标人的，从其规定。</w:t>
      </w:r>
    </w:p>
    <w:p w14:paraId="70F91CD7">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2</w:t>
      </w:r>
      <w:r>
        <w:rPr>
          <w:rFonts w:hint="eastAsia" w:ascii="宋体" w:hAnsi="宋体"/>
          <w:b/>
          <w:bCs/>
          <w:color w:val="auto"/>
          <w:sz w:val="24"/>
          <w:szCs w:val="24"/>
          <w:highlight w:val="none"/>
        </w:rPr>
        <w:t>8．中标通知书</w:t>
      </w:r>
    </w:p>
    <w:p w14:paraId="2A19E0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28.1</w:t>
      </w:r>
      <w:r>
        <w:rPr>
          <w:rFonts w:hint="eastAsia" w:ascii="宋体" w:hAnsi="宋体" w:eastAsia="宋体" w:cs="宋体"/>
          <w:color w:val="auto"/>
          <w:sz w:val="24"/>
          <w:szCs w:val="24"/>
          <w:highlight w:val="none"/>
        </w:rPr>
        <w:t>招标人将在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广东省招标投标监管网和中国招标投标公共服务平台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3DD609F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28.2招标人应当自确定中标人后，向招标投标监管机构提交招标投标情况的书面报告。</w:t>
      </w:r>
    </w:p>
    <w:p w14:paraId="5748E88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28.3中标人必须在收到中标通知书后24小时之内以书面形式回复招标人，确认收到。</w:t>
      </w:r>
    </w:p>
    <w:p w14:paraId="230C50F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28.4在产生中标候选人后，招标人将中标候选人的投标文件商务部分文件的所有内容（包括人员、业绩、奖项等资料）在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highlight w:val="none"/>
        </w:rPr>
        <w:t>交易平台和广东省招标投标监管网公开。</w:t>
      </w:r>
    </w:p>
    <w:p w14:paraId="3097DE2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4D3132AA">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2</w:t>
      </w:r>
      <w:r>
        <w:rPr>
          <w:rFonts w:hint="eastAsia" w:ascii="宋体" w:hAnsi="宋体"/>
          <w:b/>
          <w:bCs/>
          <w:color w:val="auto"/>
          <w:sz w:val="24"/>
          <w:szCs w:val="24"/>
          <w:highlight w:val="none"/>
        </w:rPr>
        <w:t>9．合同协议书的签订</w:t>
      </w:r>
    </w:p>
    <w:p w14:paraId="30A5016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29.1招标人与中标人将于中标通知书发出之日起30日内，按照招标文件和中标人的投标文件商定和签订合同，招标人和中标人不得再行订立背离合同实质性内容的其他协议。</w:t>
      </w:r>
    </w:p>
    <w:p w14:paraId="45347EE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29.2中标通知书发出之日起30日后，中标人未按上款的规定与招标人订立合同，招标人将解除中标通知书，</w:t>
      </w:r>
      <w:r>
        <w:rPr>
          <w:rFonts w:hint="eastAsia" w:ascii="宋体" w:hAnsi="宋体" w:eastAsia="宋体" w:cs="宋体"/>
          <w:color w:val="auto"/>
          <w:sz w:val="24"/>
          <w:szCs w:val="24"/>
          <w:highlight w:val="none"/>
          <w:u w:val="single"/>
        </w:rPr>
        <w:t>原中标人依法承担相应法律责任</w:t>
      </w:r>
      <w:r>
        <w:rPr>
          <w:rFonts w:hint="eastAsia" w:ascii="宋体" w:hAnsi="宋体"/>
          <w:strike/>
          <w:dstrike w:val="0"/>
          <w:color w:val="auto"/>
          <w:sz w:val="24"/>
          <w:szCs w:val="24"/>
          <w:highlight w:val="none"/>
        </w:rPr>
        <w:t>原中标人的投标保证金不予退还，且依法承担相应法律责任</w:t>
      </w:r>
      <w:r>
        <w:rPr>
          <w:rFonts w:hint="eastAsia" w:ascii="宋体" w:hAnsi="宋体"/>
          <w:color w:val="auto"/>
          <w:sz w:val="24"/>
          <w:szCs w:val="24"/>
          <w:highlight w:val="none"/>
        </w:rPr>
        <w:t>。原中标人给招标人造成</w:t>
      </w:r>
      <w:r>
        <w:rPr>
          <w:rFonts w:hint="eastAsia" w:ascii="宋体" w:hAnsi="宋体"/>
          <w:strike/>
          <w:dstrike w:val="0"/>
          <w:color w:val="auto"/>
          <w:sz w:val="24"/>
          <w:szCs w:val="24"/>
          <w:highlight w:val="none"/>
        </w:rPr>
        <w:t>的</w:t>
      </w:r>
      <w:r>
        <w:rPr>
          <w:rFonts w:hint="eastAsia" w:ascii="宋体" w:hAnsi="宋体"/>
          <w:color w:val="auto"/>
          <w:sz w:val="24"/>
          <w:szCs w:val="24"/>
          <w:highlight w:val="none"/>
        </w:rPr>
        <w:t>损失</w:t>
      </w:r>
      <w:r>
        <w:rPr>
          <w:rFonts w:hint="eastAsia" w:ascii="宋体" w:hAnsi="宋体"/>
          <w:strike/>
          <w:dstrike w:val="0"/>
          <w:color w:val="auto"/>
          <w:sz w:val="24"/>
          <w:szCs w:val="24"/>
          <w:highlight w:val="none"/>
        </w:rPr>
        <w:t>超过投标保证金数额</w:t>
      </w:r>
      <w:r>
        <w:rPr>
          <w:rFonts w:hint="eastAsia" w:ascii="宋体" w:hAnsi="宋体"/>
          <w:color w:val="auto"/>
          <w:sz w:val="24"/>
          <w:szCs w:val="24"/>
          <w:highlight w:val="none"/>
        </w:rPr>
        <w:t>的，</w:t>
      </w:r>
      <w:r>
        <w:rPr>
          <w:rFonts w:hint="eastAsia" w:ascii="宋体" w:hAnsi="宋体"/>
          <w:color w:val="auto"/>
          <w:sz w:val="24"/>
          <w:szCs w:val="24"/>
          <w:highlight w:val="none"/>
          <w:u w:val="single"/>
        </w:rPr>
        <w:t>还应当对超过部分予以赔偿</w:t>
      </w:r>
      <w:r>
        <w:rPr>
          <w:rFonts w:hint="eastAsia" w:ascii="宋体" w:hAnsi="宋体"/>
          <w:color w:val="auto"/>
          <w:sz w:val="24"/>
          <w:szCs w:val="24"/>
          <w:highlight w:val="none"/>
        </w:rPr>
        <w:t>。原中标人有异议的，可以向人民法院起诉。</w:t>
      </w:r>
    </w:p>
    <w:p w14:paraId="09F42DC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29.3非经招标人同意，中标人在投标过程中使用的银行名称及帐号至完成竣工结算不得变更，否则招标人有权停止工程款项的拔付及至解除合同，由此造成的一切责任由中标人承担。</w:t>
      </w:r>
    </w:p>
    <w:p w14:paraId="3B5F147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29.4招标人支付工程款时，中标人应按规定开具发票并完税。</w:t>
      </w:r>
    </w:p>
    <w:p w14:paraId="49A087EC">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30．履约担保</w:t>
      </w:r>
    </w:p>
    <w:p w14:paraId="3D0CBAE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30.1</w:t>
      </w:r>
      <w:r>
        <w:rPr>
          <w:rFonts w:hint="eastAsia" w:ascii="宋体" w:hAnsi="宋体"/>
          <w:strike/>
          <w:dstrike w:val="0"/>
          <w:color w:val="auto"/>
          <w:sz w:val="24"/>
          <w:szCs w:val="24"/>
          <w:highlight w:val="none"/>
        </w:rPr>
        <w:t>在收到中标通知书后的15日内</w:t>
      </w:r>
      <w:r>
        <w:rPr>
          <w:rFonts w:hint="eastAsia" w:ascii="宋体" w:hAnsi="宋体" w:eastAsia="宋体" w:cs="宋体"/>
          <w:color w:val="auto"/>
          <w:sz w:val="24"/>
          <w:szCs w:val="24"/>
          <w:highlight w:val="none"/>
          <w:u w:val="single"/>
        </w:rPr>
        <w:t>在收到中标通知书后的30日历天内</w:t>
      </w:r>
      <w:r>
        <w:rPr>
          <w:rFonts w:hint="eastAsia" w:ascii="宋体" w:hAnsi="宋体"/>
          <w:color w:val="auto"/>
          <w:sz w:val="24"/>
          <w:szCs w:val="24"/>
          <w:highlight w:val="none"/>
        </w:rPr>
        <w:t>，中标人应按本须知前附表第20项的规定向招标人提交履约担保。</w:t>
      </w:r>
    </w:p>
    <w:p w14:paraId="2C6C0CC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30.2</w:t>
      </w:r>
      <w:r>
        <w:rPr>
          <w:rFonts w:hint="eastAsia" w:ascii="宋体" w:hAnsi="宋体"/>
          <w:strike/>
          <w:dstrike w:val="0"/>
          <w:color w:val="auto"/>
          <w:sz w:val="24"/>
          <w:szCs w:val="24"/>
          <w:highlight w:val="none"/>
        </w:rPr>
        <w:t>中标通知书发出之日起15日后</w:t>
      </w:r>
      <w:r>
        <w:rPr>
          <w:rFonts w:hint="eastAsia" w:ascii="宋体" w:hAnsi="宋体" w:eastAsia="宋体" w:cs="宋体"/>
          <w:color w:val="auto"/>
          <w:sz w:val="24"/>
          <w:szCs w:val="24"/>
          <w:highlight w:val="none"/>
          <w:u w:val="single"/>
        </w:rPr>
        <w:t>在收到中标通知书后的30日历天内</w:t>
      </w:r>
      <w:r>
        <w:rPr>
          <w:rFonts w:hint="eastAsia" w:ascii="宋体" w:hAnsi="宋体"/>
          <w:color w:val="auto"/>
          <w:sz w:val="24"/>
          <w:szCs w:val="24"/>
          <w:highlight w:val="none"/>
        </w:rPr>
        <w:t>，中标人未按上款的规定提交履约担保，招标人将解除中标通知书，原中标人</w:t>
      </w:r>
      <w:r>
        <w:rPr>
          <w:rFonts w:hint="eastAsia" w:ascii="宋体" w:hAnsi="宋体"/>
          <w:strike/>
          <w:dstrike w:val="0"/>
          <w:color w:val="auto"/>
          <w:sz w:val="24"/>
          <w:szCs w:val="24"/>
          <w:highlight w:val="none"/>
        </w:rPr>
        <w:t>的投标保证金不予退还，且</w:t>
      </w:r>
      <w:r>
        <w:rPr>
          <w:rFonts w:hint="eastAsia" w:ascii="宋体" w:hAnsi="宋体"/>
          <w:color w:val="auto"/>
          <w:sz w:val="24"/>
          <w:szCs w:val="24"/>
          <w:highlight w:val="none"/>
          <w:u w:val="single"/>
        </w:rPr>
        <w:t>依法承担相应法律责任</w:t>
      </w:r>
      <w:r>
        <w:rPr>
          <w:rFonts w:hint="eastAsia" w:ascii="宋体" w:hAnsi="宋体"/>
          <w:color w:val="auto"/>
          <w:sz w:val="24"/>
          <w:szCs w:val="24"/>
          <w:highlight w:val="none"/>
        </w:rPr>
        <w:t>。</w:t>
      </w:r>
      <w:r>
        <w:rPr>
          <w:rFonts w:hint="eastAsia" w:ascii="宋体" w:hAnsi="宋体" w:eastAsia="宋体" w:cs="宋体"/>
          <w:color w:val="auto"/>
          <w:sz w:val="24"/>
          <w:szCs w:val="24"/>
          <w:highlight w:val="none"/>
          <w:u w:val="single"/>
        </w:rPr>
        <w:t>原中标人给招标人造成损失的，应当予以赔偿</w:t>
      </w:r>
      <w:r>
        <w:rPr>
          <w:rFonts w:hint="eastAsia" w:ascii="宋体" w:hAnsi="宋体"/>
          <w:strike/>
          <w:dstrike w:val="0"/>
          <w:color w:val="auto"/>
          <w:sz w:val="24"/>
          <w:szCs w:val="24"/>
          <w:highlight w:val="none"/>
        </w:rPr>
        <w:t>原中标人给招标人造成的损失超过投标保证金数额的，还应当对超过部分予以赔偿</w:t>
      </w:r>
      <w:r>
        <w:rPr>
          <w:rFonts w:hint="eastAsia" w:ascii="宋体" w:hAnsi="宋体"/>
          <w:color w:val="auto"/>
          <w:sz w:val="24"/>
          <w:szCs w:val="24"/>
          <w:highlight w:val="none"/>
        </w:rPr>
        <w:t>。原中标人有异议的，可以向人民法院起诉。</w:t>
      </w:r>
    </w:p>
    <w:p w14:paraId="2FC2305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30.3中标候选人的经营、财务状况发生较大变化或存在违法行为，招标人认为可能影响其履约能力的，将在发出中标通知书前提请原评标委员会按照招标文件规定的标准和方法进行审查确认。</w:t>
      </w:r>
    </w:p>
    <w:p w14:paraId="47C608FF">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3</w:t>
      </w:r>
      <w:r>
        <w:rPr>
          <w:rFonts w:hint="eastAsia" w:ascii="宋体" w:hAnsi="宋体"/>
          <w:b/>
          <w:bCs/>
          <w:color w:val="auto"/>
          <w:sz w:val="24"/>
          <w:szCs w:val="24"/>
          <w:highlight w:val="none"/>
        </w:rPr>
        <w:t>1．合同生效</w:t>
      </w:r>
    </w:p>
    <w:p w14:paraId="1353F4B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31.1在合同双方全权代表在合同协议书上签字，并分别加盖双方单位的公章后，合同正式生效。</w:t>
      </w:r>
    </w:p>
    <w:p w14:paraId="16E07876">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3</w:t>
      </w:r>
      <w:r>
        <w:rPr>
          <w:rFonts w:hint="eastAsia" w:ascii="宋体" w:hAnsi="宋体"/>
          <w:b/>
          <w:bCs/>
          <w:color w:val="auto"/>
          <w:sz w:val="24"/>
          <w:szCs w:val="24"/>
          <w:highlight w:val="none"/>
        </w:rPr>
        <w:t>2．专业分包</w:t>
      </w:r>
    </w:p>
    <w:p w14:paraId="768F019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5B01CB0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32.2中标人不得向他人转让中标项目，接受分包的人不得再次分包。中标人应当就分包项目向招标人负责，接受分包的人就分包项目承担连带责任。</w:t>
      </w:r>
    </w:p>
    <w:p w14:paraId="3C7A0821">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3</w:t>
      </w:r>
      <w:r>
        <w:rPr>
          <w:rFonts w:hint="eastAsia" w:ascii="宋体" w:hAnsi="宋体"/>
          <w:b/>
          <w:bCs/>
          <w:color w:val="auto"/>
          <w:sz w:val="24"/>
          <w:szCs w:val="24"/>
          <w:highlight w:val="none"/>
        </w:rPr>
        <w:t>3．腐败与欺诈行为</w:t>
      </w:r>
    </w:p>
    <w:p w14:paraId="277D757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在招标和合同实施期间，招标人要求投标人和承包人遵守最高的道德标准。</w:t>
      </w:r>
    </w:p>
    <w:p w14:paraId="130F404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33.1对本条款的规定，特定义如下词汇：</w:t>
      </w:r>
    </w:p>
    <w:p w14:paraId="4B22920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“腐败行为”是指在招标或合同执行期间，通过提供、给予、接受或索要任何有价值的东西，从而影响招标人有关人员工作的行为；</w:t>
      </w:r>
    </w:p>
    <w:p w14:paraId="0849F2E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17F7B31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33.2如果投标人被认定在本招标竞争中有腐败或欺诈行为，则会被取消投标资格。</w:t>
      </w:r>
    </w:p>
    <w:p w14:paraId="55C6174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33.3投标人如在本项目中存在串通投标、弄虚作假骗取中标、行贿情形的，中标无效，行政监督部门将对其违法行为进行政处罚。</w:t>
      </w:r>
    </w:p>
    <w:p w14:paraId="38534483">
      <w:pPr>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3</w:t>
      </w:r>
      <w:r>
        <w:rPr>
          <w:rFonts w:hint="eastAsia" w:ascii="宋体" w:hAnsi="宋体"/>
          <w:b/>
          <w:bCs/>
          <w:color w:val="auto"/>
          <w:sz w:val="24"/>
          <w:szCs w:val="24"/>
          <w:highlight w:val="none"/>
        </w:rPr>
        <w:t>4．其它费用</w:t>
      </w:r>
    </w:p>
    <w:p w14:paraId="3F84D60D">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中标人应交纳交易服务费，该费用包含在投标价中。</w:t>
      </w:r>
    </w:p>
    <w:p w14:paraId="2B77288D">
      <w:pPr>
        <w:pStyle w:val="2"/>
        <w:rPr>
          <w:rFonts w:hint="eastAsia" w:ascii="宋体" w:hAnsi="宋体"/>
          <w:color w:val="auto"/>
          <w:highlight w:val="none"/>
        </w:rPr>
      </w:pPr>
      <w:r>
        <w:rPr>
          <w:rFonts w:ascii="宋体" w:hAnsi="宋体"/>
          <w:color w:val="auto"/>
          <w:sz w:val="24"/>
          <w:highlight w:val="none"/>
        </w:rPr>
        <w:br w:type="page"/>
      </w:r>
      <w:bookmarkStart w:id="35" w:name="_Toc2272554"/>
      <w:bookmarkStart w:id="36" w:name="_Toc194440078"/>
      <w:r>
        <w:rPr>
          <w:rFonts w:hint="eastAsia" w:ascii="宋体" w:hAnsi="宋体"/>
          <w:color w:val="auto"/>
          <w:highlight w:val="none"/>
        </w:rPr>
        <w:t>第二章</w:t>
      </w:r>
      <w:r>
        <w:rPr>
          <w:rFonts w:ascii="宋体" w:hAnsi="宋体"/>
          <w:color w:val="auto"/>
          <w:highlight w:val="none"/>
        </w:rPr>
        <w:t xml:space="preserve"> </w:t>
      </w:r>
      <w:r>
        <w:rPr>
          <w:rFonts w:hint="eastAsia" w:ascii="宋体" w:hAnsi="宋体"/>
          <w:color w:val="auto"/>
          <w:highlight w:val="none"/>
        </w:rPr>
        <w:t>开标、评标及定标办法</w:t>
      </w:r>
      <w:bookmarkEnd w:id="35"/>
      <w:bookmarkEnd w:id="36"/>
    </w:p>
    <w:p w14:paraId="155B8071">
      <w:pPr>
        <w:pStyle w:val="6"/>
        <w:rPr>
          <w:rFonts w:hint="eastAsia" w:ascii="宋体" w:hAnsi="宋体"/>
          <w:color w:val="auto"/>
          <w:highlight w:val="none"/>
        </w:rPr>
      </w:pPr>
      <w:bookmarkStart w:id="37" w:name="_Toc194440079"/>
      <w:bookmarkStart w:id="38" w:name="_Toc184468502"/>
      <w:bookmarkStart w:id="39" w:name="_Toc2272555"/>
      <w:r>
        <w:rPr>
          <w:rFonts w:hint="eastAsia" w:ascii="宋体" w:hAnsi="宋体"/>
          <w:color w:val="auto"/>
          <w:sz w:val="28"/>
          <w:szCs w:val="28"/>
          <w:highlight w:val="none"/>
        </w:rPr>
        <w:t>一、</w:t>
      </w:r>
      <w:r>
        <w:rPr>
          <w:rFonts w:hint="eastAsia" w:ascii="宋体" w:hAnsi="宋体"/>
          <w:color w:val="auto"/>
          <w:highlight w:val="none"/>
        </w:rPr>
        <w:t>开标、评标及定标办法修改表</w:t>
      </w:r>
      <w:bookmarkEnd w:id="37"/>
      <w:bookmarkEnd w:id="38"/>
    </w:p>
    <w:p w14:paraId="725B3302">
      <w:pPr>
        <w:pBdr>
          <w:bottom w:val="single" w:color="auto" w:sz="6" w:space="1"/>
        </w:pBdr>
        <w:spacing w:line="360" w:lineRule="auto"/>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声明：本开标、评标及定标办法使用GZJTZB2025-3招标文件范本的开标、评标及定标办法通用条款，与该通用条款不同之处，均在本表中列明，并以现文为准，原文不再有效。</w:t>
      </w:r>
      <w:r>
        <w:rPr>
          <w:rFonts w:hint="eastAsia" w:ascii="宋体" w:hAnsi="宋体" w:eastAsia="宋体" w:cs="宋体"/>
          <w:bCs/>
          <w:color w:val="auto"/>
          <w:sz w:val="24"/>
          <w:szCs w:val="24"/>
          <w:highlight w:val="none"/>
        </w:rPr>
        <w:t>（注：招标人按《开标、评标及定标办法修改表》修改的内容对应修改通用条款，属于删除的采用“</w:t>
      </w:r>
      <w:r>
        <w:rPr>
          <w:rFonts w:hint="eastAsia" w:ascii="宋体" w:hAnsi="宋体" w:eastAsia="宋体" w:cs="宋体"/>
          <w:bCs/>
          <w:strike/>
          <w:color w:val="auto"/>
          <w:sz w:val="24"/>
          <w:szCs w:val="24"/>
          <w:highlight w:val="none"/>
        </w:rPr>
        <w:t xml:space="preserve">   </w:t>
      </w:r>
      <w:r>
        <w:rPr>
          <w:rFonts w:hint="eastAsia" w:ascii="宋体" w:hAnsi="宋体" w:eastAsia="宋体" w:cs="宋体"/>
          <w:bCs/>
          <w:color w:val="auto"/>
          <w:sz w:val="24"/>
          <w:szCs w:val="24"/>
          <w:highlight w:val="none"/>
        </w:rPr>
        <w:t>”表示，如“</w:t>
      </w:r>
      <w:r>
        <w:rPr>
          <w:rFonts w:hint="eastAsia" w:ascii="宋体" w:hAnsi="宋体" w:eastAsia="宋体" w:cs="宋体"/>
          <w:bCs/>
          <w:strike/>
          <w:color w:val="auto"/>
          <w:sz w:val="24"/>
          <w:szCs w:val="24"/>
          <w:highlight w:val="none"/>
        </w:rPr>
        <w:t>删除</w:t>
      </w:r>
      <w:r>
        <w:rPr>
          <w:rFonts w:hint="eastAsia" w:ascii="宋体" w:hAnsi="宋体" w:eastAsia="宋体" w:cs="宋体"/>
          <w:bCs/>
          <w:color w:val="auto"/>
          <w:sz w:val="24"/>
          <w:szCs w:val="24"/>
          <w:highlight w:val="none"/>
        </w:rPr>
        <w:t>”；属于新增、修改的内容，用</w:t>
      </w:r>
      <w:r>
        <w:rPr>
          <w:rFonts w:hint="eastAsia" w:ascii="宋体" w:hAnsi="宋体" w:eastAsia="宋体" w:cs="宋体"/>
          <w:b/>
          <w:color w:val="auto"/>
          <w:sz w:val="24"/>
          <w:szCs w:val="24"/>
          <w:highlight w:val="none"/>
        </w:rPr>
        <w:t>黑色加粗</w:t>
      </w:r>
      <w:r>
        <w:rPr>
          <w:rFonts w:hint="eastAsia" w:ascii="宋体" w:hAnsi="宋体" w:eastAsia="宋体" w:cs="宋体"/>
          <w:bCs/>
          <w:color w:val="auto"/>
          <w:sz w:val="24"/>
          <w:szCs w:val="24"/>
          <w:highlight w:val="none"/>
        </w:rPr>
        <w:t>字体显示,并加注下划线，如“</w:t>
      </w:r>
      <w:r>
        <w:rPr>
          <w:rFonts w:hint="eastAsia" w:ascii="宋体" w:hAnsi="宋体" w:eastAsia="宋体" w:cs="宋体"/>
          <w:b/>
          <w:color w:val="auto"/>
          <w:sz w:val="24"/>
          <w:szCs w:val="24"/>
          <w:highlight w:val="none"/>
          <w:u w:val="single"/>
        </w:rPr>
        <w:t>新增修改</w:t>
      </w:r>
      <w:r>
        <w:rPr>
          <w:rFonts w:hint="eastAsia" w:ascii="宋体" w:hAnsi="宋体" w:eastAsia="宋体" w:cs="宋体"/>
          <w:bCs/>
          <w:color w:val="auto"/>
          <w:sz w:val="24"/>
          <w:szCs w:val="24"/>
          <w:highlight w:val="none"/>
        </w:rPr>
        <w:t>”。）</w:t>
      </w:r>
    </w:p>
    <w:bookmarkEnd w:id="39"/>
    <w:p w14:paraId="72C5B8DF">
      <w:pPr>
        <w:spacing w:line="360" w:lineRule="auto"/>
        <w:ind w:firstLine="535" w:firstLineChars="222"/>
        <w:rPr>
          <w:rFonts w:hint="eastAsia" w:ascii="宋体" w:hAnsi="宋体" w:eastAsia="宋体" w:cs="宋体"/>
          <w:b/>
          <w:color w:val="auto"/>
          <w:sz w:val="24"/>
          <w:szCs w:val="24"/>
          <w:highlight w:val="none"/>
        </w:rPr>
      </w:pPr>
      <w:bookmarkStart w:id="40" w:name="_Toc2272556"/>
      <w:r>
        <w:rPr>
          <w:rFonts w:hint="eastAsia" w:ascii="宋体" w:hAnsi="宋体" w:eastAsia="宋体" w:cs="宋体"/>
          <w:b/>
          <w:color w:val="auto"/>
          <w:sz w:val="24"/>
          <w:szCs w:val="24"/>
          <w:highlight w:val="none"/>
        </w:rPr>
        <w:t>条款号：36.3                        修改类型：删除</w:t>
      </w:r>
    </w:p>
    <w:p w14:paraId="26522FCF">
      <w:pPr>
        <w:pBdr>
          <w:bottom w:val="single" w:color="auto" w:sz="6" w:space="1"/>
        </w:pBd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36.3根据投标须知前附表第19项，如需抽取某一种评标办法供评标时使用的，可在开标时（唱标工作完成后）抽取。首先对招标文件中约定的若干种评标方法进行编号，再随机抽取某一编号，该编号所对应的评标办法供评标时使用。</w:t>
      </w:r>
    </w:p>
    <w:p w14:paraId="26A804FC">
      <w:pP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条款号：41.1                        修改类型：修改</w:t>
      </w:r>
    </w:p>
    <w:p w14:paraId="16D3F1D8">
      <w:pPr>
        <w:pBdr>
          <w:bottom w:val="single" w:color="auto" w:sz="6" w:space="1"/>
        </w:pBdr>
        <w:spacing w:line="360" w:lineRule="auto"/>
        <w:ind w:firstLine="535" w:firstLineChars="22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41.1开标由招标人主持；</w:t>
      </w:r>
    </w:p>
    <w:p w14:paraId="5BF1AB15">
      <w:pPr>
        <w:pBdr>
          <w:bottom w:val="single" w:color="auto" w:sz="6" w:space="1"/>
        </w:pBdr>
        <w:spacing w:line="360" w:lineRule="auto"/>
        <w:ind w:firstLine="535" w:firstLineChars="22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41.1开标由招标人</w:t>
      </w:r>
      <w:r>
        <w:rPr>
          <w:rFonts w:hint="eastAsia" w:ascii="宋体" w:hAnsi="宋体" w:eastAsia="宋体" w:cs="宋体"/>
          <w:color w:val="auto"/>
          <w:sz w:val="24"/>
          <w:szCs w:val="24"/>
          <w:highlight w:val="none"/>
          <w:u w:val="single"/>
        </w:rPr>
        <w:t>或招标代理</w:t>
      </w:r>
      <w:r>
        <w:rPr>
          <w:rFonts w:hint="eastAsia" w:ascii="宋体" w:hAnsi="宋体" w:eastAsia="宋体" w:cs="宋体"/>
          <w:color w:val="auto"/>
          <w:sz w:val="24"/>
          <w:szCs w:val="24"/>
          <w:highlight w:val="none"/>
        </w:rPr>
        <w:t>主持；</w:t>
      </w:r>
    </w:p>
    <w:p w14:paraId="613D26A2">
      <w:pP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条款号：41.2.1                      修改类型：修改</w:t>
      </w:r>
    </w:p>
    <w:p w14:paraId="0200052C">
      <w:pP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41.2.1投标截止期前，各投标人递交投标文件（包括技术标投标文件、经济标投标文件）至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交易平台。有关投标文件提交的事项详见第一章投标须知。</w:t>
      </w:r>
    </w:p>
    <w:p w14:paraId="55D3272D">
      <w:pPr>
        <w:pBdr>
          <w:bottom w:val="single" w:color="auto" w:sz="6" w:space="1"/>
        </w:pBdr>
        <w:spacing w:line="360" w:lineRule="auto"/>
        <w:ind w:firstLine="535" w:firstLineChars="22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41.2.1投标截止期前，各投标人递交投标文件（包括技术标投标文件</w:t>
      </w:r>
      <w:r>
        <w:rPr>
          <w:rFonts w:hint="eastAsia" w:ascii="宋体" w:hAnsi="宋体" w:eastAsia="宋体" w:cs="宋体"/>
          <w:color w:val="auto"/>
          <w:sz w:val="24"/>
          <w:szCs w:val="24"/>
          <w:highlight w:val="none"/>
          <w:u w:val="single"/>
        </w:rPr>
        <w:t>（含资格审查文件）</w:t>
      </w:r>
      <w:r>
        <w:rPr>
          <w:rFonts w:hint="eastAsia" w:ascii="宋体" w:hAnsi="宋体" w:eastAsia="宋体" w:cs="宋体"/>
          <w:color w:val="auto"/>
          <w:sz w:val="24"/>
          <w:szCs w:val="24"/>
          <w:highlight w:val="none"/>
        </w:rPr>
        <w:t>、经济标投标文件）至</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交易平台。有关投标文件提交的事项详见第一章投标须知。</w:t>
      </w:r>
    </w:p>
    <w:p w14:paraId="49DE3F32">
      <w:pP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条款号：41.3.1             修改类型：修改</w:t>
      </w:r>
    </w:p>
    <w:p w14:paraId="6E2B4F3B">
      <w:pPr>
        <w:spacing w:line="360" w:lineRule="auto"/>
        <w:ind w:firstLine="535" w:firstLineChars="222"/>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41.3.1开标时，公布：a、投标人名称；b、投标文件递交情况c、投标文件解密情况；d、法定代表人证明及授权委托；e、投标保证金；f、项目经理（负责人）名称；f、投标报价等主要内容及开标记录表中的其他必要内容。投标报价以数字和文字两种方式表述的，应公布文字表述的投标报价。</w:t>
      </w:r>
    </w:p>
    <w:p w14:paraId="0E8B841F">
      <w:pPr>
        <w:pBdr>
          <w:bottom w:val="single" w:color="auto" w:sz="6" w:space="1"/>
        </w:pBdr>
        <w:spacing w:line="360" w:lineRule="auto"/>
        <w:ind w:firstLine="535" w:firstLineChars="22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41.3.1开标时，公布：a、投标人名称；b、投标文件递交情况c、投标文件解密情况；d、法定代表人证明及授权委托；</w:t>
      </w:r>
      <w:r>
        <w:rPr>
          <w:rFonts w:hint="eastAsia" w:ascii="宋体" w:hAnsi="宋体" w:eastAsia="宋体" w:cs="宋体"/>
          <w:bCs/>
          <w:strike/>
          <w:color w:val="auto"/>
          <w:sz w:val="24"/>
          <w:szCs w:val="24"/>
          <w:highlight w:val="none"/>
        </w:rPr>
        <w:t>e、投标保证金；</w:t>
      </w:r>
      <w:r>
        <w:rPr>
          <w:rFonts w:hint="eastAsia" w:ascii="宋体" w:hAnsi="宋体" w:eastAsia="宋体" w:cs="宋体"/>
          <w:bCs/>
          <w:color w:val="auto"/>
          <w:sz w:val="24"/>
          <w:szCs w:val="24"/>
          <w:highlight w:val="none"/>
        </w:rPr>
        <w:t>f、项目经理（负责人）名称；f、投标报价等主要内容及开标记录表中的其他必要内容。投标报价以数字和文字两种方式表述的，应公布文字表述的投标报价。</w:t>
      </w:r>
    </w:p>
    <w:p w14:paraId="523EE1B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条款号：42.1</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修改类型：修改</w:t>
      </w:r>
    </w:p>
    <w:p w14:paraId="516724FE">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42.1评标委员会的组成：方式      。</w:t>
      </w:r>
    </w:p>
    <w:p w14:paraId="7D02FE7C">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14:paraId="76E9CF8F">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14:paraId="02CC8C2D">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42.1评标委员会的组成：方式</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w:t>
      </w:r>
    </w:p>
    <w:p w14:paraId="47EB920B">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w:t>
      </w:r>
      <w:r>
        <w:rPr>
          <w:rFonts w:hint="eastAsia" w:ascii="宋体" w:hAnsi="宋体" w:eastAsia="宋体" w:cs="宋体"/>
          <w:color w:val="auto"/>
          <w:sz w:val="24"/>
          <w:szCs w:val="24"/>
          <w:highlight w:val="none"/>
          <w:u w:val="single"/>
        </w:rPr>
        <w:t>资格审查及</w:t>
      </w:r>
      <w:r>
        <w:rPr>
          <w:rFonts w:hint="eastAsia" w:ascii="宋体" w:hAnsi="宋体" w:eastAsia="宋体" w:cs="宋体"/>
          <w:color w:val="auto"/>
          <w:sz w:val="24"/>
          <w:szCs w:val="24"/>
          <w:highlight w:val="none"/>
        </w:rPr>
        <w:t>评标工作。</w:t>
      </w:r>
    </w:p>
    <w:p w14:paraId="7C2A4B1F">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14:paraId="3CB64E86">
      <w:pPr>
        <w:spacing w:line="360" w:lineRule="auto"/>
        <w:ind w:firstLine="532" w:firstLineChars="22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条款号：42.3.1                        修改类型：修改</w:t>
      </w:r>
    </w:p>
    <w:p w14:paraId="38EF2E0A">
      <w:pPr>
        <w:spacing w:line="360" w:lineRule="auto"/>
        <w:ind w:firstLine="532" w:firstLineChars="22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当N个标段同时招标且不允许兼中时，通过技术标有效性审查投标人应≥N+2家），由招标人依法重新招标。评委发现投标文件中含义不明确、对同类问题表述不一致、有明显文字和计算错误的，应当要求投标人作必要的澄清、说明后再判定投标人是否通过有效性审查，不得直接否决投标。</w:t>
      </w:r>
    </w:p>
    <w:p w14:paraId="4AC61AC9">
      <w:pPr>
        <w:pBdr>
          <w:bottom w:val="single" w:color="auto" w:sz="6" w:space="1"/>
        </w:pBdr>
        <w:spacing w:line="360" w:lineRule="auto"/>
        <w:ind w:firstLine="532" w:firstLineChars="22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w:t>
      </w:r>
      <w:r>
        <w:rPr>
          <w:rFonts w:hint="eastAsia" w:ascii="宋体" w:hAnsi="宋体" w:eastAsia="宋体" w:cs="宋体"/>
          <w:color w:val="auto"/>
          <w:sz w:val="24"/>
          <w:szCs w:val="24"/>
          <w:highlight w:val="none"/>
          <w:u w:val="single"/>
        </w:rPr>
        <w:t>评标委员会应当对投标是否明显缺乏竞争和是否需要否决全部投标进行充分论证，并在评标报告中记载论证过程和结果</w:t>
      </w:r>
      <w:r>
        <w:rPr>
          <w:rFonts w:hint="eastAsia" w:ascii="宋体" w:hAnsi="宋体" w:eastAsia="宋体" w:cs="宋体"/>
          <w:color w:val="auto"/>
          <w:sz w:val="24"/>
          <w:szCs w:val="24"/>
          <w:highlight w:val="none"/>
        </w:rPr>
        <w:t>（当N个标段同时招标且不允许兼中时，通过技术标有效性审查投标人应≥N+2家），由招标人依法重新招标。评委发现投标文件中含义不明确、对同类问题表述不一致、有明显文字和计算错误的，应当要求投标人作必要的澄清、说明后再判定投标人是否通过有效性审查，不得直接否决投标。</w:t>
      </w:r>
    </w:p>
    <w:p w14:paraId="561C2764">
      <w:pPr>
        <w:spacing w:line="360" w:lineRule="auto"/>
        <w:ind w:firstLine="532" w:firstLineChars="22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条款号：42.3.2                        修改类型：修改</w:t>
      </w:r>
    </w:p>
    <w:p w14:paraId="112018B3">
      <w:pPr>
        <w:spacing w:line="360" w:lineRule="auto"/>
        <w:ind w:firstLine="532" w:firstLineChars="22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42.3.2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详细审查评分：评标委员会按照本办法附表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详细审查评分表》对通过技术标有效性审查的投标文件进行详细审查，评出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得分。</w:t>
      </w:r>
    </w:p>
    <w:p w14:paraId="7282663D">
      <w:pPr>
        <w:pBdr>
          <w:bottom w:val="single" w:color="auto" w:sz="6" w:space="1"/>
        </w:pBdr>
        <w:spacing w:line="360" w:lineRule="auto"/>
        <w:ind w:firstLine="532" w:firstLineChars="22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42.3.2</w:t>
      </w:r>
      <w:r>
        <w:rPr>
          <w:rFonts w:hint="eastAsia" w:ascii="宋体" w:hAnsi="宋体" w:eastAsia="宋体" w:cs="宋体"/>
          <w:color w:val="auto"/>
          <w:sz w:val="24"/>
          <w:szCs w:val="24"/>
          <w:highlight w:val="none"/>
          <w:u w:val="single"/>
        </w:rPr>
        <w:t>技术标</w:t>
      </w:r>
      <w:r>
        <w:rPr>
          <w:rFonts w:hint="eastAsia" w:ascii="宋体" w:hAnsi="宋体" w:eastAsia="宋体" w:cs="宋体"/>
          <w:color w:val="auto"/>
          <w:sz w:val="24"/>
          <w:szCs w:val="24"/>
          <w:highlight w:val="none"/>
        </w:rPr>
        <w:t>详细审查评分：评标委员会按照本办法附表</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技术标</w:t>
      </w:r>
      <w:r>
        <w:rPr>
          <w:rFonts w:hint="eastAsia" w:ascii="宋体" w:hAnsi="宋体" w:eastAsia="宋体" w:cs="宋体"/>
          <w:color w:val="auto"/>
          <w:sz w:val="24"/>
          <w:szCs w:val="24"/>
          <w:highlight w:val="none"/>
        </w:rPr>
        <w:t>详细审查评分表》对通过技术标有效性审查的投标文件进行详细审查，评出</w:t>
      </w:r>
      <w:r>
        <w:rPr>
          <w:rFonts w:hint="eastAsia" w:ascii="宋体" w:hAnsi="宋体" w:eastAsia="宋体" w:cs="宋体"/>
          <w:b/>
          <w:bCs/>
          <w:color w:val="auto"/>
          <w:sz w:val="24"/>
          <w:szCs w:val="24"/>
          <w:highlight w:val="none"/>
          <w:u w:val="single"/>
        </w:rPr>
        <w:t>技术</w:t>
      </w:r>
      <w:r>
        <w:rPr>
          <w:rFonts w:hint="eastAsia" w:ascii="宋体" w:hAnsi="宋体" w:eastAsia="宋体" w:cs="宋体"/>
          <w:color w:val="auto"/>
          <w:sz w:val="24"/>
          <w:szCs w:val="24"/>
          <w:highlight w:val="none"/>
        </w:rPr>
        <w:t>得分。</w:t>
      </w:r>
    </w:p>
    <w:p w14:paraId="070BB67D">
      <w:pPr>
        <w:spacing w:line="360" w:lineRule="auto"/>
        <w:ind w:firstLine="532" w:firstLineChars="22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条款号：42.3.3                        修改类型：修改</w:t>
      </w:r>
    </w:p>
    <w:p w14:paraId="676491C1">
      <w:pPr>
        <w:spacing w:line="360" w:lineRule="auto"/>
        <w:ind w:firstLine="530" w:firstLineChars="22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42.3.3评标委员会按照“第一阶段得分=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建议进入第二阶段评审家数≥7家，当N个标段同时招标且不允许兼中时建议≥N+7家）</w:t>
      </w:r>
    </w:p>
    <w:p w14:paraId="183889BC">
      <w:pPr>
        <w:pBdr>
          <w:bottom w:val="single" w:color="auto" w:sz="6" w:space="1"/>
        </w:pBdr>
        <w:spacing w:line="360" w:lineRule="auto"/>
        <w:ind w:firstLine="530" w:firstLineChars="2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42.3.3评标委员会按照“第一阶段得分=</w:t>
      </w:r>
      <w:r>
        <w:rPr>
          <w:rFonts w:hint="eastAsia" w:ascii="宋体" w:hAnsi="宋体" w:eastAsia="宋体" w:cs="宋体"/>
          <w:b/>
          <w:bCs/>
          <w:color w:val="auto"/>
          <w:sz w:val="24"/>
          <w:szCs w:val="24"/>
          <w:highlight w:val="none"/>
          <w:u w:val="single"/>
        </w:rPr>
        <w:t>技术标得分×技术标得分权重（</w:t>
      </w:r>
      <w:r>
        <w:rPr>
          <w:rFonts w:hint="eastAsia" w:ascii="宋体" w:hAnsi="宋体" w:cs="宋体"/>
          <w:b/>
          <w:bCs/>
          <w:color w:val="auto"/>
          <w:sz w:val="24"/>
          <w:szCs w:val="24"/>
          <w:highlight w:val="none"/>
          <w:u w:val="single"/>
          <w:lang w:val="en-US" w:eastAsia="zh-CN"/>
        </w:rPr>
        <w:t>100</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w:t>
      </w:r>
      <w:r>
        <w:rPr>
          <w:rFonts w:hint="eastAsia" w:ascii="宋体" w:hAnsi="宋体" w:eastAsia="宋体" w:cs="宋体"/>
          <w:strike/>
          <w:color w:val="auto"/>
          <w:sz w:val="24"/>
          <w:szCs w:val="24"/>
          <w:highlight w:val="none"/>
        </w:rPr>
        <w:t>（适用于进行了技术标评分的）（建议进入第二阶段评审家数≥7家，当N个标段同时招标且不允许兼中时建议≥N+7家）</w:t>
      </w:r>
    </w:p>
    <w:p w14:paraId="7D90EDFB">
      <w:pPr>
        <w:spacing w:line="360" w:lineRule="auto"/>
        <w:ind w:firstLine="532" w:firstLineChars="22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条款号：42.4.3.1           修改类型：修改</w:t>
      </w:r>
    </w:p>
    <w:p w14:paraId="717E7DB8">
      <w:pPr>
        <w:spacing w:line="360" w:lineRule="auto"/>
        <w:ind w:firstLine="532" w:firstLineChars="221"/>
        <w:rPr>
          <w:rFonts w:hint="eastAsia" w:ascii="宋体" w:hAnsi="宋体" w:eastAsia="宋体" w:cs="宋体"/>
          <w:color w:val="auto"/>
          <w:sz w:val="24"/>
          <w:szCs w:val="24"/>
          <w:highlight w:val="none"/>
        </w:rPr>
      </w:pPr>
      <w:bookmarkStart w:id="41" w:name="_Hlk22115076"/>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42.4.3.1按以下方法计算评标参考价：</w:t>
      </w:r>
    </w:p>
    <w:p w14:paraId="1CA9F096">
      <w:pPr>
        <w:spacing w:line="360" w:lineRule="auto"/>
        <w:ind w:firstLine="530" w:firstLineChars="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区间抽取法</w:t>
      </w:r>
    </w:p>
    <w:p w14:paraId="3E7F5DF8">
      <w:pPr>
        <w:spacing w:line="360" w:lineRule="auto"/>
        <w:ind w:firstLine="530" w:firstLineChars="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立入围合格分数线（技术标或技术标加企业信用评价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744C4C4">
      <w:pPr>
        <w:spacing w:line="360" w:lineRule="auto"/>
        <w:ind w:firstLine="530" w:firstLineChars="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评标参考价=（Q高-Q低）/100*Ｘ+Q低</w:t>
      </w:r>
    </w:p>
    <w:p w14:paraId="643D6C97">
      <w:pPr>
        <w:spacing w:line="360" w:lineRule="auto"/>
        <w:ind w:firstLine="530" w:firstLineChars="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Q低：为达到或超过技术标及格分数线的投标人最低报价与工程成本警示价两者中的较高值；</w:t>
      </w:r>
    </w:p>
    <w:p w14:paraId="237BD172">
      <w:pPr>
        <w:spacing w:line="360" w:lineRule="auto"/>
        <w:ind w:firstLine="530" w:firstLineChars="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Q高：为最高投标限价*D%（政府投资项目，D的取值范围为[94-100],由招标人自主确定；非政府投资项目由招标人自主确定取值范围），具体金额为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3060E96">
      <w:pPr>
        <w:spacing w:line="360" w:lineRule="auto"/>
        <w:ind w:firstLine="530" w:firstLineChars="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X:为等分点值，在开标前从[0,100]整数中随机抽取</w:t>
      </w:r>
    </w:p>
    <w:bookmarkEnd w:id="41"/>
    <w:p w14:paraId="17943015">
      <w:pPr>
        <w:pBdr>
          <w:bottom w:val="single" w:color="auto" w:sz="6" w:space="1"/>
        </w:pBdr>
        <w:spacing w:line="360" w:lineRule="auto"/>
        <w:ind w:firstLine="535" w:firstLineChars="22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42.4.3.1计算评标参考价：</w:t>
      </w:r>
      <w:r>
        <w:rPr>
          <w:rFonts w:hint="eastAsia" w:ascii="宋体" w:hAnsi="宋体" w:eastAsia="宋体" w:cs="宋体"/>
          <w:b/>
          <w:bCs/>
          <w:color w:val="auto"/>
          <w:sz w:val="24"/>
          <w:szCs w:val="24"/>
          <w:highlight w:val="none"/>
          <w:u w:val="single"/>
          <w:lang w:bidi="ar"/>
        </w:rPr>
        <w:t>进入第二阶段且经济报价在</w:t>
      </w:r>
      <w:r>
        <w:rPr>
          <w:rFonts w:hint="eastAsia" w:ascii="宋体" w:hAnsi="宋体" w:eastAsia="宋体" w:cs="宋体"/>
          <w:color w:val="auto"/>
          <w:sz w:val="24"/>
          <w:szCs w:val="24"/>
          <w:highlight w:val="none"/>
          <w:u w:val="single"/>
          <w:lang w:bidi="ar"/>
        </w:rPr>
        <w:t>[工程成本警戒价，最高投标限价的95%]的投标人大于5名时，去掉一个最高价和一个最低价，取余下有效投标价的算术平均值，按随机抽取的计算评标参考价的下浮率X，计算评标参考价；</w:t>
      </w:r>
      <w:r>
        <w:rPr>
          <w:rFonts w:hint="eastAsia" w:ascii="宋体" w:hAnsi="宋体" w:eastAsia="宋体" w:cs="宋体"/>
          <w:b/>
          <w:color w:val="auto"/>
          <w:sz w:val="24"/>
          <w:szCs w:val="24"/>
          <w:highlight w:val="none"/>
          <w:u w:val="single"/>
          <w:lang w:bidi="ar"/>
        </w:rPr>
        <w:t>当</w:t>
      </w:r>
      <w:r>
        <w:rPr>
          <w:rFonts w:hint="eastAsia" w:ascii="宋体" w:hAnsi="宋体" w:eastAsia="宋体" w:cs="宋体"/>
          <w:b/>
          <w:bCs/>
          <w:color w:val="auto"/>
          <w:sz w:val="24"/>
          <w:szCs w:val="24"/>
          <w:highlight w:val="none"/>
          <w:u w:val="single"/>
          <w:lang w:bidi="ar"/>
        </w:rPr>
        <w:t>进入第二阶段且经济报价</w:t>
      </w:r>
      <w:r>
        <w:rPr>
          <w:rFonts w:hint="eastAsia" w:ascii="宋体" w:hAnsi="宋体" w:eastAsia="宋体" w:cs="宋体"/>
          <w:b/>
          <w:color w:val="auto"/>
          <w:sz w:val="24"/>
          <w:szCs w:val="24"/>
          <w:highlight w:val="none"/>
          <w:u w:val="single"/>
          <w:lang w:bidi="ar"/>
        </w:rPr>
        <w:t>在</w:t>
      </w:r>
      <w:r>
        <w:rPr>
          <w:rFonts w:hint="eastAsia" w:ascii="宋体" w:hAnsi="宋体" w:eastAsia="宋体" w:cs="宋体"/>
          <w:color w:val="auto"/>
          <w:sz w:val="24"/>
          <w:szCs w:val="24"/>
          <w:highlight w:val="none"/>
          <w:u w:val="single"/>
          <w:lang w:bidi="ar"/>
        </w:rPr>
        <w:t>[工程成本警戒价，最高投标限价的95%]的投标人小于或等于5名时，取所有此范围内的有效投标价的算术平均值，按随机抽取的计算评标参考价的下浮率X，计算评标参考价；若所有投标人均不满足前述条件的，则以[工程成本警戒价，最高投标限价的95%]区间的中间值作为评标参考价。（评标参考价精确到小数点后两位）。</w:t>
      </w:r>
    </w:p>
    <w:p w14:paraId="0B41B0FC">
      <w:pPr>
        <w:spacing w:line="360" w:lineRule="auto"/>
        <w:ind w:firstLine="532" w:firstLineChars="22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条款号：42.4.5                        修改类型：修改</w:t>
      </w:r>
    </w:p>
    <w:p w14:paraId="722F71A9">
      <w:pPr>
        <w:spacing w:line="360" w:lineRule="auto"/>
        <w:ind w:firstLine="530" w:firstLineChars="22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42.4.5评标委员会按只有通过有效性审查的投标人的投标文件方可进入下一阶段评审的评审原则，根据有效性审查结果，取消被否决投标的投标人的排序，其余通过有效性审查的投标人的排序依次上升替补确实，以此类推，直到评审出3家投标人通过经济标有效性审查，经济标有效性审查结束。若通过经济标有效性审查的投标人不足三家，则本项目招标失败，由招标人依法重新招标。（当N个标段同时招标且不允许兼中时，有效投标人应≥N+2家）。</w:t>
      </w:r>
    </w:p>
    <w:p w14:paraId="2128507D">
      <w:pPr>
        <w:pBdr>
          <w:bottom w:val="single" w:color="auto" w:sz="6" w:space="1"/>
        </w:pBdr>
        <w:spacing w:line="360" w:lineRule="auto"/>
        <w:ind w:firstLine="530" w:firstLineChars="2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42.4.5评标委员会按只有通过有效性审查的投标人的投标文件方可进入下一阶段评审的评审原则，根据有效性审查结果，取消被否决投标的投标人的排序，其余通过有效性审查的投标人的排序依次上升替补确实，以此类推，直到评审出3家投标人通过经济标有效性审查，经济标有效性审查结束。若通过经济标有效性审查的投标人不足三家，</w:t>
      </w:r>
      <w:r>
        <w:rPr>
          <w:rFonts w:hint="eastAsia" w:ascii="宋体" w:hAnsi="宋体" w:eastAsia="宋体" w:cs="宋体"/>
          <w:color w:val="auto"/>
          <w:sz w:val="24"/>
          <w:szCs w:val="24"/>
          <w:highlight w:val="none"/>
          <w:u w:val="single"/>
        </w:rPr>
        <w:t>评标委员会应当对投标是否明显缺乏竞争和是否需要否决全部投标进行充分论证，并在评标报告中记载论证过程和结果</w:t>
      </w:r>
      <w:r>
        <w:rPr>
          <w:rFonts w:hint="eastAsia" w:ascii="宋体" w:hAnsi="宋体" w:eastAsia="宋体" w:cs="宋体"/>
          <w:color w:val="auto"/>
          <w:sz w:val="24"/>
          <w:szCs w:val="24"/>
          <w:highlight w:val="none"/>
        </w:rPr>
        <w:t>。（当N个标段同时招标且不允许兼中时，有效投标人应≥N+2家）。</w:t>
      </w:r>
    </w:p>
    <w:p w14:paraId="738F1A84">
      <w:pP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条款号：附表一《资格审查表》                   修改类型：修改</w:t>
      </w:r>
    </w:p>
    <w:p w14:paraId="3E31FEAF">
      <w:pPr>
        <w:spacing w:line="360" w:lineRule="auto"/>
        <w:ind w:firstLine="535" w:firstLineChars="222"/>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详见最新版广州市城市道路及轨道交通建设工程施工公开招标项目招标文件范本（适用于资格后审电子化施工招标投标项目）GZJTZB2025-3。</w:t>
      </w:r>
    </w:p>
    <w:p w14:paraId="1F045D76">
      <w:pPr>
        <w:pBdr>
          <w:bottom w:val="single" w:color="auto" w:sz="6" w:space="1"/>
        </w:pBdr>
        <w:spacing w:line="360" w:lineRule="auto"/>
        <w:ind w:firstLine="535" w:firstLineChars="22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u w:val="single"/>
        </w:rPr>
        <w:t>详见本招标文件第二章附表一《资格审查表》</w:t>
      </w:r>
    </w:p>
    <w:p w14:paraId="05824DAA">
      <w:pP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条款号：附表二 《技术标有效性审查表》          修改类型：修改</w:t>
      </w:r>
    </w:p>
    <w:p w14:paraId="72EA2568">
      <w:pPr>
        <w:pBdr>
          <w:bottom w:val="single" w:color="auto" w:sz="6" w:space="1"/>
        </w:pBdr>
        <w:spacing w:line="360" w:lineRule="auto"/>
        <w:ind w:firstLine="535" w:firstLineChars="222"/>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详见最新版广州市城市道路及轨道交通建设工程施工公开招标项目招标文件范本（适用于资格后审电子化施工招标投标项目）GZJTZB2025-3。</w:t>
      </w:r>
    </w:p>
    <w:p w14:paraId="1BA9FEE5">
      <w:pPr>
        <w:pBdr>
          <w:bottom w:val="single" w:color="auto" w:sz="6" w:space="1"/>
        </w:pBdr>
        <w:spacing w:line="360" w:lineRule="auto"/>
        <w:ind w:firstLine="535" w:firstLineChars="22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u w:val="single"/>
        </w:rPr>
        <w:t>详见本招标文件第二章附表二《技术标有效性审查表》</w:t>
      </w:r>
    </w:p>
    <w:p w14:paraId="63A45142">
      <w:pP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条款号：附表三《经济标有效性审查表》           修改类型：修改</w:t>
      </w:r>
    </w:p>
    <w:p w14:paraId="31CE486A">
      <w:pP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详见最新版广州市城市道路及轨道交通建设工程施工公开招标项目招标文件范本（适用于资格后审电子化施工招标投标项目）GZJTZB2025-3。</w:t>
      </w:r>
    </w:p>
    <w:p w14:paraId="51BCD283">
      <w:pPr>
        <w:pBdr>
          <w:bottom w:val="single" w:color="auto" w:sz="6" w:space="1"/>
        </w:pBd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u w:val="single"/>
        </w:rPr>
        <w:t>详见本招标文件第二章附表三《经济标有效性审查表》</w:t>
      </w:r>
    </w:p>
    <w:p w14:paraId="53E4DAC8">
      <w:pP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条款号：附表四《技术标详细审查评分表》         修改类型：修改  </w:t>
      </w:r>
    </w:p>
    <w:p w14:paraId="0DAA19C7">
      <w:pPr>
        <w:spacing w:line="360" w:lineRule="auto"/>
        <w:ind w:firstLine="535" w:firstLineChars="222"/>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详见最新版广州市城市道路及轨道交通建设工程施工公开招标项目招标文件范本（适用于资格后审电子化施工招标投标项目）GZJTZB2025-3。</w:t>
      </w:r>
    </w:p>
    <w:p w14:paraId="51ABA914">
      <w:pPr>
        <w:pBdr>
          <w:bottom w:val="single" w:color="auto" w:sz="6" w:space="1"/>
        </w:pBd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u w:val="single"/>
        </w:rPr>
        <w:t>详见本招标文件第二章附表四《技术标详细审查评分表》</w:t>
      </w:r>
    </w:p>
    <w:p w14:paraId="4182508A">
      <w:pP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条款号：附表五《经济标评分表》                 修改类型：修改</w:t>
      </w:r>
    </w:p>
    <w:p w14:paraId="3F5883AB">
      <w:pPr>
        <w:pBdr>
          <w:bottom w:val="single" w:color="auto" w:sz="6" w:space="1"/>
        </w:pBdr>
        <w:spacing w:line="360" w:lineRule="auto"/>
        <w:ind w:firstLine="535" w:firstLineChars="222"/>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详见最新版广州市城市道路及轨道交通建设工程施工公开招标项目招标文件范本（适用于资格后审电子化施工招标投标项目）GZJTZB2025-3。</w:t>
      </w:r>
    </w:p>
    <w:p w14:paraId="41C0002D">
      <w:pPr>
        <w:pBdr>
          <w:bottom w:val="single" w:color="auto" w:sz="6" w:space="1"/>
        </w:pBdr>
        <w:spacing w:line="360" w:lineRule="auto"/>
        <w:ind w:firstLine="535" w:firstLineChars="22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u w:val="single"/>
        </w:rPr>
        <w:t>详见本招标文件第二章附表五《经济标评分表》</w:t>
      </w:r>
    </w:p>
    <w:p w14:paraId="7DD39C01">
      <w:pPr>
        <w:spacing w:line="360" w:lineRule="auto"/>
        <w:ind w:firstLine="535" w:firstLineChars="2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3A14D484">
      <w:pPr>
        <w:spacing w:line="360" w:lineRule="auto"/>
        <w:ind w:firstLine="535" w:firstLineChars="222"/>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（以下无正文）</w:t>
      </w:r>
      <w:r>
        <w:rPr>
          <w:rFonts w:hint="eastAsia" w:ascii="宋体" w:hAnsi="宋体" w:eastAsia="宋体" w:cs="宋体"/>
          <w:b/>
          <w:bCs/>
          <w:color w:val="auto"/>
          <w:sz w:val="24"/>
          <w:szCs w:val="24"/>
          <w:highlight w:val="none"/>
        </w:rPr>
        <w:br w:type="page"/>
      </w:r>
    </w:p>
    <w:bookmarkEnd w:id="40"/>
    <w:p w14:paraId="4C29930F">
      <w:pPr>
        <w:pStyle w:val="6"/>
        <w:rPr>
          <w:rFonts w:hint="eastAsia" w:ascii="宋体" w:hAnsi="宋体"/>
          <w:color w:val="auto"/>
          <w:highlight w:val="none"/>
        </w:rPr>
      </w:pPr>
      <w:bookmarkStart w:id="42" w:name="_Toc184468503"/>
      <w:bookmarkStart w:id="43" w:name="_Toc194440080"/>
      <w:r>
        <w:rPr>
          <w:rFonts w:hint="eastAsia" w:ascii="宋体" w:hAnsi="宋体"/>
          <w:color w:val="auto"/>
          <w:highlight w:val="none"/>
        </w:rPr>
        <w:t>二、开标、评标及定标办法</w:t>
      </w:r>
      <w:r>
        <w:rPr>
          <w:rFonts w:hint="eastAsia" w:ascii="宋体" w:hAnsi="宋体"/>
          <w:color w:val="auto"/>
          <w:szCs w:val="30"/>
          <w:highlight w:val="none"/>
        </w:rPr>
        <w:t>通用条款</w:t>
      </w:r>
      <w:bookmarkEnd w:id="42"/>
      <w:bookmarkEnd w:id="43"/>
    </w:p>
    <w:p w14:paraId="71FB8EBF">
      <w:pPr>
        <w:widowControl/>
        <w:spacing w:before="100" w:beforeAutospacing="1" w:after="100" w:afterAutospacing="1" w:line="360" w:lineRule="auto"/>
        <w:ind w:firstLine="480" w:firstLineChars="200"/>
        <w:jc w:val="left"/>
        <w:outlineLvl w:val="2"/>
        <w:rPr>
          <w:rFonts w:hint="eastAsia" w:ascii="宋体" w:hAnsi="宋体" w:cs="宋体"/>
          <w:color w:val="auto"/>
          <w:kern w:val="0"/>
          <w:sz w:val="24"/>
          <w:szCs w:val="24"/>
          <w:highlight w:val="none"/>
        </w:rPr>
      </w:pPr>
      <w:bookmarkStart w:id="44" w:name="_Toc194440081"/>
      <w:bookmarkStart w:id="45" w:name="_Toc184468504"/>
      <w:bookmarkStart w:id="46" w:name="_Toc58838579"/>
      <w:r>
        <w:rPr>
          <w:rFonts w:hint="eastAsia" w:ascii="宋体" w:hAnsi="宋体" w:cs="宋体"/>
          <w:color w:val="auto"/>
          <w:kern w:val="0"/>
          <w:sz w:val="24"/>
          <w:szCs w:val="24"/>
          <w:highlight w:val="none"/>
        </w:rPr>
        <w:t>（一）总则</w:t>
      </w:r>
      <w:bookmarkEnd w:id="44"/>
      <w:bookmarkEnd w:id="45"/>
      <w:bookmarkEnd w:id="46"/>
    </w:p>
    <w:p w14:paraId="5AA02F98">
      <w:pPr>
        <w:spacing w:line="360" w:lineRule="auto"/>
        <w:ind w:firstLine="480" w:firstLineChars="200"/>
        <w:rPr>
          <w:rFonts w:hint="eastAsia" w:ascii="宋体" w:hAnsi="宋体"/>
          <w:b/>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开标、评标及定标所依据的规则</w:t>
      </w:r>
    </w:p>
    <w:p w14:paraId="6F49F51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35.1《中华人民共和国招标投标法》；</w:t>
      </w:r>
    </w:p>
    <w:p w14:paraId="034C171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35.2《中华人民共和国招标投标法实施条例》；</w:t>
      </w:r>
    </w:p>
    <w:p w14:paraId="191EE64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35.3《评标委员会和评标方法暂行规定》（七部委第12号令）；</w:t>
      </w:r>
    </w:p>
    <w:p w14:paraId="51754DF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35.4《工程建设项目施工招标投标办法》（七部委2003年第30号令）；</w:t>
      </w:r>
    </w:p>
    <w:p w14:paraId="1C3C1C1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35.5《电子招标投标办法》；</w:t>
      </w:r>
    </w:p>
    <w:p w14:paraId="490DD29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35.6《广东省实施〈中华人民共和国招标投标法〉办法》；</w:t>
      </w:r>
    </w:p>
    <w:p w14:paraId="325545A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35.7《房屋建筑和市政基础设施工程施工招标投标管理办法》（建设部令第89号）；</w:t>
      </w:r>
    </w:p>
    <w:p w14:paraId="0C5DB3C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35.8《广东省加强建设工程招标投标监督管理的若干规定》（粤发</w:t>
      </w:r>
      <w:r>
        <w:rPr>
          <w:rFonts w:hint="eastAsia" w:ascii="宋体" w:hAnsi="宋体"/>
          <w:color w:val="auto"/>
          <w:sz w:val="24"/>
          <w:szCs w:val="24"/>
          <w:highlight w:val="none"/>
          <w:lang w:eastAsia="zh-CN"/>
        </w:rPr>
        <w:t>〔2004〕4号</w:t>
      </w:r>
      <w:r>
        <w:rPr>
          <w:rFonts w:hint="eastAsia" w:ascii="宋体" w:hAnsi="宋体"/>
          <w:color w:val="auto"/>
          <w:sz w:val="24"/>
          <w:szCs w:val="24"/>
          <w:highlight w:val="none"/>
        </w:rPr>
        <w:t>）；</w:t>
      </w:r>
    </w:p>
    <w:p w14:paraId="01C6447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35.9《广州市工程建设项目招标投标管理办法》（穗建规字〔2023〕12号）。</w:t>
      </w:r>
    </w:p>
    <w:p w14:paraId="0F94272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35.10本项目招标文件</w:t>
      </w:r>
      <w:r>
        <w:rPr>
          <w:rFonts w:ascii="宋体" w:hAnsi="宋体"/>
          <w:color w:val="auto"/>
          <w:sz w:val="24"/>
          <w:szCs w:val="24"/>
          <w:highlight w:val="none"/>
        </w:rPr>
        <w:t>。</w:t>
      </w:r>
    </w:p>
    <w:p w14:paraId="41AF96C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083746C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36.1</w:t>
      </w:r>
      <w:r>
        <w:rPr>
          <w:rFonts w:hint="eastAsia" w:ascii="宋体" w:hAnsi="宋体"/>
          <w:color w:val="auto"/>
          <w:sz w:val="24"/>
          <w:szCs w:val="24"/>
          <w:highlight w:val="none"/>
        </w:rPr>
        <w:t>招标人按投标须知前附表第18项所规定的时间和地点通过电子招标投标交易平台公开开标，并邀请所有投标人参加，投标人可选择在开标室参加开标或准时在线参加开标，也可以不参加开标，均不影响开标程序。投标人不派代表参加开标会，则视其为放弃参与开标的权利，认可开标结果。截标后，开标开始时间因故推迟的，相关评标信息仍以原定的开标开始时间的信息为准。</w:t>
      </w:r>
    </w:p>
    <w:p w14:paraId="4BA3F46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36.2招标人在招标文件要求提交投标文件的截止时间前收到的投标文件，开标时都当众予以解密、公布。</w:t>
      </w:r>
    </w:p>
    <w:p w14:paraId="6BE3C34B">
      <w:pPr>
        <w:spacing w:line="360" w:lineRule="auto"/>
        <w:ind w:firstLine="480" w:firstLineChars="200"/>
        <w:rPr>
          <w:rFonts w:hint="eastAsia" w:ascii="宋体" w:hAnsi="宋体"/>
          <w:strike/>
          <w:dstrike w:val="0"/>
          <w:color w:val="auto"/>
          <w:sz w:val="24"/>
          <w:szCs w:val="24"/>
          <w:highlight w:val="none"/>
        </w:rPr>
      </w:pPr>
      <w:r>
        <w:rPr>
          <w:rFonts w:ascii="宋体" w:hAnsi="宋体"/>
          <w:strike/>
          <w:dstrike w:val="0"/>
          <w:color w:val="auto"/>
          <w:sz w:val="24"/>
          <w:szCs w:val="24"/>
          <w:highlight w:val="none"/>
        </w:rPr>
        <w:t>36.3</w:t>
      </w:r>
      <w:r>
        <w:rPr>
          <w:rFonts w:hint="eastAsia" w:ascii="宋体" w:hAnsi="宋体"/>
          <w:strike/>
          <w:dstrike w:val="0"/>
          <w:color w:val="auto"/>
          <w:sz w:val="24"/>
          <w:szCs w:val="24"/>
          <w:highlight w:val="none"/>
        </w:rPr>
        <w:t>根据投标须知前附表第19项，如需抽取某一种评标办法供评标时使用的，可在开标时（唱标工作完成后）抽取。首先对招标文件中约定的若干种评标方法进行编号，再随机抽取某一编号，该编号所对应的评标办法供评标时使用。</w:t>
      </w:r>
    </w:p>
    <w:p w14:paraId="1BC8171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36.4若递交投标文件的投标人不足3家，则重新组织招标。（当N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N+2家，则重新组织招标）</w:t>
      </w:r>
    </w:p>
    <w:p w14:paraId="6629ED1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36.5按下列程序进行开标：</w:t>
      </w:r>
    </w:p>
    <w:p w14:paraId="7178BC1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36.5.1</w:t>
      </w:r>
      <w:r>
        <w:rPr>
          <w:rFonts w:hint="eastAsia" w:ascii="宋体" w:hAnsi="宋体"/>
          <w:color w:val="auto"/>
          <w:sz w:val="24"/>
          <w:szCs w:val="24"/>
          <w:highlight w:val="none"/>
        </w:rPr>
        <w:t>在投标截止时间后1小时内，投标人通过交易平台对已递交的电子投标文件进行解密。投标人完成解密后，再由招标人进行解密。解密完成后，公布招标项目名称、投标人名称、投标保证金的递交情况、投标报价、工期及其他内容；</w:t>
      </w:r>
    </w:p>
    <w:p w14:paraId="3FD444B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36.5.2备用光盘的读取按投标须知前附表第36项的规定执行；</w:t>
      </w:r>
    </w:p>
    <w:p w14:paraId="4D5D57F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36.5.3投标人代表、招标人代表、监标人、记录人等有关人员在开标记录上签字确</w:t>
      </w:r>
      <w:r>
        <w:rPr>
          <w:rFonts w:hint="eastAsia" w:ascii="宋体" w:hAnsi="宋体"/>
          <w:color w:val="auto"/>
          <w:sz w:val="24"/>
          <w:szCs w:val="24"/>
          <w:highlight w:val="none"/>
        </w:rPr>
        <w:t>认；若有关人员不签字的，不影响开标程序；</w:t>
      </w:r>
    </w:p>
    <w:p w14:paraId="11050BC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36.5.4开标结束。</w:t>
      </w:r>
    </w:p>
    <w:p w14:paraId="09A2AC9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0C3CCA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36.7开标时，两个（含两个）以上的投标人加密打包投标文件电脑机器特征码一致的，由评标委员会否决其投标。</w:t>
      </w:r>
    </w:p>
    <w:p w14:paraId="0C6879E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36.8开标异议</w:t>
      </w:r>
    </w:p>
    <w:p w14:paraId="1F18CE7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36.8.1参加现场开标的投标人对开标结果有异议的，应当在开标现场提出，该投标人代表须同时出示本人身份证原件，招标人应当当场作出答复，并制作记录。</w:t>
      </w:r>
    </w:p>
    <w:p w14:paraId="15B4516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36.8.2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41A4283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36.8.3对开标的异议，招标人应当当场作出答复并予以书面记录，异议成立的，招标人应当及时采取纠正措施，或者提交评标委员会评审确认；异议不成立的，招标人应当当场给予解释说明。投标人未参加开标或在规定的时间内未提出异议的，视为对开标无异议。</w:t>
      </w:r>
    </w:p>
    <w:p w14:paraId="7D3320E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36.8.4招标人应当按照同一异议提起人一份记录的方式，对异议事项的处理应逐条进行书面记录，并由异议提起人、招标人签名确认。书面记录含义应清晰而明确，包括但不限于纠正的措施、解释说明的内容、相关依据等。</w:t>
      </w:r>
    </w:p>
    <w:p w14:paraId="328F44E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34200F4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37.1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第30项。</w:t>
      </w:r>
    </w:p>
    <w:p w14:paraId="4CF77A2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37.2评标委员会成员有下列情形之一的，应当回避：</w:t>
      </w:r>
    </w:p>
    <w:p w14:paraId="4D14FB3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（1）招标人或投标人的主要负责人的近亲属；</w:t>
      </w:r>
    </w:p>
    <w:p w14:paraId="38F61B7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（2）项目主管部门或者行政监督部门的人员；</w:t>
      </w:r>
    </w:p>
    <w:p w14:paraId="548762D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（3）招标人或投标人的工作人员、退休或离职未满3年的人员；</w:t>
      </w:r>
    </w:p>
    <w:p w14:paraId="68E7B30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（4）与投标人有经济利益关系，可能影响对投标公正评审的；</w:t>
      </w:r>
    </w:p>
    <w:p w14:paraId="1BCD484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（5）曾因在招标、评标以及其他与招标投标有关活动中从事违法行为而受过行政处罚或刑事处罚的。</w:t>
      </w:r>
    </w:p>
    <w:p w14:paraId="2D5B837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（6）与投标人有其他利害关系。</w:t>
      </w:r>
    </w:p>
    <w:p w14:paraId="2AD06A9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37.3评标委员会的职责及守则：</w:t>
      </w:r>
    </w:p>
    <w:p w14:paraId="1895F95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37.3.1根据评标细则，对投标文件进行认真评审，完成评审报告；</w:t>
      </w:r>
    </w:p>
    <w:p w14:paraId="4C8AB02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37.3.2向招标人报告评审意见，推荐合格的中标候选人。</w:t>
      </w:r>
    </w:p>
    <w:p w14:paraId="7F94C18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37.3.3所有参加评标人员必须遵守国家、地方政府制定的有关工程招标投标的法则、规定，遵守有关工程招标投标的保密制度；如有违反者，给予行政处分；情节严重，构成犯罪的，由司法机关依法追究其刑事责任。</w:t>
      </w:r>
    </w:p>
    <w:p w14:paraId="08D221F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37.3.4全体参与评标人员：</w:t>
      </w:r>
    </w:p>
    <w:p w14:paraId="006D5E7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37.3.4.1必须遵守评标纪律、不得泄密；</w:t>
      </w:r>
    </w:p>
    <w:p w14:paraId="7ECEBAD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37.3.4.2必须公正、不得循私；</w:t>
      </w:r>
    </w:p>
    <w:p w14:paraId="5BE3F89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37.3.4.3必须科学、不得草率；</w:t>
      </w:r>
    </w:p>
    <w:p w14:paraId="53C3CC4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37.3.4.4必须客观、不得带有成见；</w:t>
      </w:r>
    </w:p>
    <w:p w14:paraId="1980DEC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37.3.4.5必须平等、不得强加于人；</w:t>
      </w:r>
    </w:p>
    <w:p w14:paraId="7FEFD62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37.3.4.6必须严谨、不得随意马虎。</w:t>
      </w:r>
    </w:p>
    <w:p w14:paraId="2EF7902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A61F6E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37.5评标委员会按照第二章“开标、评标及定标办法”规定的方法、评审因素、标准和程序对投标文件进行评审。第三章“开标、评标及定标办法”没有规定的方法、评审因素和标准，不作为评标依据。</w:t>
      </w:r>
    </w:p>
    <w:p w14:paraId="31B58EF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37.6评标结束后，评标委员会递交评标报告并依法推荐中标候选人。</w:t>
      </w:r>
    </w:p>
    <w:p w14:paraId="1D39B0E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4944A0B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对同类问题表述不一致，有明显格式或文字、计算错误的内容作出澄清。</w:t>
      </w:r>
    </w:p>
    <w:p w14:paraId="68D5ECD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38.2</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1EC9B1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38.3</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1D06EC7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2DAB728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color w:val="auto"/>
          <w:sz w:val="24"/>
          <w:szCs w:val="24"/>
          <w:highlight w:val="none"/>
        </w:rPr>
        <w:t>依法</w:t>
      </w:r>
      <w:r>
        <w:rPr>
          <w:rFonts w:ascii="宋体" w:hAnsi="宋体"/>
          <w:color w:val="auto"/>
          <w:sz w:val="24"/>
          <w:szCs w:val="24"/>
          <w:highlight w:val="none"/>
        </w:rPr>
        <w:t>重新招标。</w:t>
      </w:r>
    </w:p>
    <w:p w14:paraId="25551C8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4D333F9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421AEBE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采用评定分离方式确定中标人的从其规定。若发现委派的项目负责人已在其他在建项目中任职，不符合任职数量规定时，招标人可以确定排名第二的中标候选人为中标人。</w:t>
      </w:r>
    </w:p>
    <w:p w14:paraId="1DD7EBC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或经核查发现委派的项目负责人已在其他在建项目中任职，不符合任职数量规定时，招标人可以确定排名第二的中标候选人为中标人。</w:t>
      </w:r>
    </w:p>
    <w:p w14:paraId="7F7D37B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5062854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39.5重新评标的，评标信息（含业绩、奖项等）仍以投标截止时投标人的信息为准。因特殊原因需要延长投标有效期，投标人拒绝延长投标有效期的，仍参与评标，但不被推荐为中标候选人。</w:t>
      </w:r>
    </w:p>
    <w:p w14:paraId="6EA1086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39.6有效投标不足3个的，评标委员会应当对投标是否明显缺乏竞争和是否需要否决全部投标进行充分论证，并在评标报告中记载论证过程和结果。</w:t>
      </w:r>
    </w:p>
    <w:p w14:paraId="01CF3C1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注：采用评定分离方式的，招标人应在招标文件中明确定标方式。</w:t>
      </w:r>
    </w:p>
    <w:p w14:paraId="49B93662">
      <w:pPr>
        <w:widowControl/>
        <w:jc w:val="left"/>
        <w:rPr>
          <w:rFonts w:hint="eastAsia" w:ascii="宋体" w:hAnsi="宋体"/>
          <w:color w:val="auto"/>
          <w:highlight w:val="none"/>
        </w:rPr>
      </w:pPr>
      <w:r>
        <w:rPr>
          <w:rFonts w:ascii="宋体" w:hAnsi="宋体"/>
          <w:color w:val="auto"/>
          <w:highlight w:val="none"/>
        </w:rPr>
        <w:br w:type="page"/>
      </w:r>
    </w:p>
    <w:p w14:paraId="06408198">
      <w:pPr>
        <w:widowControl/>
        <w:spacing w:before="100" w:beforeAutospacing="1" w:after="100" w:afterAutospacing="1" w:line="360" w:lineRule="auto"/>
        <w:ind w:firstLine="480" w:firstLineChars="200"/>
        <w:jc w:val="left"/>
        <w:outlineLvl w:val="2"/>
        <w:rPr>
          <w:rFonts w:hint="eastAsia" w:ascii="宋体" w:hAnsi="宋体" w:cs="宋体"/>
          <w:color w:val="auto"/>
          <w:kern w:val="0"/>
          <w:sz w:val="24"/>
          <w:szCs w:val="24"/>
          <w:highlight w:val="none"/>
        </w:rPr>
      </w:pPr>
      <w:bookmarkStart w:id="47" w:name="_Toc194440082"/>
      <w:bookmarkStart w:id="48" w:name="_Toc184468505"/>
      <w:bookmarkStart w:id="49" w:name="_Toc58838580"/>
      <w:r>
        <w:rPr>
          <w:rFonts w:hint="eastAsia" w:ascii="宋体" w:hAnsi="宋体" w:cs="宋体"/>
          <w:color w:val="auto"/>
          <w:kern w:val="0"/>
          <w:sz w:val="24"/>
          <w:szCs w:val="24"/>
          <w:highlight w:val="none"/>
        </w:rPr>
        <w:t>（二）开标评标办法程序和细则</w:t>
      </w:r>
      <w:bookmarkEnd w:id="47"/>
      <w:bookmarkEnd w:id="48"/>
      <w:bookmarkEnd w:id="49"/>
    </w:p>
    <w:p w14:paraId="5A8FB75D">
      <w:pPr>
        <w:widowControl/>
        <w:spacing w:before="100" w:beforeAutospacing="1" w:after="100" w:afterAutospacing="1" w:line="360" w:lineRule="auto"/>
        <w:ind w:firstLine="480" w:firstLineChars="200"/>
        <w:jc w:val="left"/>
        <w:outlineLvl w:val="2"/>
        <w:rPr>
          <w:rFonts w:hint="eastAsia" w:ascii="宋体" w:hAnsi="宋体" w:cs="宋体"/>
          <w:color w:val="auto"/>
          <w:kern w:val="0"/>
          <w:sz w:val="24"/>
          <w:szCs w:val="24"/>
          <w:highlight w:val="none"/>
        </w:rPr>
      </w:pPr>
      <w:bookmarkStart w:id="50" w:name="_Toc184468506"/>
      <w:bookmarkStart w:id="51" w:name="_Toc194440083"/>
      <w:r>
        <w:rPr>
          <w:rFonts w:hint="eastAsia" w:ascii="宋体" w:hAnsi="宋体" w:cs="宋体"/>
          <w:color w:val="auto"/>
          <w:kern w:val="0"/>
          <w:sz w:val="24"/>
          <w:szCs w:val="24"/>
          <w:highlight w:val="none"/>
        </w:rPr>
        <w:t>办法六（适合综合评分法三，技术标与经济标同时开启）</w:t>
      </w:r>
      <w:bookmarkEnd w:id="50"/>
      <w:bookmarkEnd w:id="51"/>
    </w:p>
    <w:p w14:paraId="7197F82E">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40．开标和评标程序：</w:t>
      </w:r>
    </w:p>
    <w:p w14:paraId="6E18F5A5">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40.1投标人递交技术标、经济标投标文件；</w:t>
      </w:r>
    </w:p>
    <w:p w14:paraId="4E949B60">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40.2技术标与经济标投标文件同时公开开标；40.3由招标人随机抽取确定该工程计算评标参考价的等分点值X（适用于区间抽取法）；</w:t>
      </w:r>
    </w:p>
    <w:p w14:paraId="36198306">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40.4由评标委员会对所有已公开开标的投标人进行资格审查；</w:t>
      </w:r>
    </w:p>
    <w:p w14:paraId="0BC44C28">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40.54技术标投标文件有效性审查；</w:t>
      </w:r>
    </w:p>
    <w:p w14:paraId="04AA5F3F">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40.6技术标详细审查评分；</w:t>
      </w:r>
    </w:p>
    <w:p w14:paraId="171496A8">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40.7计算第一阶段得分，并按照总分从高到低排列先后次序，编写第一阶段评审报告； </w:t>
      </w:r>
    </w:p>
    <w:p w14:paraId="0BE4694D">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40.8按投标须知前附表第27项规定，确定进入第二阶段评审的投标人；</w:t>
      </w:r>
    </w:p>
    <w:p w14:paraId="54A86046">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40.9对进入第二阶段评审的经济标投标文件的投标报价进行算术校核；</w:t>
      </w:r>
    </w:p>
    <w:p w14:paraId="5A824B33">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40.10对进入第二阶段评审且完成投标报价算术校核的投标人按规定进行排序；</w:t>
      </w:r>
    </w:p>
    <w:p w14:paraId="538BC156">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40.11按排序对经济标投标文件进行有效性审查，直至评出所有中标候选人；</w:t>
      </w:r>
    </w:p>
    <w:p w14:paraId="3384E9F8">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40.12评标委员会编写评标报告，向招标人推荐中标候选人名单。</w:t>
      </w:r>
    </w:p>
    <w:p w14:paraId="0D108DE3">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 开标细则</w:t>
      </w:r>
    </w:p>
    <w:p w14:paraId="4F1FF92F">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41.1开标由招标人</w:t>
      </w:r>
      <w:r>
        <w:rPr>
          <w:rFonts w:hint="eastAsia" w:ascii="宋体" w:hAnsi="宋体" w:eastAsia="宋体" w:cs="宋体"/>
          <w:color w:val="auto"/>
          <w:sz w:val="24"/>
          <w:szCs w:val="24"/>
          <w:highlight w:val="none"/>
          <w:u w:val="single"/>
        </w:rPr>
        <w:t>或招标代理</w:t>
      </w:r>
      <w:r>
        <w:rPr>
          <w:rFonts w:hint="eastAsia" w:ascii="宋体" w:hAnsi="宋体" w:cs="宋体"/>
          <w:color w:val="auto"/>
          <w:kern w:val="0"/>
          <w:sz w:val="24"/>
          <w:szCs w:val="24"/>
          <w:highlight w:val="none"/>
        </w:rPr>
        <w:t>主持。</w:t>
      </w:r>
    </w:p>
    <w:p w14:paraId="18A75100">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41.2细则</w:t>
      </w:r>
    </w:p>
    <w:p w14:paraId="65DB2711">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41.2.1</w:t>
      </w:r>
      <w:bookmarkStart w:id="52" w:name="_Hlk194821216"/>
      <w:r>
        <w:rPr>
          <w:rFonts w:hint="eastAsia" w:ascii="宋体" w:hAnsi="宋体" w:cs="宋体"/>
          <w:color w:val="auto"/>
          <w:kern w:val="0"/>
          <w:sz w:val="24"/>
          <w:szCs w:val="24"/>
          <w:highlight w:val="none"/>
        </w:rPr>
        <w:t>投标截止期前，各投标人递交投标文件（包括技术标投标文件</w:t>
      </w:r>
      <w:r>
        <w:rPr>
          <w:rFonts w:hint="eastAsia" w:ascii="宋体" w:hAnsi="宋体" w:eastAsia="宋体" w:cs="宋体"/>
          <w:color w:val="auto"/>
          <w:sz w:val="24"/>
          <w:szCs w:val="24"/>
          <w:highlight w:val="none"/>
          <w:u w:val="single"/>
        </w:rPr>
        <w:t>（含资格审查文件）</w:t>
      </w:r>
      <w:r>
        <w:rPr>
          <w:rFonts w:hint="eastAsia" w:ascii="宋体" w:hAnsi="宋体" w:cs="宋体"/>
          <w:color w:val="auto"/>
          <w:kern w:val="0"/>
          <w:sz w:val="24"/>
          <w:szCs w:val="24"/>
          <w:highlight w:val="none"/>
        </w:rPr>
        <w:t>、经济标投标文件）至</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s="宋体"/>
          <w:color w:val="auto"/>
          <w:kern w:val="0"/>
          <w:sz w:val="24"/>
          <w:szCs w:val="24"/>
          <w:highlight w:val="none"/>
        </w:rPr>
        <w:t>交易平台。有关投标文件提交的事项详见第一章投标须知。</w:t>
      </w:r>
      <w:bookmarkEnd w:id="52"/>
      <w:r>
        <w:rPr>
          <w:rFonts w:hint="eastAsia" w:ascii="宋体" w:hAnsi="宋体" w:cs="宋体"/>
          <w:color w:val="auto"/>
          <w:kern w:val="0"/>
          <w:sz w:val="24"/>
          <w:szCs w:val="24"/>
          <w:highlight w:val="none"/>
        </w:rPr>
        <w:t xml:space="preserve"> </w:t>
      </w:r>
    </w:p>
    <w:p w14:paraId="2376AE9D">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B15850B">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41.3按36.5.1的规定完成解密后，公布下列内容，并予以记录，记录提交评标委员会评审： </w:t>
      </w:r>
    </w:p>
    <w:p w14:paraId="239DBFD4">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41.3.1开标时，公布：a、投标人名称；b、投标文件递交情况c、投标文件解密情况；d、法定代表人证明及授权委托；</w:t>
      </w:r>
      <w:r>
        <w:rPr>
          <w:rFonts w:hint="eastAsia" w:ascii="宋体" w:hAnsi="宋体" w:cs="宋体"/>
          <w:strike/>
          <w:dstrike w:val="0"/>
          <w:color w:val="auto"/>
          <w:kern w:val="0"/>
          <w:sz w:val="24"/>
          <w:szCs w:val="24"/>
          <w:highlight w:val="none"/>
        </w:rPr>
        <w:t>e、投标保证金；</w:t>
      </w:r>
      <w:r>
        <w:rPr>
          <w:rFonts w:hint="eastAsia" w:ascii="宋体" w:hAnsi="宋体" w:cs="宋体"/>
          <w:color w:val="auto"/>
          <w:kern w:val="0"/>
          <w:sz w:val="24"/>
          <w:szCs w:val="24"/>
          <w:highlight w:val="none"/>
        </w:rPr>
        <w:t>f、项目经理（负责人）名称；f、投标报价等主要内容及开标记录表中的其他必要内容。投标报价以数字和文字两种方式表述的，应公布文字表述的投标报价。</w:t>
      </w:r>
    </w:p>
    <w:p w14:paraId="75D4F0C5">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41.3.2由招标人随机抽取确定该工程计算评标参考价的等分点值X。</w:t>
      </w:r>
    </w:p>
    <w:p w14:paraId="05259DB8">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41.4招标人对开标过程进行记录，并存档备查，投标人在开标记录上签字。</w:t>
      </w:r>
    </w:p>
    <w:p w14:paraId="0F2061E8">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41.5 招标人将上述符合要求的投标文件，送至评标委员会进行评审。</w:t>
      </w:r>
    </w:p>
    <w:p w14:paraId="6858AE63">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 评标细则</w:t>
      </w:r>
    </w:p>
    <w:p w14:paraId="2D26F324">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42.1评标委员会的组成：方式</w:t>
      </w:r>
      <w:r>
        <w:rPr>
          <w:rFonts w:hint="eastAsia" w:ascii="宋体" w:hAnsi="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一</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A4A8A7D">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方式一：评标委员会为综合评标委员会，负责</w:t>
      </w:r>
      <w:r>
        <w:rPr>
          <w:rFonts w:hint="eastAsia" w:ascii="宋体" w:hAnsi="宋体" w:eastAsia="宋体" w:cs="宋体"/>
          <w:color w:val="auto"/>
          <w:sz w:val="24"/>
          <w:szCs w:val="24"/>
          <w:highlight w:val="none"/>
          <w:u w:val="single"/>
        </w:rPr>
        <w:t>资格审查及</w:t>
      </w:r>
      <w:r>
        <w:rPr>
          <w:rFonts w:hint="eastAsia" w:ascii="宋体" w:hAnsi="宋体" w:cs="宋体"/>
          <w:color w:val="auto"/>
          <w:kern w:val="0"/>
          <w:sz w:val="24"/>
          <w:szCs w:val="24"/>
          <w:highlight w:val="none"/>
        </w:rPr>
        <w:t>评标工作。</w:t>
      </w:r>
    </w:p>
    <w:p w14:paraId="28AFB228">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方式二：评标委员会由技术评审组和经济评审组组成。其中：资格审查、技术评审由技术评标组负责，经济评审由经济评审组负责。 </w:t>
      </w:r>
    </w:p>
    <w:p w14:paraId="77526CB7">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42.2投标人资格审查</w:t>
      </w:r>
    </w:p>
    <w:p w14:paraId="30218D8F">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2408224">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42.2.2汇总资格审查情况，编写资格审查报告。</w:t>
      </w:r>
    </w:p>
    <w:p w14:paraId="4FCD54BA">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42.2.3资格审查不合格的投标文件不参加下一阶段的评标，不参与评标参考价的计算。</w:t>
      </w:r>
    </w:p>
    <w:p w14:paraId="13383F83">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6FE93331">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42.2.5资审合格后，投标人的资格发生变化而不满足投标人合格条件，在发出中标通知书前，资格问题仍未解决的，招标人将取消其中标资格。</w:t>
      </w:r>
    </w:p>
    <w:p w14:paraId="605DDE41">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42.2.6资格审查合格的投标人少于3名的（当N个标段同时招标且不允许兼中时，资格审查合格的投标人少于N+2名），则本项目招标失败，由招标人依法重新招标。</w:t>
      </w:r>
    </w:p>
    <w:p w14:paraId="0C243C68">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42.3 第一阶段评审</w:t>
      </w:r>
    </w:p>
    <w:p w14:paraId="652E1E9F">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w:t>
      </w:r>
      <w:r>
        <w:rPr>
          <w:rFonts w:hint="eastAsia" w:ascii="宋体" w:hAnsi="宋体" w:eastAsia="宋体" w:cs="宋体"/>
          <w:color w:val="auto"/>
          <w:sz w:val="24"/>
          <w:szCs w:val="24"/>
          <w:highlight w:val="none"/>
          <w:u w:val="single"/>
        </w:rPr>
        <w:t>评标委员会应当对投标是否明显缺乏竞争和是否需要否决全部投标进行充分论证，并在评标报告中记载论证过程和结果</w:t>
      </w:r>
      <w:r>
        <w:rPr>
          <w:rFonts w:hint="eastAsia" w:ascii="宋体" w:hAnsi="宋体" w:eastAsia="宋体" w:cs="宋体"/>
          <w:color w:val="auto"/>
          <w:sz w:val="24"/>
          <w:szCs w:val="24"/>
          <w:highlight w:val="none"/>
        </w:rPr>
        <w:t>（当N个标段同时招标且不允许兼中时，通过技术标有效性审查投标人应≥N+2家）</w:t>
      </w:r>
      <w:r>
        <w:rPr>
          <w:rFonts w:hint="eastAsia" w:ascii="宋体" w:hAnsi="宋体" w:cs="宋体"/>
          <w:strike/>
          <w:dstrike w:val="0"/>
          <w:color w:val="auto"/>
          <w:kern w:val="0"/>
          <w:sz w:val="24"/>
          <w:szCs w:val="24"/>
          <w:highlight w:val="none"/>
        </w:rPr>
        <w:t>则本项目招标失败（当N个标段同时招标且不允许兼中时，通过技术标有效性审查投标人应≥N+2家）</w:t>
      </w:r>
      <w:r>
        <w:rPr>
          <w:rFonts w:hint="eastAsia" w:ascii="宋体" w:hAnsi="宋体" w:cs="宋体"/>
          <w:color w:val="auto"/>
          <w:kern w:val="0"/>
          <w:sz w:val="24"/>
          <w:szCs w:val="24"/>
          <w:highlight w:val="none"/>
        </w:rPr>
        <w:t>，由招标人依法重新招标。评委发现投标文件中含义不明确、对同类问题表述不一致、有明显文字和计算错误的，应当要求投标人作必要的澄清、说明后再判定投标人是否通过有效性审查，不得直接否决投标。</w:t>
      </w:r>
    </w:p>
    <w:p w14:paraId="3559A67C">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42.3.2</w:t>
      </w:r>
      <w:r>
        <w:rPr>
          <w:rFonts w:hint="eastAsia" w:ascii="宋体" w:hAnsi="宋体" w:eastAsia="宋体" w:cs="宋体"/>
          <w:color w:val="auto"/>
          <w:sz w:val="24"/>
          <w:szCs w:val="24"/>
          <w:highlight w:val="none"/>
          <w:u w:val="single"/>
        </w:rPr>
        <w:t>技术标</w:t>
      </w:r>
      <w:r>
        <w:rPr>
          <w:rFonts w:hint="eastAsia" w:ascii="宋体" w:hAnsi="宋体" w:cs="宋体"/>
          <w:color w:val="auto"/>
          <w:kern w:val="0"/>
          <w:sz w:val="24"/>
          <w:szCs w:val="24"/>
          <w:highlight w:val="none"/>
        </w:rPr>
        <w:t>详细审查评分：评标委员会按照本办法附表</w:t>
      </w:r>
      <w:r>
        <w:rPr>
          <w:rFonts w:hint="eastAsia" w:ascii="宋体" w:hAnsi="宋体" w:cs="宋体"/>
          <w:color w:val="auto"/>
          <w:kern w:val="0"/>
          <w:sz w:val="24"/>
          <w:szCs w:val="24"/>
          <w:highlight w:val="none"/>
          <w:u w:val="single"/>
          <w:lang w:val="en-US" w:eastAsia="zh-CN"/>
        </w:rPr>
        <w:t>四</w:t>
      </w:r>
      <w:r>
        <w:rPr>
          <w:rFonts w:hint="eastAsia" w:ascii="宋体" w:hAnsi="宋体" w:cs="宋体"/>
          <w:color w:val="auto"/>
          <w:kern w:val="0"/>
          <w:sz w:val="24"/>
          <w:szCs w:val="24"/>
          <w:highlight w:val="none"/>
        </w:rPr>
        <w:t>《</w:t>
      </w:r>
      <w:r>
        <w:rPr>
          <w:rFonts w:hint="eastAsia" w:ascii="宋体" w:hAnsi="宋体" w:eastAsia="宋体" w:cs="宋体"/>
          <w:color w:val="auto"/>
          <w:sz w:val="24"/>
          <w:szCs w:val="24"/>
          <w:highlight w:val="none"/>
          <w:u w:val="single"/>
        </w:rPr>
        <w:t>技术标</w:t>
      </w:r>
      <w:r>
        <w:rPr>
          <w:rFonts w:hint="eastAsia" w:ascii="宋体" w:hAnsi="宋体" w:cs="宋体"/>
          <w:color w:val="auto"/>
          <w:kern w:val="0"/>
          <w:sz w:val="24"/>
          <w:szCs w:val="24"/>
          <w:highlight w:val="none"/>
        </w:rPr>
        <w:t>详细审查评分表》对通过技术标有效性审查的投标文件进行详细审查，评出</w:t>
      </w:r>
      <w:r>
        <w:rPr>
          <w:rFonts w:hint="eastAsia" w:ascii="宋体" w:hAnsi="宋体" w:cs="宋体"/>
          <w:color w:val="auto"/>
          <w:kern w:val="0"/>
          <w:sz w:val="24"/>
          <w:szCs w:val="24"/>
          <w:highlight w:val="none"/>
          <w:u w:val="single"/>
          <w:lang w:val="en-US" w:eastAsia="zh-CN"/>
        </w:rPr>
        <w:t>技术</w:t>
      </w:r>
      <w:r>
        <w:rPr>
          <w:rFonts w:hint="eastAsia" w:ascii="宋体" w:hAnsi="宋体" w:cs="宋体"/>
          <w:color w:val="auto"/>
          <w:kern w:val="0"/>
          <w:sz w:val="24"/>
          <w:szCs w:val="24"/>
          <w:highlight w:val="none"/>
        </w:rPr>
        <w:t>得分。</w:t>
      </w:r>
    </w:p>
    <w:p w14:paraId="4B54AC07">
      <w:pPr>
        <w:spacing w:line="360" w:lineRule="auto"/>
        <w:ind w:firstLine="480" w:firstLineChars="200"/>
        <w:rPr>
          <w:rFonts w:hint="eastAsia" w:ascii="宋体" w:hAnsi="宋体" w:cs="宋体"/>
          <w:strike/>
          <w:dstrike w:val="0"/>
          <w:color w:val="auto"/>
          <w:kern w:val="0"/>
          <w:sz w:val="24"/>
          <w:szCs w:val="24"/>
          <w:highlight w:val="none"/>
        </w:rPr>
      </w:pPr>
      <w:r>
        <w:rPr>
          <w:rFonts w:hint="eastAsia" w:ascii="宋体" w:hAnsi="宋体" w:cs="宋体"/>
          <w:color w:val="auto"/>
          <w:kern w:val="0"/>
          <w:sz w:val="24"/>
          <w:szCs w:val="24"/>
          <w:highlight w:val="none"/>
        </w:rPr>
        <w:t>42.3.3评标委员会按照“第一阶段得分=</w:t>
      </w:r>
      <w:r>
        <w:rPr>
          <w:rFonts w:hint="eastAsia" w:ascii="宋体" w:hAnsi="宋体" w:eastAsia="宋体" w:cs="宋体"/>
          <w:b/>
          <w:bCs/>
          <w:color w:val="auto"/>
          <w:sz w:val="24"/>
          <w:szCs w:val="24"/>
          <w:highlight w:val="none"/>
          <w:u w:val="single"/>
        </w:rPr>
        <w:t>技术标得分×技术标得分权重（</w:t>
      </w:r>
      <w:r>
        <w:rPr>
          <w:rFonts w:hint="eastAsia" w:ascii="宋体" w:hAnsi="宋体" w:cs="宋体"/>
          <w:b/>
          <w:bCs/>
          <w:color w:val="auto"/>
          <w:sz w:val="24"/>
          <w:szCs w:val="24"/>
          <w:highlight w:val="none"/>
          <w:u w:val="single"/>
          <w:lang w:val="en-US" w:eastAsia="zh-CN"/>
        </w:rPr>
        <w:t>100</w:t>
      </w:r>
      <w:r>
        <w:rPr>
          <w:rFonts w:hint="eastAsia" w:ascii="宋体" w:hAnsi="宋体" w:eastAsia="宋体" w:cs="宋体"/>
          <w:b/>
          <w:bCs/>
          <w:color w:val="auto"/>
          <w:sz w:val="24"/>
          <w:szCs w:val="24"/>
          <w:highlight w:val="none"/>
          <w:u w:val="single"/>
        </w:rPr>
        <w:t>%）</w:t>
      </w:r>
      <w:r>
        <w:rPr>
          <w:rFonts w:hint="eastAsia" w:ascii="宋体" w:hAnsi="宋体" w:cs="宋体"/>
          <w:color w:val="auto"/>
          <w:kern w:val="0"/>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w:t>
      </w:r>
      <w:r>
        <w:rPr>
          <w:rFonts w:hint="eastAsia" w:ascii="宋体" w:hAnsi="宋体" w:cs="宋体"/>
          <w:strike/>
          <w:dstrike w:val="0"/>
          <w:color w:val="auto"/>
          <w:kern w:val="0"/>
          <w:sz w:val="24"/>
          <w:szCs w:val="24"/>
          <w:highlight w:val="none"/>
        </w:rPr>
        <w:t>（适用于进行了技术标评分的）（建议进入第二阶段评审家数≥7家，当N个标段同时招标且不允许兼中时建议≥N+7家）</w:t>
      </w:r>
    </w:p>
    <w:p w14:paraId="0A585F3D">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42.3.4招标人应在《投标须知前附表》中明确是否选择使用企业信用评价计分。</w:t>
      </w:r>
    </w:p>
    <w:p w14:paraId="7B4A60B4">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 第二阶段评审</w:t>
      </w:r>
    </w:p>
    <w:p w14:paraId="6F6CC669">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42.4.1按照投标须知前附表第27项规定，确定进入第二阶段评审的投标人。若在进入第二阶段的最后名次发生并列的，则所有并列的投标人均进入第二阶段。</w:t>
      </w:r>
    </w:p>
    <w:p w14:paraId="3B048F13">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42.4.2经济标的算术校核。评标委员会对进行经济标有效性审查的投标文件投标报价按照就低不就高的原则进行算术校核，具体标准如下：</w:t>
      </w:r>
    </w:p>
    <w:p w14:paraId="38F19927">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42.4.2.1如果数字表示的金额和用文字表示的金额不一致时，应以文字表示的金额为准；</w:t>
      </w:r>
    </w:p>
    <w:p w14:paraId="278D516D">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42.4.2.2经算术复核的投标人报价与其投标报价不一致时，按就低不就高原则确定其最终报价；</w:t>
      </w:r>
    </w:p>
    <w:p w14:paraId="7379776B">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5E74640">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42.4.2.4当合价、金额累加错误时，按就低不就高原则，如果累加修正值小于原累加值，则按累加修正值；如果累加修正值大于原累加值，则按原累加值；</w:t>
      </w:r>
    </w:p>
    <w:p w14:paraId="647EBAD2">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42.4.2.5如果投标人的有关规费、暂列金额、暂估价、绿色施工安全防护措施费等未按招标文件规定的金额填写的，由评标委员会按照招标文件规定的金额进行修正；</w:t>
      </w:r>
    </w:p>
    <w:p w14:paraId="6CD2059E">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02E7DDA">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42.4.2.7按就低不就高原则，当修正后报价小于原报价，总价按修正后报价；当修正后报价大于原报价，总价按原报价，并在签订合同时载明在结算价中扣除修正报价与原报价的差额。</w:t>
      </w:r>
    </w:p>
    <w:p w14:paraId="229EECFD">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42.4.2.8评标委员会按上述修正错误的原则及方法调整或修正经济标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无正当理由不接受修正后的报价，则取消其投标资格，并且其投标保证金也将不予退还。以上修正不影响按步骤42.3.3确定的投标人进入初步第二阶段的排序。</w:t>
      </w:r>
    </w:p>
    <w:p w14:paraId="45F662C0">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42.4.3投标文件经济标的评分</w:t>
      </w:r>
    </w:p>
    <w:p w14:paraId="18374C79">
      <w:pPr>
        <w:spacing w:line="360" w:lineRule="auto"/>
        <w:ind w:firstLine="480" w:firstLineChars="200"/>
        <w:rPr>
          <w:rFonts w:hint="eastAsia" w:ascii="宋体" w:hAnsi="宋体" w:cs="宋体"/>
          <w:strike/>
          <w:dstrike w:val="0"/>
          <w:color w:val="auto"/>
          <w:kern w:val="0"/>
          <w:sz w:val="24"/>
          <w:szCs w:val="24"/>
          <w:highlight w:val="none"/>
        </w:rPr>
      </w:pPr>
      <w:bookmarkStart w:id="53" w:name="_Hlk194822774"/>
      <w:r>
        <w:rPr>
          <w:rFonts w:hint="eastAsia" w:ascii="宋体" w:hAnsi="宋体" w:cs="宋体"/>
          <w:color w:val="auto"/>
          <w:kern w:val="0"/>
          <w:sz w:val="24"/>
          <w:szCs w:val="24"/>
          <w:highlight w:val="none"/>
        </w:rPr>
        <w:t>42.4.3.1</w:t>
      </w:r>
      <w:r>
        <w:rPr>
          <w:rFonts w:hint="eastAsia" w:ascii="宋体" w:hAnsi="宋体" w:eastAsia="宋体" w:cs="宋体"/>
          <w:color w:val="auto"/>
          <w:sz w:val="24"/>
          <w:szCs w:val="24"/>
          <w:highlight w:val="none"/>
        </w:rPr>
        <w:t>计算评标参考价：</w:t>
      </w:r>
      <w:r>
        <w:rPr>
          <w:rFonts w:hint="eastAsia" w:ascii="宋体" w:hAnsi="宋体" w:eastAsia="宋体" w:cs="宋体"/>
          <w:b/>
          <w:bCs/>
          <w:color w:val="auto"/>
          <w:sz w:val="24"/>
          <w:szCs w:val="24"/>
          <w:highlight w:val="none"/>
          <w:u w:val="single"/>
          <w:lang w:bidi="ar"/>
        </w:rPr>
        <w:t>进入第二阶段且经济报价在</w:t>
      </w:r>
      <w:r>
        <w:rPr>
          <w:rFonts w:hint="eastAsia" w:ascii="宋体" w:hAnsi="宋体" w:eastAsia="宋体" w:cs="宋体"/>
          <w:color w:val="auto"/>
          <w:sz w:val="24"/>
          <w:szCs w:val="24"/>
          <w:highlight w:val="none"/>
          <w:u w:val="single"/>
          <w:lang w:bidi="ar"/>
        </w:rPr>
        <w:t>[工程成本警戒价，最高投标限价的95%]的投标人大于5名时，去掉一个最高价和一个最低价，取余下有效投标价的算术平均值，按随机抽取的计算评标参考价的下浮率X，计算评标参考价；</w:t>
      </w:r>
      <w:r>
        <w:rPr>
          <w:rFonts w:hint="eastAsia" w:ascii="宋体" w:hAnsi="宋体" w:eastAsia="宋体" w:cs="宋体"/>
          <w:b/>
          <w:color w:val="auto"/>
          <w:sz w:val="24"/>
          <w:szCs w:val="24"/>
          <w:highlight w:val="none"/>
          <w:u w:val="single"/>
          <w:lang w:bidi="ar"/>
        </w:rPr>
        <w:t>当</w:t>
      </w:r>
      <w:r>
        <w:rPr>
          <w:rFonts w:hint="eastAsia" w:ascii="宋体" w:hAnsi="宋体" w:eastAsia="宋体" w:cs="宋体"/>
          <w:b/>
          <w:bCs/>
          <w:color w:val="auto"/>
          <w:sz w:val="24"/>
          <w:szCs w:val="24"/>
          <w:highlight w:val="none"/>
          <w:u w:val="single"/>
          <w:lang w:bidi="ar"/>
        </w:rPr>
        <w:t>进入第二阶段且经济报价</w:t>
      </w:r>
      <w:r>
        <w:rPr>
          <w:rFonts w:hint="eastAsia" w:ascii="宋体" w:hAnsi="宋体" w:eastAsia="宋体" w:cs="宋体"/>
          <w:b/>
          <w:color w:val="auto"/>
          <w:sz w:val="24"/>
          <w:szCs w:val="24"/>
          <w:highlight w:val="none"/>
          <w:u w:val="single"/>
          <w:lang w:bidi="ar"/>
        </w:rPr>
        <w:t>在</w:t>
      </w:r>
      <w:r>
        <w:rPr>
          <w:rFonts w:hint="eastAsia" w:ascii="宋体" w:hAnsi="宋体" w:eastAsia="宋体" w:cs="宋体"/>
          <w:color w:val="auto"/>
          <w:sz w:val="24"/>
          <w:szCs w:val="24"/>
          <w:highlight w:val="none"/>
          <w:u w:val="single"/>
          <w:lang w:bidi="ar"/>
        </w:rPr>
        <w:t>[工程成本警戒价，最高投标限价的95%]的投标人小于或等于5名时，取所有此范围内的有效投标价的算术平均值，按随机抽取的计算评标参考价的下浮率X，计算评标参考价；若所有投标人均不满足前述条件的，则以[工程成本警戒价，最高投标限价的95%]区间的中间值作为评标参考价。（评标参考价精确到小数点后两位）。</w:t>
      </w:r>
      <w:r>
        <w:rPr>
          <w:rFonts w:hint="eastAsia" w:ascii="宋体" w:hAnsi="宋体" w:cs="宋体"/>
          <w:strike/>
          <w:dstrike w:val="0"/>
          <w:color w:val="auto"/>
          <w:kern w:val="0"/>
          <w:sz w:val="24"/>
          <w:szCs w:val="24"/>
          <w:highlight w:val="none"/>
        </w:rPr>
        <w:t>按以下方法计算评标参考价：</w:t>
      </w:r>
    </w:p>
    <w:p w14:paraId="1C7D86F1">
      <w:pPr>
        <w:spacing w:line="360" w:lineRule="auto"/>
        <w:ind w:firstLine="480" w:firstLineChars="200"/>
        <w:rPr>
          <w:rFonts w:hint="eastAsia" w:ascii="宋体" w:hAnsi="宋体" w:cs="宋体"/>
          <w:strike/>
          <w:dstrike w:val="0"/>
          <w:color w:val="auto"/>
          <w:kern w:val="0"/>
          <w:sz w:val="24"/>
          <w:szCs w:val="24"/>
          <w:highlight w:val="none"/>
        </w:rPr>
      </w:pPr>
      <w:r>
        <w:rPr>
          <w:rFonts w:hint="eastAsia" w:ascii="宋体" w:hAnsi="宋体" w:cs="宋体"/>
          <w:strike/>
          <w:dstrike w:val="0"/>
          <w:color w:val="auto"/>
          <w:kern w:val="0"/>
          <w:sz w:val="24"/>
          <w:szCs w:val="24"/>
          <w:highlight w:val="none"/>
        </w:rPr>
        <w:t>区间抽取法</w:t>
      </w:r>
    </w:p>
    <w:p w14:paraId="16AE7BE2">
      <w:pPr>
        <w:spacing w:line="360" w:lineRule="auto"/>
        <w:ind w:firstLine="480" w:firstLineChars="200"/>
        <w:rPr>
          <w:rFonts w:hint="eastAsia" w:ascii="宋体" w:hAnsi="宋体" w:cs="宋体"/>
          <w:strike/>
          <w:dstrike w:val="0"/>
          <w:color w:val="auto"/>
          <w:kern w:val="0"/>
          <w:sz w:val="24"/>
          <w:szCs w:val="24"/>
          <w:highlight w:val="none"/>
        </w:rPr>
      </w:pPr>
      <w:r>
        <w:rPr>
          <w:rFonts w:hint="eastAsia" w:ascii="宋体" w:hAnsi="宋体" w:cs="宋体"/>
          <w:strike/>
          <w:dstrike w:val="0"/>
          <w:color w:val="auto"/>
          <w:kern w:val="0"/>
          <w:sz w:val="24"/>
          <w:szCs w:val="24"/>
          <w:highlight w:val="none"/>
        </w:rPr>
        <w:t>设立入围合格分数线（技术标或技术标加企业信用评价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ED346A6">
      <w:pPr>
        <w:spacing w:line="360" w:lineRule="auto"/>
        <w:ind w:firstLine="480" w:firstLineChars="200"/>
        <w:rPr>
          <w:rFonts w:hint="eastAsia" w:ascii="宋体" w:hAnsi="宋体" w:cs="宋体"/>
          <w:strike/>
          <w:dstrike w:val="0"/>
          <w:color w:val="auto"/>
          <w:kern w:val="0"/>
          <w:sz w:val="24"/>
          <w:szCs w:val="24"/>
          <w:highlight w:val="none"/>
        </w:rPr>
      </w:pPr>
      <w:r>
        <w:rPr>
          <w:rFonts w:hint="eastAsia" w:ascii="宋体" w:hAnsi="宋体" w:cs="宋体"/>
          <w:strike/>
          <w:dstrike w:val="0"/>
          <w:color w:val="auto"/>
          <w:kern w:val="0"/>
          <w:sz w:val="24"/>
          <w:szCs w:val="24"/>
          <w:highlight w:val="none"/>
        </w:rPr>
        <w:t>评标参考价=（Q高-Q低）/100*Ｘ+Q低</w:t>
      </w:r>
    </w:p>
    <w:p w14:paraId="4A4A14F6">
      <w:pPr>
        <w:spacing w:line="360" w:lineRule="auto"/>
        <w:ind w:firstLine="480" w:firstLineChars="200"/>
        <w:rPr>
          <w:rFonts w:hint="eastAsia" w:ascii="宋体" w:hAnsi="宋体" w:cs="宋体"/>
          <w:strike/>
          <w:dstrike w:val="0"/>
          <w:color w:val="auto"/>
          <w:kern w:val="0"/>
          <w:sz w:val="24"/>
          <w:szCs w:val="24"/>
          <w:highlight w:val="none"/>
        </w:rPr>
      </w:pPr>
      <w:r>
        <w:rPr>
          <w:rFonts w:hint="eastAsia" w:ascii="宋体" w:hAnsi="宋体" w:cs="宋体"/>
          <w:strike/>
          <w:dstrike w:val="0"/>
          <w:color w:val="auto"/>
          <w:kern w:val="0"/>
          <w:sz w:val="24"/>
          <w:szCs w:val="24"/>
          <w:highlight w:val="none"/>
        </w:rPr>
        <w:t>Q低：为达到或超过技术标及格分数线的投标人最低报价与工程成本警示价两者中的较高值；</w:t>
      </w:r>
    </w:p>
    <w:p w14:paraId="17130639">
      <w:pPr>
        <w:spacing w:line="360" w:lineRule="auto"/>
        <w:ind w:firstLine="480" w:firstLineChars="200"/>
        <w:rPr>
          <w:rFonts w:hint="eastAsia" w:ascii="宋体" w:hAnsi="宋体" w:cs="宋体"/>
          <w:strike/>
          <w:dstrike w:val="0"/>
          <w:color w:val="auto"/>
          <w:kern w:val="0"/>
          <w:sz w:val="24"/>
          <w:szCs w:val="24"/>
          <w:highlight w:val="none"/>
        </w:rPr>
      </w:pPr>
      <w:r>
        <w:rPr>
          <w:rFonts w:hint="eastAsia" w:ascii="宋体" w:hAnsi="宋体" w:cs="宋体"/>
          <w:strike/>
          <w:dstrike w:val="0"/>
          <w:color w:val="auto"/>
          <w:kern w:val="0"/>
          <w:sz w:val="24"/>
          <w:szCs w:val="24"/>
          <w:highlight w:val="none"/>
        </w:rPr>
        <w:t>Q高：为最高投标限价*D%（政府投资项目，D的取值范围为[94-100],由招标人自主确定；非政府投资项目由招标人自主确定取值范围），具体金额为</w:t>
      </w:r>
      <w:r>
        <w:rPr>
          <w:rFonts w:hint="eastAsia" w:ascii="宋体" w:hAnsi="宋体" w:cs="宋体"/>
          <w:strike/>
          <w:dstrike w:val="0"/>
          <w:color w:val="auto"/>
          <w:kern w:val="0"/>
          <w:sz w:val="24"/>
          <w:szCs w:val="24"/>
          <w:highlight w:val="none"/>
          <w:u w:val="single"/>
        </w:rPr>
        <w:t xml:space="preserve">               </w:t>
      </w:r>
      <w:r>
        <w:rPr>
          <w:rFonts w:hint="eastAsia" w:ascii="宋体" w:hAnsi="宋体" w:cs="宋体"/>
          <w:strike/>
          <w:dstrike w:val="0"/>
          <w:color w:val="auto"/>
          <w:kern w:val="0"/>
          <w:sz w:val="24"/>
          <w:szCs w:val="24"/>
          <w:highlight w:val="none"/>
        </w:rPr>
        <w:t>元。</w:t>
      </w:r>
    </w:p>
    <w:p w14:paraId="4FE27EEA">
      <w:pPr>
        <w:spacing w:line="360" w:lineRule="auto"/>
        <w:ind w:firstLine="480" w:firstLineChars="200"/>
        <w:rPr>
          <w:rFonts w:hint="eastAsia" w:ascii="宋体" w:hAnsi="宋体" w:cs="宋体"/>
          <w:strike/>
          <w:dstrike w:val="0"/>
          <w:color w:val="auto"/>
          <w:kern w:val="0"/>
          <w:sz w:val="24"/>
          <w:szCs w:val="24"/>
          <w:highlight w:val="none"/>
        </w:rPr>
      </w:pPr>
      <w:r>
        <w:rPr>
          <w:rFonts w:hint="eastAsia" w:ascii="宋体" w:hAnsi="宋体" w:cs="宋体"/>
          <w:strike/>
          <w:dstrike w:val="0"/>
          <w:color w:val="auto"/>
          <w:kern w:val="0"/>
          <w:sz w:val="24"/>
          <w:szCs w:val="24"/>
          <w:highlight w:val="none"/>
        </w:rPr>
        <w:t>X:为等分点值，在开标前从[0,100]整数中随机抽取</w:t>
      </w:r>
    </w:p>
    <w:bookmarkEnd w:id="53"/>
    <w:p w14:paraId="3F2BB86A">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42.4.3.2当标价等于评标参考价时得100分，标价每高于评标参考价1%，扣1.5分，每低于评标参考价1%，扣1分，扣至0分为止，得出经济分，精确到小数点后两位。</w:t>
      </w:r>
    </w:p>
    <w:p w14:paraId="0B4E9972">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42.4.3.3评标委员会按投标须知前附表第34项的规定确定排序。</w:t>
      </w:r>
    </w:p>
    <w:p w14:paraId="61616335">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42.4.4经济标的有效性审查：按照42.4.3.3确定的排序，依次对经济标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属于经济标算术校核范围的不得作为否决投标的情形。</w:t>
      </w:r>
    </w:p>
    <w:p w14:paraId="7027DC51">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42.4.5评标委员会按只有通过有效性审查的投标人的投标文件方可进入下一阶段评审的评审原则，根据有效性审查结果，取消被否决投标的投标人的排序，其余通过有效性审查的投标人的排序依次上升替补确实，以此类推，直到评审出3家投标人通过经济标有效性审查，经济标有效性审查结束。若通过经济标有效性审查的投标人不足三家，</w:t>
      </w:r>
      <w:r>
        <w:rPr>
          <w:rFonts w:hint="eastAsia" w:ascii="宋体" w:hAnsi="宋体" w:eastAsia="宋体" w:cs="宋体"/>
          <w:color w:val="auto"/>
          <w:sz w:val="24"/>
          <w:szCs w:val="24"/>
          <w:highlight w:val="none"/>
          <w:u w:val="single"/>
        </w:rPr>
        <w:t>评标委员会应当对投标是否明显缺乏竞争和是否需要否决全部投标进行充分论证，并在评标报告中记载论证过程和结果</w:t>
      </w:r>
      <w:r>
        <w:rPr>
          <w:rFonts w:hint="eastAsia" w:ascii="宋体" w:hAnsi="宋体" w:eastAsia="宋体" w:cs="宋体"/>
          <w:color w:val="auto"/>
          <w:sz w:val="24"/>
          <w:szCs w:val="24"/>
          <w:highlight w:val="none"/>
        </w:rPr>
        <w:t>。</w:t>
      </w:r>
      <w:r>
        <w:rPr>
          <w:rFonts w:hint="eastAsia" w:ascii="宋体" w:hAnsi="宋体" w:cs="宋体"/>
          <w:strike/>
          <w:dstrike w:val="0"/>
          <w:color w:val="auto"/>
          <w:kern w:val="0"/>
          <w:sz w:val="24"/>
          <w:szCs w:val="24"/>
          <w:highlight w:val="none"/>
        </w:rPr>
        <w:t>则本项目招标失败，由招标人依法重新招标。</w:t>
      </w:r>
      <w:r>
        <w:rPr>
          <w:rFonts w:hint="eastAsia" w:ascii="宋体" w:hAnsi="宋体" w:cs="宋体"/>
          <w:color w:val="auto"/>
          <w:kern w:val="0"/>
          <w:sz w:val="24"/>
          <w:szCs w:val="24"/>
          <w:highlight w:val="none"/>
        </w:rPr>
        <w:t>（当N个标段同时招标且不允许兼中时，有效投标人应≥N+2家）。</w:t>
      </w:r>
    </w:p>
    <w:p w14:paraId="2BB4AFB4">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42.5评标委员会应在通过投标文件经济标有效性审查的投标人中，按步骤42.4确定的投标人第二阶段排序，推荐前3名依次为第一中标候选人至第三中标候选人,并编制评标报告。</w:t>
      </w:r>
    </w:p>
    <w:p w14:paraId="4DC54D0E">
      <w:pPr>
        <w:spacing w:line="360" w:lineRule="auto"/>
        <w:ind w:firstLine="480" w:firstLineChars="200"/>
        <w:rPr>
          <w:rFonts w:hint="eastAsia" w:ascii="宋体" w:hAnsi="宋体" w:cs="宋体"/>
          <w:color w:val="auto"/>
          <w:sz w:val="24"/>
          <w:szCs w:val="24"/>
          <w:highlight w:val="none"/>
        </w:rPr>
      </w:pPr>
    </w:p>
    <w:p w14:paraId="6B6D56D0">
      <w:pPr>
        <w:pStyle w:val="5"/>
        <w:rPr>
          <w:rFonts w:hint="eastAsia"/>
          <w:color w:val="auto"/>
          <w:highlight w:val="none"/>
        </w:rPr>
      </w:pPr>
      <w:r>
        <w:rPr>
          <w:color w:val="auto"/>
          <w:highlight w:val="none"/>
        </w:rPr>
        <w:br w:type="page"/>
      </w:r>
    </w:p>
    <w:p w14:paraId="4DA3B11B">
      <w:pPr>
        <w:pStyle w:val="8"/>
        <w:rPr>
          <w:rFonts w:hint="eastAsia"/>
          <w:color w:val="auto"/>
          <w:highlight w:val="none"/>
        </w:rPr>
      </w:pPr>
      <w:bookmarkStart w:id="54" w:name="_Toc194440084"/>
      <w:bookmarkStart w:id="55" w:name="_Toc184468507"/>
      <w:r>
        <w:rPr>
          <w:rFonts w:hint="eastAsia"/>
          <w:color w:val="auto"/>
          <w:highlight w:val="none"/>
        </w:rPr>
        <w:t>附件</w:t>
      </w:r>
      <w:bookmarkEnd w:id="54"/>
      <w:bookmarkEnd w:id="55"/>
    </w:p>
    <w:p w14:paraId="1BCE3041">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评标委员会成员声明</w:t>
      </w:r>
    </w:p>
    <w:p w14:paraId="501DE01D">
      <w:pPr>
        <w:spacing w:line="360" w:lineRule="auto"/>
        <w:rPr>
          <w:rFonts w:hint="eastAsia" w:ascii="宋体" w:hAnsi="宋体"/>
          <w:color w:val="auto"/>
          <w:sz w:val="24"/>
          <w:szCs w:val="24"/>
          <w:highlight w:val="none"/>
        </w:rPr>
      </w:pPr>
      <w:r>
        <w:rPr>
          <w:rFonts w:hint="eastAsia" w:ascii="宋体" w:hAnsi="宋体"/>
          <w:color w:val="auto"/>
          <w:sz w:val="24"/>
          <w:szCs w:val="24"/>
          <w:highlight w:val="none"/>
          <w:u w:val="single"/>
        </w:rPr>
        <w:t>本项目招标人</w:t>
      </w:r>
      <w:r>
        <w:rPr>
          <w:rFonts w:hint="eastAsia" w:ascii="宋体" w:hAnsi="宋体"/>
          <w:color w:val="auto"/>
          <w:sz w:val="24"/>
          <w:szCs w:val="24"/>
          <w:highlight w:val="none"/>
        </w:rPr>
        <w:t>：</w:t>
      </w:r>
    </w:p>
    <w:p w14:paraId="252BA2B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本人就参与</w:t>
      </w:r>
      <w:r>
        <w:rPr>
          <w:rFonts w:ascii="宋体" w:hAnsi="宋体"/>
          <w:color w:val="auto"/>
          <w:sz w:val="24"/>
          <w:szCs w:val="24"/>
          <w:highlight w:val="none"/>
          <w:u w:val="single"/>
        </w:rPr>
        <w:t xml:space="preserve">               </w:t>
      </w:r>
      <w:r>
        <w:rPr>
          <w:rFonts w:hint="eastAsia" w:ascii="宋体" w:hAnsi="宋体"/>
          <w:color w:val="auto"/>
          <w:sz w:val="24"/>
          <w:szCs w:val="24"/>
          <w:highlight w:val="none"/>
        </w:rPr>
        <w:t>项目的评标工作，作出郑重声明：</w:t>
      </w:r>
    </w:p>
    <w:p w14:paraId="160DE25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DB1866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E7E63A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1C2D58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A85F17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F8DF54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如果本人违反上述声明内容，造成的后果由本人自行承担。</w:t>
      </w:r>
    </w:p>
    <w:p w14:paraId="64189EBB">
      <w:pPr>
        <w:spacing w:line="360" w:lineRule="auto"/>
        <w:ind w:firstLine="480" w:firstLineChars="200"/>
        <w:rPr>
          <w:rFonts w:hint="eastAsia" w:ascii="宋体" w:hAnsi="宋体"/>
          <w:color w:val="auto"/>
          <w:sz w:val="24"/>
          <w:szCs w:val="24"/>
          <w:highlight w:val="none"/>
        </w:rPr>
      </w:pPr>
    </w:p>
    <w:p w14:paraId="546E82BA">
      <w:pPr>
        <w:spacing w:line="360" w:lineRule="auto"/>
        <w:ind w:firstLine="480" w:firstLineChars="200"/>
        <w:rPr>
          <w:rFonts w:hint="eastAsia" w:ascii="宋体" w:hAnsi="宋体"/>
          <w:color w:val="auto"/>
          <w:sz w:val="24"/>
          <w:szCs w:val="24"/>
          <w:highlight w:val="none"/>
          <w:u w:val="single"/>
        </w:rPr>
      </w:pPr>
      <w:r>
        <w:rPr>
          <w:rFonts w:ascii="宋体" w:hAnsi="宋体"/>
          <w:color w:val="auto"/>
          <w:sz w:val="24"/>
          <w:szCs w:val="24"/>
          <w:highlight w:val="none"/>
        </w:rPr>
        <w:t xml:space="preserve">                             声明人：</w:t>
      </w:r>
      <w:r>
        <w:rPr>
          <w:rFonts w:hint="eastAsia" w:ascii="宋体" w:hAnsi="宋体"/>
          <w:color w:val="auto"/>
          <w:sz w:val="24"/>
          <w:szCs w:val="24"/>
          <w:highlight w:val="none"/>
          <w:u w:val="single"/>
        </w:rPr>
        <w:t>（签名）</w:t>
      </w:r>
      <w:r>
        <w:rPr>
          <w:rFonts w:ascii="宋体" w:hAnsi="宋体"/>
          <w:color w:val="auto"/>
          <w:sz w:val="24"/>
          <w:szCs w:val="24"/>
          <w:highlight w:val="none"/>
          <w:u w:val="single"/>
        </w:rPr>
        <w:t xml:space="preserve">  </w:t>
      </w:r>
    </w:p>
    <w:p w14:paraId="2529E290">
      <w:pPr>
        <w:spacing w:line="360" w:lineRule="auto"/>
        <w:rPr>
          <w:rFonts w:hint="eastAsia" w:ascii="宋体" w:hAnsi="宋体" w:cs="宋体"/>
          <w:color w:val="auto"/>
          <w:sz w:val="24"/>
          <w:szCs w:val="24"/>
          <w:highlight w:val="none"/>
        </w:rPr>
        <w:sectPr>
          <w:footerReference r:id="rId8" w:type="first"/>
          <w:headerReference r:id="rId6" w:type="even"/>
          <w:footerReference r:id="rId7" w:type="even"/>
          <w:endnotePr>
            <w:numFmt w:val="decimal"/>
          </w:endnotePr>
          <w:type w:val="continuous"/>
          <w:pgSz w:w="11906" w:h="16838"/>
          <w:pgMar w:top="1440" w:right="1080" w:bottom="1440" w:left="1080" w:header="851" w:footer="907" w:gutter="0"/>
          <w:cols w:space="720" w:num="1"/>
          <w:docGrid w:type="lines" w:linePitch="312" w:charSpace="0"/>
        </w:sectPr>
      </w:pPr>
    </w:p>
    <w:p w14:paraId="52E564EF">
      <w:pPr>
        <w:pStyle w:val="8"/>
        <w:rPr>
          <w:rFonts w:hint="eastAsia"/>
          <w:color w:val="auto"/>
          <w:highlight w:val="none"/>
        </w:rPr>
      </w:pPr>
      <w:bookmarkStart w:id="56" w:name="_Toc194440085"/>
      <w:bookmarkStart w:id="57" w:name="_Toc184468508"/>
      <w:r>
        <w:rPr>
          <w:rFonts w:hint="eastAsia"/>
          <w:color w:val="auto"/>
          <w:highlight w:val="none"/>
        </w:rPr>
        <w:t>附表一</w:t>
      </w:r>
      <w:bookmarkEnd w:id="56"/>
      <w:bookmarkEnd w:id="57"/>
    </w:p>
    <w:p w14:paraId="455E0E9F">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资格审查表</w:t>
      </w:r>
    </w:p>
    <w:p w14:paraId="4463D5E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p w14:paraId="45111D1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49"/>
        <w:tblW w:w="14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831"/>
        <w:gridCol w:w="6350"/>
        <w:gridCol w:w="1065"/>
      </w:tblGrid>
      <w:tr w14:paraId="0F47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C94C01C">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6831" w:type="dxa"/>
            <w:tcBorders>
              <w:top w:val="single" w:color="auto" w:sz="4" w:space="0"/>
              <w:left w:val="single" w:color="auto" w:sz="4" w:space="0"/>
              <w:bottom w:val="single" w:color="auto" w:sz="4" w:space="0"/>
              <w:right w:val="single" w:color="auto" w:sz="4" w:space="0"/>
            </w:tcBorders>
            <w:vAlign w:val="center"/>
          </w:tcPr>
          <w:p w14:paraId="319ACF16">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审查项目</w:t>
            </w:r>
          </w:p>
        </w:tc>
        <w:tc>
          <w:tcPr>
            <w:tcW w:w="6350" w:type="dxa"/>
            <w:tcBorders>
              <w:top w:val="single" w:color="auto" w:sz="4" w:space="0"/>
              <w:left w:val="single" w:color="auto" w:sz="4" w:space="0"/>
              <w:bottom w:val="single" w:color="auto" w:sz="4" w:space="0"/>
              <w:right w:val="single" w:color="auto" w:sz="4" w:space="0"/>
            </w:tcBorders>
            <w:vAlign w:val="center"/>
          </w:tcPr>
          <w:p w14:paraId="1B073B76">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须审查的资料</w:t>
            </w:r>
          </w:p>
        </w:tc>
        <w:tc>
          <w:tcPr>
            <w:tcW w:w="1065" w:type="dxa"/>
            <w:tcBorders>
              <w:top w:val="single" w:color="auto" w:sz="4" w:space="0"/>
              <w:left w:val="single" w:color="auto" w:sz="4" w:space="0"/>
              <w:bottom w:val="single" w:color="auto" w:sz="4" w:space="0"/>
              <w:right w:val="single" w:color="auto" w:sz="4" w:space="0"/>
            </w:tcBorders>
            <w:vAlign w:val="center"/>
          </w:tcPr>
          <w:p w14:paraId="7F80E7BE">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审查结果</w:t>
            </w:r>
          </w:p>
        </w:tc>
      </w:tr>
      <w:tr w14:paraId="7417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16C905A">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w:t>
            </w:r>
          </w:p>
        </w:tc>
        <w:tc>
          <w:tcPr>
            <w:tcW w:w="6831" w:type="dxa"/>
            <w:tcBorders>
              <w:top w:val="single" w:color="auto" w:sz="4" w:space="0"/>
              <w:left w:val="single" w:color="auto" w:sz="4" w:space="0"/>
              <w:bottom w:val="single" w:color="auto" w:sz="4" w:space="0"/>
              <w:right w:val="single" w:color="auto" w:sz="4" w:space="0"/>
            </w:tcBorders>
            <w:vAlign w:val="center"/>
          </w:tcPr>
          <w:p w14:paraId="7CEA9ED0">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6350" w:type="dxa"/>
            <w:tcBorders>
              <w:top w:val="single" w:color="auto" w:sz="4" w:space="0"/>
              <w:left w:val="single" w:color="auto" w:sz="4" w:space="0"/>
              <w:bottom w:val="single" w:color="auto" w:sz="4" w:space="0"/>
              <w:right w:val="single" w:color="auto" w:sz="4" w:space="0"/>
            </w:tcBorders>
            <w:vAlign w:val="center"/>
          </w:tcPr>
          <w:p w14:paraId="4FDB94C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投标人声明、法定代表人证明书；委托投标的还应提供法人授权委托证明书。</w:t>
            </w:r>
          </w:p>
        </w:tc>
        <w:tc>
          <w:tcPr>
            <w:tcW w:w="1065" w:type="dxa"/>
            <w:tcBorders>
              <w:top w:val="single" w:color="auto" w:sz="4" w:space="0"/>
              <w:left w:val="single" w:color="auto" w:sz="4" w:space="0"/>
              <w:bottom w:val="single" w:color="auto" w:sz="4" w:space="0"/>
              <w:right w:val="single" w:color="auto" w:sz="4" w:space="0"/>
            </w:tcBorders>
            <w:vAlign w:val="center"/>
          </w:tcPr>
          <w:p w14:paraId="35E6D8C7">
            <w:pPr>
              <w:spacing w:line="276" w:lineRule="auto"/>
              <w:jc w:val="center"/>
              <w:rPr>
                <w:rFonts w:hint="eastAsia" w:ascii="宋体" w:hAnsi="宋体" w:cs="宋体"/>
                <w:color w:val="auto"/>
                <w:szCs w:val="21"/>
                <w:highlight w:val="none"/>
              </w:rPr>
            </w:pPr>
          </w:p>
        </w:tc>
      </w:tr>
      <w:tr w14:paraId="27C2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617266E">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2</w:t>
            </w:r>
          </w:p>
        </w:tc>
        <w:tc>
          <w:tcPr>
            <w:tcW w:w="6831" w:type="dxa"/>
            <w:tcBorders>
              <w:top w:val="single" w:color="auto" w:sz="4" w:space="0"/>
              <w:left w:val="single" w:color="auto" w:sz="4" w:space="0"/>
              <w:bottom w:val="single" w:color="auto" w:sz="4" w:space="0"/>
              <w:right w:val="single" w:color="auto" w:sz="4" w:space="0"/>
            </w:tcBorders>
            <w:vAlign w:val="center"/>
          </w:tcPr>
          <w:p w14:paraId="312A22C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投标人是法人或其他组织，按国家法律经营。</w:t>
            </w:r>
          </w:p>
        </w:tc>
        <w:tc>
          <w:tcPr>
            <w:tcW w:w="6350" w:type="dxa"/>
            <w:tcBorders>
              <w:top w:val="single" w:color="auto" w:sz="4" w:space="0"/>
              <w:left w:val="single" w:color="auto" w:sz="4" w:space="0"/>
              <w:bottom w:val="single" w:color="auto" w:sz="4" w:space="0"/>
              <w:right w:val="single" w:color="auto" w:sz="4" w:space="0"/>
            </w:tcBorders>
            <w:vAlign w:val="center"/>
          </w:tcPr>
          <w:p w14:paraId="388402F5">
            <w:pPr>
              <w:spacing w:line="276" w:lineRule="auto"/>
              <w:rPr>
                <w:rFonts w:hint="eastAsia" w:ascii="宋体" w:hAnsi="宋体" w:cs="宋体"/>
                <w:color w:val="auto"/>
                <w:szCs w:val="21"/>
                <w:highlight w:val="none"/>
              </w:rPr>
            </w:pPr>
            <w:r>
              <w:rPr>
                <w:rFonts w:hint="eastAsia" w:ascii="宋体" w:hAnsi="宋体"/>
                <w:color w:val="auto"/>
                <w:szCs w:val="21"/>
                <w:highlight w:val="none"/>
              </w:rPr>
              <w:t>营业执照</w:t>
            </w:r>
            <w:r>
              <w:rPr>
                <w:rFonts w:hint="eastAsia" w:ascii="宋体" w:hAnsi="宋体"/>
                <w:color w:val="auto"/>
                <w:szCs w:val="21"/>
                <w:highlight w:val="none"/>
                <w:u w:val="single"/>
              </w:rPr>
              <w:t>扫描件或电子证照</w:t>
            </w:r>
            <w:r>
              <w:rPr>
                <w:rFonts w:hint="eastAsia" w:ascii="宋体" w:hAnsi="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vAlign w:val="center"/>
          </w:tcPr>
          <w:p w14:paraId="3B72375D">
            <w:pPr>
              <w:spacing w:line="276" w:lineRule="auto"/>
              <w:jc w:val="center"/>
              <w:rPr>
                <w:rFonts w:hint="eastAsia" w:ascii="宋体" w:hAnsi="宋体" w:cs="宋体"/>
                <w:color w:val="auto"/>
                <w:szCs w:val="21"/>
                <w:highlight w:val="none"/>
              </w:rPr>
            </w:pPr>
          </w:p>
        </w:tc>
      </w:tr>
      <w:tr w14:paraId="57F0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3773CE4">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3</w:t>
            </w:r>
          </w:p>
        </w:tc>
        <w:tc>
          <w:tcPr>
            <w:tcW w:w="6831" w:type="dxa"/>
            <w:tcBorders>
              <w:top w:val="single" w:color="auto" w:sz="4" w:space="0"/>
              <w:left w:val="single" w:color="auto" w:sz="4" w:space="0"/>
              <w:bottom w:val="single" w:color="auto" w:sz="4" w:space="0"/>
              <w:right w:val="single" w:color="auto" w:sz="4" w:space="0"/>
            </w:tcBorders>
            <w:vAlign w:val="center"/>
          </w:tcPr>
          <w:p w14:paraId="4067FD1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投标人均持有建设行政主管部门颁发的有效期内的企业资质证书及安全生产许可证；投标人资质符合公告要求。</w:t>
            </w:r>
          </w:p>
        </w:tc>
        <w:tc>
          <w:tcPr>
            <w:tcW w:w="6350" w:type="dxa"/>
            <w:tcBorders>
              <w:top w:val="single" w:color="auto" w:sz="4" w:space="0"/>
              <w:left w:val="single" w:color="auto" w:sz="4" w:space="0"/>
              <w:bottom w:val="single" w:color="auto" w:sz="4" w:space="0"/>
              <w:right w:val="single" w:color="auto" w:sz="4" w:space="0"/>
            </w:tcBorders>
            <w:vAlign w:val="center"/>
          </w:tcPr>
          <w:p w14:paraId="7065951A">
            <w:pPr>
              <w:spacing w:line="276" w:lineRule="auto"/>
              <w:rPr>
                <w:rFonts w:hint="eastAsia" w:ascii="宋体" w:hAnsi="宋体" w:cs="宋体"/>
                <w:color w:val="auto"/>
                <w:szCs w:val="21"/>
                <w:highlight w:val="none"/>
              </w:rPr>
            </w:pPr>
            <w:r>
              <w:rPr>
                <w:rFonts w:hint="eastAsia" w:ascii="宋体" w:hAnsi="宋体"/>
                <w:color w:val="auto"/>
                <w:szCs w:val="21"/>
                <w:highlight w:val="none"/>
              </w:rPr>
              <w:t>资质证书扫描件或电子证照、安全生产许可证</w:t>
            </w:r>
            <w:r>
              <w:rPr>
                <w:rFonts w:hint="eastAsia" w:ascii="宋体" w:hAnsi="宋体"/>
                <w:color w:val="auto"/>
                <w:szCs w:val="21"/>
                <w:highlight w:val="none"/>
                <w:u w:val="single"/>
              </w:rPr>
              <w:t>扫描件或电子证照</w:t>
            </w:r>
            <w:r>
              <w:rPr>
                <w:rFonts w:hint="eastAsia" w:ascii="宋体" w:hAnsi="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vAlign w:val="center"/>
          </w:tcPr>
          <w:p w14:paraId="0415EB4E">
            <w:pPr>
              <w:spacing w:line="276" w:lineRule="auto"/>
              <w:jc w:val="center"/>
              <w:rPr>
                <w:rFonts w:hint="eastAsia" w:ascii="宋体" w:hAnsi="宋体" w:cs="宋体"/>
                <w:color w:val="auto"/>
                <w:szCs w:val="21"/>
                <w:highlight w:val="none"/>
              </w:rPr>
            </w:pPr>
          </w:p>
        </w:tc>
      </w:tr>
      <w:tr w14:paraId="47D5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78318DC">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4</w:t>
            </w:r>
          </w:p>
        </w:tc>
        <w:tc>
          <w:tcPr>
            <w:tcW w:w="6831" w:type="dxa"/>
            <w:tcBorders>
              <w:top w:val="single" w:color="auto" w:sz="4" w:space="0"/>
              <w:left w:val="single" w:color="auto" w:sz="4" w:space="0"/>
              <w:bottom w:val="single" w:color="auto" w:sz="4" w:space="0"/>
              <w:right w:val="single" w:color="auto" w:sz="4" w:space="0"/>
            </w:tcBorders>
            <w:vAlign w:val="center"/>
          </w:tcPr>
          <w:p w14:paraId="0B5D869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6350" w:type="dxa"/>
            <w:tcBorders>
              <w:top w:val="single" w:color="auto" w:sz="4" w:space="0"/>
              <w:left w:val="single" w:color="auto" w:sz="4" w:space="0"/>
              <w:bottom w:val="single" w:color="auto" w:sz="4" w:space="0"/>
              <w:right w:val="single" w:color="auto" w:sz="4" w:space="0"/>
            </w:tcBorders>
            <w:vAlign w:val="center"/>
          </w:tcPr>
          <w:p w14:paraId="1E0214F2">
            <w:pPr>
              <w:spacing w:line="276" w:lineRule="auto"/>
              <w:rPr>
                <w:rFonts w:hint="eastAsia" w:ascii="宋体" w:hAnsi="宋体" w:cs="宋体"/>
                <w:color w:val="auto"/>
                <w:szCs w:val="21"/>
                <w:highlight w:val="none"/>
                <w:u w:val="single"/>
              </w:rPr>
            </w:pPr>
            <w:r>
              <w:rPr>
                <w:rFonts w:hint="eastAsia" w:ascii="宋体" w:hAnsi="宋体"/>
                <w:color w:val="auto"/>
                <w:szCs w:val="21"/>
                <w:highlight w:val="none"/>
              </w:rPr>
              <w:t>有效期内的建造师注册证书</w:t>
            </w:r>
            <w:r>
              <w:rPr>
                <w:rFonts w:hint="eastAsia" w:ascii="宋体" w:hAnsi="宋体"/>
                <w:color w:val="auto"/>
                <w:szCs w:val="21"/>
                <w:highlight w:val="none"/>
                <w:u w:val="single"/>
              </w:rPr>
              <w:t>扫描件或电子证书</w:t>
            </w:r>
            <w:r>
              <w:rPr>
                <w:rFonts w:hint="eastAsia" w:ascii="宋体" w:hAnsi="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vAlign w:val="center"/>
          </w:tcPr>
          <w:p w14:paraId="50EA4E92">
            <w:pPr>
              <w:spacing w:line="276" w:lineRule="auto"/>
              <w:jc w:val="center"/>
              <w:rPr>
                <w:rFonts w:hint="eastAsia" w:ascii="宋体" w:hAnsi="宋体" w:cs="宋体"/>
                <w:color w:val="auto"/>
                <w:szCs w:val="21"/>
                <w:highlight w:val="none"/>
              </w:rPr>
            </w:pPr>
          </w:p>
        </w:tc>
      </w:tr>
      <w:tr w14:paraId="02A8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59BE666">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5</w:t>
            </w:r>
          </w:p>
        </w:tc>
        <w:tc>
          <w:tcPr>
            <w:tcW w:w="6831" w:type="dxa"/>
            <w:tcBorders>
              <w:top w:val="single" w:color="auto" w:sz="4" w:space="0"/>
              <w:left w:val="single" w:color="auto" w:sz="4" w:space="0"/>
              <w:bottom w:val="single" w:color="auto" w:sz="4" w:space="0"/>
              <w:right w:val="single" w:color="auto" w:sz="4" w:space="0"/>
            </w:tcBorders>
            <w:vAlign w:val="center"/>
          </w:tcPr>
          <w:p w14:paraId="58E2B876">
            <w:pPr>
              <w:spacing w:line="276" w:lineRule="auto"/>
              <w:rPr>
                <w:rFonts w:hint="eastAsia" w:ascii="宋体" w:hAnsi="宋体" w:cs="宋体"/>
                <w:color w:val="auto"/>
                <w:szCs w:val="21"/>
                <w:highlight w:val="none"/>
              </w:rPr>
            </w:pPr>
            <w:r>
              <w:rPr>
                <w:rFonts w:hint="eastAsia" w:ascii="宋体" w:hAnsi="宋体"/>
                <w:color w:val="auto"/>
                <w:szCs w:val="21"/>
                <w:highlight w:val="none"/>
              </w:rPr>
              <w:t>持有</w:t>
            </w:r>
            <w:r>
              <w:rPr>
                <w:rFonts w:hint="eastAsia" w:ascii="宋体" w:hAnsi="宋体" w:cs="宋体"/>
                <w:color w:val="auto"/>
                <w:szCs w:val="21"/>
                <w:highlight w:val="none"/>
                <w:u w:val="single"/>
              </w:rPr>
              <w:t>有效期内的</w:t>
            </w:r>
            <w:r>
              <w:rPr>
                <w:rFonts w:hint="eastAsia" w:ascii="宋体" w:hAnsi="宋体"/>
                <w:color w:val="auto"/>
                <w:szCs w:val="21"/>
                <w:highlight w:val="none"/>
              </w:rPr>
              <w:t>项目负责人安全生产考核合格</w:t>
            </w:r>
            <w:r>
              <w:rPr>
                <w:rFonts w:hint="eastAsia" w:ascii="宋体" w:hAnsi="宋体" w:cs="宋体"/>
                <w:color w:val="auto"/>
                <w:szCs w:val="21"/>
                <w:highlight w:val="none"/>
              </w:rPr>
              <w:t>证书</w:t>
            </w:r>
            <w:r>
              <w:rPr>
                <w:rFonts w:hint="eastAsia" w:ascii="宋体" w:hAnsi="宋体"/>
                <w:color w:val="auto"/>
                <w:szCs w:val="21"/>
                <w:highlight w:val="none"/>
              </w:rPr>
              <w:t>（</w:t>
            </w:r>
            <w:r>
              <w:rPr>
                <w:rFonts w:ascii="宋体" w:hAnsi="宋体"/>
                <w:color w:val="auto"/>
                <w:szCs w:val="21"/>
                <w:highlight w:val="none"/>
              </w:rPr>
              <w:t>B类）或建筑施工企业项目负责人安全生产考核合格</w:t>
            </w:r>
            <w:r>
              <w:rPr>
                <w:rFonts w:hint="eastAsia" w:ascii="宋体" w:hAnsi="宋体" w:cs="宋体"/>
                <w:color w:val="auto"/>
                <w:szCs w:val="21"/>
                <w:highlight w:val="none"/>
              </w:rPr>
              <w:t>证书</w:t>
            </w:r>
            <w:r>
              <w:rPr>
                <w:rFonts w:hint="eastAsia" w:ascii="宋体" w:hAnsi="宋体"/>
                <w:color w:val="auto"/>
                <w:szCs w:val="21"/>
                <w:highlight w:val="none"/>
              </w:rPr>
              <w:t>。</w:t>
            </w:r>
          </w:p>
        </w:tc>
        <w:tc>
          <w:tcPr>
            <w:tcW w:w="6350" w:type="dxa"/>
            <w:tcBorders>
              <w:top w:val="single" w:color="auto" w:sz="4" w:space="0"/>
              <w:left w:val="single" w:color="auto" w:sz="4" w:space="0"/>
              <w:bottom w:val="single" w:color="auto" w:sz="4" w:space="0"/>
              <w:right w:val="single" w:color="auto" w:sz="4" w:space="0"/>
            </w:tcBorders>
            <w:vAlign w:val="center"/>
          </w:tcPr>
          <w:p w14:paraId="0CCB65CE">
            <w:pPr>
              <w:spacing w:line="276" w:lineRule="auto"/>
              <w:rPr>
                <w:rFonts w:hint="eastAsia" w:ascii="宋体" w:hAnsi="宋体" w:cs="宋体"/>
                <w:color w:val="auto"/>
                <w:szCs w:val="21"/>
                <w:highlight w:val="none"/>
              </w:rPr>
            </w:pPr>
            <w:r>
              <w:rPr>
                <w:rFonts w:hint="eastAsia" w:ascii="宋体" w:hAnsi="宋体"/>
                <w:color w:val="auto"/>
                <w:szCs w:val="21"/>
                <w:highlight w:val="none"/>
              </w:rPr>
              <w:t>项目负责人安全生产考核合格</w:t>
            </w:r>
            <w:r>
              <w:rPr>
                <w:rFonts w:hint="eastAsia" w:ascii="宋体" w:hAnsi="宋体" w:cs="宋体"/>
                <w:color w:val="auto"/>
                <w:szCs w:val="21"/>
                <w:highlight w:val="none"/>
              </w:rPr>
              <w:t>证书</w:t>
            </w:r>
            <w:r>
              <w:rPr>
                <w:rFonts w:hint="eastAsia" w:ascii="宋体" w:hAnsi="宋体"/>
                <w:color w:val="auto"/>
                <w:szCs w:val="21"/>
                <w:highlight w:val="none"/>
              </w:rPr>
              <w:t>（</w:t>
            </w:r>
            <w:r>
              <w:rPr>
                <w:rFonts w:ascii="宋体" w:hAnsi="宋体"/>
                <w:color w:val="auto"/>
                <w:szCs w:val="21"/>
                <w:highlight w:val="none"/>
              </w:rPr>
              <w:t>B类）或建筑施工企业项目负责人安全生产考核合格证</w:t>
            </w:r>
            <w:r>
              <w:rPr>
                <w:rFonts w:hint="eastAsia" w:ascii="宋体" w:hAnsi="宋体"/>
                <w:color w:val="auto"/>
                <w:szCs w:val="21"/>
                <w:highlight w:val="none"/>
              </w:rPr>
              <w:t>书</w:t>
            </w:r>
            <w:r>
              <w:rPr>
                <w:rFonts w:hint="eastAsia" w:ascii="宋体" w:hAnsi="宋体"/>
                <w:color w:val="auto"/>
                <w:szCs w:val="21"/>
                <w:highlight w:val="none"/>
                <w:u w:val="single"/>
              </w:rPr>
              <w:t>扫描件或电子证书</w:t>
            </w:r>
            <w:r>
              <w:rPr>
                <w:rFonts w:hint="eastAsia" w:ascii="宋体" w:hAnsi="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vAlign w:val="center"/>
          </w:tcPr>
          <w:p w14:paraId="720D48A1">
            <w:pPr>
              <w:spacing w:line="276" w:lineRule="auto"/>
              <w:jc w:val="center"/>
              <w:rPr>
                <w:rFonts w:hint="eastAsia" w:ascii="宋体" w:hAnsi="宋体" w:cs="宋体"/>
                <w:color w:val="auto"/>
                <w:szCs w:val="21"/>
                <w:highlight w:val="none"/>
              </w:rPr>
            </w:pPr>
          </w:p>
        </w:tc>
      </w:tr>
      <w:tr w14:paraId="6BB8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06D9CF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6831" w:type="dxa"/>
            <w:tcBorders>
              <w:top w:val="single" w:color="auto" w:sz="4" w:space="0"/>
              <w:left w:val="single" w:color="auto" w:sz="4" w:space="0"/>
              <w:bottom w:val="single" w:color="auto" w:sz="4" w:space="0"/>
              <w:right w:val="single" w:color="auto" w:sz="4" w:space="0"/>
            </w:tcBorders>
            <w:vAlign w:val="center"/>
          </w:tcPr>
          <w:p w14:paraId="582A95FA">
            <w:pPr>
              <w:spacing w:line="276" w:lineRule="auto"/>
              <w:rPr>
                <w:rFonts w:hint="eastAsia" w:ascii="宋体" w:hAnsi="宋体" w:cs="宋体"/>
                <w:color w:val="auto"/>
                <w:szCs w:val="21"/>
                <w:highlight w:val="none"/>
              </w:rPr>
            </w:pPr>
            <w:r>
              <w:rPr>
                <w:rFonts w:hint="eastAsia" w:ascii="宋体" w:hAnsi="宋体"/>
                <w:color w:val="auto"/>
                <w:szCs w:val="21"/>
                <w:highlight w:val="none"/>
              </w:rPr>
              <w:t>拟配备的专职安全员</w:t>
            </w:r>
            <w:r>
              <w:rPr>
                <w:rFonts w:hint="eastAsia" w:ascii="宋体" w:hAnsi="宋体"/>
                <w:color w:val="auto"/>
                <w:szCs w:val="21"/>
                <w:highlight w:val="none"/>
                <w:u w:val="single"/>
              </w:rPr>
              <w:t>数量符合公告要求</w:t>
            </w:r>
            <w:r>
              <w:rPr>
                <w:rFonts w:hint="eastAsia" w:ascii="宋体" w:hAnsi="宋体"/>
                <w:color w:val="auto"/>
                <w:szCs w:val="21"/>
                <w:highlight w:val="none"/>
              </w:rPr>
              <w:t>，</w:t>
            </w:r>
            <w:r>
              <w:rPr>
                <w:rFonts w:hint="eastAsia" w:ascii="宋体" w:hAnsi="宋体" w:cs="宋体"/>
                <w:color w:val="auto"/>
                <w:szCs w:val="21"/>
                <w:highlight w:val="none"/>
              </w:rPr>
              <w:t>专职安全员须具有</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安全生产考核合格证书（</w:t>
            </w:r>
            <w:r>
              <w:rPr>
                <w:rFonts w:ascii="宋体" w:hAnsi="宋体" w:cs="宋体"/>
                <w:color w:val="auto"/>
                <w:szCs w:val="21"/>
                <w:highlight w:val="none"/>
              </w:rPr>
              <w:t>C类）或建筑施工企业专职安全生产管理人员安全生产考核合格证书（C3）</w:t>
            </w:r>
            <w:r>
              <w:rPr>
                <w:rFonts w:hint="eastAsia" w:ascii="宋体" w:hAnsi="宋体" w:cs="宋体"/>
                <w:color w:val="auto"/>
                <w:szCs w:val="21"/>
                <w:highlight w:val="none"/>
              </w:rPr>
              <w:t>。</w:t>
            </w:r>
          </w:p>
        </w:tc>
        <w:tc>
          <w:tcPr>
            <w:tcW w:w="6350" w:type="dxa"/>
            <w:tcBorders>
              <w:top w:val="single" w:color="auto" w:sz="4" w:space="0"/>
              <w:left w:val="single" w:color="auto" w:sz="4" w:space="0"/>
              <w:bottom w:val="single" w:color="auto" w:sz="4" w:space="0"/>
              <w:right w:val="single" w:color="auto" w:sz="4" w:space="0"/>
            </w:tcBorders>
            <w:vAlign w:val="center"/>
          </w:tcPr>
          <w:p w14:paraId="74C87C25">
            <w:pPr>
              <w:spacing w:line="276" w:lineRule="auto"/>
              <w:rPr>
                <w:rFonts w:hint="eastAsia" w:ascii="宋体" w:hAnsi="宋体" w:cs="宋体"/>
                <w:color w:val="auto"/>
                <w:szCs w:val="21"/>
                <w:highlight w:val="none"/>
              </w:rPr>
            </w:pPr>
            <w:r>
              <w:rPr>
                <w:rFonts w:ascii="宋体" w:hAnsi="宋体" w:cs="宋体"/>
                <w:color w:val="auto"/>
                <w:szCs w:val="21"/>
                <w:highlight w:val="none"/>
              </w:rPr>
              <w:t>专职安全员的安全生产考核合格</w:t>
            </w:r>
            <w:r>
              <w:rPr>
                <w:rFonts w:hint="eastAsia" w:ascii="宋体" w:hAnsi="宋体" w:cs="宋体"/>
                <w:color w:val="auto"/>
                <w:szCs w:val="21"/>
                <w:highlight w:val="none"/>
              </w:rPr>
              <w:t>证书</w:t>
            </w:r>
            <w:r>
              <w:rPr>
                <w:rFonts w:ascii="宋体" w:hAnsi="宋体" w:cs="宋体"/>
                <w:color w:val="auto"/>
                <w:szCs w:val="21"/>
                <w:highlight w:val="none"/>
              </w:rPr>
              <w:t>（C类）或建筑施工企业专职安全生产管理人员安全生产考核合格</w:t>
            </w:r>
            <w:r>
              <w:rPr>
                <w:rFonts w:hint="eastAsia" w:ascii="宋体" w:hAnsi="宋体" w:cs="宋体"/>
                <w:color w:val="auto"/>
                <w:szCs w:val="21"/>
                <w:highlight w:val="none"/>
              </w:rPr>
              <w:t>证书</w:t>
            </w:r>
            <w:r>
              <w:rPr>
                <w:rFonts w:ascii="宋体" w:hAnsi="宋体" w:cs="宋体"/>
                <w:color w:val="auto"/>
                <w:szCs w:val="21"/>
                <w:highlight w:val="none"/>
              </w:rPr>
              <w:t>（C3）</w:t>
            </w:r>
            <w:r>
              <w:rPr>
                <w:rFonts w:hint="eastAsia" w:ascii="宋体" w:hAnsi="宋体"/>
                <w:color w:val="auto"/>
                <w:szCs w:val="21"/>
                <w:highlight w:val="none"/>
                <w:u w:val="single"/>
              </w:rPr>
              <w:t>扫描件或电子证书</w:t>
            </w:r>
            <w:r>
              <w:rPr>
                <w:rFonts w:hint="eastAsia" w:ascii="宋体" w:hAnsi="宋体" w:cs="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vAlign w:val="center"/>
          </w:tcPr>
          <w:p w14:paraId="4A4F9FF6">
            <w:pPr>
              <w:spacing w:line="276" w:lineRule="auto"/>
              <w:jc w:val="center"/>
              <w:rPr>
                <w:rFonts w:hint="eastAsia" w:ascii="宋体" w:hAnsi="宋体" w:cs="宋体"/>
                <w:color w:val="auto"/>
                <w:szCs w:val="21"/>
                <w:highlight w:val="none"/>
              </w:rPr>
            </w:pPr>
          </w:p>
        </w:tc>
      </w:tr>
      <w:tr w14:paraId="5C3E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D8A661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6831" w:type="dxa"/>
            <w:tcBorders>
              <w:top w:val="single" w:color="auto" w:sz="4" w:space="0"/>
              <w:left w:val="single" w:color="auto" w:sz="4" w:space="0"/>
              <w:bottom w:val="single" w:color="auto" w:sz="4" w:space="0"/>
              <w:right w:val="single" w:color="auto" w:sz="4" w:space="0"/>
            </w:tcBorders>
            <w:vAlign w:val="center"/>
          </w:tcPr>
          <w:p w14:paraId="317BE8B6">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投标人提供的投标人声明符合公告要求。</w:t>
            </w:r>
          </w:p>
        </w:tc>
        <w:tc>
          <w:tcPr>
            <w:tcW w:w="6350" w:type="dxa"/>
            <w:tcBorders>
              <w:top w:val="single" w:color="auto" w:sz="4" w:space="0"/>
              <w:left w:val="single" w:color="auto" w:sz="4" w:space="0"/>
              <w:bottom w:val="single" w:color="auto" w:sz="4" w:space="0"/>
              <w:right w:val="single" w:color="auto" w:sz="4" w:space="0"/>
            </w:tcBorders>
            <w:vAlign w:val="center"/>
          </w:tcPr>
          <w:p w14:paraId="799B4BD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投标人声明</w:t>
            </w:r>
          </w:p>
        </w:tc>
        <w:tc>
          <w:tcPr>
            <w:tcW w:w="1065" w:type="dxa"/>
            <w:tcBorders>
              <w:top w:val="single" w:color="auto" w:sz="4" w:space="0"/>
              <w:left w:val="single" w:color="auto" w:sz="4" w:space="0"/>
              <w:bottom w:val="single" w:color="auto" w:sz="4" w:space="0"/>
              <w:right w:val="single" w:color="auto" w:sz="4" w:space="0"/>
            </w:tcBorders>
            <w:vAlign w:val="center"/>
          </w:tcPr>
          <w:p w14:paraId="55BA042C">
            <w:pPr>
              <w:spacing w:line="276" w:lineRule="auto"/>
              <w:jc w:val="center"/>
              <w:rPr>
                <w:rFonts w:hint="eastAsia" w:ascii="宋体" w:hAnsi="宋体" w:cs="宋体"/>
                <w:color w:val="auto"/>
                <w:szCs w:val="21"/>
                <w:highlight w:val="none"/>
              </w:rPr>
            </w:pPr>
          </w:p>
        </w:tc>
      </w:tr>
      <w:tr w14:paraId="42FA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5960F3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6831" w:type="dxa"/>
            <w:tcBorders>
              <w:top w:val="single" w:color="auto" w:sz="4" w:space="0"/>
              <w:left w:val="single" w:color="auto" w:sz="4" w:space="0"/>
              <w:bottom w:val="single" w:color="auto" w:sz="4" w:space="0"/>
              <w:right w:val="single" w:color="auto" w:sz="4" w:space="0"/>
            </w:tcBorders>
            <w:vAlign w:val="center"/>
          </w:tcPr>
          <w:p w14:paraId="18D2AF3D">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6350" w:type="dxa"/>
            <w:tcBorders>
              <w:top w:val="single" w:color="auto" w:sz="4" w:space="0"/>
              <w:left w:val="single" w:color="auto" w:sz="4" w:space="0"/>
              <w:bottom w:val="single" w:color="auto" w:sz="4" w:space="0"/>
              <w:right w:val="single" w:color="auto" w:sz="4" w:space="0"/>
            </w:tcBorders>
            <w:vAlign w:val="center"/>
          </w:tcPr>
          <w:p w14:paraId="65996D2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p>
        </w:tc>
        <w:tc>
          <w:tcPr>
            <w:tcW w:w="1065" w:type="dxa"/>
            <w:tcBorders>
              <w:top w:val="single" w:color="auto" w:sz="4" w:space="0"/>
              <w:left w:val="single" w:color="auto" w:sz="4" w:space="0"/>
              <w:bottom w:val="single" w:color="auto" w:sz="4" w:space="0"/>
              <w:right w:val="single" w:color="auto" w:sz="4" w:space="0"/>
            </w:tcBorders>
            <w:vAlign w:val="center"/>
          </w:tcPr>
          <w:p w14:paraId="49FE7C7D">
            <w:pPr>
              <w:spacing w:line="276" w:lineRule="auto"/>
              <w:jc w:val="center"/>
              <w:rPr>
                <w:rFonts w:hint="eastAsia" w:ascii="宋体" w:hAnsi="宋体" w:cs="宋体"/>
                <w:color w:val="auto"/>
                <w:szCs w:val="21"/>
                <w:highlight w:val="none"/>
              </w:rPr>
            </w:pPr>
          </w:p>
        </w:tc>
      </w:tr>
      <w:tr w14:paraId="6C03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5F74FAE">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6831" w:type="dxa"/>
            <w:tcBorders>
              <w:top w:val="single" w:color="auto" w:sz="4" w:space="0"/>
              <w:left w:val="single" w:color="auto" w:sz="4" w:space="0"/>
              <w:bottom w:val="single" w:color="auto" w:sz="4" w:space="0"/>
              <w:right w:val="single" w:color="auto" w:sz="4" w:space="0"/>
            </w:tcBorders>
            <w:vAlign w:val="center"/>
          </w:tcPr>
          <w:p w14:paraId="1BB88D52">
            <w:pPr>
              <w:spacing w:line="276" w:lineRule="auto"/>
              <w:rPr>
                <w:rFonts w:hint="eastAsia" w:ascii="宋体" w:hAnsi="宋体" w:cs="宋体"/>
                <w:color w:val="auto"/>
                <w:szCs w:val="21"/>
                <w:highlight w:val="none"/>
              </w:rPr>
            </w:pPr>
            <w:r>
              <w:rPr>
                <w:rStyle w:val="235"/>
                <w:rFonts w:hint="default" w:cs="宋体"/>
                <w:color w:val="auto"/>
                <w:sz w:val="21"/>
                <w:szCs w:val="21"/>
                <w:highlight w:val="none"/>
              </w:rPr>
              <w:t>关于联合体投标：本次招标</w:t>
            </w:r>
            <w:r>
              <w:rPr>
                <w:rStyle w:val="235"/>
                <w:rFonts w:hint="default" w:cs="宋体"/>
                <w:b/>
                <w:bCs/>
                <w:color w:val="auto"/>
                <w:sz w:val="21"/>
                <w:szCs w:val="21"/>
                <w:highlight w:val="none"/>
              </w:rPr>
              <w:t>不接受</w:t>
            </w:r>
            <w:r>
              <w:rPr>
                <w:rStyle w:val="235"/>
                <w:rFonts w:hint="default" w:cs="宋体"/>
                <w:color w:val="auto"/>
                <w:sz w:val="21"/>
                <w:szCs w:val="21"/>
                <w:highlight w:val="none"/>
              </w:rPr>
              <w:t>联合体投标。</w:t>
            </w:r>
          </w:p>
        </w:tc>
        <w:tc>
          <w:tcPr>
            <w:tcW w:w="6350" w:type="dxa"/>
            <w:tcBorders>
              <w:top w:val="single" w:color="auto" w:sz="4" w:space="0"/>
              <w:left w:val="single" w:color="auto" w:sz="4" w:space="0"/>
              <w:bottom w:val="single" w:color="auto" w:sz="4" w:space="0"/>
              <w:right w:val="single" w:color="auto" w:sz="4" w:space="0"/>
            </w:tcBorders>
            <w:vAlign w:val="center"/>
          </w:tcPr>
          <w:p w14:paraId="121244BB">
            <w:pPr>
              <w:spacing w:line="276" w:lineRule="auto"/>
              <w:jc w:val="left"/>
              <w:rPr>
                <w:rFonts w:hint="eastAsia" w:ascii="宋体" w:hAnsi="宋体" w:cs="宋体"/>
                <w:strike/>
                <w:color w:val="auto"/>
                <w:szCs w:val="21"/>
                <w:highlight w:val="none"/>
              </w:rPr>
            </w:pPr>
            <w:r>
              <w:rPr>
                <w:rFonts w:ascii="宋体" w:hAnsi="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vAlign w:val="center"/>
          </w:tcPr>
          <w:p w14:paraId="61E3676A">
            <w:pPr>
              <w:spacing w:line="276" w:lineRule="auto"/>
              <w:jc w:val="center"/>
              <w:rPr>
                <w:rFonts w:hint="eastAsia" w:ascii="宋体" w:hAnsi="宋体" w:cs="宋体"/>
                <w:color w:val="auto"/>
                <w:szCs w:val="21"/>
                <w:highlight w:val="none"/>
              </w:rPr>
            </w:pPr>
          </w:p>
        </w:tc>
      </w:tr>
      <w:tr w14:paraId="144B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181E210">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w:t>
            </w:r>
          </w:p>
        </w:tc>
        <w:tc>
          <w:tcPr>
            <w:tcW w:w="6831" w:type="dxa"/>
            <w:tcBorders>
              <w:top w:val="single" w:color="auto" w:sz="4" w:space="0"/>
              <w:left w:val="single" w:color="auto" w:sz="4" w:space="0"/>
              <w:bottom w:val="single" w:color="auto" w:sz="4" w:space="0"/>
              <w:right w:val="single" w:color="auto" w:sz="4" w:space="0"/>
            </w:tcBorders>
            <w:vAlign w:val="center"/>
          </w:tcPr>
          <w:p w14:paraId="7ECA5680">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投标登记前，投标人须在广州交易集团有限公司（广州公共资源交易中心）办理企业信息登记及拟担任本工程项目负责人、专职安全员须是本企业信息登记信息中的在册人员。</w:t>
            </w:r>
          </w:p>
        </w:tc>
        <w:tc>
          <w:tcPr>
            <w:tcW w:w="6350" w:type="dxa"/>
            <w:tcBorders>
              <w:top w:val="single" w:color="auto" w:sz="4" w:space="0"/>
              <w:left w:val="single" w:color="auto" w:sz="4" w:space="0"/>
              <w:bottom w:val="single" w:color="auto" w:sz="4" w:space="0"/>
              <w:right w:val="single" w:color="auto" w:sz="4" w:space="0"/>
            </w:tcBorders>
            <w:vAlign w:val="center"/>
          </w:tcPr>
          <w:p w14:paraId="336572C6">
            <w:pPr>
              <w:spacing w:line="276" w:lineRule="auto"/>
              <w:rPr>
                <w:rFonts w:hint="eastAsia" w:ascii="宋体" w:hAnsi="宋体" w:cs="宋体"/>
                <w:color w:val="auto"/>
                <w:szCs w:val="21"/>
                <w:highlight w:val="none"/>
                <w:u w:val="single"/>
              </w:rPr>
            </w:pPr>
            <w:r>
              <w:rPr>
                <w:rFonts w:hint="eastAsia" w:ascii="宋体" w:hAnsi="宋体"/>
                <w:color w:val="auto"/>
                <w:szCs w:val="21"/>
                <w:highlight w:val="none"/>
                <w:u w:val="single"/>
              </w:rPr>
              <w:t>投标人在广州交易集团有限公司（广州公共资源交易中心）的企业和人员信息。</w:t>
            </w:r>
          </w:p>
        </w:tc>
        <w:tc>
          <w:tcPr>
            <w:tcW w:w="1065" w:type="dxa"/>
            <w:tcBorders>
              <w:top w:val="single" w:color="auto" w:sz="4" w:space="0"/>
              <w:left w:val="single" w:color="auto" w:sz="4" w:space="0"/>
              <w:bottom w:val="single" w:color="auto" w:sz="4" w:space="0"/>
              <w:right w:val="single" w:color="auto" w:sz="4" w:space="0"/>
            </w:tcBorders>
            <w:vAlign w:val="center"/>
          </w:tcPr>
          <w:p w14:paraId="55F0DC96">
            <w:pPr>
              <w:spacing w:line="276" w:lineRule="auto"/>
              <w:jc w:val="center"/>
              <w:rPr>
                <w:rFonts w:hint="eastAsia" w:ascii="宋体" w:hAnsi="宋体" w:cs="宋体"/>
                <w:color w:val="auto"/>
                <w:szCs w:val="21"/>
                <w:highlight w:val="none"/>
              </w:rPr>
            </w:pPr>
          </w:p>
        </w:tc>
      </w:tr>
      <w:tr w14:paraId="4BC3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7965B8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6831" w:type="dxa"/>
            <w:tcBorders>
              <w:top w:val="single" w:color="auto" w:sz="4" w:space="0"/>
              <w:left w:val="single" w:color="auto" w:sz="4" w:space="0"/>
              <w:bottom w:val="single" w:color="auto" w:sz="4" w:space="0"/>
              <w:right w:val="single" w:color="auto" w:sz="4" w:space="0"/>
            </w:tcBorders>
            <w:vAlign w:val="center"/>
          </w:tcPr>
          <w:p w14:paraId="4E429E8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投标人未出现以下情形：与其它投标人的单位负责人为同一人或者存在控股、管理关系的（按投标人提供的《投标人声明》第八条内容进行评审）。</w:t>
            </w:r>
          </w:p>
        </w:tc>
        <w:tc>
          <w:tcPr>
            <w:tcW w:w="6350" w:type="dxa"/>
            <w:tcBorders>
              <w:top w:val="single" w:color="auto" w:sz="4" w:space="0"/>
              <w:left w:val="single" w:color="auto" w:sz="4" w:space="0"/>
              <w:bottom w:val="single" w:color="auto" w:sz="4" w:space="0"/>
              <w:right w:val="single" w:color="auto" w:sz="4" w:space="0"/>
            </w:tcBorders>
            <w:vAlign w:val="center"/>
          </w:tcPr>
          <w:p w14:paraId="6CC8F31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投标人声明</w:t>
            </w:r>
          </w:p>
        </w:tc>
        <w:tc>
          <w:tcPr>
            <w:tcW w:w="1065" w:type="dxa"/>
            <w:tcBorders>
              <w:top w:val="single" w:color="auto" w:sz="4" w:space="0"/>
              <w:left w:val="single" w:color="auto" w:sz="4" w:space="0"/>
              <w:bottom w:val="single" w:color="auto" w:sz="4" w:space="0"/>
              <w:right w:val="single" w:color="auto" w:sz="4" w:space="0"/>
            </w:tcBorders>
            <w:vAlign w:val="center"/>
          </w:tcPr>
          <w:p w14:paraId="7421B255">
            <w:pPr>
              <w:spacing w:line="276" w:lineRule="auto"/>
              <w:jc w:val="center"/>
              <w:rPr>
                <w:rFonts w:hint="eastAsia" w:ascii="宋体" w:hAnsi="宋体" w:cs="宋体"/>
                <w:color w:val="auto"/>
                <w:szCs w:val="21"/>
                <w:highlight w:val="none"/>
              </w:rPr>
            </w:pPr>
          </w:p>
        </w:tc>
      </w:tr>
      <w:tr w14:paraId="2CF5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8A7712">
            <w:pPr>
              <w:spacing w:line="276" w:lineRule="auto"/>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p>
        </w:tc>
        <w:tc>
          <w:tcPr>
            <w:tcW w:w="6831" w:type="dxa"/>
            <w:tcBorders>
              <w:top w:val="single" w:color="auto" w:sz="4" w:space="0"/>
              <w:left w:val="single" w:color="auto" w:sz="4" w:space="0"/>
              <w:bottom w:val="single" w:color="auto" w:sz="4" w:space="0"/>
              <w:right w:val="single" w:color="auto" w:sz="4" w:space="0"/>
            </w:tcBorders>
            <w:vAlign w:val="center"/>
          </w:tcPr>
          <w:p w14:paraId="7B06AEB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在投标截止时间前，未被列入拖欠农民工工资失信联合惩戒对象名单。</w:t>
            </w:r>
          </w:p>
        </w:tc>
        <w:tc>
          <w:tcPr>
            <w:tcW w:w="6350" w:type="dxa"/>
            <w:tcBorders>
              <w:top w:val="single" w:color="auto" w:sz="4" w:space="0"/>
              <w:left w:val="single" w:color="auto" w:sz="4" w:space="0"/>
              <w:bottom w:val="single" w:color="auto" w:sz="4" w:space="0"/>
              <w:right w:val="single" w:color="auto" w:sz="4" w:space="0"/>
            </w:tcBorders>
            <w:vAlign w:val="center"/>
          </w:tcPr>
          <w:p w14:paraId="4A69F075">
            <w:pPr>
              <w:spacing w:line="276" w:lineRule="auto"/>
              <w:jc w:val="left"/>
              <w:rPr>
                <w:rFonts w:hint="eastAsia" w:ascii="宋体" w:hAnsi="宋体" w:cs="宋体"/>
                <w:color w:val="auto"/>
                <w:szCs w:val="21"/>
                <w:highlight w:val="none"/>
              </w:rPr>
            </w:pPr>
            <w:r>
              <w:rPr>
                <w:rFonts w:hint="eastAsia" w:ascii="宋体" w:hAnsi="宋体"/>
                <w:color w:val="auto"/>
                <w:szCs w:val="21"/>
                <w:highlight w:val="none"/>
              </w:rPr>
              <w:t>投标人无需提供资料，按投标截止时间交易系统比对的结果进行评审。</w:t>
            </w:r>
          </w:p>
        </w:tc>
        <w:tc>
          <w:tcPr>
            <w:tcW w:w="1065" w:type="dxa"/>
            <w:tcBorders>
              <w:top w:val="single" w:color="auto" w:sz="4" w:space="0"/>
              <w:left w:val="single" w:color="auto" w:sz="4" w:space="0"/>
              <w:bottom w:val="single" w:color="auto" w:sz="4" w:space="0"/>
              <w:right w:val="single" w:color="auto" w:sz="4" w:space="0"/>
            </w:tcBorders>
            <w:vAlign w:val="center"/>
          </w:tcPr>
          <w:p w14:paraId="5D3A9F14">
            <w:pPr>
              <w:spacing w:line="276" w:lineRule="auto"/>
              <w:jc w:val="center"/>
              <w:rPr>
                <w:rFonts w:hint="eastAsia" w:ascii="宋体" w:hAnsi="宋体" w:cs="宋体"/>
                <w:color w:val="auto"/>
                <w:szCs w:val="21"/>
                <w:highlight w:val="none"/>
              </w:rPr>
            </w:pPr>
          </w:p>
        </w:tc>
      </w:tr>
      <w:tr w14:paraId="6AFD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09F2F1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6831" w:type="dxa"/>
            <w:tcBorders>
              <w:top w:val="single" w:color="auto" w:sz="4" w:space="0"/>
              <w:left w:val="single" w:color="auto" w:sz="4" w:space="0"/>
              <w:bottom w:val="single" w:color="auto" w:sz="4" w:space="0"/>
              <w:right w:val="single" w:color="auto" w:sz="4" w:space="0"/>
            </w:tcBorders>
            <w:vAlign w:val="center"/>
          </w:tcPr>
          <w:p w14:paraId="45DF776D">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政府投资项目，在投标截止时间前，投标人未被列入“失信被执行人”名单。</w:t>
            </w:r>
          </w:p>
        </w:tc>
        <w:tc>
          <w:tcPr>
            <w:tcW w:w="6350" w:type="dxa"/>
            <w:tcBorders>
              <w:top w:val="single" w:color="auto" w:sz="4" w:space="0"/>
              <w:left w:val="single" w:color="auto" w:sz="4" w:space="0"/>
              <w:bottom w:val="single" w:color="auto" w:sz="4" w:space="0"/>
              <w:right w:val="single" w:color="auto" w:sz="4" w:space="0"/>
            </w:tcBorders>
            <w:vAlign w:val="center"/>
          </w:tcPr>
          <w:p w14:paraId="28F56F29">
            <w:pPr>
              <w:spacing w:line="276" w:lineRule="auto"/>
              <w:jc w:val="left"/>
              <w:rPr>
                <w:rFonts w:hint="eastAsia" w:ascii="宋体" w:hAnsi="宋体"/>
                <w:color w:val="auto"/>
                <w:szCs w:val="21"/>
                <w:highlight w:val="none"/>
              </w:rPr>
            </w:pPr>
            <w:r>
              <w:rPr>
                <w:rFonts w:hint="eastAsia" w:ascii="宋体" w:hAnsi="宋体"/>
                <w:color w:val="auto"/>
                <w:szCs w:val="21"/>
                <w:highlight w:val="none"/>
              </w:rPr>
              <w:t>投标人无需提供资料，按投标截止时间交易系统比对的结果进行评审。</w:t>
            </w:r>
          </w:p>
        </w:tc>
        <w:tc>
          <w:tcPr>
            <w:tcW w:w="1065" w:type="dxa"/>
            <w:tcBorders>
              <w:top w:val="single" w:color="auto" w:sz="4" w:space="0"/>
              <w:left w:val="single" w:color="auto" w:sz="4" w:space="0"/>
              <w:bottom w:val="single" w:color="auto" w:sz="4" w:space="0"/>
              <w:right w:val="single" w:color="auto" w:sz="4" w:space="0"/>
            </w:tcBorders>
            <w:vAlign w:val="center"/>
          </w:tcPr>
          <w:p w14:paraId="6AB63436">
            <w:pPr>
              <w:spacing w:line="276" w:lineRule="auto"/>
              <w:jc w:val="center"/>
              <w:rPr>
                <w:rFonts w:hint="eastAsia" w:ascii="宋体" w:hAnsi="宋体" w:cs="宋体"/>
                <w:color w:val="auto"/>
                <w:szCs w:val="21"/>
                <w:highlight w:val="none"/>
              </w:rPr>
            </w:pPr>
          </w:p>
        </w:tc>
      </w:tr>
      <w:tr w14:paraId="6C43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F0F660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4</w:t>
            </w:r>
          </w:p>
        </w:tc>
        <w:tc>
          <w:tcPr>
            <w:tcW w:w="6831" w:type="dxa"/>
            <w:tcBorders>
              <w:top w:val="single" w:color="auto" w:sz="4" w:space="0"/>
              <w:left w:val="single" w:color="auto" w:sz="4" w:space="0"/>
              <w:bottom w:val="single" w:color="auto" w:sz="4" w:space="0"/>
              <w:right w:val="single" w:color="auto" w:sz="4" w:space="0"/>
            </w:tcBorders>
            <w:vAlign w:val="center"/>
          </w:tcPr>
          <w:p w14:paraId="5CC8B749">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本项目为专门面向中小企业采购：预留份额符合公告要求。</w:t>
            </w:r>
          </w:p>
        </w:tc>
        <w:tc>
          <w:tcPr>
            <w:tcW w:w="6350" w:type="dxa"/>
            <w:tcBorders>
              <w:top w:val="single" w:color="auto" w:sz="4" w:space="0"/>
              <w:left w:val="single" w:color="auto" w:sz="4" w:space="0"/>
              <w:bottom w:val="single" w:color="auto" w:sz="4" w:space="0"/>
              <w:right w:val="single" w:color="auto" w:sz="4" w:space="0"/>
            </w:tcBorders>
            <w:vAlign w:val="center"/>
          </w:tcPr>
          <w:p w14:paraId="1B2C4895">
            <w:pPr>
              <w:spacing w:line="276" w:lineRule="auto"/>
              <w:jc w:val="left"/>
              <w:rPr>
                <w:rFonts w:hint="eastAsia" w:ascii="宋体" w:hAnsi="宋体"/>
                <w:color w:val="auto"/>
                <w:szCs w:val="21"/>
                <w:highlight w:val="none"/>
                <w:u w:val="single"/>
              </w:rPr>
            </w:pPr>
            <w:r>
              <w:rPr>
                <w:rFonts w:hint="eastAsia" w:ascii="宋体" w:hAnsi="宋体"/>
                <w:color w:val="auto"/>
                <w:szCs w:val="21"/>
                <w:highlight w:val="none"/>
                <w:u w:val="single"/>
              </w:rPr>
              <w:t>依据《分包（采购）意向承诺书》、《中小企业声明函》或由省级以上监狱管理局、戒毒管理局（含新疆生产建设兵团）出具的属于监狱企业的证明文件或《残疾人福利性单位声明函》进行评审。</w:t>
            </w:r>
          </w:p>
        </w:tc>
        <w:tc>
          <w:tcPr>
            <w:tcW w:w="1065" w:type="dxa"/>
            <w:tcBorders>
              <w:top w:val="single" w:color="auto" w:sz="4" w:space="0"/>
              <w:left w:val="single" w:color="auto" w:sz="4" w:space="0"/>
              <w:bottom w:val="single" w:color="auto" w:sz="4" w:space="0"/>
              <w:right w:val="single" w:color="auto" w:sz="4" w:space="0"/>
            </w:tcBorders>
            <w:vAlign w:val="center"/>
          </w:tcPr>
          <w:p w14:paraId="0CE94689">
            <w:pPr>
              <w:spacing w:line="276" w:lineRule="auto"/>
              <w:jc w:val="center"/>
              <w:rPr>
                <w:rFonts w:hint="eastAsia" w:ascii="宋体" w:hAnsi="宋体" w:cs="宋体"/>
                <w:color w:val="auto"/>
                <w:szCs w:val="21"/>
                <w:highlight w:val="none"/>
              </w:rPr>
            </w:pPr>
          </w:p>
        </w:tc>
      </w:tr>
    </w:tbl>
    <w:p w14:paraId="6946BD61">
      <w:pPr>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备注：</w:t>
      </w:r>
    </w:p>
    <w:p w14:paraId="59DC19CA">
      <w:pPr>
        <w:ind w:firstLine="470" w:firstLineChars="224"/>
        <w:rPr>
          <w:rFonts w:hint="eastAsia" w:ascii="宋体" w:hAnsi="宋体" w:cs="宋体"/>
          <w:color w:val="auto"/>
          <w:szCs w:val="21"/>
          <w:highlight w:val="none"/>
        </w:rPr>
      </w:pPr>
      <w:r>
        <w:rPr>
          <w:rFonts w:ascii="宋体" w:hAnsi="宋体" w:cs="宋体"/>
          <w:color w:val="auto"/>
          <w:szCs w:val="21"/>
          <w:highlight w:val="none"/>
        </w:rPr>
        <w:t>1、每一项目符合的打“○”，不符合的打“×”；</w:t>
      </w:r>
    </w:p>
    <w:p w14:paraId="6BD63545">
      <w:pPr>
        <w:ind w:firstLine="470" w:firstLineChars="224"/>
        <w:rPr>
          <w:rFonts w:hint="eastAsia" w:ascii="宋体" w:hAnsi="宋体" w:cs="宋体"/>
          <w:color w:val="auto"/>
          <w:szCs w:val="21"/>
          <w:highlight w:val="none"/>
        </w:rPr>
      </w:pPr>
      <w:r>
        <w:rPr>
          <w:rFonts w:ascii="宋体" w:hAnsi="宋体" w:cs="宋体"/>
          <w:color w:val="auto"/>
          <w:szCs w:val="21"/>
          <w:highlight w:val="none"/>
        </w:rPr>
        <w:t>2、若评委意见不一致时，则按少数服从多数的原则，作出评审结论。汇总后，出现一个“×”的结论为“不通过”。</w:t>
      </w:r>
    </w:p>
    <w:p w14:paraId="13C67E92">
      <w:pPr>
        <w:ind w:firstLine="470" w:firstLineChars="224"/>
        <w:rPr>
          <w:rFonts w:hint="eastAsia" w:ascii="宋体" w:hAnsi="宋体" w:cs="宋体"/>
          <w:color w:val="auto"/>
          <w:szCs w:val="21"/>
          <w:highlight w:val="none"/>
        </w:rPr>
      </w:pPr>
      <w:r>
        <w:rPr>
          <w:rFonts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0F26D19">
      <w:pPr>
        <w:pStyle w:val="5"/>
        <w:rPr>
          <w:rFonts w:hint="eastAsia"/>
          <w:color w:val="auto"/>
          <w:highlight w:val="none"/>
        </w:rPr>
      </w:pPr>
    </w:p>
    <w:p w14:paraId="2F502B8E">
      <w:pPr>
        <w:pStyle w:val="5"/>
        <w:rPr>
          <w:rFonts w:hint="eastAsia"/>
          <w:color w:val="auto"/>
          <w:highlight w:val="none"/>
        </w:rPr>
      </w:pPr>
      <w:r>
        <w:rPr>
          <w:color w:val="auto"/>
          <w:highlight w:val="none"/>
        </w:rPr>
        <w:br w:type="page"/>
      </w:r>
    </w:p>
    <w:p w14:paraId="31A3A766">
      <w:pPr>
        <w:rPr>
          <w:rFonts w:hint="eastAsia" w:ascii="宋体" w:hAnsi="宋体"/>
          <w:color w:val="auto"/>
          <w:highlight w:val="none"/>
        </w:rPr>
        <w:sectPr>
          <w:endnotePr>
            <w:numFmt w:val="decimal"/>
          </w:endnotePr>
          <w:pgSz w:w="16838" w:h="11906" w:orient="landscape"/>
          <w:pgMar w:top="1440" w:right="1080" w:bottom="1440" w:left="1080" w:header="851" w:footer="907" w:gutter="0"/>
          <w:cols w:space="720" w:num="1"/>
          <w:titlePg/>
          <w:docGrid w:type="linesAndChars" w:linePitch="312" w:charSpace="0"/>
        </w:sectPr>
      </w:pPr>
    </w:p>
    <w:p w14:paraId="6E59D276">
      <w:pPr>
        <w:pStyle w:val="8"/>
        <w:rPr>
          <w:rFonts w:hint="eastAsia"/>
          <w:color w:val="auto"/>
          <w:highlight w:val="none"/>
        </w:rPr>
      </w:pPr>
      <w:bookmarkStart w:id="58" w:name="_Toc194440086"/>
      <w:bookmarkStart w:id="59" w:name="_Toc184468509"/>
      <w:r>
        <w:rPr>
          <w:rFonts w:hint="eastAsia"/>
          <w:color w:val="auto"/>
          <w:highlight w:val="none"/>
        </w:rPr>
        <w:t>附表二</w:t>
      </w:r>
      <w:bookmarkEnd w:id="58"/>
      <w:bookmarkEnd w:id="59"/>
    </w:p>
    <w:p w14:paraId="06EBF3FA">
      <w:pPr>
        <w:jc w:val="center"/>
        <w:rPr>
          <w:rFonts w:hint="eastAsia" w:ascii="宋体" w:hAnsi="宋体"/>
          <w:b/>
          <w:color w:val="auto"/>
          <w:sz w:val="36"/>
          <w:szCs w:val="36"/>
          <w:highlight w:val="none"/>
        </w:rPr>
      </w:pPr>
      <w:r>
        <w:rPr>
          <w:rFonts w:hint="eastAsia" w:ascii="宋体" w:hAnsi="宋体"/>
          <w:b/>
          <w:color w:val="auto"/>
          <w:sz w:val="36"/>
          <w:szCs w:val="36"/>
          <w:highlight w:val="none"/>
        </w:rPr>
        <w:t>技术标有效性审查表</w:t>
      </w:r>
    </w:p>
    <w:p w14:paraId="24FB8215">
      <w:pPr>
        <w:rPr>
          <w:rFonts w:hint="eastAsia" w:ascii="宋体" w:hAnsi="宋体"/>
          <w:color w:val="auto"/>
          <w:szCs w:val="21"/>
          <w:highlight w:val="none"/>
        </w:rPr>
      </w:pPr>
      <w:r>
        <w:rPr>
          <w:rFonts w:hint="eastAsia" w:ascii="宋体" w:hAnsi="宋体"/>
          <w:color w:val="auto"/>
          <w:szCs w:val="21"/>
          <w:highlight w:val="none"/>
        </w:rPr>
        <w:t>工程名称：</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09"/>
        <w:gridCol w:w="1056"/>
        <w:gridCol w:w="1057"/>
        <w:gridCol w:w="1057"/>
        <w:gridCol w:w="1057"/>
        <w:gridCol w:w="1057"/>
        <w:gridCol w:w="1057"/>
      </w:tblGrid>
      <w:tr w14:paraId="6D00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FBA2550">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7809" w:type="dxa"/>
            <w:tcBorders>
              <w:top w:val="single" w:color="auto" w:sz="4" w:space="0"/>
              <w:left w:val="single" w:color="auto" w:sz="4" w:space="0"/>
              <w:bottom w:val="single" w:color="auto" w:sz="4" w:space="0"/>
              <w:right w:val="single" w:color="auto" w:sz="4" w:space="0"/>
              <w:tl2br w:val="single" w:color="auto" w:sz="4" w:space="0"/>
            </w:tcBorders>
          </w:tcPr>
          <w:p w14:paraId="0336450F">
            <w:pPr>
              <w:ind w:firstLine="3570" w:firstLineChars="1700"/>
              <w:rPr>
                <w:rFonts w:hint="eastAsia" w:ascii="宋体" w:hAnsi="宋体"/>
                <w:color w:val="auto"/>
                <w:szCs w:val="21"/>
                <w:highlight w:val="none"/>
              </w:rPr>
            </w:pPr>
            <w:r>
              <w:rPr>
                <w:rFonts w:hint="eastAsia" w:ascii="宋体" w:hAnsi="宋体"/>
                <w:color w:val="auto"/>
                <w:szCs w:val="21"/>
                <w:highlight w:val="none"/>
              </w:rPr>
              <w:t>投标人</w:t>
            </w:r>
          </w:p>
          <w:p w14:paraId="5403FF81">
            <w:pPr>
              <w:rPr>
                <w:rFonts w:hint="eastAsia" w:ascii="宋体" w:hAnsi="宋体"/>
                <w:color w:val="auto"/>
                <w:szCs w:val="21"/>
                <w:highlight w:val="none"/>
              </w:rPr>
            </w:pPr>
            <w:r>
              <w:rPr>
                <w:rFonts w:hint="eastAsia" w:ascii="宋体" w:hAnsi="宋体"/>
                <w:color w:val="auto"/>
                <w:szCs w:val="21"/>
                <w:highlight w:val="none"/>
              </w:rPr>
              <w:t>评审内容</w:t>
            </w:r>
          </w:p>
        </w:tc>
        <w:tc>
          <w:tcPr>
            <w:tcW w:w="1056" w:type="dxa"/>
            <w:tcBorders>
              <w:top w:val="single" w:color="auto" w:sz="4" w:space="0"/>
              <w:left w:val="single" w:color="auto" w:sz="4" w:space="0"/>
              <w:bottom w:val="single" w:color="auto" w:sz="4" w:space="0"/>
              <w:right w:val="single" w:color="auto" w:sz="4" w:space="0"/>
            </w:tcBorders>
          </w:tcPr>
          <w:p w14:paraId="386DD467">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687A4A68">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36857390">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38AF37DA">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34FE662F">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1EA2F790">
            <w:pPr>
              <w:rPr>
                <w:rFonts w:hint="eastAsia" w:ascii="宋体" w:hAnsi="宋体"/>
                <w:color w:val="auto"/>
                <w:szCs w:val="21"/>
                <w:highlight w:val="none"/>
              </w:rPr>
            </w:pPr>
          </w:p>
        </w:tc>
      </w:tr>
      <w:tr w14:paraId="647C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5" w:type="dxa"/>
            <w:tcBorders>
              <w:top w:val="single" w:color="auto" w:sz="4" w:space="0"/>
              <w:left w:val="single" w:color="auto" w:sz="4" w:space="0"/>
              <w:bottom w:val="single" w:color="auto" w:sz="4" w:space="0"/>
              <w:right w:val="single" w:color="auto" w:sz="4" w:space="0"/>
            </w:tcBorders>
            <w:vAlign w:val="center"/>
          </w:tcPr>
          <w:p w14:paraId="34BFADD3">
            <w:pPr>
              <w:jc w:val="center"/>
              <w:rPr>
                <w:rFonts w:hint="eastAsia" w:ascii="宋体" w:hAnsi="宋体"/>
                <w:color w:val="auto"/>
                <w:szCs w:val="21"/>
                <w:highlight w:val="none"/>
              </w:rPr>
            </w:pPr>
            <w:r>
              <w:rPr>
                <w:rFonts w:ascii="宋体" w:hAnsi="宋体"/>
                <w:color w:val="auto"/>
                <w:szCs w:val="21"/>
                <w:highlight w:val="none"/>
              </w:rPr>
              <w:t>1</w:t>
            </w:r>
          </w:p>
        </w:tc>
        <w:tc>
          <w:tcPr>
            <w:tcW w:w="7809" w:type="dxa"/>
            <w:tcBorders>
              <w:top w:val="single" w:color="auto" w:sz="4" w:space="0"/>
              <w:left w:val="single" w:color="auto" w:sz="4" w:space="0"/>
              <w:bottom w:val="single" w:color="auto" w:sz="4" w:space="0"/>
              <w:right w:val="single" w:color="auto" w:sz="4" w:space="0"/>
            </w:tcBorders>
            <w:vAlign w:val="center"/>
          </w:tcPr>
          <w:p w14:paraId="387C36D1">
            <w:pPr>
              <w:rPr>
                <w:rFonts w:hint="eastAsia"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《广州建设工程施工招标投标书（技术标）》中的总工期不符合招标文件要求的；</w:t>
            </w:r>
          </w:p>
        </w:tc>
        <w:tc>
          <w:tcPr>
            <w:tcW w:w="1056" w:type="dxa"/>
            <w:tcBorders>
              <w:top w:val="single" w:color="auto" w:sz="4" w:space="0"/>
              <w:left w:val="single" w:color="auto" w:sz="4" w:space="0"/>
              <w:bottom w:val="single" w:color="auto" w:sz="4" w:space="0"/>
              <w:right w:val="single" w:color="auto" w:sz="4" w:space="0"/>
            </w:tcBorders>
          </w:tcPr>
          <w:p w14:paraId="104FCE7D">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60B14DBA">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0CFFBAE1">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49B10934">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27BAE3F6">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47C82690">
            <w:pPr>
              <w:rPr>
                <w:rFonts w:hint="eastAsia" w:ascii="宋体" w:hAnsi="宋体"/>
                <w:color w:val="auto"/>
                <w:szCs w:val="21"/>
                <w:highlight w:val="none"/>
              </w:rPr>
            </w:pPr>
          </w:p>
        </w:tc>
      </w:tr>
      <w:tr w14:paraId="059D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75" w:type="dxa"/>
            <w:tcBorders>
              <w:top w:val="single" w:color="auto" w:sz="4" w:space="0"/>
              <w:left w:val="single" w:color="auto" w:sz="4" w:space="0"/>
              <w:bottom w:val="single" w:color="auto" w:sz="4" w:space="0"/>
              <w:right w:val="single" w:color="auto" w:sz="4" w:space="0"/>
            </w:tcBorders>
            <w:vAlign w:val="center"/>
          </w:tcPr>
          <w:p w14:paraId="0E9AC4A5">
            <w:pPr>
              <w:jc w:val="center"/>
              <w:rPr>
                <w:rFonts w:hint="eastAsia" w:ascii="宋体" w:hAnsi="宋体"/>
                <w:color w:val="auto"/>
                <w:szCs w:val="21"/>
                <w:highlight w:val="none"/>
              </w:rPr>
            </w:pPr>
            <w:r>
              <w:rPr>
                <w:rFonts w:ascii="宋体" w:hAnsi="宋体"/>
                <w:color w:val="auto"/>
                <w:szCs w:val="21"/>
                <w:highlight w:val="none"/>
              </w:rPr>
              <w:t>2</w:t>
            </w:r>
          </w:p>
        </w:tc>
        <w:tc>
          <w:tcPr>
            <w:tcW w:w="7809" w:type="dxa"/>
            <w:tcBorders>
              <w:top w:val="single" w:color="auto" w:sz="4" w:space="0"/>
              <w:left w:val="single" w:color="auto" w:sz="4" w:space="0"/>
              <w:bottom w:val="single" w:color="auto" w:sz="4" w:space="0"/>
              <w:right w:val="single" w:color="auto" w:sz="4" w:space="0"/>
            </w:tcBorders>
            <w:vAlign w:val="center"/>
          </w:tcPr>
          <w:p w14:paraId="627695F4">
            <w:pPr>
              <w:rPr>
                <w:rFonts w:hint="eastAsia"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《广州建设工程施工招标投标书（技术标）》中的工程质量标准不符合招标文件要求的；</w:t>
            </w:r>
          </w:p>
        </w:tc>
        <w:tc>
          <w:tcPr>
            <w:tcW w:w="1056" w:type="dxa"/>
            <w:tcBorders>
              <w:top w:val="single" w:color="auto" w:sz="4" w:space="0"/>
              <w:left w:val="single" w:color="auto" w:sz="4" w:space="0"/>
              <w:bottom w:val="single" w:color="auto" w:sz="4" w:space="0"/>
              <w:right w:val="single" w:color="auto" w:sz="4" w:space="0"/>
            </w:tcBorders>
          </w:tcPr>
          <w:p w14:paraId="7A638B54">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57E4FF9D">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072F0BAC">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32DF6C99">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4055FC61">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3DBFE410">
            <w:pPr>
              <w:rPr>
                <w:rFonts w:hint="eastAsia" w:ascii="宋体" w:hAnsi="宋体"/>
                <w:color w:val="auto"/>
                <w:szCs w:val="21"/>
                <w:highlight w:val="none"/>
              </w:rPr>
            </w:pPr>
          </w:p>
        </w:tc>
      </w:tr>
      <w:tr w14:paraId="1C11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68639A5">
            <w:pPr>
              <w:jc w:val="center"/>
              <w:rPr>
                <w:rFonts w:hint="eastAsia" w:ascii="宋体" w:hAnsi="宋体"/>
                <w:color w:val="auto"/>
                <w:szCs w:val="21"/>
                <w:highlight w:val="none"/>
              </w:rPr>
            </w:pPr>
            <w:r>
              <w:rPr>
                <w:rFonts w:ascii="宋体" w:hAnsi="宋体"/>
                <w:color w:val="auto"/>
                <w:szCs w:val="21"/>
                <w:highlight w:val="none"/>
              </w:rPr>
              <w:t>3</w:t>
            </w:r>
          </w:p>
        </w:tc>
        <w:tc>
          <w:tcPr>
            <w:tcW w:w="7809" w:type="dxa"/>
            <w:tcBorders>
              <w:top w:val="single" w:color="auto" w:sz="4" w:space="0"/>
              <w:left w:val="single" w:color="auto" w:sz="4" w:space="0"/>
              <w:bottom w:val="single" w:color="auto" w:sz="4" w:space="0"/>
              <w:right w:val="single" w:color="auto" w:sz="4" w:space="0"/>
            </w:tcBorders>
            <w:vAlign w:val="center"/>
          </w:tcPr>
          <w:p w14:paraId="165E7930">
            <w:pPr>
              <w:rPr>
                <w:rFonts w:hint="eastAsia" w:ascii="宋体" w:hAnsi="宋体"/>
                <w:color w:val="auto"/>
                <w:szCs w:val="21"/>
                <w:highlight w:val="none"/>
              </w:rPr>
            </w:pPr>
            <w:r>
              <w:rPr>
                <w:rFonts w:hint="eastAsia" w:ascii="宋体" w:hAnsi="宋体"/>
                <w:color w:val="auto"/>
                <w:szCs w:val="21"/>
                <w:highlight w:val="none"/>
              </w:rPr>
              <w:t>投标文件中没有有效的法定代表人证明书，或由委托代理人</w:t>
            </w:r>
            <w:r>
              <w:rPr>
                <w:rFonts w:hint="eastAsia" w:ascii="宋体" w:hAnsi="宋体"/>
                <w:color w:val="auto"/>
                <w:szCs w:val="21"/>
                <w:highlight w:val="none"/>
                <w:u w:val="single"/>
              </w:rPr>
              <w:t>盖章或签字</w:t>
            </w:r>
            <w:r>
              <w:rPr>
                <w:rFonts w:hint="eastAsia" w:ascii="宋体" w:hAnsi="宋体"/>
                <w:color w:val="auto"/>
                <w:szCs w:val="21"/>
                <w:highlight w:val="none"/>
              </w:rPr>
              <w:t>的投标文件中没有法定代表人授权书；</w:t>
            </w:r>
          </w:p>
        </w:tc>
        <w:tc>
          <w:tcPr>
            <w:tcW w:w="1056" w:type="dxa"/>
            <w:tcBorders>
              <w:top w:val="single" w:color="auto" w:sz="4" w:space="0"/>
              <w:left w:val="single" w:color="auto" w:sz="4" w:space="0"/>
              <w:bottom w:val="single" w:color="auto" w:sz="4" w:space="0"/>
              <w:right w:val="single" w:color="auto" w:sz="4" w:space="0"/>
            </w:tcBorders>
          </w:tcPr>
          <w:p w14:paraId="415BDEDC">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7C816F24">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0C91B463">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4CC1FAA1">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48B8C2F6">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731C345A">
            <w:pPr>
              <w:rPr>
                <w:rFonts w:hint="eastAsia" w:ascii="宋体" w:hAnsi="宋体"/>
                <w:color w:val="auto"/>
                <w:szCs w:val="21"/>
                <w:highlight w:val="none"/>
              </w:rPr>
            </w:pPr>
          </w:p>
        </w:tc>
      </w:tr>
      <w:tr w14:paraId="5ECD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E63AFE5">
            <w:pPr>
              <w:jc w:val="center"/>
              <w:rPr>
                <w:rFonts w:hint="eastAsia" w:ascii="宋体" w:hAnsi="宋体"/>
                <w:color w:val="auto"/>
                <w:szCs w:val="21"/>
                <w:highlight w:val="none"/>
              </w:rPr>
            </w:pPr>
            <w:r>
              <w:rPr>
                <w:rFonts w:ascii="宋体" w:hAnsi="宋体"/>
                <w:color w:val="auto"/>
                <w:szCs w:val="21"/>
                <w:highlight w:val="none"/>
              </w:rPr>
              <w:t>4</w:t>
            </w:r>
          </w:p>
        </w:tc>
        <w:tc>
          <w:tcPr>
            <w:tcW w:w="7809" w:type="dxa"/>
            <w:tcBorders>
              <w:top w:val="single" w:color="auto" w:sz="4" w:space="0"/>
              <w:left w:val="single" w:color="auto" w:sz="4" w:space="0"/>
              <w:bottom w:val="single" w:color="auto" w:sz="4" w:space="0"/>
              <w:right w:val="single" w:color="auto" w:sz="4" w:space="0"/>
            </w:tcBorders>
            <w:vAlign w:val="center"/>
          </w:tcPr>
          <w:p w14:paraId="315FC227">
            <w:pPr>
              <w:rPr>
                <w:rFonts w:hint="eastAsia" w:ascii="宋体" w:hAnsi="宋体" w:cs="宋体"/>
                <w:color w:val="auto"/>
                <w:szCs w:val="21"/>
                <w:highlight w:val="none"/>
                <w:u w:val="singl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w:t>
            </w:r>
            <w:r>
              <w:rPr>
                <w:rFonts w:hint="eastAsia" w:ascii="宋体" w:hAnsi="宋体" w:cs="宋体"/>
                <w:b/>
                <w:color w:val="auto"/>
                <w:szCs w:val="21"/>
                <w:highlight w:val="none"/>
                <w:u w:val="single"/>
              </w:rPr>
              <w:t>《广州建设工程施工招标投标书（技术标）》《投标函》《危险性较大的分部分项工程安全管理措施》《项目管理机构人员信息表》</w:t>
            </w:r>
            <w:r>
              <w:rPr>
                <w:rFonts w:hint="eastAsia" w:ascii="宋体" w:hAnsi="宋体" w:cs="宋体"/>
                <w:color w:val="auto"/>
                <w:szCs w:val="21"/>
                <w:highlight w:val="none"/>
                <w:u w:val="single"/>
              </w:rPr>
              <w:t>）</w:t>
            </w:r>
            <w:r>
              <w:rPr>
                <w:rFonts w:hint="eastAsia" w:ascii="宋体" w:hAnsi="宋体" w:cs="宋体"/>
                <w:color w:val="auto"/>
                <w:szCs w:val="21"/>
                <w:highlight w:val="none"/>
              </w:rPr>
              <w:t>，或主要内容不全，或关键字迹模糊、无法辨认的；</w:t>
            </w:r>
          </w:p>
        </w:tc>
        <w:tc>
          <w:tcPr>
            <w:tcW w:w="1056" w:type="dxa"/>
            <w:tcBorders>
              <w:top w:val="single" w:color="auto" w:sz="4" w:space="0"/>
              <w:left w:val="single" w:color="auto" w:sz="4" w:space="0"/>
              <w:bottom w:val="single" w:color="auto" w:sz="4" w:space="0"/>
              <w:right w:val="single" w:color="auto" w:sz="4" w:space="0"/>
            </w:tcBorders>
          </w:tcPr>
          <w:p w14:paraId="41A82377">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6A656924">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4F7F6CE8">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6681F086">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21F52244">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54305F85">
            <w:pPr>
              <w:rPr>
                <w:rFonts w:hint="eastAsia" w:ascii="宋体" w:hAnsi="宋体"/>
                <w:color w:val="auto"/>
                <w:szCs w:val="21"/>
                <w:highlight w:val="none"/>
              </w:rPr>
            </w:pPr>
          </w:p>
        </w:tc>
      </w:tr>
      <w:tr w14:paraId="29B0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8556657">
            <w:pPr>
              <w:jc w:val="center"/>
              <w:rPr>
                <w:rFonts w:hint="eastAsia" w:ascii="宋体" w:hAnsi="宋体"/>
                <w:color w:val="auto"/>
                <w:szCs w:val="21"/>
                <w:highlight w:val="none"/>
              </w:rPr>
            </w:pPr>
            <w:r>
              <w:rPr>
                <w:rFonts w:ascii="宋体" w:hAnsi="宋体"/>
                <w:color w:val="auto"/>
                <w:szCs w:val="21"/>
                <w:highlight w:val="none"/>
              </w:rPr>
              <w:t>5</w:t>
            </w:r>
          </w:p>
        </w:tc>
        <w:tc>
          <w:tcPr>
            <w:tcW w:w="7809" w:type="dxa"/>
            <w:tcBorders>
              <w:top w:val="single" w:color="auto" w:sz="4" w:space="0"/>
              <w:left w:val="single" w:color="auto" w:sz="4" w:space="0"/>
              <w:bottom w:val="single" w:color="auto" w:sz="4" w:space="0"/>
              <w:right w:val="single" w:color="auto" w:sz="4" w:space="0"/>
            </w:tcBorders>
            <w:vAlign w:val="center"/>
          </w:tcPr>
          <w:p w14:paraId="4F43CCBB">
            <w:pPr>
              <w:rPr>
                <w:rFonts w:hint="eastAsia" w:ascii="宋体" w:hAnsi="宋体"/>
                <w:color w:val="auto"/>
                <w:szCs w:val="21"/>
                <w:highlight w:val="none"/>
              </w:rPr>
            </w:pPr>
            <w:r>
              <w:rPr>
                <w:rFonts w:hint="eastAsia" w:ascii="宋体" w:hAnsi="宋体"/>
                <w:color w:val="auto"/>
                <w:szCs w:val="21"/>
                <w:highlight w:val="none"/>
              </w:rPr>
              <w:t>投标人之间存在《</w:t>
            </w:r>
            <w:r>
              <w:rPr>
                <w:rFonts w:hint="eastAsia" w:ascii="宋体" w:hAnsi="宋体"/>
                <w:color w:val="auto"/>
                <w:szCs w:val="21"/>
                <w:highlight w:val="none"/>
                <w:lang w:eastAsia="zh-CN"/>
              </w:rPr>
              <w:t>广东省实施〈中华人民共和国招标投标法〉办法</w:t>
            </w:r>
            <w:r>
              <w:rPr>
                <w:rFonts w:ascii="宋体" w:hAnsi="宋体"/>
                <w:color w:val="auto"/>
                <w:szCs w:val="21"/>
                <w:highlight w:val="none"/>
              </w:rPr>
              <w:t>》第十六条所禁止的情形的；</w:t>
            </w:r>
          </w:p>
        </w:tc>
        <w:tc>
          <w:tcPr>
            <w:tcW w:w="1056" w:type="dxa"/>
            <w:tcBorders>
              <w:top w:val="single" w:color="auto" w:sz="4" w:space="0"/>
              <w:left w:val="single" w:color="auto" w:sz="4" w:space="0"/>
              <w:bottom w:val="single" w:color="auto" w:sz="4" w:space="0"/>
              <w:right w:val="single" w:color="auto" w:sz="4" w:space="0"/>
            </w:tcBorders>
          </w:tcPr>
          <w:p w14:paraId="7711F374">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06B59AF6">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00067F8D">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1457EFD5">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0C988D49">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5370CE8D">
            <w:pPr>
              <w:rPr>
                <w:rFonts w:hint="eastAsia" w:ascii="宋体" w:hAnsi="宋体"/>
                <w:color w:val="auto"/>
                <w:szCs w:val="21"/>
                <w:highlight w:val="none"/>
              </w:rPr>
            </w:pPr>
          </w:p>
        </w:tc>
      </w:tr>
      <w:tr w14:paraId="00BD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25719A6">
            <w:pPr>
              <w:jc w:val="center"/>
              <w:rPr>
                <w:rFonts w:hint="eastAsia" w:ascii="宋体" w:hAnsi="宋体"/>
                <w:color w:val="auto"/>
                <w:szCs w:val="21"/>
                <w:highlight w:val="none"/>
              </w:rPr>
            </w:pPr>
            <w:r>
              <w:rPr>
                <w:rFonts w:ascii="宋体" w:hAnsi="宋体"/>
                <w:color w:val="auto"/>
                <w:szCs w:val="21"/>
                <w:highlight w:val="none"/>
              </w:rPr>
              <w:t>6</w:t>
            </w:r>
          </w:p>
        </w:tc>
        <w:tc>
          <w:tcPr>
            <w:tcW w:w="7809" w:type="dxa"/>
            <w:tcBorders>
              <w:top w:val="single" w:color="auto" w:sz="4" w:space="0"/>
              <w:left w:val="single" w:color="auto" w:sz="4" w:space="0"/>
              <w:bottom w:val="single" w:color="auto" w:sz="4" w:space="0"/>
              <w:right w:val="single" w:color="auto" w:sz="4" w:space="0"/>
            </w:tcBorders>
            <w:vAlign w:val="center"/>
          </w:tcPr>
          <w:p w14:paraId="627FA987">
            <w:pPr>
              <w:rPr>
                <w:rFonts w:hint="eastAsia"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056" w:type="dxa"/>
            <w:tcBorders>
              <w:top w:val="single" w:color="auto" w:sz="4" w:space="0"/>
              <w:left w:val="single" w:color="auto" w:sz="4" w:space="0"/>
              <w:bottom w:val="single" w:color="auto" w:sz="4" w:space="0"/>
              <w:right w:val="single" w:color="auto" w:sz="4" w:space="0"/>
            </w:tcBorders>
          </w:tcPr>
          <w:p w14:paraId="56979109">
            <w:pPr>
              <w:rPr>
                <w:rFonts w:hint="eastAsia" w:ascii="宋体" w:hAnsi="宋体"/>
                <w:color w:val="auto"/>
                <w:szCs w:val="21"/>
                <w:highlight w:val="none"/>
                <w:shd w:val="pct10" w:color="auto" w:fill="FFFFFF"/>
              </w:rPr>
            </w:pPr>
          </w:p>
        </w:tc>
        <w:tc>
          <w:tcPr>
            <w:tcW w:w="1057" w:type="dxa"/>
            <w:tcBorders>
              <w:top w:val="single" w:color="auto" w:sz="4" w:space="0"/>
              <w:left w:val="single" w:color="auto" w:sz="4" w:space="0"/>
              <w:bottom w:val="single" w:color="auto" w:sz="4" w:space="0"/>
              <w:right w:val="single" w:color="auto" w:sz="4" w:space="0"/>
            </w:tcBorders>
          </w:tcPr>
          <w:p w14:paraId="0FA3F3D1">
            <w:pPr>
              <w:rPr>
                <w:rFonts w:hint="eastAsia" w:ascii="宋体" w:hAnsi="宋体"/>
                <w:color w:val="auto"/>
                <w:szCs w:val="21"/>
                <w:highlight w:val="none"/>
                <w:shd w:val="pct10" w:color="auto" w:fill="FFFFFF"/>
              </w:rPr>
            </w:pPr>
          </w:p>
        </w:tc>
        <w:tc>
          <w:tcPr>
            <w:tcW w:w="1057" w:type="dxa"/>
            <w:tcBorders>
              <w:top w:val="single" w:color="auto" w:sz="4" w:space="0"/>
              <w:left w:val="single" w:color="auto" w:sz="4" w:space="0"/>
              <w:bottom w:val="single" w:color="auto" w:sz="4" w:space="0"/>
              <w:right w:val="single" w:color="auto" w:sz="4" w:space="0"/>
            </w:tcBorders>
          </w:tcPr>
          <w:p w14:paraId="1FCD61D5">
            <w:pPr>
              <w:rPr>
                <w:rFonts w:hint="eastAsia" w:ascii="宋体" w:hAnsi="宋体"/>
                <w:color w:val="auto"/>
                <w:szCs w:val="21"/>
                <w:highlight w:val="none"/>
                <w:shd w:val="pct10" w:color="auto" w:fill="FFFFFF"/>
              </w:rPr>
            </w:pPr>
          </w:p>
        </w:tc>
        <w:tc>
          <w:tcPr>
            <w:tcW w:w="1057" w:type="dxa"/>
            <w:tcBorders>
              <w:top w:val="single" w:color="auto" w:sz="4" w:space="0"/>
              <w:left w:val="single" w:color="auto" w:sz="4" w:space="0"/>
              <w:bottom w:val="single" w:color="auto" w:sz="4" w:space="0"/>
              <w:right w:val="single" w:color="auto" w:sz="4" w:space="0"/>
            </w:tcBorders>
          </w:tcPr>
          <w:p w14:paraId="252EF81B">
            <w:pPr>
              <w:rPr>
                <w:rFonts w:hint="eastAsia" w:ascii="宋体" w:hAnsi="宋体"/>
                <w:color w:val="auto"/>
                <w:szCs w:val="21"/>
                <w:highlight w:val="none"/>
                <w:shd w:val="pct10" w:color="auto" w:fill="FFFFFF"/>
              </w:rPr>
            </w:pPr>
          </w:p>
        </w:tc>
        <w:tc>
          <w:tcPr>
            <w:tcW w:w="1057" w:type="dxa"/>
            <w:tcBorders>
              <w:top w:val="single" w:color="auto" w:sz="4" w:space="0"/>
              <w:left w:val="single" w:color="auto" w:sz="4" w:space="0"/>
              <w:bottom w:val="single" w:color="auto" w:sz="4" w:space="0"/>
              <w:right w:val="single" w:color="auto" w:sz="4" w:space="0"/>
            </w:tcBorders>
          </w:tcPr>
          <w:p w14:paraId="15F0E17A">
            <w:pPr>
              <w:rPr>
                <w:rFonts w:hint="eastAsia" w:ascii="宋体" w:hAnsi="宋体"/>
                <w:color w:val="auto"/>
                <w:szCs w:val="21"/>
                <w:highlight w:val="none"/>
                <w:shd w:val="pct10" w:color="auto" w:fill="FFFFFF"/>
              </w:rPr>
            </w:pPr>
          </w:p>
        </w:tc>
        <w:tc>
          <w:tcPr>
            <w:tcW w:w="1057" w:type="dxa"/>
            <w:tcBorders>
              <w:top w:val="single" w:color="auto" w:sz="4" w:space="0"/>
              <w:left w:val="single" w:color="auto" w:sz="4" w:space="0"/>
              <w:bottom w:val="single" w:color="auto" w:sz="4" w:space="0"/>
              <w:right w:val="single" w:color="auto" w:sz="4" w:space="0"/>
            </w:tcBorders>
          </w:tcPr>
          <w:p w14:paraId="5506CB9A">
            <w:pPr>
              <w:rPr>
                <w:rFonts w:hint="eastAsia" w:ascii="宋体" w:hAnsi="宋体"/>
                <w:color w:val="auto"/>
                <w:szCs w:val="21"/>
                <w:highlight w:val="none"/>
                <w:shd w:val="pct10" w:color="auto" w:fill="FFFFFF"/>
              </w:rPr>
            </w:pPr>
          </w:p>
        </w:tc>
      </w:tr>
      <w:tr w14:paraId="4305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9C8139B">
            <w:pPr>
              <w:jc w:val="center"/>
              <w:rPr>
                <w:rFonts w:hint="eastAsia" w:ascii="宋体" w:hAnsi="宋体"/>
                <w:strike/>
                <w:color w:val="auto"/>
                <w:szCs w:val="21"/>
                <w:highlight w:val="none"/>
              </w:rPr>
            </w:pPr>
            <w:r>
              <w:rPr>
                <w:rFonts w:ascii="宋体" w:hAnsi="宋体"/>
                <w:strike/>
                <w:color w:val="auto"/>
                <w:szCs w:val="21"/>
                <w:highlight w:val="none"/>
              </w:rPr>
              <w:t>7</w:t>
            </w:r>
          </w:p>
        </w:tc>
        <w:tc>
          <w:tcPr>
            <w:tcW w:w="7809" w:type="dxa"/>
            <w:tcBorders>
              <w:top w:val="single" w:color="auto" w:sz="4" w:space="0"/>
              <w:left w:val="single" w:color="auto" w:sz="4" w:space="0"/>
              <w:bottom w:val="single" w:color="auto" w:sz="4" w:space="0"/>
              <w:right w:val="single" w:color="auto" w:sz="4" w:space="0"/>
            </w:tcBorders>
            <w:vAlign w:val="center"/>
          </w:tcPr>
          <w:p w14:paraId="5BA4DA7B">
            <w:pPr>
              <w:rPr>
                <w:rFonts w:hint="eastAsia" w:ascii="宋体" w:hAnsi="宋体"/>
                <w:strike/>
                <w:color w:val="auto"/>
                <w:szCs w:val="21"/>
                <w:highlight w:val="none"/>
              </w:rPr>
            </w:pPr>
            <w:r>
              <w:rPr>
                <w:rFonts w:hint="eastAsia" w:ascii="宋体" w:hAnsi="宋体"/>
                <w:strike/>
                <w:color w:val="auto"/>
                <w:szCs w:val="21"/>
                <w:highlight w:val="none"/>
              </w:rPr>
              <w:t>投标人未按要求提交投标保证金的；</w:t>
            </w:r>
          </w:p>
        </w:tc>
        <w:tc>
          <w:tcPr>
            <w:tcW w:w="1056" w:type="dxa"/>
            <w:tcBorders>
              <w:top w:val="single" w:color="auto" w:sz="4" w:space="0"/>
              <w:left w:val="single" w:color="auto" w:sz="4" w:space="0"/>
              <w:bottom w:val="single" w:color="auto" w:sz="4" w:space="0"/>
              <w:right w:val="single" w:color="auto" w:sz="4" w:space="0"/>
            </w:tcBorders>
          </w:tcPr>
          <w:p w14:paraId="5E5E765D">
            <w:pPr>
              <w:rPr>
                <w:rFonts w:hint="eastAsia" w:ascii="宋体" w:hAnsi="宋体"/>
                <w:strike/>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68EFAF7D">
            <w:pPr>
              <w:rPr>
                <w:rFonts w:hint="eastAsia" w:ascii="宋体" w:hAnsi="宋体"/>
                <w:strike/>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4E2C4938">
            <w:pPr>
              <w:rPr>
                <w:rFonts w:hint="eastAsia" w:ascii="宋体" w:hAnsi="宋体"/>
                <w:strike/>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1401B805">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20FD6705">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3465DE12">
            <w:pPr>
              <w:rPr>
                <w:rFonts w:hint="eastAsia" w:ascii="宋体" w:hAnsi="宋体"/>
                <w:color w:val="auto"/>
                <w:szCs w:val="21"/>
                <w:highlight w:val="none"/>
              </w:rPr>
            </w:pPr>
          </w:p>
        </w:tc>
      </w:tr>
      <w:tr w14:paraId="36F3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50F3717">
            <w:pPr>
              <w:jc w:val="center"/>
              <w:rPr>
                <w:rFonts w:hint="eastAsia" w:ascii="宋体" w:hAnsi="宋体"/>
                <w:color w:val="auto"/>
                <w:szCs w:val="21"/>
                <w:highlight w:val="none"/>
              </w:rPr>
            </w:pPr>
            <w:r>
              <w:rPr>
                <w:rFonts w:ascii="宋体" w:hAnsi="宋体"/>
                <w:color w:val="auto"/>
                <w:szCs w:val="21"/>
                <w:highlight w:val="none"/>
              </w:rPr>
              <w:t>8</w:t>
            </w:r>
          </w:p>
        </w:tc>
        <w:tc>
          <w:tcPr>
            <w:tcW w:w="7809" w:type="dxa"/>
            <w:tcBorders>
              <w:top w:val="single" w:color="auto" w:sz="4" w:space="0"/>
              <w:left w:val="single" w:color="auto" w:sz="4" w:space="0"/>
              <w:bottom w:val="single" w:color="auto" w:sz="4" w:space="0"/>
              <w:right w:val="single" w:color="auto" w:sz="4" w:space="0"/>
            </w:tcBorders>
            <w:vAlign w:val="center"/>
          </w:tcPr>
          <w:p w14:paraId="23C13A75">
            <w:pPr>
              <w:rPr>
                <w:rFonts w:hint="eastAsia"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w:t>
            </w:r>
            <w:r>
              <w:rPr>
                <w:rFonts w:ascii="宋体" w:hAnsi="宋体"/>
                <w:color w:val="auto"/>
                <w:szCs w:val="21"/>
                <w:highlight w:val="none"/>
              </w:rPr>
              <w:t>(以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r>
              <w:rPr>
                <w:rFonts w:ascii="宋体" w:hAnsi="宋体"/>
                <w:color w:val="auto"/>
                <w:szCs w:val="21"/>
                <w:highlight w:val="none"/>
              </w:rPr>
              <w:t>)</w:t>
            </w:r>
            <w:r>
              <w:rPr>
                <w:rFonts w:hint="eastAsia" w:ascii="宋体" w:hAnsi="宋体"/>
                <w:color w:val="auto"/>
                <w:szCs w:val="21"/>
                <w:highlight w:val="none"/>
              </w:rPr>
              <w:t>。</w:t>
            </w:r>
          </w:p>
        </w:tc>
        <w:tc>
          <w:tcPr>
            <w:tcW w:w="1056" w:type="dxa"/>
            <w:tcBorders>
              <w:top w:val="single" w:color="auto" w:sz="4" w:space="0"/>
              <w:left w:val="single" w:color="auto" w:sz="4" w:space="0"/>
              <w:bottom w:val="single" w:color="auto" w:sz="4" w:space="0"/>
              <w:right w:val="single" w:color="auto" w:sz="4" w:space="0"/>
            </w:tcBorders>
          </w:tcPr>
          <w:p w14:paraId="46EC70D2">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77B10BB7">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5E1B6D1B">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5D3587F0">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69ACE7F0">
            <w:pPr>
              <w:rPr>
                <w:rFonts w:hint="eastAsia"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294AD5A7">
            <w:pPr>
              <w:rPr>
                <w:rFonts w:hint="eastAsia" w:ascii="宋体" w:hAnsi="宋体"/>
                <w:color w:val="auto"/>
                <w:szCs w:val="21"/>
                <w:highlight w:val="none"/>
              </w:rPr>
            </w:pPr>
          </w:p>
        </w:tc>
      </w:tr>
    </w:tbl>
    <w:p w14:paraId="5440CFB5">
      <w:pPr>
        <w:ind w:firstLine="424" w:firstLineChars="202"/>
        <w:rPr>
          <w:rFonts w:hint="eastAsia"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556D4372">
      <w:pPr>
        <w:ind w:firstLine="424" w:firstLineChars="202"/>
        <w:rPr>
          <w:rFonts w:hint="eastAsia"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格式或文字、计算错误的，应当要求投标人作必要的澄清、说明后再判定投标人是否通过有效性审查，不得直接否决投标，若出现评标委员会否决投标的，应在评标报告中载明否决投标的具体情形、原因；</w:t>
      </w:r>
    </w:p>
    <w:p w14:paraId="5BC14D72">
      <w:pPr>
        <w:ind w:firstLine="424" w:firstLineChars="202"/>
        <w:rPr>
          <w:rFonts w:hint="eastAsia"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46008D7D">
      <w:pPr>
        <w:ind w:firstLine="424" w:firstLineChars="202"/>
        <w:rPr>
          <w:rFonts w:hint="eastAsia" w:ascii="宋体" w:hAns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14:paraId="3688C6AF">
      <w:pPr>
        <w:pStyle w:val="8"/>
        <w:rPr>
          <w:rFonts w:hint="eastAsia"/>
          <w:color w:val="auto"/>
          <w:highlight w:val="none"/>
        </w:rPr>
      </w:pPr>
      <w:r>
        <w:rPr>
          <w:color w:val="auto"/>
          <w:highlight w:val="none"/>
        </w:rPr>
        <w:br w:type="page"/>
      </w:r>
      <w:bookmarkStart w:id="60" w:name="_Toc184468510"/>
      <w:bookmarkStart w:id="61" w:name="_Toc194440087"/>
      <w:r>
        <w:rPr>
          <w:rFonts w:hint="eastAsia"/>
          <w:color w:val="auto"/>
          <w:highlight w:val="none"/>
        </w:rPr>
        <w:t>附表三</w:t>
      </w:r>
      <w:bookmarkEnd w:id="60"/>
      <w:bookmarkEnd w:id="61"/>
    </w:p>
    <w:p w14:paraId="383AEBAF">
      <w:pPr>
        <w:jc w:val="center"/>
        <w:rPr>
          <w:rFonts w:hint="eastAsia" w:ascii="宋体" w:hAnsi="宋体"/>
          <w:b/>
          <w:color w:val="auto"/>
          <w:sz w:val="36"/>
          <w:szCs w:val="36"/>
          <w:highlight w:val="none"/>
        </w:rPr>
      </w:pPr>
      <w:r>
        <w:rPr>
          <w:rFonts w:hint="eastAsia" w:ascii="宋体" w:hAnsi="宋体"/>
          <w:b/>
          <w:color w:val="auto"/>
          <w:sz w:val="36"/>
          <w:szCs w:val="36"/>
          <w:highlight w:val="none"/>
        </w:rPr>
        <w:t>经济标有效性审查表</w:t>
      </w:r>
    </w:p>
    <w:p w14:paraId="477076AF">
      <w:pPr>
        <w:rPr>
          <w:rFonts w:hint="eastAsia" w:ascii="宋体" w:hAnsi="宋体"/>
          <w:color w:val="auto"/>
          <w:szCs w:val="21"/>
          <w:highlight w:val="none"/>
        </w:rPr>
      </w:pPr>
      <w:r>
        <w:rPr>
          <w:rFonts w:hint="eastAsia" w:ascii="宋体" w:hAnsi="宋体"/>
          <w:color w:val="auto"/>
          <w:szCs w:val="21"/>
          <w:highlight w:val="none"/>
        </w:rPr>
        <w:t>工程名称：</w:t>
      </w:r>
    </w:p>
    <w:tbl>
      <w:tblPr>
        <w:tblStyle w:val="49"/>
        <w:tblW w:w="15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62"/>
        <w:gridCol w:w="1211"/>
        <w:gridCol w:w="1034"/>
        <w:gridCol w:w="1189"/>
        <w:gridCol w:w="1222"/>
        <w:gridCol w:w="1200"/>
        <w:gridCol w:w="965"/>
      </w:tblGrid>
      <w:tr w14:paraId="50D0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75" w:type="dxa"/>
            <w:tcBorders>
              <w:top w:val="single" w:color="auto" w:sz="4" w:space="0"/>
              <w:left w:val="single" w:color="auto" w:sz="4" w:space="0"/>
              <w:bottom w:val="single" w:color="auto" w:sz="4" w:space="0"/>
              <w:right w:val="single" w:color="auto" w:sz="4" w:space="0"/>
            </w:tcBorders>
            <w:vAlign w:val="center"/>
          </w:tcPr>
          <w:p w14:paraId="4085F6CF">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7662" w:type="dxa"/>
            <w:tcBorders>
              <w:top w:val="single" w:color="auto" w:sz="4" w:space="0"/>
              <w:left w:val="single" w:color="auto" w:sz="4" w:space="0"/>
              <w:bottom w:val="single" w:color="auto" w:sz="4" w:space="0"/>
              <w:right w:val="single" w:color="auto" w:sz="4" w:space="0"/>
              <w:tl2br w:val="single" w:color="auto" w:sz="4" w:space="0"/>
            </w:tcBorders>
          </w:tcPr>
          <w:p w14:paraId="6E5A37DE">
            <w:pPr>
              <w:ind w:firstLine="2940" w:firstLineChars="1400"/>
              <w:rPr>
                <w:rFonts w:hint="eastAsia" w:ascii="宋体" w:hAnsi="宋体"/>
                <w:color w:val="auto"/>
                <w:szCs w:val="21"/>
                <w:highlight w:val="none"/>
              </w:rPr>
            </w:pPr>
            <w:r>
              <w:rPr>
                <w:rFonts w:hint="eastAsia" w:ascii="宋体" w:hAnsi="宋体"/>
                <w:color w:val="auto"/>
                <w:szCs w:val="21"/>
                <w:highlight w:val="none"/>
              </w:rPr>
              <w:t>投标人</w:t>
            </w:r>
          </w:p>
          <w:p w14:paraId="161E233B">
            <w:pPr>
              <w:rPr>
                <w:rFonts w:hint="eastAsia" w:ascii="宋体" w:hAnsi="宋体"/>
                <w:color w:val="auto"/>
                <w:szCs w:val="21"/>
                <w:highlight w:val="none"/>
              </w:rPr>
            </w:pPr>
            <w:r>
              <w:rPr>
                <w:rFonts w:hint="eastAsia" w:ascii="宋体" w:hAnsi="宋体"/>
                <w:color w:val="auto"/>
                <w:szCs w:val="21"/>
                <w:highlight w:val="none"/>
              </w:rPr>
              <w:t>评审内容</w:t>
            </w:r>
          </w:p>
        </w:tc>
        <w:tc>
          <w:tcPr>
            <w:tcW w:w="1211" w:type="dxa"/>
            <w:tcBorders>
              <w:top w:val="single" w:color="auto" w:sz="4" w:space="0"/>
              <w:left w:val="single" w:color="auto" w:sz="4" w:space="0"/>
              <w:bottom w:val="single" w:color="auto" w:sz="4" w:space="0"/>
              <w:right w:val="single" w:color="auto" w:sz="4" w:space="0"/>
            </w:tcBorders>
          </w:tcPr>
          <w:p w14:paraId="1D3A5159">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tcPr>
          <w:p w14:paraId="614F7EAC">
            <w:pPr>
              <w:rPr>
                <w:rFonts w:hint="eastAsia"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41BB874B">
            <w:pPr>
              <w:rPr>
                <w:rFonts w:hint="eastAsia" w:ascii="宋体" w:hAnsi="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524216EC">
            <w:pPr>
              <w:rPr>
                <w:rFonts w:hint="eastAsia"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4C762AEF">
            <w:pPr>
              <w:rPr>
                <w:rFonts w:hint="eastAsia" w:ascii="宋体" w:hAnsi="宋体"/>
                <w:color w:val="auto"/>
                <w:szCs w:val="21"/>
                <w:highlight w:val="none"/>
              </w:rPr>
            </w:pPr>
          </w:p>
        </w:tc>
        <w:tc>
          <w:tcPr>
            <w:tcW w:w="965" w:type="dxa"/>
            <w:tcBorders>
              <w:top w:val="single" w:color="auto" w:sz="4" w:space="0"/>
              <w:left w:val="single" w:color="auto" w:sz="4" w:space="0"/>
              <w:bottom w:val="single" w:color="auto" w:sz="4" w:space="0"/>
              <w:right w:val="single" w:color="auto" w:sz="4" w:space="0"/>
            </w:tcBorders>
          </w:tcPr>
          <w:p w14:paraId="6C59EC70">
            <w:pPr>
              <w:rPr>
                <w:rFonts w:hint="eastAsia" w:ascii="宋体" w:hAnsi="宋体"/>
                <w:color w:val="auto"/>
                <w:szCs w:val="21"/>
                <w:highlight w:val="none"/>
              </w:rPr>
            </w:pPr>
          </w:p>
        </w:tc>
      </w:tr>
      <w:tr w14:paraId="56E0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62BA2C0">
            <w:pPr>
              <w:jc w:val="center"/>
              <w:rPr>
                <w:rFonts w:hint="eastAsia" w:ascii="宋体" w:hAnsi="宋体"/>
                <w:color w:val="auto"/>
                <w:szCs w:val="21"/>
                <w:highlight w:val="none"/>
              </w:rPr>
            </w:pPr>
            <w:r>
              <w:rPr>
                <w:rFonts w:ascii="宋体" w:hAnsi="宋体"/>
                <w:color w:val="auto"/>
                <w:szCs w:val="21"/>
                <w:highlight w:val="none"/>
              </w:rPr>
              <w:t>1</w:t>
            </w:r>
          </w:p>
        </w:tc>
        <w:tc>
          <w:tcPr>
            <w:tcW w:w="7662" w:type="dxa"/>
            <w:tcBorders>
              <w:top w:val="single" w:color="auto" w:sz="4" w:space="0"/>
              <w:left w:val="single" w:color="auto" w:sz="4" w:space="0"/>
              <w:bottom w:val="single" w:color="auto" w:sz="4" w:space="0"/>
              <w:right w:val="single" w:color="auto" w:sz="4" w:space="0"/>
            </w:tcBorders>
            <w:vAlign w:val="center"/>
          </w:tcPr>
          <w:p w14:paraId="330F9A2F">
            <w:pPr>
              <w:rPr>
                <w:rFonts w:hint="eastAsia"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211" w:type="dxa"/>
            <w:tcBorders>
              <w:top w:val="single" w:color="auto" w:sz="4" w:space="0"/>
              <w:left w:val="single" w:color="auto" w:sz="4" w:space="0"/>
              <w:bottom w:val="single" w:color="auto" w:sz="4" w:space="0"/>
              <w:right w:val="single" w:color="auto" w:sz="4" w:space="0"/>
            </w:tcBorders>
          </w:tcPr>
          <w:p w14:paraId="789ACF44">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tcPr>
          <w:p w14:paraId="660E6DDE">
            <w:pPr>
              <w:rPr>
                <w:rFonts w:hint="eastAsia"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5299DBC0">
            <w:pPr>
              <w:rPr>
                <w:rFonts w:hint="eastAsia" w:ascii="宋体" w:hAnsi="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7390497C">
            <w:pPr>
              <w:rPr>
                <w:rFonts w:hint="eastAsia"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01601A1A">
            <w:pPr>
              <w:rPr>
                <w:rFonts w:hint="eastAsia" w:ascii="宋体" w:hAnsi="宋体"/>
                <w:color w:val="auto"/>
                <w:szCs w:val="21"/>
                <w:highlight w:val="none"/>
              </w:rPr>
            </w:pPr>
          </w:p>
        </w:tc>
        <w:tc>
          <w:tcPr>
            <w:tcW w:w="965" w:type="dxa"/>
            <w:tcBorders>
              <w:top w:val="single" w:color="auto" w:sz="4" w:space="0"/>
              <w:left w:val="single" w:color="auto" w:sz="4" w:space="0"/>
              <w:bottom w:val="single" w:color="auto" w:sz="4" w:space="0"/>
              <w:right w:val="single" w:color="auto" w:sz="4" w:space="0"/>
            </w:tcBorders>
          </w:tcPr>
          <w:p w14:paraId="5ED61B41">
            <w:pPr>
              <w:rPr>
                <w:rFonts w:hint="eastAsia" w:ascii="宋体" w:hAnsi="宋体"/>
                <w:color w:val="auto"/>
                <w:szCs w:val="21"/>
                <w:highlight w:val="none"/>
              </w:rPr>
            </w:pPr>
          </w:p>
        </w:tc>
      </w:tr>
      <w:tr w14:paraId="0B3F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BFD93CC">
            <w:pPr>
              <w:jc w:val="center"/>
              <w:rPr>
                <w:rFonts w:hint="eastAsia" w:ascii="宋体" w:hAnsi="宋体"/>
                <w:color w:val="auto"/>
                <w:szCs w:val="21"/>
                <w:highlight w:val="none"/>
              </w:rPr>
            </w:pPr>
            <w:r>
              <w:rPr>
                <w:rFonts w:ascii="宋体" w:hAnsi="宋体"/>
                <w:color w:val="auto"/>
                <w:szCs w:val="21"/>
                <w:highlight w:val="none"/>
              </w:rPr>
              <w:t>2</w:t>
            </w:r>
          </w:p>
        </w:tc>
        <w:tc>
          <w:tcPr>
            <w:tcW w:w="7662" w:type="dxa"/>
            <w:tcBorders>
              <w:top w:val="single" w:color="auto" w:sz="4" w:space="0"/>
              <w:left w:val="single" w:color="auto" w:sz="4" w:space="0"/>
              <w:bottom w:val="single" w:color="auto" w:sz="4" w:space="0"/>
              <w:right w:val="single" w:color="auto" w:sz="4" w:space="0"/>
            </w:tcBorders>
            <w:vAlign w:val="center"/>
          </w:tcPr>
          <w:p w14:paraId="4A1BEAA0">
            <w:pPr>
              <w:rPr>
                <w:rFonts w:hint="eastAsia" w:ascii="宋体" w:hAnsi="宋体"/>
                <w:color w:val="auto"/>
                <w:szCs w:val="21"/>
                <w:highlight w:val="none"/>
              </w:rPr>
            </w:pPr>
            <w:r>
              <w:rPr>
                <w:rFonts w:hint="eastAsia" w:ascii="宋体" w:hAnsi="宋体"/>
                <w:color w:val="auto"/>
                <w:szCs w:val="21"/>
                <w:highlight w:val="none"/>
              </w:rPr>
              <w:t>投标报价高于最高投标限价的</w:t>
            </w:r>
            <w:r>
              <w:rPr>
                <w:rFonts w:hint="eastAsia" w:ascii="宋体" w:hAnsi="宋体"/>
                <w:color w:val="auto"/>
                <w:szCs w:val="21"/>
                <w:highlight w:val="none"/>
                <w:u w:val="single"/>
              </w:rPr>
              <w:t>（即不符合</w:t>
            </w:r>
            <w:r>
              <w:rPr>
                <w:rFonts w:hint="eastAsia" w:ascii="宋体" w:hAnsi="宋体"/>
                <w:color w:val="auto"/>
                <w:highlight w:val="none"/>
                <w:u w:val="single"/>
              </w:rPr>
              <w:t>投标须知前附表中最高投标限价的规定</w:t>
            </w:r>
            <w:r>
              <w:rPr>
                <w:rFonts w:hint="eastAsia" w:ascii="宋体" w:hAnsi="宋体"/>
                <w:color w:val="auto"/>
                <w:szCs w:val="21"/>
                <w:highlight w:val="none"/>
                <w:u w:val="single"/>
              </w:rPr>
              <w:t>）</w:t>
            </w:r>
            <w:r>
              <w:rPr>
                <w:rFonts w:hint="eastAsia" w:ascii="宋体" w:hAnsi="宋体"/>
                <w:color w:val="auto"/>
                <w:szCs w:val="21"/>
                <w:highlight w:val="none"/>
              </w:rPr>
              <w:t>；</w:t>
            </w:r>
          </w:p>
        </w:tc>
        <w:tc>
          <w:tcPr>
            <w:tcW w:w="1211" w:type="dxa"/>
            <w:tcBorders>
              <w:top w:val="single" w:color="auto" w:sz="4" w:space="0"/>
              <w:left w:val="single" w:color="auto" w:sz="4" w:space="0"/>
              <w:bottom w:val="single" w:color="auto" w:sz="4" w:space="0"/>
              <w:right w:val="single" w:color="auto" w:sz="4" w:space="0"/>
            </w:tcBorders>
          </w:tcPr>
          <w:p w14:paraId="2C04DD29">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tcPr>
          <w:p w14:paraId="51A529FC">
            <w:pPr>
              <w:rPr>
                <w:rFonts w:hint="eastAsia"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48489C50">
            <w:pPr>
              <w:rPr>
                <w:rFonts w:hint="eastAsia" w:ascii="宋体" w:hAnsi="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24A174E4">
            <w:pPr>
              <w:rPr>
                <w:rFonts w:hint="eastAsia"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610E21C6">
            <w:pPr>
              <w:rPr>
                <w:rFonts w:hint="eastAsia" w:ascii="宋体" w:hAnsi="宋体"/>
                <w:color w:val="auto"/>
                <w:szCs w:val="21"/>
                <w:highlight w:val="none"/>
              </w:rPr>
            </w:pPr>
          </w:p>
        </w:tc>
        <w:tc>
          <w:tcPr>
            <w:tcW w:w="965" w:type="dxa"/>
            <w:tcBorders>
              <w:top w:val="single" w:color="auto" w:sz="4" w:space="0"/>
              <w:left w:val="single" w:color="auto" w:sz="4" w:space="0"/>
              <w:bottom w:val="single" w:color="auto" w:sz="4" w:space="0"/>
              <w:right w:val="single" w:color="auto" w:sz="4" w:space="0"/>
            </w:tcBorders>
          </w:tcPr>
          <w:p w14:paraId="763285B0">
            <w:pPr>
              <w:rPr>
                <w:rFonts w:hint="eastAsia" w:ascii="宋体" w:hAnsi="宋体"/>
                <w:color w:val="auto"/>
                <w:szCs w:val="21"/>
                <w:highlight w:val="none"/>
              </w:rPr>
            </w:pPr>
          </w:p>
        </w:tc>
      </w:tr>
      <w:tr w14:paraId="52A3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4BDCC5D">
            <w:pPr>
              <w:jc w:val="center"/>
              <w:rPr>
                <w:rFonts w:hint="eastAsia" w:ascii="宋体" w:hAnsi="宋体"/>
                <w:color w:val="auto"/>
                <w:szCs w:val="21"/>
                <w:highlight w:val="none"/>
              </w:rPr>
            </w:pPr>
            <w:r>
              <w:rPr>
                <w:rFonts w:ascii="宋体" w:hAnsi="宋体"/>
                <w:color w:val="auto"/>
                <w:szCs w:val="21"/>
                <w:highlight w:val="none"/>
              </w:rPr>
              <w:t>3</w:t>
            </w:r>
          </w:p>
        </w:tc>
        <w:tc>
          <w:tcPr>
            <w:tcW w:w="7662" w:type="dxa"/>
            <w:tcBorders>
              <w:top w:val="single" w:color="auto" w:sz="4" w:space="0"/>
              <w:left w:val="single" w:color="auto" w:sz="4" w:space="0"/>
              <w:bottom w:val="single" w:color="auto" w:sz="4" w:space="0"/>
              <w:right w:val="single" w:color="auto" w:sz="4" w:space="0"/>
            </w:tcBorders>
            <w:vAlign w:val="center"/>
          </w:tcPr>
          <w:p w14:paraId="2055C93B">
            <w:pPr>
              <w:autoSpaceDE w:val="0"/>
              <w:autoSpaceDN w:val="0"/>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（投标人的报价明显低于其他投标报价或者低于成本警示价，使得其投标报价可能低于其个别成本，并且投标人不能合理说明或者不能提供相关证明材料的，由评标委员会认定该投标人以低于成本报价竞标）；</w:t>
            </w:r>
          </w:p>
        </w:tc>
        <w:tc>
          <w:tcPr>
            <w:tcW w:w="1211" w:type="dxa"/>
            <w:tcBorders>
              <w:top w:val="single" w:color="auto" w:sz="4" w:space="0"/>
              <w:left w:val="single" w:color="auto" w:sz="4" w:space="0"/>
              <w:bottom w:val="single" w:color="auto" w:sz="4" w:space="0"/>
              <w:right w:val="single" w:color="auto" w:sz="4" w:space="0"/>
            </w:tcBorders>
          </w:tcPr>
          <w:p w14:paraId="16158DD0">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tcPr>
          <w:p w14:paraId="53EE32F0">
            <w:pPr>
              <w:rPr>
                <w:rFonts w:hint="eastAsia"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7424FAE0">
            <w:pPr>
              <w:rPr>
                <w:rFonts w:hint="eastAsia" w:ascii="宋体" w:hAnsi="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49B94D79">
            <w:pPr>
              <w:rPr>
                <w:rFonts w:hint="eastAsia"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64DDFC96">
            <w:pPr>
              <w:rPr>
                <w:rFonts w:hint="eastAsia" w:ascii="宋体" w:hAnsi="宋体"/>
                <w:color w:val="auto"/>
                <w:szCs w:val="21"/>
                <w:highlight w:val="none"/>
              </w:rPr>
            </w:pPr>
          </w:p>
        </w:tc>
        <w:tc>
          <w:tcPr>
            <w:tcW w:w="965" w:type="dxa"/>
            <w:tcBorders>
              <w:top w:val="single" w:color="auto" w:sz="4" w:space="0"/>
              <w:left w:val="single" w:color="auto" w:sz="4" w:space="0"/>
              <w:bottom w:val="single" w:color="auto" w:sz="4" w:space="0"/>
              <w:right w:val="single" w:color="auto" w:sz="4" w:space="0"/>
            </w:tcBorders>
          </w:tcPr>
          <w:p w14:paraId="332FFA55">
            <w:pPr>
              <w:rPr>
                <w:rFonts w:hint="eastAsia" w:ascii="宋体" w:hAnsi="宋体"/>
                <w:color w:val="auto"/>
                <w:szCs w:val="21"/>
                <w:highlight w:val="none"/>
              </w:rPr>
            </w:pPr>
          </w:p>
        </w:tc>
      </w:tr>
      <w:tr w14:paraId="1052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E7537BB">
            <w:pPr>
              <w:jc w:val="center"/>
              <w:rPr>
                <w:rFonts w:hint="eastAsia" w:ascii="宋体" w:hAnsi="宋体"/>
                <w:color w:val="auto"/>
                <w:szCs w:val="21"/>
                <w:highlight w:val="none"/>
              </w:rPr>
            </w:pPr>
            <w:r>
              <w:rPr>
                <w:rFonts w:ascii="宋体" w:hAnsi="宋体"/>
                <w:color w:val="auto"/>
                <w:szCs w:val="21"/>
                <w:highlight w:val="none"/>
              </w:rPr>
              <w:t>4</w:t>
            </w:r>
          </w:p>
        </w:tc>
        <w:tc>
          <w:tcPr>
            <w:tcW w:w="7662" w:type="dxa"/>
            <w:tcBorders>
              <w:top w:val="single" w:color="auto" w:sz="4" w:space="0"/>
              <w:left w:val="single" w:color="auto" w:sz="4" w:space="0"/>
              <w:bottom w:val="single" w:color="auto" w:sz="4" w:space="0"/>
              <w:right w:val="single" w:color="auto" w:sz="4" w:space="0"/>
            </w:tcBorders>
            <w:vAlign w:val="center"/>
          </w:tcPr>
          <w:p w14:paraId="61E7C21F">
            <w:pPr>
              <w:rPr>
                <w:rFonts w:hint="eastAsia" w:ascii="宋体" w:hAnsi="宋体" w:cs="宋体"/>
                <w:color w:val="auto"/>
                <w:szCs w:val="21"/>
                <w:highlight w:val="none"/>
              </w:rPr>
            </w:pPr>
            <w:r>
              <w:rPr>
                <w:rFonts w:hint="eastAsia" w:ascii="宋体" w:hAnsi="宋体"/>
                <w:bCs/>
                <w:color w:val="auto"/>
                <w:szCs w:val="21"/>
                <w:highlight w:val="none"/>
              </w:rPr>
              <w:t>投标文件未按规定的格式填写</w:t>
            </w:r>
            <w:r>
              <w:rPr>
                <w:rFonts w:hint="eastAsia" w:ascii="宋体" w:hAnsi="宋体"/>
                <w:color w:val="auto"/>
                <w:highlight w:val="none"/>
                <w:u w:val="single"/>
              </w:rPr>
              <w:t>（指招标文件第四章提供格式的</w:t>
            </w:r>
            <w:r>
              <w:rPr>
                <w:rFonts w:hint="eastAsia" w:ascii="宋体" w:hAnsi="宋体"/>
                <w:b/>
                <w:color w:val="auto"/>
                <w:highlight w:val="none"/>
                <w:u w:val="single"/>
              </w:rPr>
              <w:t>《广州建设工程施工招标投标书（经济标）》</w:t>
            </w:r>
            <w:r>
              <w:rPr>
                <w:rFonts w:hint="eastAsia" w:ascii="宋体" w:hAnsi="宋体"/>
                <w:bCs/>
                <w:color w:val="auto"/>
                <w:szCs w:val="21"/>
                <w:highlight w:val="none"/>
              </w:rPr>
              <w:t>），或主要内容不全，或关键字迹模糊、无法辨认的；</w:t>
            </w:r>
          </w:p>
        </w:tc>
        <w:tc>
          <w:tcPr>
            <w:tcW w:w="1211" w:type="dxa"/>
            <w:tcBorders>
              <w:top w:val="single" w:color="auto" w:sz="4" w:space="0"/>
              <w:left w:val="single" w:color="auto" w:sz="4" w:space="0"/>
              <w:bottom w:val="single" w:color="auto" w:sz="4" w:space="0"/>
              <w:right w:val="single" w:color="auto" w:sz="4" w:space="0"/>
            </w:tcBorders>
          </w:tcPr>
          <w:p w14:paraId="130EFA27">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tcPr>
          <w:p w14:paraId="409F6A4F">
            <w:pPr>
              <w:rPr>
                <w:rFonts w:hint="eastAsia"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3EBE1EC2">
            <w:pPr>
              <w:rPr>
                <w:rFonts w:hint="eastAsia" w:ascii="宋体" w:hAnsi="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1EAECBF3">
            <w:pPr>
              <w:rPr>
                <w:rFonts w:hint="eastAsia"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32D2EA17">
            <w:pPr>
              <w:rPr>
                <w:rFonts w:hint="eastAsia" w:ascii="宋体" w:hAnsi="宋体"/>
                <w:color w:val="auto"/>
                <w:szCs w:val="21"/>
                <w:highlight w:val="none"/>
              </w:rPr>
            </w:pPr>
          </w:p>
        </w:tc>
        <w:tc>
          <w:tcPr>
            <w:tcW w:w="965" w:type="dxa"/>
            <w:tcBorders>
              <w:top w:val="single" w:color="auto" w:sz="4" w:space="0"/>
              <w:left w:val="single" w:color="auto" w:sz="4" w:space="0"/>
              <w:bottom w:val="single" w:color="auto" w:sz="4" w:space="0"/>
              <w:right w:val="single" w:color="auto" w:sz="4" w:space="0"/>
            </w:tcBorders>
          </w:tcPr>
          <w:p w14:paraId="606B52C3">
            <w:pPr>
              <w:rPr>
                <w:rFonts w:hint="eastAsia" w:ascii="宋体" w:hAnsi="宋体"/>
                <w:color w:val="auto"/>
                <w:szCs w:val="21"/>
                <w:highlight w:val="none"/>
              </w:rPr>
            </w:pPr>
          </w:p>
        </w:tc>
      </w:tr>
      <w:tr w14:paraId="2DFC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C7756EF">
            <w:pPr>
              <w:jc w:val="center"/>
              <w:rPr>
                <w:rFonts w:hint="eastAsia" w:ascii="宋体" w:hAnsi="宋体"/>
                <w:color w:val="auto"/>
                <w:szCs w:val="21"/>
                <w:highlight w:val="none"/>
              </w:rPr>
            </w:pPr>
            <w:r>
              <w:rPr>
                <w:rFonts w:ascii="宋体" w:hAnsi="宋体"/>
                <w:color w:val="auto"/>
                <w:szCs w:val="21"/>
                <w:highlight w:val="none"/>
              </w:rPr>
              <w:t>5</w:t>
            </w:r>
          </w:p>
        </w:tc>
        <w:tc>
          <w:tcPr>
            <w:tcW w:w="7662" w:type="dxa"/>
            <w:tcBorders>
              <w:top w:val="single" w:color="auto" w:sz="4" w:space="0"/>
              <w:left w:val="single" w:color="auto" w:sz="4" w:space="0"/>
              <w:bottom w:val="single" w:color="auto" w:sz="4" w:space="0"/>
              <w:right w:val="single" w:color="auto" w:sz="4" w:space="0"/>
            </w:tcBorders>
            <w:vAlign w:val="center"/>
          </w:tcPr>
          <w:p w14:paraId="294ECB5E">
            <w:pPr>
              <w:rPr>
                <w:rFonts w:hint="eastAsia" w:ascii="宋体" w:hAnsi="宋体"/>
                <w:color w:val="auto"/>
                <w:szCs w:val="21"/>
                <w:highlight w:val="none"/>
              </w:rPr>
            </w:pPr>
            <w:r>
              <w:rPr>
                <w:rFonts w:hint="eastAsia" w:ascii="宋体" w:hAnsi="宋体"/>
                <w:color w:val="auto"/>
                <w:szCs w:val="21"/>
                <w:highlight w:val="none"/>
              </w:rPr>
              <w:t>投标人之间存在《</w:t>
            </w:r>
            <w:r>
              <w:rPr>
                <w:rFonts w:hint="eastAsia" w:ascii="宋体" w:hAnsi="宋体"/>
                <w:color w:val="auto"/>
                <w:szCs w:val="21"/>
                <w:highlight w:val="none"/>
                <w:lang w:eastAsia="zh-CN"/>
              </w:rPr>
              <w:t>广东省实施〈中华人民共和国招标投标法〉办法</w:t>
            </w:r>
            <w:r>
              <w:rPr>
                <w:rFonts w:ascii="宋体" w:hAnsi="宋体"/>
                <w:color w:val="auto"/>
                <w:szCs w:val="21"/>
                <w:highlight w:val="none"/>
              </w:rPr>
              <w:t>》第十六条所禁止的情形的；</w:t>
            </w:r>
          </w:p>
        </w:tc>
        <w:tc>
          <w:tcPr>
            <w:tcW w:w="1211" w:type="dxa"/>
            <w:tcBorders>
              <w:top w:val="single" w:color="auto" w:sz="4" w:space="0"/>
              <w:left w:val="single" w:color="auto" w:sz="4" w:space="0"/>
              <w:bottom w:val="single" w:color="auto" w:sz="4" w:space="0"/>
              <w:right w:val="single" w:color="auto" w:sz="4" w:space="0"/>
            </w:tcBorders>
          </w:tcPr>
          <w:p w14:paraId="4EDCA5FF">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tcPr>
          <w:p w14:paraId="01D9011B">
            <w:pPr>
              <w:rPr>
                <w:rFonts w:hint="eastAsia"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7D0C17A3">
            <w:pPr>
              <w:rPr>
                <w:rFonts w:hint="eastAsia" w:ascii="宋体" w:hAnsi="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53F3B636">
            <w:pPr>
              <w:rPr>
                <w:rFonts w:hint="eastAsia"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47A2190C">
            <w:pPr>
              <w:rPr>
                <w:rFonts w:hint="eastAsia" w:ascii="宋体" w:hAnsi="宋体"/>
                <w:color w:val="auto"/>
                <w:szCs w:val="21"/>
                <w:highlight w:val="none"/>
              </w:rPr>
            </w:pPr>
          </w:p>
        </w:tc>
        <w:tc>
          <w:tcPr>
            <w:tcW w:w="965" w:type="dxa"/>
            <w:tcBorders>
              <w:top w:val="single" w:color="auto" w:sz="4" w:space="0"/>
              <w:left w:val="single" w:color="auto" w:sz="4" w:space="0"/>
              <w:bottom w:val="single" w:color="auto" w:sz="4" w:space="0"/>
              <w:right w:val="single" w:color="auto" w:sz="4" w:space="0"/>
            </w:tcBorders>
          </w:tcPr>
          <w:p w14:paraId="30A7BCA0">
            <w:pPr>
              <w:rPr>
                <w:rFonts w:hint="eastAsia" w:ascii="宋体" w:hAnsi="宋体"/>
                <w:color w:val="auto"/>
                <w:szCs w:val="21"/>
                <w:highlight w:val="none"/>
              </w:rPr>
            </w:pPr>
          </w:p>
        </w:tc>
      </w:tr>
      <w:tr w14:paraId="0C3D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8020AD7">
            <w:pPr>
              <w:jc w:val="center"/>
              <w:rPr>
                <w:rFonts w:hint="eastAsia" w:ascii="宋体" w:hAnsi="宋体"/>
                <w:color w:val="auto"/>
                <w:szCs w:val="21"/>
                <w:highlight w:val="none"/>
              </w:rPr>
            </w:pPr>
            <w:r>
              <w:rPr>
                <w:rFonts w:ascii="宋体" w:hAnsi="宋体"/>
                <w:color w:val="auto"/>
                <w:szCs w:val="21"/>
                <w:highlight w:val="none"/>
              </w:rPr>
              <w:t>6</w:t>
            </w:r>
          </w:p>
        </w:tc>
        <w:tc>
          <w:tcPr>
            <w:tcW w:w="7662" w:type="dxa"/>
            <w:tcBorders>
              <w:top w:val="single" w:color="auto" w:sz="4" w:space="0"/>
              <w:left w:val="single" w:color="auto" w:sz="4" w:space="0"/>
              <w:bottom w:val="single" w:color="auto" w:sz="4" w:space="0"/>
              <w:right w:val="single" w:color="auto" w:sz="4" w:space="0"/>
            </w:tcBorders>
            <w:vAlign w:val="center"/>
          </w:tcPr>
          <w:p w14:paraId="4166AF73">
            <w:pPr>
              <w:rPr>
                <w:rFonts w:hint="eastAsia"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211" w:type="dxa"/>
            <w:tcBorders>
              <w:top w:val="single" w:color="auto" w:sz="4" w:space="0"/>
              <w:left w:val="single" w:color="auto" w:sz="4" w:space="0"/>
              <w:bottom w:val="single" w:color="auto" w:sz="4" w:space="0"/>
              <w:right w:val="single" w:color="auto" w:sz="4" w:space="0"/>
            </w:tcBorders>
          </w:tcPr>
          <w:p w14:paraId="1B65A459">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tcPr>
          <w:p w14:paraId="255EAE72">
            <w:pPr>
              <w:rPr>
                <w:rFonts w:hint="eastAsia"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3C570329">
            <w:pPr>
              <w:rPr>
                <w:rFonts w:hint="eastAsia" w:ascii="宋体" w:hAnsi="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71211B20">
            <w:pPr>
              <w:rPr>
                <w:rFonts w:hint="eastAsia"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1E1A95A9">
            <w:pPr>
              <w:rPr>
                <w:rFonts w:hint="eastAsia" w:ascii="宋体" w:hAnsi="宋体"/>
                <w:color w:val="auto"/>
                <w:szCs w:val="21"/>
                <w:highlight w:val="none"/>
              </w:rPr>
            </w:pPr>
          </w:p>
        </w:tc>
        <w:tc>
          <w:tcPr>
            <w:tcW w:w="965" w:type="dxa"/>
            <w:tcBorders>
              <w:top w:val="single" w:color="auto" w:sz="4" w:space="0"/>
              <w:left w:val="single" w:color="auto" w:sz="4" w:space="0"/>
              <w:bottom w:val="single" w:color="auto" w:sz="4" w:space="0"/>
              <w:right w:val="single" w:color="auto" w:sz="4" w:space="0"/>
            </w:tcBorders>
          </w:tcPr>
          <w:p w14:paraId="7CEC31C2">
            <w:pPr>
              <w:rPr>
                <w:rFonts w:hint="eastAsia" w:ascii="宋体" w:hAnsi="宋体"/>
                <w:color w:val="auto"/>
                <w:szCs w:val="21"/>
                <w:highlight w:val="none"/>
              </w:rPr>
            </w:pPr>
          </w:p>
        </w:tc>
      </w:tr>
      <w:tr w14:paraId="3FF4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B5F17AF">
            <w:pPr>
              <w:jc w:val="center"/>
              <w:rPr>
                <w:rFonts w:hint="eastAsia" w:ascii="宋体" w:hAnsi="宋体"/>
                <w:color w:val="auto"/>
                <w:szCs w:val="21"/>
                <w:highlight w:val="none"/>
              </w:rPr>
            </w:pPr>
            <w:r>
              <w:rPr>
                <w:rFonts w:ascii="宋体" w:hAnsi="宋体"/>
                <w:color w:val="auto"/>
                <w:szCs w:val="21"/>
                <w:highlight w:val="none"/>
              </w:rPr>
              <w:t>7</w:t>
            </w:r>
          </w:p>
        </w:tc>
        <w:tc>
          <w:tcPr>
            <w:tcW w:w="7662" w:type="dxa"/>
            <w:tcBorders>
              <w:top w:val="single" w:color="auto" w:sz="4" w:space="0"/>
              <w:left w:val="single" w:color="auto" w:sz="4" w:space="0"/>
              <w:bottom w:val="single" w:color="auto" w:sz="4" w:space="0"/>
              <w:right w:val="single" w:color="auto" w:sz="4" w:space="0"/>
            </w:tcBorders>
            <w:vAlign w:val="center"/>
          </w:tcPr>
          <w:p w14:paraId="4A1C5576">
            <w:pPr>
              <w:rPr>
                <w:rFonts w:hint="eastAsia" w:ascii="宋体" w:hAnsi="宋体"/>
                <w:color w:val="auto"/>
                <w:szCs w:val="21"/>
                <w:highlight w:val="none"/>
              </w:rPr>
            </w:pPr>
            <w:r>
              <w:rPr>
                <w:rFonts w:hint="eastAsia" w:ascii="宋体" w:hAnsi="宋体"/>
                <w:color w:val="auto"/>
                <w:szCs w:val="21"/>
                <w:highlight w:val="none"/>
              </w:rPr>
              <w:t>无《对投标文件编制的承诺》；</w:t>
            </w:r>
          </w:p>
        </w:tc>
        <w:tc>
          <w:tcPr>
            <w:tcW w:w="1211" w:type="dxa"/>
            <w:tcBorders>
              <w:top w:val="single" w:color="auto" w:sz="4" w:space="0"/>
              <w:left w:val="single" w:color="auto" w:sz="4" w:space="0"/>
              <w:bottom w:val="single" w:color="auto" w:sz="4" w:space="0"/>
              <w:right w:val="single" w:color="auto" w:sz="4" w:space="0"/>
            </w:tcBorders>
          </w:tcPr>
          <w:p w14:paraId="3C07753F">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tcPr>
          <w:p w14:paraId="0529C283">
            <w:pPr>
              <w:rPr>
                <w:rFonts w:hint="eastAsia"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2E17E027">
            <w:pPr>
              <w:rPr>
                <w:rFonts w:hint="eastAsia" w:ascii="宋体" w:hAnsi="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64FEF35C">
            <w:pPr>
              <w:rPr>
                <w:rFonts w:hint="eastAsia"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23CAFD4B">
            <w:pPr>
              <w:rPr>
                <w:rFonts w:hint="eastAsia" w:ascii="宋体" w:hAnsi="宋体"/>
                <w:color w:val="auto"/>
                <w:szCs w:val="21"/>
                <w:highlight w:val="none"/>
              </w:rPr>
            </w:pPr>
          </w:p>
        </w:tc>
        <w:tc>
          <w:tcPr>
            <w:tcW w:w="965" w:type="dxa"/>
            <w:tcBorders>
              <w:top w:val="single" w:color="auto" w:sz="4" w:space="0"/>
              <w:left w:val="single" w:color="auto" w:sz="4" w:space="0"/>
              <w:bottom w:val="single" w:color="auto" w:sz="4" w:space="0"/>
              <w:right w:val="single" w:color="auto" w:sz="4" w:space="0"/>
            </w:tcBorders>
          </w:tcPr>
          <w:p w14:paraId="3D63FD2A">
            <w:pPr>
              <w:rPr>
                <w:rFonts w:hint="eastAsia" w:ascii="宋体" w:hAnsi="宋体"/>
                <w:color w:val="auto"/>
                <w:szCs w:val="21"/>
                <w:highlight w:val="none"/>
              </w:rPr>
            </w:pPr>
          </w:p>
        </w:tc>
      </w:tr>
      <w:tr w14:paraId="44F9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F18BA6A">
            <w:pPr>
              <w:jc w:val="center"/>
              <w:rPr>
                <w:rFonts w:hint="eastAsia" w:ascii="宋体" w:hAnsi="宋体"/>
                <w:color w:val="auto"/>
                <w:szCs w:val="21"/>
                <w:highlight w:val="none"/>
              </w:rPr>
            </w:pPr>
            <w:r>
              <w:rPr>
                <w:rFonts w:ascii="宋体" w:hAnsi="宋体"/>
                <w:color w:val="auto"/>
                <w:szCs w:val="21"/>
                <w:highlight w:val="none"/>
              </w:rPr>
              <w:t>8</w:t>
            </w:r>
          </w:p>
        </w:tc>
        <w:tc>
          <w:tcPr>
            <w:tcW w:w="7662" w:type="dxa"/>
            <w:tcBorders>
              <w:top w:val="single" w:color="auto" w:sz="4" w:space="0"/>
              <w:left w:val="single" w:color="auto" w:sz="4" w:space="0"/>
              <w:bottom w:val="single" w:color="auto" w:sz="4" w:space="0"/>
              <w:right w:val="single" w:color="auto" w:sz="4" w:space="0"/>
            </w:tcBorders>
            <w:vAlign w:val="center"/>
          </w:tcPr>
          <w:p w14:paraId="42B4341F">
            <w:pPr>
              <w:rPr>
                <w:rFonts w:hint="eastAsia"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p>
        </w:tc>
        <w:tc>
          <w:tcPr>
            <w:tcW w:w="1211" w:type="dxa"/>
            <w:tcBorders>
              <w:top w:val="single" w:color="auto" w:sz="4" w:space="0"/>
              <w:left w:val="single" w:color="auto" w:sz="4" w:space="0"/>
              <w:bottom w:val="single" w:color="auto" w:sz="4" w:space="0"/>
              <w:right w:val="single" w:color="auto" w:sz="4" w:space="0"/>
            </w:tcBorders>
          </w:tcPr>
          <w:p w14:paraId="16406B45">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tcPr>
          <w:p w14:paraId="40600005">
            <w:pPr>
              <w:rPr>
                <w:rFonts w:hint="eastAsia"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tcPr>
          <w:p w14:paraId="3DEDA45F">
            <w:pPr>
              <w:rPr>
                <w:rFonts w:hint="eastAsia" w:ascii="宋体" w:hAnsi="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60C7A135">
            <w:pPr>
              <w:rPr>
                <w:rFonts w:hint="eastAsia"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65806025">
            <w:pPr>
              <w:rPr>
                <w:rFonts w:hint="eastAsia" w:ascii="宋体" w:hAnsi="宋体"/>
                <w:color w:val="auto"/>
                <w:szCs w:val="21"/>
                <w:highlight w:val="none"/>
              </w:rPr>
            </w:pPr>
          </w:p>
        </w:tc>
        <w:tc>
          <w:tcPr>
            <w:tcW w:w="965" w:type="dxa"/>
            <w:tcBorders>
              <w:top w:val="single" w:color="auto" w:sz="4" w:space="0"/>
              <w:left w:val="single" w:color="auto" w:sz="4" w:space="0"/>
              <w:bottom w:val="single" w:color="auto" w:sz="4" w:space="0"/>
              <w:right w:val="single" w:color="auto" w:sz="4" w:space="0"/>
            </w:tcBorders>
          </w:tcPr>
          <w:p w14:paraId="08F548E1">
            <w:pPr>
              <w:rPr>
                <w:rFonts w:hint="eastAsia" w:ascii="宋体" w:hAnsi="宋体"/>
                <w:color w:val="auto"/>
                <w:szCs w:val="21"/>
                <w:highlight w:val="none"/>
              </w:rPr>
            </w:pPr>
          </w:p>
        </w:tc>
      </w:tr>
    </w:tbl>
    <w:p w14:paraId="4F73146A">
      <w:pPr>
        <w:ind w:firstLine="458"/>
        <w:rPr>
          <w:rFonts w:hint="eastAsia"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w:t>
      </w:r>
    </w:p>
    <w:p w14:paraId="0CE2F509">
      <w:pPr>
        <w:ind w:firstLine="458"/>
        <w:rPr>
          <w:rFonts w:hint="eastAsia"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79DF1B87">
      <w:pPr>
        <w:ind w:firstLine="458"/>
        <w:rPr>
          <w:rFonts w:hint="eastAsia"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396A842C">
      <w:pPr>
        <w:ind w:firstLine="458"/>
        <w:rPr>
          <w:rFonts w:hint="eastAsia"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格式或文字、计算错误、投标报价可能低于成本影响履约的，应当要求投标人作必要的澄清、说明后再判定投标人是否通过有效性审查，不得直接否决投标。</w:t>
      </w:r>
    </w:p>
    <w:p w14:paraId="056080A0">
      <w:pPr>
        <w:pStyle w:val="5"/>
        <w:rPr>
          <w:rFonts w:hint="eastAsia"/>
          <w:color w:val="auto"/>
          <w:highlight w:val="none"/>
        </w:rPr>
      </w:pPr>
      <w:r>
        <w:rPr>
          <w:color w:val="auto"/>
          <w:highlight w:val="none"/>
        </w:rPr>
        <w:br w:type="page"/>
      </w:r>
    </w:p>
    <w:p w14:paraId="62332D00">
      <w:pPr>
        <w:pStyle w:val="5"/>
        <w:rPr>
          <w:rFonts w:hint="eastAsia"/>
          <w:color w:val="auto"/>
          <w:highlight w:val="none"/>
        </w:rPr>
        <w:sectPr>
          <w:endnotePr>
            <w:numFmt w:val="decimal"/>
          </w:endnotePr>
          <w:type w:val="continuous"/>
          <w:pgSz w:w="16838" w:h="11906" w:orient="landscape"/>
          <w:pgMar w:top="1440" w:right="1080" w:bottom="1440" w:left="1080" w:header="851" w:footer="907" w:gutter="0"/>
          <w:cols w:space="720" w:num="1"/>
          <w:titlePg/>
          <w:docGrid w:type="lines" w:linePitch="312" w:charSpace="0"/>
        </w:sectPr>
      </w:pPr>
    </w:p>
    <w:p w14:paraId="4FD44455">
      <w:pPr>
        <w:pStyle w:val="8"/>
        <w:rPr>
          <w:rFonts w:hint="eastAsia"/>
          <w:color w:val="auto"/>
          <w:highlight w:val="none"/>
        </w:rPr>
      </w:pPr>
      <w:bookmarkStart w:id="62" w:name="_Toc194440088"/>
      <w:bookmarkStart w:id="63" w:name="_Toc161237394"/>
      <w:r>
        <w:rPr>
          <w:rFonts w:hint="eastAsia"/>
          <w:color w:val="auto"/>
          <w:highlight w:val="none"/>
        </w:rPr>
        <w:t>附表四</w:t>
      </w:r>
      <w:bookmarkEnd w:id="62"/>
      <w:bookmarkEnd w:id="63"/>
    </w:p>
    <w:p w14:paraId="1D4E3FD1">
      <w:pPr>
        <w:jc w:val="center"/>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技术标详细审查评分表</w:t>
      </w:r>
    </w:p>
    <w:p w14:paraId="5DF3094B">
      <w:pPr>
        <w:widowControl/>
        <w:shd w:val="clear" w:color="auto" w:fill="FFFFFF"/>
        <w:rPr>
          <w:rFonts w:hint="eastAsia" w:ascii="宋体" w:hAnsi="宋体" w:cs="宋体"/>
          <w:color w:val="auto"/>
          <w:szCs w:val="21"/>
          <w:highlight w:val="none"/>
        </w:rPr>
      </w:pPr>
      <w:r>
        <w:rPr>
          <w:rFonts w:hint="eastAsia" w:ascii="宋体" w:hAnsi="宋体" w:cs="宋体"/>
          <w:color w:val="auto"/>
          <w:szCs w:val="21"/>
          <w:highlight w:val="none"/>
        </w:rPr>
        <w:t>工程名称：</w:t>
      </w:r>
    </w:p>
    <w:p w14:paraId="36FDC4D6">
      <w:pPr>
        <w:ind w:firstLine="424" w:firstLineChars="202"/>
        <w:rPr>
          <w:rFonts w:hint="eastAsia" w:ascii="宋体" w:hAnsi="宋体"/>
          <w:color w:val="auto"/>
          <w:szCs w:val="21"/>
          <w:highlight w:val="non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83"/>
        <w:gridCol w:w="650"/>
        <w:gridCol w:w="11237"/>
      </w:tblGrid>
      <w:tr w14:paraId="6321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Align w:val="center"/>
          </w:tcPr>
          <w:p w14:paraId="01AFFFA2">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评分项目</w:t>
            </w:r>
          </w:p>
        </w:tc>
        <w:tc>
          <w:tcPr>
            <w:tcW w:w="2183" w:type="dxa"/>
            <w:vAlign w:val="center"/>
          </w:tcPr>
          <w:p w14:paraId="1DFAC65E">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评分内容</w:t>
            </w:r>
          </w:p>
        </w:tc>
        <w:tc>
          <w:tcPr>
            <w:tcW w:w="650" w:type="dxa"/>
            <w:vAlign w:val="center"/>
          </w:tcPr>
          <w:p w14:paraId="6074348D">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11237" w:type="dxa"/>
            <w:vAlign w:val="center"/>
          </w:tcPr>
          <w:p w14:paraId="04F31150">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评审标准</w:t>
            </w:r>
          </w:p>
        </w:tc>
      </w:tr>
      <w:tr w14:paraId="5434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restart"/>
            <w:vAlign w:val="center"/>
          </w:tcPr>
          <w:p w14:paraId="7F3FC93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一、企业资信（20分）</w:t>
            </w:r>
          </w:p>
        </w:tc>
        <w:tc>
          <w:tcPr>
            <w:tcW w:w="2183" w:type="dxa"/>
            <w:vAlign w:val="center"/>
          </w:tcPr>
          <w:p w14:paraId="1D4E46F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类似工程业绩</w:t>
            </w:r>
          </w:p>
        </w:tc>
        <w:tc>
          <w:tcPr>
            <w:tcW w:w="650" w:type="dxa"/>
            <w:vAlign w:val="center"/>
          </w:tcPr>
          <w:p w14:paraId="5249B2B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1237" w:type="dxa"/>
            <w:vAlign w:val="center"/>
          </w:tcPr>
          <w:p w14:paraId="4E92FF65">
            <w:pPr>
              <w:spacing w:line="276" w:lineRule="auto"/>
              <w:rPr>
                <w:rFonts w:hint="eastAsia" w:ascii="宋体" w:hAnsi="宋体"/>
                <w:color w:val="auto"/>
                <w:szCs w:val="21"/>
                <w:highlight w:val="none"/>
              </w:rPr>
            </w:pPr>
            <w:r>
              <w:rPr>
                <w:rFonts w:hint="eastAsia" w:ascii="宋体" w:hAnsi="宋体"/>
                <w:color w:val="auto"/>
                <w:szCs w:val="21"/>
                <w:highlight w:val="none"/>
              </w:rPr>
              <w:t>投标人自2022年1月1日至投标截止时间止，完成过质量合格的类似工程业绩，每项得2分，最多得4分。</w:t>
            </w:r>
          </w:p>
        </w:tc>
      </w:tr>
      <w:tr w14:paraId="1A32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continue"/>
            <w:vAlign w:val="center"/>
          </w:tcPr>
          <w:p w14:paraId="4E6B7204">
            <w:pPr>
              <w:spacing w:line="276" w:lineRule="auto"/>
              <w:jc w:val="center"/>
              <w:rPr>
                <w:rFonts w:hint="eastAsia" w:ascii="宋体" w:hAnsi="宋体" w:cs="宋体"/>
                <w:color w:val="auto"/>
                <w:szCs w:val="21"/>
                <w:highlight w:val="none"/>
              </w:rPr>
            </w:pPr>
          </w:p>
        </w:tc>
        <w:tc>
          <w:tcPr>
            <w:tcW w:w="2183" w:type="dxa"/>
            <w:vAlign w:val="center"/>
          </w:tcPr>
          <w:p w14:paraId="2200424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工程获奖</w:t>
            </w:r>
          </w:p>
        </w:tc>
        <w:tc>
          <w:tcPr>
            <w:tcW w:w="650" w:type="dxa"/>
            <w:vAlign w:val="center"/>
          </w:tcPr>
          <w:p w14:paraId="31EDEC4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1237" w:type="dxa"/>
            <w:vAlign w:val="center"/>
          </w:tcPr>
          <w:p w14:paraId="15B7C619">
            <w:pPr>
              <w:spacing w:line="276" w:lineRule="auto"/>
              <w:rPr>
                <w:rFonts w:hint="eastAsia" w:ascii="宋体" w:hAnsi="宋体"/>
                <w:color w:val="auto"/>
                <w:szCs w:val="21"/>
                <w:highlight w:val="none"/>
              </w:rPr>
            </w:pPr>
            <w:r>
              <w:rPr>
                <w:rFonts w:hint="eastAsia" w:ascii="宋体" w:hAnsi="宋体"/>
                <w:color w:val="auto"/>
                <w:szCs w:val="21"/>
                <w:highlight w:val="none"/>
              </w:rPr>
              <w:t>投标人承建的</w:t>
            </w:r>
            <w:r>
              <w:rPr>
                <w:rFonts w:hint="eastAsia" w:ascii="宋体" w:hAnsi="宋体" w:cs="宋体"/>
                <w:color w:val="auto"/>
                <w:szCs w:val="21"/>
                <w:highlight w:val="none"/>
              </w:rPr>
              <w:t>市政公用工程施工业绩，</w:t>
            </w:r>
            <w:r>
              <w:rPr>
                <w:rFonts w:hint="eastAsia" w:ascii="宋体" w:hAnsi="宋体"/>
                <w:color w:val="auto"/>
                <w:szCs w:val="21"/>
                <w:highlight w:val="none"/>
              </w:rPr>
              <w:t>自2022年1月1日至投标截止时间止（以获奖证书颁发时间），获得过市级</w:t>
            </w:r>
            <w:r>
              <w:rPr>
                <w:rFonts w:hint="eastAsia" w:ascii="宋体" w:hAnsi="宋体"/>
                <w:color w:val="auto"/>
                <w:szCs w:val="21"/>
                <w:highlight w:val="none"/>
                <w:lang w:eastAsia="zh-CN"/>
              </w:rPr>
              <w:t>（</w:t>
            </w:r>
            <w:r>
              <w:rPr>
                <w:rFonts w:hint="eastAsia" w:ascii="宋体" w:hAnsi="宋体"/>
                <w:color w:val="auto"/>
                <w:szCs w:val="21"/>
                <w:highlight w:val="none"/>
              </w:rPr>
              <w:t>或以上</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含副省级</w:t>
            </w:r>
            <w:r>
              <w:rPr>
                <w:rFonts w:hint="eastAsia" w:ascii="宋体" w:hAnsi="宋体"/>
                <w:color w:val="auto"/>
                <w:szCs w:val="21"/>
                <w:highlight w:val="none"/>
                <w:lang w:eastAsia="zh-CN"/>
              </w:rPr>
              <w:t>）</w:t>
            </w:r>
            <w:r>
              <w:rPr>
                <w:rFonts w:hint="eastAsia" w:ascii="宋体" w:hAnsi="宋体"/>
                <w:color w:val="auto"/>
                <w:szCs w:val="21"/>
                <w:highlight w:val="none"/>
              </w:rPr>
              <w:t>工程</w:t>
            </w:r>
            <w:r>
              <w:rPr>
                <w:rFonts w:hint="eastAsia" w:ascii="宋体" w:hAnsi="宋体"/>
                <w:color w:val="auto"/>
                <w:szCs w:val="21"/>
                <w:highlight w:val="none"/>
                <w:lang w:val="en-US" w:eastAsia="zh-CN"/>
              </w:rPr>
              <w:t>质量</w:t>
            </w:r>
            <w:r>
              <w:rPr>
                <w:rFonts w:hint="eastAsia" w:ascii="宋体" w:hAnsi="宋体"/>
                <w:color w:val="auto"/>
                <w:szCs w:val="21"/>
                <w:highlight w:val="none"/>
              </w:rPr>
              <w:t>奖项每项得</w:t>
            </w:r>
            <w:r>
              <w:rPr>
                <w:rFonts w:hint="eastAsia" w:ascii="宋体" w:hAnsi="宋体"/>
                <w:color w:val="auto"/>
                <w:szCs w:val="21"/>
                <w:highlight w:val="none"/>
                <w:lang w:val="en-US" w:eastAsia="zh-CN"/>
              </w:rPr>
              <w:t>1</w:t>
            </w:r>
            <w:r>
              <w:rPr>
                <w:rFonts w:hint="eastAsia" w:ascii="宋体" w:hAnsi="宋体"/>
                <w:color w:val="auto"/>
                <w:szCs w:val="21"/>
                <w:highlight w:val="none"/>
              </w:rPr>
              <w:t>分，最多得6分。</w:t>
            </w:r>
          </w:p>
        </w:tc>
      </w:tr>
      <w:tr w14:paraId="2E9D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continue"/>
            <w:vAlign w:val="center"/>
          </w:tcPr>
          <w:p w14:paraId="57B72AD0">
            <w:pPr>
              <w:spacing w:line="276" w:lineRule="auto"/>
              <w:jc w:val="center"/>
              <w:rPr>
                <w:rFonts w:hint="eastAsia" w:ascii="宋体" w:hAnsi="宋体" w:cs="宋体"/>
                <w:color w:val="auto"/>
                <w:szCs w:val="21"/>
                <w:highlight w:val="none"/>
              </w:rPr>
            </w:pPr>
          </w:p>
        </w:tc>
        <w:tc>
          <w:tcPr>
            <w:tcW w:w="2183" w:type="dxa"/>
            <w:vAlign w:val="center"/>
          </w:tcPr>
          <w:p w14:paraId="61398CB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工程研发能力</w:t>
            </w:r>
          </w:p>
        </w:tc>
        <w:tc>
          <w:tcPr>
            <w:tcW w:w="650" w:type="dxa"/>
            <w:vAlign w:val="center"/>
          </w:tcPr>
          <w:p w14:paraId="4ABADD52">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1237" w:type="dxa"/>
            <w:vAlign w:val="center"/>
          </w:tcPr>
          <w:p w14:paraId="551625B3">
            <w:pPr>
              <w:spacing w:line="276" w:lineRule="auto"/>
              <w:rPr>
                <w:rFonts w:hint="eastAsia" w:ascii="宋体" w:hAnsi="宋体"/>
                <w:color w:val="auto"/>
                <w:szCs w:val="21"/>
                <w:highlight w:val="none"/>
              </w:rPr>
            </w:pPr>
            <w:r>
              <w:rPr>
                <w:rFonts w:hint="eastAsia" w:ascii="宋体" w:hAnsi="宋体"/>
                <w:color w:val="auto"/>
                <w:szCs w:val="21"/>
                <w:highlight w:val="none"/>
              </w:rPr>
              <w:t>1、投标人自2022年1月1日至投标截止时间止（以获奖证书颁发时间）获得过工程建设类科学技术类奖项：省级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或以上）</w:t>
            </w:r>
            <w:r>
              <w:rPr>
                <w:rFonts w:hint="eastAsia" w:ascii="宋体" w:hAnsi="宋体"/>
                <w:color w:val="auto"/>
                <w:szCs w:val="21"/>
                <w:highlight w:val="none"/>
              </w:rPr>
              <w:t>的每项得0.</w:t>
            </w:r>
            <w:r>
              <w:rPr>
                <w:rFonts w:hint="eastAsia" w:ascii="宋体" w:hAnsi="宋体"/>
                <w:color w:val="auto"/>
                <w:szCs w:val="21"/>
                <w:highlight w:val="none"/>
                <w:lang w:val="en-US" w:eastAsia="zh-CN"/>
              </w:rPr>
              <w:t>5</w:t>
            </w:r>
            <w:r>
              <w:rPr>
                <w:rFonts w:hint="eastAsia" w:ascii="宋体" w:hAnsi="宋体"/>
                <w:color w:val="auto"/>
                <w:szCs w:val="21"/>
                <w:highlight w:val="none"/>
              </w:rPr>
              <w:t>分，市级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含副省级</w:t>
            </w:r>
            <w:r>
              <w:rPr>
                <w:rFonts w:hint="eastAsia" w:ascii="宋体" w:hAnsi="宋体"/>
                <w:color w:val="auto"/>
                <w:szCs w:val="21"/>
                <w:highlight w:val="none"/>
                <w:lang w:eastAsia="zh-CN"/>
              </w:rPr>
              <w:t>）</w:t>
            </w:r>
            <w:r>
              <w:rPr>
                <w:rFonts w:hint="eastAsia" w:ascii="宋体" w:hAnsi="宋体"/>
                <w:color w:val="auto"/>
                <w:szCs w:val="21"/>
                <w:highlight w:val="none"/>
              </w:rPr>
              <w:t>的每项得0.</w:t>
            </w:r>
            <w:r>
              <w:rPr>
                <w:rFonts w:hint="eastAsia" w:ascii="宋体" w:hAnsi="宋体"/>
                <w:color w:val="auto"/>
                <w:szCs w:val="21"/>
                <w:highlight w:val="none"/>
                <w:lang w:val="en-US" w:eastAsia="zh-CN"/>
              </w:rPr>
              <w:t>25</w:t>
            </w:r>
            <w:r>
              <w:rPr>
                <w:rFonts w:hint="eastAsia" w:ascii="宋体" w:hAnsi="宋体"/>
                <w:color w:val="auto"/>
                <w:szCs w:val="21"/>
                <w:highlight w:val="none"/>
              </w:rPr>
              <w:t>分，最多得3分。</w:t>
            </w:r>
          </w:p>
          <w:p w14:paraId="53F26D40">
            <w:pPr>
              <w:spacing w:line="276" w:lineRule="auto"/>
              <w:rPr>
                <w:rFonts w:hint="eastAsia" w:ascii="宋体" w:hAnsi="宋体"/>
                <w:color w:val="auto"/>
                <w:szCs w:val="21"/>
                <w:highlight w:val="none"/>
              </w:rPr>
            </w:pPr>
            <w:r>
              <w:rPr>
                <w:rFonts w:hint="eastAsia" w:ascii="宋体" w:hAnsi="宋体"/>
                <w:color w:val="auto"/>
                <w:szCs w:val="21"/>
                <w:highlight w:val="none"/>
              </w:rPr>
              <w:t>2、投标人</w:t>
            </w:r>
            <w:r>
              <w:rPr>
                <w:rFonts w:hint="eastAsia" w:ascii="宋体" w:hAnsi="宋体" w:cs="宋体"/>
                <w:color w:val="auto"/>
                <w:szCs w:val="21"/>
                <w:highlight w:val="none"/>
              </w:rPr>
              <w:t>自2022年1月1日至投标截止时间止</w:t>
            </w:r>
            <w:r>
              <w:rPr>
                <w:rFonts w:hint="eastAsia" w:ascii="宋体" w:hAnsi="宋体"/>
                <w:color w:val="auto"/>
                <w:szCs w:val="21"/>
                <w:highlight w:val="none"/>
              </w:rPr>
              <w:t>（以获奖证书颁发时间）</w:t>
            </w:r>
            <w:r>
              <w:rPr>
                <w:rFonts w:hint="eastAsia" w:ascii="宋体" w:hAnsi="宋体" w:cs="宋体"/>
                <w:color w:val="auto"/>
                <w:szCs w:val="21"/>
                <w:highlight w:val="none"/>
              </w:rPr>
              <w:t>获得过工程建设类工法奖项：</w:t>
            </w:r>
            <w:r>
              <w:rPr>
                <w:rFonts w:hint="eastAsia" w:ascii="宋体" w:hAnsi="宋体"/>
                <w:color w:val="auto"/>
                <w:szCs w:val="21"/>
                <w:highlight w:val="none"/>
              </w:rPr>
              <w:t>获得省级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或以上）</w:t>
            </w:r>
            <w:r>
              <w:rPr>
                <w:rFonts w:hint="eastAsia" w:ascii="宋体" w:hAnsi="宋体"/>
                <w:color w:val="auto"/>
                <w:szCs w:val="21"/>
                <w:highlight w:val="none"/>
              </w:rPr>
              <w:t>行业行政主管部门或相关行业协会颁发奖项的，每项得0.</w:t>
            </w:r>
            <w:r>
              <w:rPr>
                <w:rFonts w:hint="eastAsia" w:ascii="宋体" w:hAnsi="宋体"/>
                <w:color w:val="auto"/>
                <w:szCs w:val="21"/>
                <w:highlight w:val="none"/>
                <w:lang w:val="en-US" w:eastAsia="zh-CN"/>
              </w:rPr>
              <w:t>3</w:t>
            </w:r>
            <w:r>
              <w:rPr>
                <w:rFonts w:hint="eastAsia" w:ascii="宋体" w:hAnsi="宋体"/>
                <w:color w:val="auto"/>
                <w:szCs w:val="21"/>
                <w:highlight w:val="none"/>
              </w:rPr>
              <w:t>分；获得市级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含副省级</w:t>
            </w:r>
            <w:r>
              <w:rPr>
                <w:rFonts w:hint="eastAsia" w:ascii="宋体" w:hAnsi="宋体"/>
                <w:color w:val="auto"/>
                <w:szCs w:val="21"/>
                <w:highlight w:val="none"/>
                <w:lang w:eastAsia="zh-CN"/>
              </w:rPr>
              <w:t>）</w:t>
            </w:r>
            <w:r>
              <w:rPr>
                <w:rFonts w:hint="eastAsia" w:ascii="宋体" w:hAnsi="宋体"/>
                <w:color w:val="auto"/>
                <w:szCs w:val="21"/>
                <w:highlight w:val="none"/>
              </w:rPr>
              <w:t>行业行政主管部门或相关行业协会颁发奖项的，每项得0.</w:t>
            </w:r>
            <w:r>
              <w:rPr>
                <w:rFonts w:hint="eastAsia" w:ascii="宋体" w:hAnsi="宋体"/>
                <w:color w:val="auto"/>
                <w:szCs w:val="21"/>
                <w:highlight w:val="none"/>
                <w:lang w:val="en-US" w:eastAsia="zh-CN"/>
              </w:rPr>
              <w:t>1</w:t>
            </w:r>
            <w:r>
              <w:rPr>
                <w:rFonts w:hint="eastAsia" w:ascii="宋体" w:hAnsi="宋体"/>
                <w:color w:val="auto"/>
                <w:szCs w:val="21"/>
                <w:highlight w:val="none"/>
              </w:rPr>
              <w:t>分；最多得3分。</w:t>
            </w:r>
          </w:p>
        </w:tc>
      </w:tr>
      <w:tr w14:paraId="4A97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continue"/>
            <w:vAlign w:val="center"/>
          </w:tcPr>
          <w:p w14:paraId="7540B5D2">
            <w:pPr>
              <w:spacing w:line="276" w:lineRule="auto"/>
              <w:jc w:val="center"/>
              <w:rPr>
                <w:rFonts w:hint="eastAsia" w:ascii="宋体" w:hAnsi="宋体" w:cs="宋体"/>
                <w:color w:val="auto"/>
                <w:szCs w:val="21"/>
                <w:highlight w:val="none"/>
              </w:rPr>
            </w:pPr>
          </w:p>
        </w:tc>
        <w:tc>
          <w:tcPr>
            <w:tcW w:w="2183" w:type="dxa"/>
            <w:vAlign w:val="center"/>
          </w:tcPr>
          <w:p w14:paraId="38442A0C">
            <w:pPr>
              <w:spacing w:line="276"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履约信誉</w:t>
            </w:r>
          </w:p>
        </w:tc>
        <w:tc>
          <w:tcPr>
            <w:tcW w:w="650" w:type="dxa"/>
            <w:vAlign w:val="center"/>
          </w:tcPr>
          <w:p w14:paraId="1C89380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1237" w:type="dxa"/>
            <w:vAlign w:val="center"/>
          </w:tcPr>
          <w:p w14:paraId="4E97E7BE">
            <w:pPr>
              <w:spacing w:line="276" w:lineRule="auto"/>
              <w:rPr>
                <w:rFonts w:hint="eastAsia" w:ascii="宋体" w:hAnsi="宋体"/>
                <w:color w:val="auto"/>
                <w:szCs w:val="21"/>
                <w:highlight w:val="none"/>
              </w:rPr>
            </w:pPr>
            <w:r>
              <w:rPr>
                <w:rFonts w:hint="eastAsia" w:ascii="宋体" w:hAnsi="宋体" w:cs="宋体"/>
                <w:color w:val="auto"/>
                <w:kern w:val="0"/>
                <w:szCs w:val="21"/>
                <w:highlight w:val="none"/>
              </w:rPr>
              <w:t>投标人获得“纳税信用A级纳税人”情况：连续获得“纳税信用A级纳税人”（需包含2023年）5年（含5年）及以上得4分；连续获得“纳税信用A级纳税人”（需包含2023年）3年（含3年）至5年（不含5年）得2分；连续获得“纳税信用A级纳税人”（需包含2023年）1年（含1年）至3年（不含3年）得1分；其他不得分。</w:t>
            </w:r>
          </w:p>
        </w:tc>
      </w:tr>
      <w:tr w14:paraId="403F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restart"/>
            <w:vAlign w:val="center"/>
          </w:tcPr>
          <w:p w14:paraId="1D14546E">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二、施工组织设计（40分）</w:t>
            </w:r>
          </w:p>
        </w:tc>
        <w:tc>
          <w:tcPr>
            <w:tcW w:w="2183" w:type="dxa"/>
            <w:vAlign w:val="center"/>
          </w:tcPr>
          <w:p w14:paraId="7304F36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总体施工组织布置及规划</w:t>
            </w:r>
          </w:p>
        </w:tc>
        <w:tc>
          <w:tcPr>
            <w:tcW w:w="650" w:type="dxa"/>
            <w:vAlign w:val="center"/>
          </w:tcPr>
          <w:p w14:paraId="35E83EC2">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237" w:type="dxa"/>
            <w:vAlign w:val="center"/>
          </w:tcPr>
          <w:p w14:paraId="2285B8ED">
            <w:pPr>
              <w:spacing w:line="276" w:lineRule="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szCs w:val="21"/>
                <w:highlight w:val="none"/>
              </w:rPr>
              <w:t>优</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针对本项目编制的工程概况、总体部署、进度计划、资源配置、总平面布置、质量安全措施、环保节能和风险管理等，总体方案针对性强、规划切合项目实际情况</w:t>
            </w:r>
            <w:r>
              <w:rPr>
                <w:rFonts w:hint="eastAsia" w:ascii="宋体" w:hAnsi="宋体" w:cs="宋体"/>
                <w:color w:val="auto"/>
                <w:kern w:val="0"/>
                <w:szCs w:val="21"/>
                <w:highlight w:val="none"/>
              </w:rPr>
              <w:t>；得10分；</w:t>
            </w:r>
          </w:p>
          <w:p w14:paraId="7BE6A5F7">
            <w:pPr>
              <w:spacing w:line="276" w:lineRule="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良</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针对本项目编制的工程概况、总体部署、进度计划、资源配置、总平面布置、质量安全措施、环保节能和风险管理等，总体方案针对性较强、规划较切合项目实际情况</w:t>
            </w:r>
            <w:r>
              <w:rPr>
                <w:rFonts w:hint="eastAsia" w:ascii="宋体" w:hAnsi="宋体" w:cs="宋体"/>
                <w:color w:val="auto"/>
                <w:kern w:val="0"/>
                <w:szCs w:val="21"/>
                <w:highlight w:val="none"/>
              </w:rPr>
              <w:t>；得6分；</w:t>
            </w:r>
          </w:p>
          <w:p w14:paraId="122EF248">
            <w:pPr>
              <w:spacing w:line="276" w:lineRule="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一般</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针对本项目编制的工程概况、总体部署、进度计划、资源配置、总平面布置、质量安全措施、环保节能和风险管理等，总体方案针对性一般、规划基本可以切合项目实际情况</w:t>
            </w:r>
            <w:r>
              <w:rPr>
                <w:rFonts w:hint="eastAsia" w:ascii="宋体" w:hAnsi="宋体" w:cs="宋体"/>
                <w:color w:val="auto"/>
                <w:kern w:val="0"/>
                <w:szCs w:val="21"/>
                <w:highlight w:val="none"/>
              </w:rPr>
              <w:t>；得3分；</w:t>
            </w:r>
          </w:p>
          <w:p w14:paraId="4103A502">
            <w:pPr>
              <w:spacing w:line="276" w:lineRule="auto"/>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其他情况不得分。</w:t>
            </w:r>
          </w:p>
        </w:tc>
      </w:tr>
      <w:tr w14:paraId="3A35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continue"/>
            <w:vAlign w:val="center"/>
          </w:tcPr>
          <w:p w14:paraId="6BDC74AC">
            <w:pPr>
              <w:spacing w:line="276" w:lineRule="auto"/>
              <w:jc w:val="center"/>
              <w:rPr>
                <w:rFonts w:hint="eastAsia" w:ascii="宋体" w:hAnsi="宋体" w:cs="宋体"/>
                <w:color w:val="auto"/>
                <w:szCs w:val="21"/>
                <w:highlight w:val="none"/>
              </w:rPr>
            </w:pPr>
          </w:p>
        </w:tc>
        <w:tc>
          <w:tcPr>
            <w:tcW w:w="2183" w:type="dxa"/>
            <w:vAlign w:val="center"/>
          </w:tcPr>
          <w:p w14:paraId="11B8C6C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重点、难点</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eastAsia="zh-CN"/>
              </w:rPr>
              <w:t>地铁保护、高压电力管道</w:t>
            </w:r>
            <w:r>
              <w:rPr>
                <w:rFonts w:hint="eastAsia" w:ascii="宋体" w:hAnsi="宋体" w:cs="宋体"/>
                <w:b/>
                <w:bCs/>
                <w:color w:val="auto"/>
                <w:szCs w:val="21"/>
                <w:highlight w:val="none"/>
                <w:u w:val="single"/>
                <w:lang w:val="en-US" w:eastAsia="zh-CN"/>
              </w:rPr>
              <w:t>安全风险防范</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管线保护及迁改、隧道改造、交通疏解、雨季排水</w:t>
            </w:r>
            <w:r>
              <w:rPr>
                <w:rFonts w:hint="eastAsia" w:ascii="宋体" w:hAnsi="宋体" w:cs="宋体"/>
                <w:b/>
                <w:bCs/>
                <w:color w:val="auto"/>
                <w:szCs w:val="21"/>
                <w:highlight w:val="none"/>
                <w:u w:val="single"/>
              </w:rPr>
              <w:t>）</w:t>
            </w:r>
            <w:r>
              <w:rPr>
                <w:rFonts w:hint="eastAsia" w:ascii="宋体" w:hAnsi="宋体" w:cs="宋体"/>
                <w:color w:val="auto"/>
                <w:szCs w:val="21"/>
                <w:highlight w:val="none"/>
              </w:rPr>
              <w:t>和关键工程的施工方案与技术措施</w:t>
            </w:r>
          </w:p>
        </w:tc>
        <w:tc>
          <w:tcPr>
            <w:tcW w:w="650" w:type="dxa"/>
            <w:vAlign w:val="center"/>
          </w:tcPr>
          <w:p w14:paraId="7ABA149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237" w:type="dxa"/>
            <w:vAlign w:val="center"/>
          </w:tcPr>
          <w:p w14:paraId="38257164">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优</w:t>
            </w:r>
            <w:r>
              <w:rPr>
                <w:rFonts w:hint="eastAsia" w:ascii="宋体" w:hAnsi="宋体" w:cs="宋体"/>
                <w:b/>
                <w:bCs/>
                <w:color w:val="auto"/>
                <w:kern w:val="0"/>
                <w:szCs w:val="21"/>
                <w:highlight w:val="none"/>
              </w:rPr>
              <w:t>】</w:t>
            </w:r>
            <w:r>
              <w:rPr>
                <w:rFonts w:hint="eastAsia" w:ascii="宋体" w:hAnsi="宋体" w:cs="宋体"/>
                <w:b/>
                <w:color w:val="auto"/>
                <w:szCs w:val="21"/>
                <w:highlight w:val="none"/>
                <w:shd w:val="clear" w:color="auto" w:fill="FFFFFF"/>
              </w:rPr>
              <w:t>：</w:t>
            </w:r>
            <w:r>
              <w:rPr>
                <w:rFonts w:hint="eastAsia" w:ascii="宋体" w:hAnsi="宋体" w:cs="宋体"/>
                <w:color w:val="auto"/>
                <w:szCs w:val="21"/>
                <w:highlight w:val="none"/>
                <w:shd w:val="clear" w:color="auto" w:fill="FFFFFF"/>
              </w:rPr>
              <w:t>施工组织方案及施工方法先进且可实施性强，工程重点难点、施工关键技术工艺把握及应用准确，技术措施可以充分保障工程质量、工期和施工安全生产；得10分；</w:t>
            </w:r>
          </w:p>
          <w:p w14:paraId="6D117E10">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良</w:t>
            </w:r>
            <w:r>
              <w:rPr>
                <w:rFonts w:hint="eastAsia" w:ascii="宋体" w:hAnsi="宋体" w:cs="宋体"/>
                <w:b/>
                <w:bCs/>
                <w:color w:val="auto"/>
                <w:kern w:val="0"/>
                <w:szCs w:val="21"/>
                <w:highlight w:val="none"/>
              </w:rPr>
              <w:t>】</w:t>
            </w:r>
            <w:r>
              <w:rPr>
                <w:rFonts w:hint="eastAsia" w:ascii="宋体" w:hAnsi="宋体" w:cs="宋体"/>
                <w:b/>
                <w:color w:val="auto"/>
                <w:szCs w:val="21"/>
                <w:highlight w:val="none"/>
                <w:shd w:val="clear" w:color="auto" w:fill="FFFFFF"/>
              </w:rPr>
              <w:t>：</w:t>
            </w:r>
            <w:r>
              <w:rPr>
                <w:rFonts w:hint="eastAsia" w:ascii="宋体" w:hAnsi="宋体" w:cs="宋体"/>
                <w:color w:val="auto"/>
                <w:szCs w:val="21"/>
                <w:highlight w:val="none"/>
                <w:shd w:val="clear" w:color="auto" w:fill="FFFFFF"/>
              </w:rPr>
              <w:t>施工组织方案及施工方法较好且可实施性一般，工程重点难点、施工关键技术工艺把握及应用较好，技术措施能保障工程质量、工期和施工安全生产；得6分；</w:t>
            </w:r>
          </w:p>
          <w:p w14:paraId="227C41A9">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一般</w:t>
            </w:r>
            <w:r>
              <w:rPr>
                <w:rFonts w:hint="eastAsia" w:ascii="宋体" w:hAnsi="宋体" w:cs="宋体"/>
                <w:b/>
                <w:bCs/>
                <w:color w:val="auto"/>
                <w:kern w:val="0"/>
                <w:szCs w:val="21"/>
                <w:highlight w:val="none"/>
              </w:rPr>
              <w:t>】</w:t>
            </w:r>
            <w:r>
              <w:rPr>
                <w:rFonts w:hint="eastAsia" w:ascii="宋体" w:hAnsi="宋体" w:cs="宋体"/>
                <w:b/>
                <w:color w:val="auto"/>
                <w:szCs w:val="21"/>
                <w:highlight w:val="none"/>
                <w:shd w:val="clear" w:color="auto" w:fill="FFFFFF"/>
              </w:rPr>
              <w:t>：</w:t>
            </w:r>
            <w:r>
              <w:rPr>
                <w:rFonts w:hint="eastAsia" w:ascii="宋体" w:hAnsi="宋体" w:cs="宋体"/>
                <w:color w:val="auto"/>
                <w:szCs w:val="21"/>
                <w:highlight w:val="none"/>
                <w:shd w:val="clear" w:color="auto" w:fill="FFFFFF"/>
              </w:rPr>
              <w:t>施工组织方案或施工方法一般，或工程重点难点、施工关键技术工艺把握及应用基本可行，或技术措施能基本保障工程质量、工期和施工安全生产；得3分；</w:t>
            </w:r>
          </w:p>
          <w:p w14:paraId="7041E72C">
            <w:pPr>
              <w:spacing w:line="276" w:lineRule="auto"/>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其他情况不得分。</w:t>
            </w:r>
          </w:p>
        </w:tc>
      </w:tr>
      <w:tr w14:paraId="2F9A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continue"/>
            <w:vAlign w:val="center"/>
          </w:tcPr>
          <w:p w14:paraId="565458A5">
            <w:pPr>
              <w:spacing w:line="276" w:lineRule="auto"/>
              <w:jc w:val="center"/>
              <w:rPr>
                <w:rFonts w:hint="eastAsia" w:ascii="宋体" w:hAnsi="宋体" w:cs="宋体"/>
                <w:color w:val="auto"/>
                <w:szCs w:val="21"/>
                <w:highlight w:val="none"/>
              </w:rPr>
            </w:pPr>
          </w:p>
        </w:tc>
        <w:tc>
          <w:tcPr>
            <w:tcW w:w="2183" w:type="dxa"/>
            <w:vAlign w:val="center"/>
          </w:tcPr>
          <w:p w14:paraId="365BD8A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施工各项保证措施</w:t>
            </w:r>
          </w:p>
        </w:tc>
        <w:tc>
          <w:tcPr>
            <w:tcW w:w="650" w:type="dxa"/>
            <w:vAlign w:val="center"/>
          </w:tcPr>
          <w:p w14:paraId="0DCCF89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237" w:type="dxa"/>
            <w:vAlign w:val="center"/>
          </w:tcPr>
          <w:p w14:paraId="5D23F262">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优</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olor w:val="auto"/>
                <w:szCs w:val="21"/>
                <w:highlight w:val="none"/>
              </w:rPr>
              <w:t>施工现场的安全、质量、安全文明施工保证体系完善，有完善的安全生产、施工质量、文明施工措施方案，得10分；</w:t>
            </w:r>
          </w:p>
          <w:p w14:paraId="045B18C2">
            <w:pPr>
              <w:spacing w:line="276" w:lineRule="auto"/>
              <w:rPr>
                <w:rFonts w:hint="eastAsia" w:ascii="宋体" w:hAnsi="宋体"/>
                <w:color w:val="auto"/>
                <w:szCs w:val="21"/>
                <w:highlight w:val="none"/>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良</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olor w:val="auto"/>
                <w:szCs w:val="21"/>
                <w:highlight w:val="none"/>
              </w:rPr>
              <w:t>施工现场的安全、质量、安全文明施工保证体系完善，有较完善的安全生产、施工质量、文明施工措施方案，得6分；</w:t>
            </w:r>
          </w:p>
          <w:p w14:paraId="3D99A2ED">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一般</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shd w:val="clear" w:color="auto" w:fill="FFFFFF"/>
              </w:rPr>
              <w:t>施工现场的安全、质量、安全文明施工保证体系完善，安全生产、施工质量、文明施工措施方案一般，得3分；</w:t>
            </w:r>
          </w:p>
          <w:p w14:paraId="73404A1F">
            <w:pPr>
              <w:spacing w:line="276" w:lineRule="auto"/>
              <w:rPr>
                <w:rFonts w:hint="eastAsia" w:ascii="宋体" w:hAnsi="宋体"/>
                <w:color w:val="auto"/>
                <w:szCs w:val="21"/>
                <w:highlight w:val="none"/>
              </w:rPr>
            </w:pPr>
            <w:r>
              <w:rPr>
                <w:rFonts w:hint="eastAsia" w:ascii="宋体" w:hAnsi="宋体" w:cs="宋体"/>
                <w:color w:val="auto"/>
                <w:szCs w:val="21"/>
                <w:highlight w:val="none"/>
                <w:shd w:val="clear" w:color="auto" w:fill="FFFFFF"/>
              </w:rPr>
              <w:t>其他情况不得分。</w:t>
            </w:r>
          </w:p>
        </w:tc>
      </w:tr>
      <w:tr w14:paraId="782A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continue"/>
            <w:vAlign w:val="center"/>
          </w:tcPr>
          <w:p w14:paraId="203DB0D1">
            <w:pPr>
              <w:spacing w:line="276" w:lineRule="auto"/>
              <w:jc w:val="center"/>
              <w:rPr>
                <w:rFonts w:hint="eastAsia" w:ascii="宋体" w:hAnsi="宋体" w:cs="宋体"/>
                <w:color w:val="auto"/>
                <w:szCs w:val="21"/>
                <w:highlight w:val="none"/>
              </w:rPr>
            </w:pPr>
          </w:p>
        </w:tc>
        <w:tc>
          <w:tcPr>
            <w:tcW w:w="2183" w:type="dxa"/>
            <w:vAlign w:val="center"/>
          </w:tcPr>
          <w:p w14:paraId="583B096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绿色节能控制措施</w:t>
            </w:r>
          </w:p>
        </w:tc>
        <w:tc>
          <w:tcPr>
            <w:tcW w:w="650" w:type="dxa"/>
            <w:vAlign w:val="center"/>
          </w:tcPr>
          <w:p w14:paraId="5E42621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237" w:type="dxa"/>
            <w:vAlign w:val="center"/>
          </w:tcPr>
          <w:p w14:paraId="0CECFAFB">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优</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olor w:val="auto"/>
                <w:szCs w:val="21"/>
                <w:highlight w:val="none"/>
              </w:rPr>
              <w:t>绿色节能控制措施，措施明确、具体可行、针对性强、先进有效、覆盖面广的，并有承诺在施工过程中通过科学管理和先进的技术手段，最大限度地节约资源与减少对环境的负面影响，以达到四节一环保（节能、节地、节水、节材和环境保护）的目标；得10分；</w:t>
            </w:r>
          </w:p>
          <w:p w14:paraId="5777AFFA">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【良】</w:t>
            </w:r>
            <w:r>
              <w:rPr>
                <w:rFonts w:hint="eastAsia" w:ascii="宋体" w:hAnsi="宋体" w:cs="宋体"/>
                <w:b/>
                <w:bCs/>
                <w:color w:val="auto"/>
                <w:szCs w:val="21"/>
                <w:highlight w:val="none"/>
                <w:shd w:val="clear" w:color="auto" w:fill="FFFFFF"/>
              </w:rPr>
              <w:t>：</w:t>
            </w:r>
            <w:r>
              <w:rPr>
                <w:rFonts w:hint="eastAsia" w:ascii="宋体" w:hAnsi="宋体"/>
                <w:color w:val="auto"/>
                <w:szCs w:val="21"/>
                <w:highlight w:val="none"/>
              </w:rPr>
              <w:t>绿色节能控制措施，措施较明确、较具体、较可行、针对性较强，措施较完善的，有承诺在施工过程中通过科学管理和先进的技术手段，较好地节约资源与减少对环境的负面影响，以达到四节一环保（节能、节地、节水、节材和环境保护）的目标；得6分；</w:t>
            </w:r>
          </w:p>
          <w:p w14:paraId="1B8A60D7">
            <w:pPr>
              <w:pStyle w:val="48"/>
              <w:spacing w:after="0" w:line="276" w:lineRule="auto"/>
              <w:ind w:left="0" w:leftChars="0" w:firstLine="0" w:firstLineChars="0"/>
              <w:rPr>
                <w:rFonts w:hint="eastAsia" w:ascii="宋体" w:hAnsi="宋体" w:cs="宋体"/>
                <w:color w:val="auto"/>
                <w:szCs w:val="21"/>
                <w:highlight w:val="none"/>
              </w:rPr>
            </w:pPr>
            <w:r>
              <w:rPr>
                <w:rFonts w:hint="eastAsia" w:ascii="宋体" w:hAnsi="宋体" w:cs="宋体"/>
                <w:b/>
                <w:bCs/>
                <w:color w:val="auto"/>
                <w:kern w:val="0"/>
                <w:szCs w:val="21"/>
                <w:highlight w:val="none"/>
              </w:rPr>
              <w:t>【一般】：</w:t>
            </w:r>
            <w:r>
              <w:rPr>
                <w:rFonts w:hint="eastAsia" w:ascii="宋体" w:hAnsi="宋体" w:cs="宋体"/>
                <w:color w:val="auto"/>
                <w:szCs w:val="21"/>
                <w:highlight w:val="none"/>
              </w:rPr>
              <w:t>绿色节能控制措施，但明确性一般，具体、可行、针对性一般，措施一般的；得3分；</w:t>
            </w:r>
          </w:p>
          <w:p w14:paraId="7A8330DD">
            <w:pPr>
              <w:pStyle w:val="48"/>
              <w:spacing w:after="0" w:line="276" w:lineRule="auto"/>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其他情况不得分。</w:t>
            </w:r>
          </w:p>
        </w:tc>
      </w:tr>
      <w:tr w14:paraId="0A4F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restart"/>
            <w:vAlign w:val="center"/>
          </w:tcPr>
          <w:p w14:paraId="7CF0F6A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三、项目管理机构能力(40)</w:t>
            </w:r>
          </w:p>
        </w:tc>
        <w:tc>
          <w:tcPr>
            <w:tcW w:w="2183" w:type="dxa"/>
            <w:vAlign w:val="center"/>
          </w:tcPr>
          <w:p w14:paraId="336C90E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投标人委派的管理团队</w:t>
            </w:r>
          </w:p>
        </w:tc>
        <w:tc>
          <w:tcPr>
            <w:tcW w:w="650" w:type="dxa"/>
            <w:vAlign w:val="center"/>
          </w:tcPr>
          <w:p w14:paraId="12B4A3E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25</w:t>
            </w:r>
          </w:p>
        </w:tc>
        <w:tc>
          <w:tcPr>
            <w:tcW w:w="11237" w:type="dxa"/>
            <w:vAlign w:val="center"/>
          </w:tcPr>
          <w:p w14:paraId="697E1043">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一、项目负责人：</w:t>
            </w:r>
          </w:p>
          <w:p w14:paraId="203507A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1、拟委派的项目负责人具有</w:t>
            </w:r>
            <w:r>
              <w:rPr>
                <w:rFonts w:hint="eastAsia" w:ascii="宋体" w:hAnsi="宋体" w:cs="宋体"/>
                <w:color w:val="auto"/>
                <w:szCs w:val="21"/>
                <w:highlight w:val="none"/>
                <w:lang w:val="en-US" w:eastAsia="zh-CN"/>
              </w:rPr>
              <w:t>工程类</w:t>
            </w:r>
            <w:r>
              <w:rPr>
                <w:rFonts w:hint="eastAsia" w:ascii="宋体" w:hAnsi="宋体" w:cs="宋体"/>
                <w:color w:val="auto"/>
                <w:szCs w:val="21"/>
                <w:highlight w:val="none"/>
              </w:rPr>
              <w:t>相关专业工程师（高级或以上）技术职称的，得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48A634DD">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2、拟委派的项目负责人具有10年或以上（含10年）工作经验，得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分；具有10年（不含10年）以下工作经验，得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.5分。</w:t>
            </w:r>
          </w:p>
          <w:p w14:paraId="67787AD5">
            <w:pPr>
              <w:pStyle w:val="5"/>
              <w:ind w:firstLine="0" w:firstLineChars="0"/>
              <w:rPr>
                <w:rFonts w:hint="eastAsia"/>
                <w:color w:val="auto"/>
                <w:highlight w:val="none"/>
              </w:rPr>
            </w:pPr>
            <w:r>
              <w:rPr>
                <w:rFonts w:hint="eastAsia"/>
                <w:color w:val="auto"/>
                <w:highlight w:val="none"/>
              </w:rPr>
              <w:t>3、自2022年1月1日至投标截止时间止，拟委派的项目负责人完成过质量合格的类似工程业绩的得3分，最多得3分。</w:t>
            </w:r>
          </w:p>
          <w:p w14:paraId="6BA53A24">
            <w:pPr>
              <w:pStyle w:val="5"/>
              <w:ind w:firstLine="0" w:firstLineChars="0"/>
              <w:rPr>
                <w:rFonts w:hint="eastAsia" w:ascii="宋体" w:hAnsi="宋体" w:cs="宋体"/>
                <w:color w:val="auto"/>
                <w:szCs w:val="21"/>
                <w:highlight w:val="none"/>
                <w:u w:val="single"/>
              </w:rPr>
            </w:pPr>
            <w:r>
              <w:rPr>
                <w:rFonts w:hint="eastAsia" w:ascii="宋体" w:hAnsi="宋体" w:cs="宋体"/>
                <w:color w:val="auto"/>
                <w:szCs w:val="21"/>
                <w:highlight w:val="none"/>
                <w:u w:val="single"/>
              </w:rPr>
              <w:t>注：1、本项合计最多得</w:t>
            </w:r>
            <w:r>
              <w:rPr>
                <w:rFonts w:hint="eastAsia" w:cs="宋体"/>
                <w:color w:val="auto"/>
                <w:szCs w:val="21"/>
                <w:highlight w:val="none"/>
                <w:u w:val="single"/>
                <w:lang w:val="en-US" w:eastAsia="zh-CN"/>
              </w:rPr>
              <w:t>9</w:t>
            </w:r>
            <w:r>
              <w:rPr>
                <w:rFonts w:hint="eastAsia" w:ascii="宋体" w:hAnsi="宋体" w:cs="宋体"/>
                <w:color w:val="auto"/>
                <w:szCs w:val="21"/>
                <w:highlight w:val="none"/>
                <w:u w:val="single"/>
              </w:rPr>
              <w:t>分；2、须提供职称证、毕业证、业绩证明和社保证明。职称证书按最高级别计分，不累计计算；3、工作经验以毕业证（大学专科或以上学历）的颁发日期开始计算至投标截止时间止。4、业绩证明须按备注提供曾担任项目负责人的业绩证明文件，证明文件中能体现担任该项目的项目负责人。</w:t>
            </w:r>
          </w:p>
          <w:p w14:paraId="118470AD">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二、技术负责人：</w:t>
            </w:r>
          </w:p>
          <w:p w14:paraId="326FD09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1、拟委派的</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负责人具有</w:t>
            </w:r>
            <w:r>
              <w:rPr>
                <w:rFonts w:hint="eastAsia" w:ascii="宋体" w:hAnsi="宋体" w:cs="宋体"/>
                <w:color w:val="auto"/>
                <w:szCs w:val="21"/>
                <w:highlight w:val="none"/>
                <w:lang w:val="en-US" w:eastAsia="zh-CN"/>
              </w:rPr>
              <w:t>工程类</w:t>
            </w:r>
            <w:r>
              <w:rPr>
                <w:rFonts w:hint="eastAsia" w:ascii="宋体" w:hAnsi="宋体" w:cs="宋体"/>
                <w:color w:val="auto"/>
                <w:szCs w:val="21"/>
                <w:highlight w:val="none"/>
              </w:rPr>
              <w:t>相关专业工程师（</w:t>
            </w:r>
            <w:r>
              <w:rPr>
                <w:rFonts w:hint="default" w:ascii="宋体" w:hAnsi="宋体" w:cs="宋体"/>
                <w:color w:val="auto"/>
                <w:szCs w:val="21"/>
                <w:highlight w:val="none"/>
                <w:lang w:val="en-US"/>
              </w:rPr>
              <w:t>高</w:t>
            </w:r>
            <w:r>
              <w:rPr>
                <w:rFonts w:hint="eastAsia" w:ascii="宋体" w:hAnsi="宋体" w:cs="宋体"/>
                <w:color w:val="auto"/>
                <w:szCs w:val="21"/>
                <w:highlight w:val="none"/>
              </w:rPr>
              <w:t>级或以上）技术职称的，得2分。</w:t>
            </w:r>
          </w:p>
          <w:p w14:paraId="28083C4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2、拟委派的技术负责人具有10年或以上（含10年）工作经验，得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分；具有10年（不含10年）以下工作经验，得1分。</w:t>
            </w:r>
          </w:p>
          <w:p w14:paraId="499D98B1">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注：1、本项合计最多得</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分；2、须提供毕业证和社保证明。职称证书按最高级别计分，不累计计算；3、工作经验以毕业证（大学专科或以上学历）的颁发日期开始计算至投标截止时间止。</w:t>
            </w:r>
          </w:p>
          <w:p w14:paraId="7872D19C">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三、安全负责人：</w:t>
            </w:r>
          </w:p>
          <w:p w14:paraId="54B2707F">
            <w:pPr>
              <w:spacing w:line="276"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1、具有有效期内的注册安全工程师证书，得4分。</w:t>
            </w:r>
          </w:p>
          <w:p w14:paraId="57B49E36">
            <w:pPr>
              <w:spacing w:line="276"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注：1、本项合计最多得4分；2、须提供</w:t>
            </w:r>
            <w:r>
              <w:rPr>
                <w:rFonts w:hint="eastAsia" w:ascii="宋体" w:hAnsi="宋体" w:cs="宋体"/>
                <w:color w:val="auto"/>
                <w:szCs w:val="21"/>
                <w:highlight w:val="none"/>
                <w:u w:val="single"/>
              </w:rPr>
              <w:t>注册证和社保证明</w:t>
            </w:r>
            <w:r>
              <w:rPr>
                <w:rFonts w:hint="eastAsia" w:ascii="宋体" w:hAnsi="宋体" w:cs="宋体"/>
                <w:color w:val="auto"/>
                <w:kern w:val="0"/>
                <w:szCs w:val="21"/>
                <w:highlight w:val="none"/>
                <w:u w:val="single"/>
              </w:rPr>
              <w:t>。</w:t>
            </w:r>
            <w:r>
              <w:rPr>
                <w:rFonts w:ascii="宋体" w:hAnsi="宋体" w:cs="宋体"/>
                <w:color w:val="auto"/>
                <w:kern w:val="0"/>
                <w:szCs w:val="21"/>
                <w:highlight w:val="none"/>
                <w:u w:val="single"/>
              </w:rPr>
              <w:t xml:space="preserve"> </w:t>
            </w:r>
          </w:p>
          <w:p w14:paraId="2F8E0482">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四、质量负责人：</w:t>
            </w:r>
          </w:p>
          <w:p w14:paraId="049DB09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1、拟委派的质量负责人具有</w:t>
            </w:r>
            <w:r>
              <w:rPr>
                <w:rFonts w:hint="eastAsia" w:ascii="宋体" w:hAnsi="宋体" w:cs="宋体"/>
                <w:color w:val="auto"/>
                <w:szCs w:val="21"/>
                <w:highlight w:val="none"/>
                <w:lang w:val="en-US" w:eastAsia="zh-CN"/>
              </w:rPr>
              <w:t>工程类</w:t>
            </w:r>
            <w:r>
              <w:rPr>
                <w:rFonts w:hint="eastAsia" w:ascii="宋体" w:hAnsi="宋体" w:cs="宋体"/>
                <w:color w:val="auto"/>
                <w:szCs w:val="21"/>
                <w:highlight w:val="none"/>
              </w:rPr>
              <w:t>相关专业工程师（</w:t>
            </w:r>
            <w:r>
              <w:rPr>
                <w:rFonts w:hint="default" w:ascii="宋体" w:hAnsi="宋体" w:cs="宋体"/>
                <w:color w:val="auto"/>
                <w:szCs w:val="21"/>
                <w:highlight w:val="none"/>
                <w:lang w:val="en-US"/>
              </w:rPr>
              <w:t>高</w:t>
            </w:r>
            <w:r>
              <w:rPr>
                <w:rFonts w:hint="eastAsia" w:ascii="宋体" w:hAnsi="宋体" w:cs="宋体"/>
                <w:color w:val="auto"/>
                <w:szCs w:val="21"/>
                <w:highlight w:val="none"/>
              </w:rPr>
              <w:t>级或以上）技术职称的，得2分。</w:t>
            </w:r>
          </w:p>
          <w:p w14:paraId="0668F615">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2、拟委派的质量负责人具有10年或以上（含10年）工作经验，得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分；具有10年（不含10年）以下工作经验，得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74916ABD">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注：1、本项合计最多得4分；2、须提供毕业证和社保证明；3、工作经验以毕业证（大学专科或以上学历）的颁发日期开始计算至投标截止时间止。</w:t>
            </w:r>
          </w:p>
          <w:p w14:paraId="70799C0B">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五、造价负责人：</w:t>
            </w:r>
          </w:p>
          <w:p w14:paraId="77DF039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1、拟委派的造价负责人具有在有效期内的一级注册造价工程师注册证书，得4分。</w:t>
            </w:r>
          </w:p>
          <w:p w14:paraId="1A5D9AFA">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注：1、本项合计最多得4分；2、须提供注册证和社保证明；3、</w:t>
            </w:r>
            <w:r>
              <w:rPr>
                <w:rFonts w:hint="eastAsia" w:ascii="宋体" w:hAnsi="宋体"/>
                <w:color w:val="auto"/>
                <w:szCs w:val="21"/>
                <w:highlight w:val="none"/>
                <w:u w:val="single"/>
                <w:lang w:val="zh-CN"/>
              </w:rPr>
              <w:t>根据原人事部、原建设部发布的《造价工程师执业资格制度暂行规定》（人发〔1996〕77号</w:t>
            </w:r>
            <w:r>
              <w:rPr>
                <w:rFonts w:ascii="宋体" w:hAnsi="宋体"/>
                <w:color w:val="auto"/>
                <w:szCs w:val="21"/>
                <w:highlight w:val="none"/>
                <w:u w:val="single"/>
                <w:lang w:val="zh-CN"/>
              </w:rPr>
              <w:t>)取得的造价工程师执业资格，并经注册且在有效期内的，等同于一级注册造价工程师。</w:t>
            </w:r>
          </w:p>
        </w:tc>
      </w:tr>
      <w:tr w14:paraId="6A94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continue"/>
            <w:vAlign w:val="center"/>
          </w:tcPr>
          <w:p w14:paraId="00947995">
            <w:pPr>
              <w:spacing w:line="276" w:lineRule="auto"/>
              <w:jc w:val="center"/>
              <w:rPr>
                <w:rFonts w:hint="eastAsia" w:ascii="宋体" w:hAnsi="宋体" w:cs="宋体"/>
                <w:color w:val="auto"/>
                <w:szCs w:val="21"/>
                <w:highlight w:val="none"/>
              </w:rPr>
            </w:pPr>
          </w:p>
        </w:tc>
        <w:tc>
          <w:tcPr>
            <w:tcW w:w="2183" w:type="dxa"/>
            <w:shd w:val="clear" w:color="auto" w:fill="auto"/>
            <w:vAlign w:val="center"/>
          </w:tcPr>
          <w:p w14:paraId="74651E6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项目班子述标</w:t>
            </w:r>
          </w:p>
        </w:tc>
        <w:tc>
          <w:tcPr>
            <w:tcW w:w="650" w:type="dxa"/>
            <w:shd w:val="clear" w:color="auto" w:fill="auto"/>
            <w:vAlign w:val="center"/>
          </w:tcPr>
          <w:p w14:paraId="2287BA1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1237" w:type="dxa"/>
            <w:shd w:val="clear" w:color="auto" w:fill="auto"/>
            <w:vAlign w:val="center"/>
          </w:tcPr>
          <w:p w14:paraId="139FBF70">
            <w:pPr>
              <w:widowControl/>
              <w:spacing w:line="276"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w:t>
            </w:r>
            <w:r>
              <w:rPr>
                <w:rFonts w:hint="eastAsia" w:ascii="宋体" w:hAnsi="宋体" w:cs="宋体"/>
                <w:color w:val="auto"/>
                <w:szCs w:val="21"/>
                <w:highlight w:val="none"/>
              </w:rPr>
              <w:t>述标</w:t>
            </w:r>
            <w:r>
              <w:rPr>
                <w:rFonts w:hint="eastAsia" w:ascii="宋体" w:hAnsi="宋体" w:cs="宋体"/>
                <w:color w:val="auto"/>
                <w:kern w:val="0"/>
                <w:szCs w:val="21"/>
                <w:highlight w:val="none"/>
              </w:rPr>
              <w:t>流程：</w:t>
            </w:r>
          </w:p>
          <w:p w14:paraId="3D1E0E41">
            <w:pPr>
              <w:widowControl/>
              <w:spacing w:line="276"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述标</w:t>
            </w:r>
            <w:r>
              <w:rPr>
                <w:rFonts w:hint="eastAsia" w:ascii="宋体" w:hAnsi="宋体" w:cs="宋体"/>
                <w:color w:val="auto"/>
                <w:kern w:val="0"/>
                <w:szCs w:val="21"/>
                <w:highlight w:val="none"/>
              </w:rPr>
              <w:t>人员陈述（包括但不限于以下）：</w:t>
            </w:r>
          </w:p>
          <w:p w14:paraId="22542785">
            <w:pPr>
              <w:widowControl/>
              <w:spacing w:line="276"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1、对</w:t>
            </w:r>
            <w:r>
              <w:rPr>
                <w:rFonts w:hint="eastAsia" w:ascii="宋体" w:hAnsi="宋体"/>
                <w:color w:val="auto"/>
                <w:szCs w:val="21"/>
                <w:highlight w:val="none"/>
              </w:rPr>
              <w:t>本招</w:t>
            </w:r>
            <w:r>
              <w:rPr>
                <w:rFonts w:hint="eastAsia" w:ascii="宋体" w:hAnsi="宋体" w:cs="宋体"/>
                <w:color w:val="auto"/>
                <w:kern w:val="0"/>
                <w:szCs w:val="21"/>
                <w:highlight w:val="none"/>
              </w:rPr>
              <w:t>标项目的了解情况；</w:t>
            </w:r>
          </w:p>
          <w:p w14:paraId="16882F4C">
            <w:pPr>
              <w:widowControl/>
              <w:spacing w:line="276"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2、本项目施工重点、难点及建议。</w:t>
            </w:r>
          </w:p>
          <w:p w14:paraId="6686A8D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（二）评标标准：</w:t>
            </w:r>
          </w:p>
          <w:p w14:paraId="23CB2144">
            <w:pPr>
              <w:spacing w:line="276" w:lineRule="auto"/>
              <w:rPr>
                <w:rFonts w:hint="eastAsia" w:ascii="宋体" w:hAnsi="宋体" w:cs="宋体"/>
                <w:color w:val="auto"/>
                <w:szCs w:val="21"/>
                <w:highlight w:val="none"/>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优</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对项目情况认识清晰，对项目的重点、难点理解到位，应对措施合理健全，对工程质量和工期、安全的保证措施合理可行，述标内容与标书内容一致性高。得15分；</w:t>
            </w:r>
          </w:p>
          <w:p w14:paraId="4AEDB202">
            <w:pPr>
              <w:spacing w:line="276" w:lineRule="auto"/>
              <w:rPr>
                <w:rFonts w:hint="eastAsia" w:ascii="宋体" w:hAnsi="宋体" w:cs="宋体"/>
                <w:color w:val="auto"/>
                <w:szCs w:val="21"/>
                <w:highlight w:val="none"/>
              </w:rPr>
            </w:pPr>
            <w:r>
              <w:rPr>
                <w:rFonts w:hint="eastAsia" w:ascii="宋体" w:hAnsi="宋体" w:cs="宋体"/>
                <w:b/>
                <w:bCs/>
                <w:color w:val="auto"/>
                <w:kern w:val="0"/>
                <w:szCs w:val="21"/>
                <w:highlight w:val="none"/>
              </w:rPr>
              <w:t>【良】：</w:t>
            </w:r>
            <w:r>
              <w:rPr>
                <w:rFonts w:hint="eastAsia" w:ascii="宋体" w:hAnsi="宋体" w:cs="宋体"/>
                <w:color w:val="auto"/>
                <w:szCs w:val="21"/>
                <w:highlight w:val="none"/>
              </w:rPr>
              <w:t>对项目情况认识比较清晰，对项目的重点、难点理解比较到位，应对措施比较合理，对工程质量和工期、安全的保证措施比较合理可行，述标内容与标书内容一致性较高。得8分；</w:t>
            </w:r>
          </w:p>
          <w:p w14:paraId="396101E5">
            <w:pPr>
              <w:spacing w:line="276" w:lineRule="auto"/>
              <w:rPr>
                <w:rFonts w:hint="eastAsia" w:ascii="宋体" w:hAnsi="宋体" w:cs="宋体"/>
                <w:color w:val="auto"/>
                <w:szCs w:val="21"/>
                <w:highlight w:val="none"/>
              </w:rPr>
            </w:pPr>
            <w:r>
              <w:rPr>
                <w:rFonts w:hint="eastAsia" w:ascii="宋体" w:hAnsi="宋体" w:cs="宋体"/>
                <w:b/>
                <w:bCs/>
                <w:color w:val="auto"/>
                <w:kern w:val="0"/>
                <w:szCs w:val="21"/>
                <w:highlight w:val="none"/>
              </w:rPr>
              <w:t>【中】：</w:t>
            </w:r>
            <w:r>
              <w:rPr>
                <w:rFonts w:hint="eastAsia" w:ascii="宋体" w:hAnsi="宋体" w:cs="宋体"/>
                <w:color w:val="auto"/>
                <w:szCs w:val="21"/>
                <w:highlight w:val="none"/>
              </w:rPr>
              <w:t>对项目情况认识一般，但重点、难点把握不准，应对措施欠合理，工程质量和工期、安全的保证措施欠合理，述标内容与标书内容一致性一般。得4分；</w:t>
            </w:r>
          </w:p>
          <w:p w14:paraId="59093858">
            <w:pPr>
              <w:spacing w:line="276" w:lineRule="auto"/>
              <w:rPr>
                <w:rFonts w:hint="eastAsia" w:ascii="宋体" w:hAnsi="宋体" w:cs="宋体"/>
                <w:color w:val="auto"/>
                <w:szCs w:val="21"/>
                <w:highlight w:val="none"/>
              </w:rPr>
            </w:pPr>
            <w:r>
              <w:rPr>
                <w:rFonts w:hint="eastAsia" w:ascii="宋体" w:hAnsi="宋体" w:cs="宋体"/>
                <w:b/>
                <w:bCs/>
                <w:color w:val="auto"/>
                <w:kern w:val="0"/>
                <w:szCs w:val="21"/>
                <w:highlight w:val="none"/>
              </w:rPr>
              <w:t>【差】：</w:t>
            </w:r>
            <w:r>
              <w:rPr>
                <w:rFonts w:hint="eastAsia" w:ascii="宋体" w:hAnsi="宋体" w:cs="宋体"/>
                <w:color w:val="auto"/>
                <w:szCs w:val="21"/>
                <w:highlight w:val="none"/>
              </w:rPr>
              <w:t>对项目不了解，或述标内容与标书内容不一致。得0分。</w:t>
            </w:r>
          </w:p>
          <w:p w14:paraId="3313C847">
            <w:pPr>
              <w:spacing w:line="276" w:lineRule="auto"/>
              <w:jc w:val="left"/>
              <w:rPr>
                <w:rFonts w:hint="eastAsia" w:ascii="宋体" w:hAnsi="宋体"/>
                <w:color w:val="auto"/>
                <w:szCs w:val="21"/>
                <w:highlight w:val="none"/>
                <w:u w:val="single"/>
              </w:rPr>
            </w:pPr>
            <w:r>
              <w:rPr>
                <w:rFonts w:hint="eastAsia" w:ascii="宋体" w:hAnsi="宋体"/>
                <w:color w:val="auto"/>
                <w:szCs w:val="21"/>
                <w:highlight w:val="none"/>
                <w:u w:val="single"/>
              </w:rPr>
              <w:t>注意事项如下：</w:t>
            </w:r>
          </w:p>
          <w:p w14:paraId="6313404D">
            <w:pPr>
              <w:spacing w:line="276" w:lineRule="auto"/>
              <w:rPr>
                <w:rFonts w:hint="eastAsia" w:ascii="宋体" w:hAnsi="宋体"/>
                <w:color w:val="auto"/>
                <w:szCs w:val="21"/>
                <w:highlight w:val="none"/>
                <w:u w:val="single"/>
              </w:rPr>
            </w:pPr>
            <w:r>
              <w:rPr>
                <w:rFonts w:hint="eastAsia" w:ascii="宋体" w:hAnsi="宋体"/>
                <w:color w:val="auto"/>
                <w:szCs w:val="21"/>
                <w:highlight w:val="none"/>
                <w:u w:val="single"/>
              </w:rPr>
              <w:t>（1）不通过技术标有效性审查的投标人不须参与述标环节。</w:t>
            </w:r>
          </w:p>
          <w:p w14:paraId="4CBC7006">
            <w:pPr>
              <w:spacing w:line="276" w:lineRule="auto"/>
              <w:rPr>
                <w:rFonts w:hint="eastAsia" w:ascii="宋体" w:hAnsi="宋体"/>
                <w:color w:val="auto"/>
                <w:szCs w:val="21"/>
                <w:highlight w:val="none"/>
                <w:u w:val="single"/>
              </w:rPr>
            </w:pPr>
            <w:r>
              <w:rPr>
                <w:rFonts w:hint="eastAsia" w:ascii="宋体" w:hAnsi="宋体"/>
                <w:color w:val="auto"/>
                <w:szCs w:val="21"/>
                <w:highlight w:val="none"/>
                <w:u w:val="single"/>
              </w:rPr>
              <w:t>（2）述标人员组成：项目负责人</w:t>
            </w:r>
            <w:r>
              <w:rPr>
                <w:rFonts w:hint="eastAsia" w:ascii="宋体" w:hAnsi="宋体" w:cs="宋体"/>
                <w:color w:val="auto"/>
                <w:szCs w:val="21"/>
                <w:highlight w:val="none"/>
                <w:u w:val="single"/>
              </w:rPr>
              <w:t>或技术负责人其中一人参加</w:t>
            </w:r>
            <w:r>
              <w:rPr>
                <w:rFonts w:hint="eastAsia" w:ascii="宋体" w:hAnsi="宋体"/>
                <w:color w:val="auto"/>
                <w:szCs w:val="21"/>
                <w:highlight w:val="none"/>
                <w:u w:val="single"/>
              </w:rPr>
              <w:t>述标。</w:t>
            </w:r>
          </w:p>
          <w:p w14:paraId="4A4E5034">
            <w:pPr>
              <w:spacing w:line="276" w:lineRule="auto"/>
              <w:jc w:val="left"/>
              <w:rPr>
                <w:rFonts w:hint="eastAsia" w:ascii="宋体" w:hAnsi="宋体"/>
                <w:color w:val="auto"/>
                <w:szCs w:val="21"/>
                <w:highlight w:val="none"/>
                <w:u w:val="single"/>
              </w:rPr>
            </w:pPr>
            <w:r>
              <w:rPr>
                <w:rFonts w:hint="eastAsia" w:ascii="宋体" w:hAnsi="宋体"/>
                <w:color w:val="auto"/>
                <w:szCs w:val="21"/>
                <w:highlight w:val="none"/>
                <w:u w:val="single"/>
              </w:rPr>
              <w:t>（3）述标顺序：</w:t>
            </w:r>
            <w:r>
              <w:rPr>
                <w:rFonts w:ascii="宋体" w:hAnsi="宋体"/>
                <w:color w:val="auto"/>
                <w:szCs w:val="21"/>
                <w:highlight w:val="none"/>
                <w:u w:val="single"/>
              </w:rPr>
              <w:t>顺序为“开标</w:t>
            </w:r>
            <w:r>
              <w:rPr>
                <w:rFonts w:hint="eastAsia" w:ascii="宋体" w:hAnsi="宋体"/>
                <w:color w:val="auto"/>
                <w:szCs w:val="21"/>
                <w:highlight w:val="none"/>
                <w:u w:val="single"/>
              </w:rPr>
              <w:t>记录</w:t>
            </w:r>
            <w:r>
              <w:rPr>
                <w:rFonts w:ascii="宋体" w:hAnsi="宋体"/>
                <w:color w:val="auto"/>
                <w:szCs w:val="21"/>
                <w:highlight w:val="none"/>
                <w:u w:val="single"/>
              </w:rPr>
              <w:t>表”由上往下的顺序（即从序号1开始）</w:t>
            </w:r>
            <w:r>
              <w:rPr>
                <w:rFonts w:hint="eastAsia" w:ascii="宋体" w:hAnsi="宋体"/>
                <w:color w:val="auto"/>
                <w:szCs w:val="21"/>
                <w:highlight w:val="none"/>
                <w:u w:val="single"/>
              </w:rPr>
              <w:t>。</w:t>
            </w:r>
          </w:p>
          <w:p w14:paraId="31E3D35A">
            <w:pPr>
              <w:spacing w:line="276" w:lineRule="auto"/>
              <w:jc w:val="left"/>
              <w:rPr>
                <w:rFonts w:hint="eastAsia" w:ascii="宋体" w:hAnsi="宋体"/>
                <w:color w:val="auto"/>
                <w:szCs w:val="21"/>
                <w:highlight w:val="none"/>
                <w:u w:val="single"/>
              </w:rPr>
            </w:pPr>
            <w:r>
              <w:rPr>
                <w:rFonts w:hint="eastAsia" w:ascii="宋体" w:hAnsi="宋体"/>
                <w:color w:val="auto"/>
                <w:szCs w:val="21"/>
                <w:highlight w:val="none"/>
                <w:u w:val="single"/>
              </w:rPr>
              <w:t>（4）述标人员的要求：投标人在参加述标时，应向招标人（招标代理）提供一份加盖公章的法定代表人证明书及授权委托书，并展示讲解人员在本单位</w:t>
            </w:r>
            <w:r>
              <w:rPr>
                <w:rFonts w:ascii="宋体" w:hAnsi="宋体"/>
                <w:color w:val="auto"/>
                <w:szCs w:val="21"/>
                <w:highlight w:val="none"/>
                <w:u w:val="single"/>
              </w:rPr>
              <w:t>2025年</w:t>
            </w:r>
            <w:r>
              <w:rPr>
                <w:rFonts w:hint="eastAsia" w:ascii="宋体" w:hAnsi="宋体"/>
                <w:color w:val="auto"/>
                <w:szCs w:val="21"/>
                <w:highlight w:val="none"/>
                <w:u w:val="single"/>
                <w:lang w:eastAsia="zh-CN"/>
              </w:rPr>
              <w:t>4月</w:t>
            </w:r>
            <w:r>
              <w:rPr>
                <w:rFonts w:ascii="宋体" w:hAnsi="宋体"/>
                <w:color w:val="auto"/>
                <w:szCs w:val="21"/>
                <w:highlight w:val="none"/>
                <w:u w:val="single"/>
              </w:rPr>
              <w:t>的有效社保证明复印件并加盖单位公章)、身份证原件，招标人（招标代理）核对确认身份后再进行</w:t>
            </w:r>
            <w:r>
              <w:rPr>
                <w:rFonts w:hint="eastAsia" w:ascii="宋体" w:hAnsi="宋体"/>
                <w:color w:val="auto"/>
                <w:szCs w:val="21"/>
                <w:highlight w:val="none"/>
                <w:u w:val="single"/>
              </w:rPr>
              <w:t>述标</w:t>
            </w:r>
            <w:r>
              <w:rPr>
                <w:rFonts w:ascii="宋体" w:hAnsi="宋体"/>
                <w:color w:val="auto"/>
                <w:szCs w:val="21"/>
                <w:highlight w:val="none"/>
                <w:u w:val="single"/>
              </w:rPr>
              <w:t>。未能出示前述证明文件的单位不予参加</w:t>
            </w:r>
            <w:r>
              <w:rPr>
                <w:rFonts w:hint="eastAsia" w:ascii="宋体" w:hAnsi="宋体"/>
                <w:color w:val="auto"/>
                <w:szCs w:val="21"/>
                <w:highlight w:val="none"/>
                <w:u w:val="single"/>
              </w:rPr>
              <w:t>述标</w:t>
            </w:r>
            <w:r>
              <w:rPr>
                <w:rFonts w:ascii="宋体" w:hAnsi="宋体"/>
                <w:color w:val="auto"/>
                <w:szCs w:val="21"/>
                <w:highlight w:val="none"/>
                <w:u w:val="single"/>
              </w:rPr>
              <w:t>环节。</w:t>
            </w:r>
          </w:p>
          <w:p w14:paraId="6E1FBE81">
            <w:pPr>
              <w:spacing w:line="276" w:lineRule="auto"/>
              <w:jc w:val="left"/>
              <w:rPr>
                <w:rFonts w:hint="eastAsia" w:ascii="宋体" w:hAnsi="宋体"/>
                <w:color w:val="auto"/>
                <w:szCs w:val="21"/>
                <w:highlight w:val="none"/>
                <w:u w:val="single"/>
              </w:rPr>
            </w:pPr>
            <w:r>
              <w:rPr>
                <w:rFonts w:hint="eastAsia" w:ascii="宋体" w:hAnsi="宋体"/>
                <w:color w:val="auto"/>
                <w:szCs w:val="21"/>
                <w:highlight w:val="none"/>
                <w:u w:val="single"/>
              </w:rPr>
              <w:t>（5）述标形式与要求：述标环节在评标时进行，具体时间根据评标委员会评审进度而定；招标人（招标代理）在述标开始前通知通过技术标有效性审查的投标人到达述标地点（述标人员应预留出足够的时间，并保持通讯畅通）。</w:t>
            </w:r>
          </w:p>
          <w:p w14:paraId="1B355A6D">
            <w:pPr>
              <w:spacing w:line="276" w:lineRule="auto"/>
              <w:rPr>
                <w:rFonts w:hint="eastAsia" w:ascii="宋体" w:hAnsi="宋体" w:cs="宋体"/>
                <w:color w:val="auto"/>
                <w:szCs w:val="21"/>
                <w:highlight w:val="none"/>
              </w:rPr>
            </w:pPr>
            <w:r>
              <w:rPr>
                <w:rFonts w:hint="eastAsia" w:ascii="宋体" w:hAnsi="宋体"/>
                <w:color w:val="auto"/>
                <w:szCs w:val="21"/>
                <w:highlight w:val="none"/>
                <w:u w:val="single"/>
              </w:rPr>
              <w:t>（6）述标时长控制：每家投标人陈述时长不超5分钟。</w:t>
            </w:r>
          </w:p>
        </w:tc>
      </w:tr>
      <w:tr w14:paraId="5793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continue"/>
            <w:vAlign w:val="center"/>
          </w:tcPr>
          <w:p w14:paraId="18B5941F">
            <w:pPr>
              <w:spacing w:line="276" w:lineRule="auto"/>
              <w:jc w:val="center"/>
              <w:rPr>
                <w:rFonts w:hint="eastAsia" w:ascii="宋体" w:hAnsi="宋体" w:cs="宋体"/>
                <w:color w:val="auto"/>
                <w:szCs w:val="21"/>
                <w:highlight w:val="none"/>
              </w:rPr>
            </w:pPr>
          </w:p>
        </w:tc>
        <w:tc>
          <w:tcPr>
            <w:tcW w:w="2183" w:type="dxa"/>
            <w:vAlign w:val="center"/>
          </w:tcPr>
          <w:p w14:paraId="6810409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650" w:type="dxa"/>
            <w:vAlign w:val="center"/>
          </w:tcPr>
          <w:p w14:paraId="4D6FE09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11237" w:type="dxa"/>
            <w:vAlign w:val="center"/>
          </w:tcPr>
          <w:p w14:paraId="76CC1C4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r>
    </w:tbl>
    <w:p w14:paraId="0D3CA619">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备注：</w:t>
      </w:r>
    </w:p>
    <w:p w14:paraId="6ABCBFA8">
      <w:pPr>
        <w:spacing w:line="276"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b/>
          <w:color w:val="auto"/>
          <w:kern w:val="0"/>
          <w:szCs w:val="21"/>
          <w:highlight w:val="none"/>
        </w:rPr>
        <w:t>类似工程业绩：</w:t>
      </w:r>
      <w:r>
        <w:rPr>
          <w:rFonts w:hint="eastAsia" w:ascii="宋体" w:hAnsi="宋体" w:cs="宋体"/>
          <w:bCs/>
          <w:color w:val="auto"/>
          <w:kern w:val="0"/>
          <w:szCs w:val="21"/>
          <w:highlight w:val="none"/>
        </w:rPr>
        <w:t>指</w:t>
      </w:r>
      <w:r>
        <w:rPr>
          <w:rFonts w:hint="eastAsia" w:ascii="宋体" w:hAnsi="宋体"/>
          <w:bCs/>
          <w:color w:val="auto"/>
          <w:szCs w:val="21"/>
          <w:highlight w:val="none"/>
        </w:rPr>
        <w:t>造价大于或等于</w:t>
      </w:r>
      <w:r>
        <w:rPr>
          <w:rFonts w:hint="eastAsia" w:ascii="宋体" w:hAnsi="宋体" w:cs="宋体"/>
          <w:bCs/>
          <w:color w:val="auto"/>
          <w:szCs w:val="21"/>
          <w:highlight w:val="none"/>
          <w:lang w:val="en-US" w:eastAsia="zh-CN"/>
        </w:rPr>
        <w:t>2500</w:t>
      </w:r>
      <w:r>
        <w:rPr>
          <w:rFonts w:hint="eastAsia" w:ascii="宋体" w:hAnsi="宋体" w:cs="宋体"/>
          <w:bCs/>
          <w:color w:val="auto"/>
          <w:szCs w:val="21"/>
          <w:highlight w:val="none"/>
        </w:rPr>
        <w:t>万元的市政公用工程施工总承包</w:t>
      </w:r>
      <w:r>
        <w:rPr>
          <w:rFonts w:hint="eastAsia" w:ascii="宋体" w:hAnsi="宋体" w:cs="宋体"/>
          <w:bCs/>
          <w:color w:val="auto"/>
          <w:kern w:val="0"/>
          <w:szCs w:val="21"/>
          <w:highlight w:val="none"/>
        </w:rPr>
        <w:t>【或工程总承包（即</w:t>
      </w:r>
      <w:r>
        <w:rPr>
          <w:rFonts w:ascii="宋体" w:hAnsi="宋体" w:cs="宋体"/>
          <w:bCs/>
          <w:color w:val="auto"/>
          <w:kern w:val="0"/>
          <w:szCs w:val="21"/>
          <w:highlight w:val="none"/>
        </w:rPr>
        <w:t>EPC）的施工部分】</w:t>
      </w:r>
      <w:r>
        <w:rPr>
          <w:rFonts w:hint="eastAsia" w:ascii="宋体" w:hAnsi="宋体" w:cs="宋体"/>
          <w:bCs/>
          <w:color w:val="auto"/>
          <w:kern w:val="0"/>
          <w:szCs w:val="21"/>
          <w:highlight w:val="none"/>
        </w:rPr>
        <w:t>业绩</w:t>
      </w:r>
      <w:r>
        <w:rPr>
          <w:rFonts w:hint="eastAsia" w:ascii="宋体" w:hAnsi="宋体" w:cs="宋体"/>
          <w:color w:val="auto"/>
          <w:kern w:val="0"/>
          <w:szCs w:val="21"/>
          <w:highlight w:val="none"/>
        </w:rPr>
        <w:t>，业绩需提供①中标通知书或免招标的证明、②施工合同、③竣工验收文件。业绩金额以中标通知书为准，中标通知书上没有金额或免招标的，以施工合同（不含补充合同）为准；完成时间以竣工验收文件为准，验收文件至少具有建设单位、设计、施工和监理单位盖章。如未提供相关证明材料或前述证明材料不能直接反映评分要求的特征和必要信息，该项业绩不予认定。</w:t>
      </w:r>
    </w:p>
    <w:p w14:paraId="6611812C">
      <w:pPr>
        <w:adjustRightInd w:val="0"/>
        <w:snapToGrid w:val="0"/>
        <w:spacing w:line="276" w:lineRule="auto"/>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bCs/>
          <w:color w:val="auto"/>
          <w:szCs w:val="21"/>
          <w:highlight w:val="none"/>
        </w:rPr>
        <w:t>工程获奖：</w:t>
      </w:r>
      <w:r>
        <w:rPr>
          <w:rFonts w:hint="eastAsia" w:ascii="宋体" w:hAnsi="宋体" w:cs="宋体"/>
          <w:color w:val="auto"/>
          <w:szCs w:val="21"/>
          <w:highlight w:val="none"/>
        </w:rPr>
        <w:t>获奖需提供获奖证书。国家级工程质量奖项为</w:t>
      </w:r>
      <w:r>
        <w:rPr>
          <w:rFonts w:ascii="宋体" w:hAnsi="宋体" w:cs="宋体"/>
          <w:color w:val="auto"/>
          <w:szCs w:val="21"/>
          <w:highlight w:val="none"/>
        </w:rPr>
        <w:t>市政工程最高水平质量评价奖、</w:t>
      </w:r>
      <w:r>
        <w:rPr>
          <w:rFonts w:hint="eastAsia" w:ascii="宋体" w:hAnsi="宋体" w:cs="宋体"/>
          <w:color w:val="auto"/>
          <w:szCs w:val="21"/>
          <w:highlight w:val="none"/>
        </w:rPr>
        <w:t>中国建设工程</w:t>
      </w:r>
      <w:r>
        <w:rPr>
          <w:rFonts w:ascii="宋体" w:hAnsi="宋体" w:cs="宋体"/>
          <w:color w:val="auto"/>
          <w:szCs w:val="21"/>
          <w:highlight w:val="none"/>
        </w:rPr>
        <w:t>鲁班奖、中国土木工程詹天佑奖、</w:t>
      </w:r>
      <w:r>
        <w:rPr>
          <w:rFonts w:hint="eastAsia" w:ascii="宋体" w:hAnsi="宋体" w:cs="宋体"/>
          <w:color w:val="auto"/>
          <w:szCs w:val="21"/>
          <w:highlight w:val="none"/>
        </w:rPr>
        <w:t>国家优质工程奖、国家优质工程金奖。省级或市级工程质量奖项为省级或市级行政主管部门或行业协会颁发的工程质量奖项；奖项</w:t>
      </w:r>
      <w:r>
        <w:rPr>
          <w:rFonts w:hint="eastAsia" w:ascii="宋体" w:hAnsi="宋体" w:cs="宋体"/>
          <w:color w:val="auto"/>
          <w:szCs w:val="21"/>
          <w:highlight w:val="none"/>
          <w:lang w:val="zh-CN"/>
        </w:rPr>
        <w:t>包括工程质量（含</w:t>
      </w:r>
      <w:r>
        <w:rPr>
          <w:rFonts w:hint="eastAsia" w:ascii="宋体" w:hAnsi="宋体" w:cs="宋体"/>
          <w:color w:val="auto"/>
          <w:szCs w:val="21"/>
          <w:highlight w:val="none"/>
        </w:rPr>
        <w:t>结构</w:t>
      </w:r>
      <w:r>
        <w:rPr>
          <w:rFonts w:hint="eastAsia" w:ascii="宋体" w:hAnsi="宋体" w:cs="宋体"/>
          <w:color w:val="auto"/>
          <w:szCs w:val="21"/>
          <w:highlight w:val="none"/>
          <w:lang w:val="zh-CN"/>
        </w:rPr>
        <w:t>）等</w:t>
      </w:r>
      <w:r>
        <w:rPr>
          <w:rFonts w:hint="eastAsia" w:ascii="宋体" w:hAnsi="宋体" w:cs="宋体"/>
          <w:color w:val="auto"/>
          <w:szCs w:val="21"/>
          <w:highlight w:val="none"/>
        </w:rPr>
        <w:t>奖项，不包含安全文明、绿色施工、结构类奖项，技术创新、QC成果、技术应用类等奖项</w:t>
      </w:r>
      <w:r>
        <w:rPr>
          <w:rFonts w:hint="eastAsia" w:ascii="宋体" w:hAnsi="宋体" w:cs="宋体"/>
          <w:color w:val="auto"/>
          <w:szCs w:val="21"/>
          <w:highlight w:val="none"/>
          <w:lang w:val="zh-CN"/>
        </w:rPr>
        <w:t>。</w:t>
      </w:r>
      <w:r>
        <w:rPr>
          <w:rFonts w:hint="eastAsia" w:ascii="宋体" w:hAnsi="宋体" w:cs="宋体"/>
          <w:color w:val="auto"/>
          <w:szCs w:val="21"/>
          <w:highlight w:val="none"/>
        </w:rPr>
        <w:t>如颁发单位为行业协会的，还须提供该协会在“全国社会组织信用信息公示平台（试运行）”已登记备案的查询信息截图页（网址：https://xxgs.chinanpo.mca.gov.cn/gsxt/newList）。同一项目按最高级别获奖计分，如获得同级别的不同奖项只计分一次。获奖时间以获奖证书发证日期为准。</w:t>
      </w:r>
      <w:r>
        <w:rPr>
          <w:rFonts w:hint="eastAsia" w:ascii="宋体" w:hAnsi="宋体" w:cs="宋体"/>
          <w:color w:val="auto"/>
          <w:kern w:val="0"/>
          <w:szCs w:val="21"/>
          <w:highlight w:val="none"/>
        </w:rPr>
        <w:t>投标人所提供扫描件不符合上述要求的不予认定。</w:t>
      </w:r>
    </w:p>
    <w:p w14:paraId="48955977">
      <w:pPr>
        <w:spacing w:line="276"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3、</w:t>
      </w:r>
      <w:r>
        <w:rPr>
          <w:rFonts w:hint="eastAsia" w:ascii="宋体" w:hAnsi="宋体" w:cs="宋体"/>
          <w:b/>
          <w:bCs/>
          <w:color w:val="auto"/>
          <w:kern w:val="0"/>
          <w:szCs w:val="21"/>
          <w:highlight w:val="none"/>
        </w:rPr>
        <w:t>工程研发能力：</w:t>
      </w:r>
      <w:r>
        <w:rPr>
          <w:rFonts w:hint="eastAsia" w:ascii="宋体" w:hAnsi="宋体" w:cs="宋体"/>
          <w:color w:val="auto"/>
          <w:kern w:val="0"/>
          <w:szCs w:val="21"/>
          <w:highlight w:val="none"/>
        </w:rPr>
        <w:t>（1）</w:t>
      </w:r>
      <w:r>
        <w:rPr>
          <w:rFonts w:hint="eastAsia" w:ascii="宋体" w:hAnsi="宋体" w:cs="宋体"/>
          <w:color w:val="auto"/>
          <w:szCs w:val="21"/>
          <w:highlight w:val="none"/>
        </w:rPr>
        <w:t>科学技术类奖项：指</w:t>
      </w:r>
      <w:r>
        <w:rPr>
          <w:rFonts w:hint="eastAsia" w:ascii="宋体" w:hAnsi="宋体"/>
          <w:color w:val="auto"/>
          <w:szCs w:val="21"/>
          <w:highlight w:val="none"/>
          <w:lang w:bidi="ar"/>
        </w:rPr>
        <w:t>政府部门（或行业协会）依法依规设立的</w:t>
      </w:r>
      <w:r>
        <w:rPr>
          <w:rFonts w:hint="eastAsia" w:ascii="宋体" w:hAnsi="宋体"/>
          <w:snapToGrid w:val="0"/>
          <w:color w:val="auto"/>
          <w:szCs w:val="21"/>
          <w:highlight w:val="none"/>
        </w:rPr>
        <w:t>科学技术类奖项。</w:t>
      </w:r>
      <w:r>
        <w:rPr>
          <w:rFonts w:hint="eastAsia" w:ascii="宋体" w:hAnsi="宋体" w:cs="宋体"/>
          <w:color w:val="auto"/>
          <w:szCs w:val="21"/>
          <w:highlight w:val="none"/>
        </w:rPr>
        <w:t>需提供获奖证书。时间</w:t>
      </w:r>
      <w:r>
        <w:rPr>
          <w:rFonts w:hint="eastAsia" w:ascii="宋体" w:hAnsi="宋体"/>
          <w:color w:val="auto"/>
          <w:szCs w:val="21"/>
          <w:highlight w:val="none"/>
        </w:rPr>
        <w:t>以获奖证书颁发时间为准，</w:t>
      </w:r>
      <w:r>
        <w:rPr>
          <w:rFonts w:hint="eastAsia" w:ascii="宋体" w:hAnsi="宋体" w:cs="宋体"/>
          <w:color w:val="auto"/>
          <w:szCs w:val="21"/>
          <w:highlight w:val="none"/>
        </w:rPr>
        <w:t>同一证书按最高级别只计算一次，不重复计算。</w:t>
      </w:r>
    </w:p>
    <w:p w14:paraId="2495F3F6">
      <w:pPr>
        <w:spacing w:line="27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（2）工法奖项：需提供获奖证书。时间</w:t>
      </w:r>
      <w:r>
        <w:rPr>
          <w:rFonts w:hint="eastAsia" w:ascii="宋体" w:hAnsi="宋体"/>
          <w:color w:val="auto"/>
          <w:szCs w:val="21"/>
          <w:highlight w:val="none"/>
        </w:rPr>
        <w:t>以获奖证书颁发时间为准，</w:t>
      </w:r>
      <w:r>
        <w:rPr>
          <w:rFonts w:hint="eastAsia" w:ascii="宋体" w:hAnsi="宋体" w:cs="宋体"/>
          <w:color w:val="auto"/>
          <w:szCs w:val="21"/>
          <w:highlight w:val="none"/>
        </w:rPr>
        <w:t>同一证书按最高级别只计算一次，不重复计算。</w:t>
      </w:r>
    </w:p>
    <w:p w14:paraId="27BCF405">
      <w:pPr>
        <w:spacing w:line="276" w:lineRule="auto"/>
        <w:ind w:firstLine="420" w:firstLineChars="200"/>
        <w:rPr>
          <w:rFonts w:hint="eastAsia" w:ascii="宋体" w:hAnsi="宋体" w:cs="宋体"/>
          <w:b/>
          <w:color w:val="auto"/>
          <w:szCs w:val="21"/>
          <w:highlight w:val="none"/>
        </w:rPr>
      </w:pPr>
      <w:r>
        <w:rPr>
          <w:rFonts w:hint="eastAsia" w:ascii="宋体" w:hAnsi="宋体" w:cs="宋体"/>
          <w:color w:val="auto"/>
          <w:kern w:val="0"/>
          <w:szCs w:val="21"/>
          <w:highlight w:val="none"/>
        </w:rPr>
        <w:t>4、</w:t>
      </w:r>
      <w:r>
        <w:rPr>
          <w:rFonts w:hint="eastAsia" w:ascii="宋体" w:hAnsi="宋体" w:cs="宋体"/>
          <w:b/>
          <w:bCs/>
          <w:color w:val="auto"/>
          <w:kern w:val="0"/>
          <w:szCs w:val="21"/>
          <w:highlight w:val="none"/>
        </w:rPr>
        <w:t>履约信誉：</w:t>
      </w:r>
      <w:r>
        <w:rPr>
          <w:rFonts w:hint="eastAsia" w:ascii="宋体" w:hAnsi="宋体" w:cs="宋体"/>
          <w:bCs/>
          <w:color w:val="auto"/>
          <w:szCs w:val="21"/>
          <w:highlight w:val="none"/>
        </w:rPr>
        <w:t>纳税信用 A 级纳税人提供相应证书或省级税务局官网查询记录截图。</w:t>
      </w:r>
    </w:p>
    <w:p w14:paraId="16EA1A84">
      <w:pPr>
        <w:spacing w:line="276" w:lineRule="auto"/>
        <w:ind w:firstLine="420" w:firstLineChars="200"/>
        <w:jc w:val="left"/>
        <w:rPr>
          <w:rFonts w:hint="eastAsia" w:ascii="宋体" w:hAnsi="宋体" w:cs="宋体"/>
          <w:color w:val="auto"/>
          <w:szCs w:val="21"/>
          <w:highlight w:val="none"/>
          <w:shd w:val="clear" w:color="auto" w:fill="FFFFFF"/>
        </w:rPr>
      </w:pPr>
      <w:r>
        <w:rPr>
          <w:rFonts w:hint="eastAsia" w:ascii="宋体" w:hAnsi="宋体" w:cs="宋体"/>
          <w:bCs/>
          <w:color w:val="auto"/>
          <w:kern w:val="0"/>
          <w:szCs w:val="21"/>
          <w:highlight w:val="none"/>
        </w:rPr>
        <w:t>5、</w:t>
      </w:r>
      <w:r>
        <w:rPr>
          <w:rFonts w:hint="eastAsia" w:ascii="宋体" w:hAnsi="宋体" w:cs="宋体"/>
          <w:b/>
          <w:color w:val="auto"/>
          <w:kern w:val="0"/>
          <w:szCs w:val="21"/>
          <w:highlight w:val="none"/>
        </w:rPr>
        <w:t>项目管理机构：</w:t>
      </w:r>
      <w:r>
        <w:rPr>
          <w:rFonts w:hint="eastAsia" w:ascii="宋体" w:hAnsi="宋体" w:cs="宋体"/>
          <w:bCs/>
          <w:color w:val="auto"/>
          <w:kern w:val="0"/>
          <w:szCs w:val="21"/>
          <w:highlight w:val="none"/>
        </w:rPr>
        <w:t>项目管理机构</w:t>
      </w:r>
      <w:r>
        <w:rPr>
          <w:rFonts w:hint="eastAsia" w:ascii="宋体" w:hAnsi="宋体" w:cs="宋体"/>
          <w:color w:val="auto"/>
          <w:kern w:val="0"/>
          <w:szCs w:val="21"/>
          <w:highlight w:val="none"/>
        </w:rPr>
        <w:t>人员均不能兼任，未按要求提供完整相关资料的人员，该人员不作为评分依据。人员仅指投标人自身人员，如投标申请人为集团公司，则不含集团下属具有独立法人的子公司的人员，但包含非独立法人的分公司人员；同样下属具有独立法人的子公司也不得使用集团公司的人员。社保证明时间要求为</w:t>
      </w:r>
      <w:r>
        <w:rPr>
          <w:rFonts w:hint="eastAsia" w:ascii="宋体" w:hAnsi="宋体" w:cs="宋体"/>
          <w:color w:val="auto"/>
          <w:kern w:val="0"/>
          <w:szCs w:val="21"/>
          <w:highlight w:val="none"/>
          <w:u w:val="single"/>
        </w:rPr>
        <w:t>2025年</w:t>
      </w:r>
      <w:r>
        <w:rPr>
          <w:rFonts w:hint="eastAsia" w:ascii="宋体" w:hAnsi="宋体" w:cs="宋体"/>
          <w:color w:val="auto"/>
          <w:kern w:val="0"/>
          <w:szCs w:val="21"/>
          <w:highlight w:val="none"/>
          <w:u w:val="single"/>
          <w:lang w:eastAsia="zh-CN"/>
        </w:rPr>
        <w:t>4月</w:t>
      </w:r>
      <w:r>
        <w:rPr>
          <w:rFonts w:hint="eastAsia" w:ascii="宋体" w:hAnsi="宋体" w:cs="宋体"/>
          <w:color w:val="auto"/>
          <w:kern w:val="0"/>
          <w:szCs w:val="21"/>
          <w:highlight w:val="none"/>
        </w:rPr>
        <w:t>。投标人不提供相关证件资料的不得分。</w:t>
      </w:r>
    </w:p>
    <w:p w14:paraId="68F4FE07">
      <w:pPr>
        <w:ind w:firstLine="424" w:firstLineChars="202"/>
        <w:rPr>
          <w:rFonts w:hint="eastAsia" w:ascii="宋体" w:hAnsi="宋体"/>
          <w:color w:val="auto"/>
          <w:szCs w:val="21"/>
          <w:highlight w:val="none"/>
        </w:rPr>
      </w:pPr>
      <w:r>
        <w:rPr>
          <w:rFonts w:hint="eastAsia" w:ascii="宋体" w:hAnsi="宋体" w:cs="宋体"/>
          <w:color w:val="auto"/>
          <w:kern w:val="0"/>
          <w:szCs w:val="21"/>
          <w:highlight w:val="none"/>
        </w:rPr>
        <w:t>6、投标人得分为各评委评分汇总后的算术平均值（若分数出现小数点时，保留小数点后二位，第三位小数四舍五入）。</w:t>
      </w:r>
    </w:p>
    <w:p w14:paraId="4BD1F371">
      <w:pPr>
        <w:widowControl/>
        <w:jc w:val="left"/>
        <w:rPr>
          <w:rFonts w:hint="eastAsia" w:ascii="宋体" w:hAnsi="宋体"/>
          <w:color w:val="auto"/>
          <w:highlight w:val="none"/>
        </w:rPr>
      </w:pPr>
      <w:r>
        <w:rPr>
          <w:rFonts w:ascii="宋体" w:hAnsi="宋体"/>
          <w:color w:val="auto"/>
          <w:highlight w:val="none"/>
        </w:rPr>
        <w:br w:type="page"/>
      </w:r>
    </w:p>
    <w:p w14:paraId="507523F8">
      <w:pPr>
        <w:rPr>
          <w:rFonts w:hint="eastAsia" w:ascii="宋体" w:hAnsi="宋体"/>
          <w:color w:val="auto"/>
          <w:highlight w:val="none"/>
        </w:rPr>
        <w:sectPr>
          <w:headerReference r:id="rId11" w:type="first"/>
          <w:headerReference r:id="rId9" w:type="default"/>
          <w:headerReference r:id="rId10" w:type="even"/>
          <w:footerReference r:id="rId12" w:type="even"/>
          <w:endnotePr>
            <w:numFmt w:val="decimal"/>
          </w:endnotePr>
          <w:type w:val="continuous"/>
          <w:pgSz w:w="16838" w:h="11906" w:orient="landscape"/>
          <w:pgMar w:top="1440" w:right="1080" w:bottom="1440" w:left="1080" w:header="851" w:footer="907" w:gutter="0"/>
          <w:cols w:space="720" w:num="1"/>
          <w:titlePg/>
          <w:docGrid w:type="lines" w:linePitch="312" w:charSpace="0"/>
        </w:sectPr>
      </w:pPr>
    </w:p>
    <w:p w14:paraId="38F1CCD7">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项目管理机构最低人员配备要求表</w:t>
      </w:r>
    </w:p>
    <w:tbl>
      <w:tblPr>
        <w:tblStyle w:val="49"/>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310"/>
        <w:gridCol w:w="1088"/>
        <w:gridCol w:w="6651"/>
      </w:tblGrid>
      <w:tr w14:paraId="6F57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2F4C3597">
            <w:pPr>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310" w:type="dxa"/>
            <w:vAlign w:val="center"/>
          </w:tcPr>
          <w:p w14:paraId="19B0A166">
            <w:pPr>
              <w:jc w:val="center"/>
              <w:rPr>
                <w:rFonts w:hint="eastAsia" w:ascii="宋体" w:hAnsi="宋体"/>
                <w:b/>
                <w:color w:val="auto"/>
                <w:szCs w:val="21"/>
                <w:highlight w:val="none"/>
              </w:rPr>
            </w:pPr>
            <w:r>
              <w:rPr>
                <w:rFonts w:hint="eastAsia" w:ascii="宋体" w:hAnsi="宋体"/>
                <w:b/>
                <w:color w:val="auto"/>
                <w:szCs w:val="21"/>
                <w:highlight w:val="none"/>
              </w:rPr>
              <w:t>职务</w:t>
            </w:r>
          </w:p>
        </w:tc>
        <w:tc>
          <w:tcPr>
            <w:tcW w:w="1088" w:type="dxa"/>
            <w:vAlign w:val="center"/>
          </w:tcPr>
          <w:p w14:paraId="282C7ABB">
            <w:pPr>
              <w:jc w:val="center"/>
              <w:rPr>
                <w:rFonts w:hint="eastAsia" w:ascii="宋体" w:hAnsi="宋体"/>
                <w:b/>
                <w:color w:val="auto"/>
                <w:szCs w:val="21"/>
                <w:highlight w:val="none"/>
              </w:rPr>
            </w:pPr>
            <w:r>
              <w:rPr>
                <w:rFonts w:hint="eastAsia" w:ascii="宋体" w:hAnsi="宋体"/>
                <w:b/>
                <w:color w:val="auto"/>
                <w:szCs w:val="21"/>
                <w:highlight w:val="none"/>
              </w:rPr>
              <w:t>人员</w:t>
            </w:r>
            <w:r>
              <w:rPr>
                <w:rFonts w:ascii="宋体" w:hAnsi="宋体"/>
                <w:b/>
                <w:color w:val="auto"/>
                <w:szCs w:val="21"/>
                <w:highlight w:val="none"/>
              </w:rPr>
              <w:t>数量</w:t>
            </w:r>
          </w:p>
        </w:tc>
        <w:tc>
          <w:tcPr>
            <w:tcW w:w="6651" w:type="dxa"/>
            <w:vAlign w:val="center"/>
          </w:tcPr>
          <w:p w14:paraId="4D6D2602">
            <w:pPr>
              <w:jc w:val="center"/>
              <w:rPr>
                <w:rFonts w:hint="eastAsia" w:ascii="宋体" w:hAnsi="宋体"/>
                <w:b/>
                <w:color w:val="auto"/>
                <w:szCs w:val="21"/>
                <w:highlight w:val="none"/>
              </w:rPr>
            </w:pPr>
            <w:r>
              <w:rPr>
                <w:rFonts w:hint="eastAsia" w:ascii="宋体" w:hAnsi="宋体"/>
                <w:b/>
                <w:color w:val="auto"/>
                <w:szCs w:val="21"/>
                <w:highlight w:val="none"/>
              </w:rPr>
              <w:t>基本任职条件</w:t>
            </w:r>
          </w:p>
        </w:tc>
      </w:tr>
      <w:tr w14:paraId="1C17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6" w:type="dxa"/>
            <w:vAlign w:val="center"/>
          </w:tcPr>
          <w:p w14:paraId="1DDADE81">
            <w:pPr>
              <w:jc w:val="center"/>
              <w:rPr>
                <w:rFonts w:hint="eastAsia" w:ascii="宋体" w:hAnsi="宋体"/>
                <w:color w:val="auto"/>
                <w:szCs w:val="21"/>
                <w:highlight w:val="none"/>
              </w:rPr>
            </w:pPr>
            <w:r>
              <w:rPr>
                <w:rFonts w:ascii="宋体" w:hAnsi="宋体"/>
                <w:color w:val="auto"/>
                <w:szCs w:val="21"/>
                <w:highlight w:val="none"/>
              </w:rPr>
              <w:t>1</w:t>
            </w:r>
          </w:p>
        </w:tc>
        <w:tc>
          <w:tcPr>
            <w:tcW w:w="1310" w:type="dxa"/>
            <w:vAlign w:val="center"/>
          </w:tcPr>
          <w:p w14:paraId="7096B4A1">
            <w:pPr>
              <w:jc w:val="center"/>
              <w:rPr>
                <w:rFonts w:hint="eastAsia" w:ascii="宋体" w:hAnsi="宋体"/>
                <w:color w:val="auto"/>
                <w:szCs w:val="21"/>
                <w:highlight w:val="none"/>
              </w:rPr>
            </w:pPr>
            <w:r>
              <w:rPr>
                <w:rFonts w:hint="eastAsia" w:ascii="宋体" w:hAnsi="宋体"/>
                <w:color w:val="auto"/>
                <w:szCs w:val="21"/>
                <w:highlight w:val="none"/>
              </w:rPr>
              <w:t>项目负责人</w:t>
            </w:r>
          </w:p>
        </w:tc>
        <w:tc>
          <w:tcPr>
            <w:tcW w:w="1088" w:type="dxa"/>
            <w:vAlign w:val="center"/>
          </w:tcPr>
          <w:p w14:paraId="609C866A">
            <w:pPr>
              <w:jc w:val="center"/>
              <w:rPr>
                <w:rFonts w:hint="eastAsia" w:ascii="宋体" w:hAnsi="宋体"/>
                <w:color w:val="auto"/>
                <w:szCs w:val="21"/>
                <w:highlight w:val="none"/>
              </w:rPr>
            </w:pPr>
            <w:r>
              <w:rPr>
                <w:rFonts w:ascii="宋体" w:hAnsi="宋体"/>
                <w:color w:val="auto"/>
                <w:szCs w:val="21"/>
                <w:highlight w:val="none"/>
              </w:rPr>
              <w:t>1</w:t>
            </w:r>
          </w:p>
        </w:tc>
        <w:tc>
          <w:tcPr>
            <w:tcW w:w="6651" w:type="dxa"/>
            <w:vAlign w:val="center"/>
          </w:tcPr>
          <w:p w14:paraId="6FDD6925">
            <w:pPr>
              <w:jc w:val="left"/>
              <w:rPr>
                <w:rFonts w:hint="eastAsia" w:ascii="宋体" w:hAnsi="宋体"/>
                <w:color w:val="auto"/>
                <w:szCs w:val="21"/>
                <w:highlight w:val="none"/>
              </w:rPr>
            </w:pPr>
            <w:r>
              <w:rPr>
                <w:rFonts w:hint="eastAsia" w:ascii="宋体" w:hAnsi="宋体" w:cs="宋体"/>
                <w:color w:val="auto"/>
                <w:kern w:val="0"/>
                <w:szCs w:val="21"/>
                <w:highlight w:val="none"/>
              </w:rPr>
              <w:t>满足招标公告要求。</w:t>
            </w:r>
          </w:p>
        </w:tc>
      </w:tr>
      <w:tr w14:paraId="070D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533123A7">
            <w:pPr>
              <w:jc w:val="center"/>
              <w:rPr>
                <w:rFonts w:hint="eastAsia" w:ascii="宋体" w:hAnsi="宋体"/>
                <w:color w:val="auto"/>
                <w:szCs w:val="21"/>
                <w:highlight w:val="none"/>
              </w:rPr>
            </w:pPr>
            <w:r>
              <w:rPr>
                <w:rFonts w:ascii="宋体" w:hAnsi="宋体"/>
                <w:color w:val="auto"/>
                <w:szCs w:val="21"/>
                <w:highlight w:val="none"/>
              </w:rPr>
              <w:t>2</w:t>
            </w:r>
          </w:p>
        </w:tc>
        <w:tc>
          <w:tcPr>
            <w:tcW w:w="1310" w:type="dxa"/>
            <w:vAlign w:val="center"/>
          </w:tcPr>
          <w:p w14:paraId="1F3193D6">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1088" w:type="dxa"/>
            <w:vAlign w:val="center"/>
          </w:tcPr>
          <w:p w14:paraId="4C014E3C">
            <w:pPr>
              <w:jc w:val="center"/>
              <w:rPr>
                <w:rFonts w:hint="eastAsia" w:ascii="宋体" w:hAnsi="宋体"/>
                <w:color w:val="auto"/>
                <w:szCs w:val="21"/>
                <w:highlight w:val="none"/>
              </w:rPr>
            </w:pPr>
            <w:r>
              <w:rPr>
                <w:rFonts w:ascii="宋体" w:hAnsi="宋体"/>
                <w:color w:val="auto"/>
                <w:szCs w:val="21"/>
                <w:highlight w:val="none"/>
              </w:rPr>
              <w:t>1</w:t>
            </w:r>
          </w:p>
        </w:tc>
        <w:tc>
          <w:tcPr>
            <w:tcW w:w="6651" w:type="dxa"/>
            <w:vAlign w:val="center"/>
          </w:tcPr>
          <w:p w14:paraId="6923374D">
            <w:pPr>
              <w:jc w:val="left"/>
              <w:rPr>
                <w:rFonts w:hint="eastAsia" w:ascii="宋体" w:hAnsi="宋体"/>
                <w:color w:val="auto"/>
                <w:szCs w:val="21"/>
                <w:highlight w:val="none"/>
              </w:rPr>
            </w:pPr>
            <w:r>
              <w:rPr>
                <w:rFonts w:hint="eastAsia" w:ascii="宋体" w:hAnsi="宋体" w:cs="宋体"/>
                <w:color w:val="auto"/>
                <w:kern w:val="0"/>
                <w:szCs w:val="21"/>
                <w:highlight w:val="none"/>
              </w:rPr>
              <w:t>具备</w:t>
            </w:r>
            <w:r>
              <w:rPr>
                <w:rFonts w:hint="eastAsia" w:ascii="宋体" w:hAnsi="宋体" w:cs="宋体"/>
                <w:color w:val="auto"/>
                <w:kern w:val="0"/>
                <w:szCs w:val="21"/>
                <w:highlight w:val="none"/>
                <w:lang w:val="en-US" w:eastAsia="zh-CN"/>
              </w:rPr>
              <w:t>工程类</w:t>
            </w:r>
            <w:r>
              <w:rPr>
                <w:rFonts w:hint="eastAsia" w:ascii="宋体" w:hAnsi="宋体"/>
                <w:color w:val="auto"/>
                <w:szCs w:val="21"/>
                <w:highlight w:val="none"/>
                <w:lang w:bidi="ar"/>
              </w:rPr>
              <w:t>相关专业</w:t>
            </w:r>
            <w:r>
              <w:rPr>
                <w:rFonts w:hint="eastAsia" w:ascii="宋体" w:hAnsi="宋体" w:cs="宋体"/>
                <w:color w:val="auto"/>
                <w:kern w:val="0"/>
                <w:szCs w:val="21"/>
                <w:highlight w:val="none"/>
              </w:rPr>
              <w:t>中级技术职称。</w:t>
            </w:r>
          </w:p>
        </w:tc>
      </w:tr>
      <w:tr w14:paraId="247A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283D14C0">
            <w:pPr>
              <w:jc w:val="center"/>
              <w:rPr>
                <w:rFonts w:hint="eastAsia" w:ascii="宋体" w:hAnsi="宋体"/>
                <w:color w:val="auto"/>
                <w:szCs w:val="21"/>
                <w:highlight w:val="none"/>
              </w:rPr>
            </w:pPr>
            <w:r>
              <w:rPr>
                <w:rFonts w:ascii="宋体" w:hAnsi="宋体"/>
                <w:color w:val="auto"/>
                <w:szCs w:val="21"/>
                <w:highlight w:val="none"/>
              </w:rPr>
              <w:t>3</w:t>
            </w:r>
          </w:p>
        </w:tc>
        <w:tc>
          <w:tcPr>
            <w:tcW w:w="1310" w:type="dxa"/>
            <w:vAlign w:val="center"/>
          </w:tcPr>
          <w:p w14:paraId="4A51E1F1">
            <w:pPr>
              <w:jc w:val="center"/>
              <w:rPr>
                <w:rFonts w:hint="eastAsia" w:ascii="宋体" w:hAnsi="宋体"/>
                <w:color w:val="auto"/>
                <w:szCs w:val="21"/>
                <w:highlight w:val="none"/>
              </w:rPr>
            </w:pPr>
            <w:r>
              <w:rPr>
                <w:rFonts w:hint="eastAsia" w:ascii="宋体" w:hAnsi="宋体"/>
                <w:color w:val="auto"/>
                <w:szCs w:val="21"/>
                <w:highlight w:val="none"/>
              </w:rPr>
              <w:t>专职安全员</w:t>
            </w:r>
          </w:p>
        </w:tc>
        <w:tc>
          <w:tcPr>
            <w:tcW w:w="1088" w:type="dxa"/>
            <w:vAlign w:val="center"/>
          </w:tcPr>
          <w:p w14:paraId="4255AC5F">
            <w:pPr>
              <w:jc w:val="center"/>
              <w:rPr>
                <w:rFonts w:hint="eastAsia" w:ascii="宋体" w:hAnsi="宋体"/>
                <w:color w:val="auto"/>
                <w:szCs w:val="21"/>
                <w:highlight w:val="none"/>
              </w:rPr>
            </w:pPr>
            <w:r>
              <w:rPr>
                <w:rFonts w:hint="eastAsia" w:ascii="宋体" w:hAnsi="宋体"/>
                <w:color w:val="auto"/>
                <w:szCs w:val="21"/>
                <w:highlight w:val="none"/>
              </w:rPr>
              <w:t>1</w:t>
            </w:r>
          </w:p>
        </w:tc>
        <w:tc>
          <w:tcPr>
            <w:tcW w:w="6651" w:type="dxa"/>
            <w:vAlign w:val="center"/>
          </w:tcPr>
          <w:p w14:paraId="6BC29FD6">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满足招标公告要求。</w:t>
            </w:r>
          </w:p>
        </w:tc>
      </w:tr>
      <w:tr w14:paraId="2157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144E5C03">
            <w:pPr>
              <w:jc w:val="center"/>
              <w:rPr>
                <w:rFonts w:hint="eastAsia" w:ascii="宋体" w:hAnsi="宋体"/>
                <w:color w:val="auto"/>
                <w:szCs w:val="21"/>
                <w:highlight w:val="none"/>
              </w:rPr>
            </w:pPr>
            <w:r>
              <w:rPr>
                <w:rFonts w:ascii="宋体" w:hAnsi="宋体"/>
                <w:color w:val="auto"/>
                <w:szCs w:val="21"/>
                <w:highlight w:val="none"/>
              </w:rPr>
              <w:t>4</w:t>
            </w:r>
          </w:p>
        </w:tc>
        <w:tc>
          <w:tcPr>
            <w:tcW w:w="1310" w:type="dxa"/>
            <w:vAlign w:val="center"/>
          </w:tcPr>
          <w:p w14:paraId="1D2C8B9A">
            <w:pPr>
              <w:jc w:val="center"/>
              <w:rPr>
                <w:rFonts w:hint="eastAsia" w:ascii="宋体" w:hAnsi="宋体"/>
                <w:color w:val="auto"/>
                <w:szCs w:val="21"/>
                <w:highlight w:val="none"/>
              </w:rPr>
            </w:pPr>
            <w:r>
              <w:rPr>
                <w:rFonts w:hint="eastAsia" w:ascii="宋体" w:hAnsi="宋体"/>
                <w:color w:val="auto"/>
                <w:szCs w:val="21"/>
                <w:highlight w:val="none"/>
              </w:rPr>
              <w:t>质量</w:t>
            </w:r>
            <w:r>
              <w:rPr>
                <w:rFonts w:ascii="宋体" w:hAnsi="宋体"/>
                <w:color w:val="auto"/>
                <w:szCs w:val="21"/>
                <w:highlight w:val="none"/>
              </w:rPr>
              <w:t>负责人</w:t>
            </w:r>
          </w:p>
        </w:tc>
        <w:tc>
          <w:tcPr>
            <w:tcW w:w="1088" w:type="dxa"/>
            <w:vAlign w:val="center"/>
          </w:tcPr>
          <w:p w14:paraId="50F44260">
            <w:pPr>
              <w:jc w:val="center"/>
              <w:rPr>
                <w:rFonts w:hint="eastAsia" w:ascii="宋体" w:hAnsi="宋体"/>
                <w:color w:val="auto"/>
                <w:szCs w:val="21"/>
                <w:highlight w:val="none"/>
              </w:rPr>
            </w:pPr>
            <w:r>
              <w:rPr>
                <w:rFonts w:ascii="宋体" w:hAnsi="宋体"/>
                <w:color w:val="auto"/>
                <w:szCs w:val="21"/>
                <w:highlight w:val="none"/>
              </w:rPr>
              <w:t>1</w:t>
            </w:r>
          </w:p>
        </w:tc>
        <w:tc>
          <w:tcPr>
            <w:tcW w:w="6651" w:type="dxa"/>
            <w:vAlign w:val="center"/>
          </w:tcPr>
          <w:p w14:paraId="45A335E4">
            <w:pPr>
              <w:rPr>
                <w:rFonts w:hint="eastAsia" w:ascii="宋体" w:hAnsi="宋体" w:cs="宋体"/>
                <w:color w:val="auto"/>
                <w:kern w:val="0"/>
                <w:szCs w:val="21"/>
                <w:highlight w:val="none"/>
              </w:rPr>
            </w:pPr>
            <w:r>
              <w:rPr>
                <w:rFonts w:hint="eastAsia" w:ascii="宋体" w:hAnsi="宋体" w:cs="宋体"/>
                <w:color w:val="auto"/>
                <w:kern w:val="0"/>
                <w:szCs w:val="21"/>
                <w:highlight w:val="none"/>
              </w:rPr>
              <w:t>具备</w:t>
            </w:r>
            <w:r>
              <w:rPr>
                <w:rFonts w:hint="eastAsia" w:ascii="宋体" w:hAnsi="宋体" w:cs="宋体"/>
                <w:color w:val="auto"/>
                <w:kern w:val="0"/>
                <w:szCs w:val="21"/>
                <w:highlight w:val="none"/>
                <w:lang w:val="en-US" w:eastAsia="zh-CN"/>
              </w:rPr>
              <w:t>工程类</w:t>
            </w:r>
            <w:r>
              <w:rPr>
                <w:rFonts w:hint="eastAsia" w:ascii="宋体" w:hAnsi="宋体"/>
                <w:color w:val="auto"/>
                <w:szCs w:val="21"/>
                <w:highlight w:val="none"/>
                <w:lang w:bidi="ar"/>
              </w:rPr>
              <w:t>相关专业</w:t>
            </w:r>
            <w:r>
              <w:rPr>
                <w:rFonts w:hint="eastAsia" w:ascii="宋体" w:hAnsi="宋体" w:cs="宋体"/>
                <w:color w:val="auto"/>
                <w:kern w:val="0"/>
                <w:szCs w:val="21"/>
                <w:highlight w:val="none"/>
              </w:rPr>
              <w:t>中级技术职称。</w:t>
            </w:r>
          </w:p>
        </w:tc>
      </w:tr>
      <w:tr w14:paraId="0C66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2AE210C3">
            <w:pPr>
              <w:jc w:val="center"/>
              <w:rPr>
                <w:rFonts w:hint="eastAsia" w:ascii="宋体" w:hAnsi="宋体"/>
                <w:color w:val="auto"/>
                <w:szCs w:val="21"/>
                <w:highlight w:val="none"/>
              </w:rPr>
            </w:pPr>
            <w:r>
              <w:rPr>
                <w:rFonts w:ascii="宋体" w:hAnsi="宋体"/>
                <w:color w:val="auto"/>
                <w:szCs w:val="21"/>
                <w:highlight w:val="none"/>
              </w:rPr>
              <w:t>5</w:t>
            </w:r>
          </w:p>
        </w:tc>
        <w:tc>
          <w:tcPr>
            <w:tcW w:w="1310" w:type="dxa"/>
            <w:vAlign w:val="center"/>
          </w:tcPr>
          <w:p w14:paraId="3DA9D2F2">
            <w:pPr>
              <w:jc w:val="center"/>
              <w:rPr>
                <w:rFonts w:hint="eastAsia" w:ascii="宋体" w:hAnsi="宋体"/>
                <w:color w:val="auto"/>
                <w:szCs w:val="21"/>
                <w:highlight w:val="none"/>
              </w:rPr>
            </w:pPr>
            <w:r>
              <w:rPr>
                <w:rFonts w:hint="eastAsia" w:ascii="宋体" w:hAnsi="宋体"/>
                <w:color w:val="auto"/>
                <w:szCs w:val="21"/>
                <w:highlight w:val="none"/>
              </w:rPr>
              <w:t>安全</w:t>
            </w:r>
            <w:r>
              <w:rPr>
                <w:rFonts w:ascii="宋体" w:hAnsi="宋体"/>
                <w:color w:val="auto"/>
                <w:szCs w:val="21"/>
                <w:highlight w:val="none"/>
              </w:rPr>
              <w:t>负责人</w:t>
            </w:r>
          </w:p>
        </w:tc>
        <w:tc>
          <w:tcPr>
            <w:tcW w:w="1088" w:type="dxa"/>
            <w:vAlign w:val="center"/>
          </w:tcPr>
          <w:p w14:paraId="370E5A0B">
            <w:pPr>
              <w:jc w:val="center"/>
              <w:rPr>
                <w:rFonts w:hint="eastAsia" w:ascii="宋体" w:hAnsi="宋体"/>
                <w:color w:val="auto"/>
                <w:szCs w:val="21"/>
                <w:highlight w:val="none"/>
              </w:rPr>
            </w:pPr>
            <w:r>
              <w:rPr>
                <w:rFonts w:ascii="宋体" w:hAnsi="宋体"/>
                <w:color w:val="auto"/>
                <w:szCs w:val="21"/>
                <w:highlight w:val="none"/>
              </w:rPr>
              <w:t>1</w:t>
            </w:r>
          </w:p>
        </w:tc>
        <w:tc>
          <w:tcPr>
            <w:tcW w:w="6651" w:type="dxa"/>
            <w:vAlign w:val="center"/>
          </w:tcPr>
          <w:p w14:paraId="3CA12074">
            <w:pPr>
              <w:rPr>
                <w:rFonts w:hint="eastAsia" w:ascii="宋体" w:hAnsi="宋体" w:cs="宋体"/>
                <w:color w:val="auto"/>
                <w:kern w:val="0"/>
                <w:szCs w:val="21"/>
                <w:highlight w:val="none"/>
              </w:rPr>
            </w:pPr>
            <w:r>
              <w:rPr>
                <w:rFonts w:hint="eastAsia" w:ascii="宋体" w:hAnsi="宋体" w:cs="宋体"/>
                <w:color w:val="auto"/>
                <w:kern w:val="0"/>
                <w:szCs w:val="21"/>
                <w:highlight w:val="none"/>
              </w:rPr>
              <w:t>具有注册安全工程师证。</w:t>
            </w:r>
          </w:p>
        </w:tc>
      </w:tr>
      <w:tr w14:paraId="716E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5F09B543">
            <w:pPr>
              <w:jc w:val="center"/>
              <w:rPr>
                <w:rFonts w:hint="eastAsia" w:ascii="宋体" w:hAnsi="宋体"/>
                <w:color w:val="auto"/>
                <w:szCs w:val="21"/>
                <w:highlight w:val="none"/>
              </w:rPr>
            </w:pPr>
            <w:r>
              <w:rPr>
                <w:rFonts w:ascii="宋体" w:hAnsi="宋体"/>
                <w:color w:val="auto"/>
                <w:szCs w:val="21"/>
                <w:highlight w:val="none"/>
              </w:rPr>
              <w:t>6</w:t>
            </w:r>
          </w:p>
        </w:tc>
        <w:tc>
          <w:tcPr>
            <w:tcW w:w="1310" w:type="dxa"/>
            <w:vAlign w:val="center"/>
          </w:tcPr>
          <w:p w14:paraId="127BB5BE">
            <w:pPr>
              <w:jc w:val="center"/>
              <w:rPr>
                <w:rFonts w:hint="eastAsia" w:ascii="宋体" w:hAnsi="宋体"/>
                <w:color w:val="auto"/>
                <w:szCs w:val="21"/>
                <w:highlight w:val="none"/>
              </w:rPr>
            </w:pPr>
            <w:r>
              <w:rPr>
                <w:rFonts w:hint="eastAsia" w:ascii="宋体" w:hAnsi="宋体"/>
                <w:color w:val="auto"/>
                <w:szCs w:val="21"/>
                <w:highlight w:val="none"/>
              </w:rPr>
              <w:t>造价负责人</w:t>
            </w:r>
          </w:p>
        </w:tc>
        <w:tc>
          <w:tcPr>
            <w:tcW w:w="1088" w:type="dxa"/>
            <w:vAlign w:val="center"/>
          </w:tcPr>
          <w:p w14:paraId="2EF7EACE">
            <w:pPr>
              <w:jc w:val="center"/>
              <w:rPr>
                <w:rFonts w:hint="eastAsia" w:ascii="宋体" w:hAnsi="宋体"/>
                <w:color w:val="auto"/>
                <w:szCs w:val="21"/>
                <w:highlight w:val="none"/>
              </w:rPr>
            </w:pPr>
            <w:r>
              <w:rPr>
                <w:rFonts w:ascii="宋体" w:hAnsi="宋体"/>
                <w:color w:val="auto"/>
                <w:szCs w:val="21"/>
                <w:highlight w:val="none"/>
              </w:rPr>
              <w:t>1</w:t>
            </w:r>
          </w:p>
        </w:tc>
        <w:tc>
          <w:tcPr>
            <w:tcW w:w="6651" w:type="dxa"/>
            <w:vAlign w:val="center"/>
          </w:tcPr>
          <w:p w14:paraId="77F79DD3">
            <w:pPr>
              <w:rPr>
                <w:rFonts w:hint="eastAsia" w:ascii="宋体" w:hAnsi="宋体"/>
                <w:color w:val="auto"/>
                <w:szCs w:val="21"/>
                <w:highlight w:val="none"/>
              </w:rPr>
            </w:pPr>
            <w:r>
              <w:rPr>
                <w:rFonts w:hint="eastAsia" w:ascii="宋体" w:hAnsi="宋体" w:cs="宋体"/>
                <w:color w:val="auto"/>
                <w:kern w:val="0"/>
                <w:szCs w:val="21"/>
                <w:highlight w:val="none"/>
              </w:rPr>
              <w:t>具有</w:t>
            </w:r>
            <w:r>
              <w:rPr>
                <w:rFonts w:ascii="宋体" w:hAnsi="宋体"/>
                <w:color w:val="auto"/>
                <w:szCs w:val="21"/>
                <w:highlight w:val="none"/>
                <w:lang w:bidi="ar"/>
              </w:rPr>
              <w:t>一级注册造价工程师证</w:t>
            </w:r>
            <w:r>
              <w:rPr>
                <w:rFonts w:hint="eastAsia" w:ascii="宋体" w:hAnsi="宋体" w:cs="宋体"/>
                <w:bCs/>
                <w:color w:val="auto"/>
                <w:kern w:val="44"/>
                <w:szCs w:val="21"/>
                <w:highlight w:val="none"/>
              </w:rPr>
              <w:t>。</w:t>
            </w:r>
          </w:p>
        </w:tc>
      </w:tr>
      <w:tr w14:paraId="7249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3C5597E0">
            <w:pPr>
              <w:jc w:val="center"/>
              <w:rPr>
                <w:rFonts w:hint="eastAsia" w:ascii="宋体" w:hAnsi="宋体"/>
                <w:color w:val="auto"/>
                <w:szCs w:val="21"/>
                <w:highlight w:val="none"/>
              </w:rPr>
            </w:pPr>
            <w:r>
              <w:rPr>
                <w:rFonts w:ascii="宋体" w:hAnsi="宋体"/>
                <w:color w:val="auto"/>
                <w:szCs w:val="21"/>
                <w:highlight w:val="none"/>
              </w:rPr>
              <w:t>7</w:t>
            </w:r>
          </w:p>
        </w:tc>
        <w:tc>
          <w:tcPr>
            <w:tcW w:w="1310" w:type="dxa"/>
            <w:vAlign w:val="center"/>
          </w:tcPr>
          <w:p w14:paraId="3AB04ADC">
            <w:pPr>
              <w:jc w:val="center"/>
              <w:rPr>
                <w:rFonts w:hint="eastAsia" w:ascii="宋体" w:hAnsi="宋体"/>
                <w:color w:val="auto"/>
                <w:szCs w:val="21"/>
                <w:highlight w:val="none"/>
              </w:rPr>
            </w:pPr>
            <w:bookmarkStart w:id="64" w:name="OLE_LINK1"/>
            <w:r>
              <w:rPr>
                <w:rFonts w:hint="eastAsia" w:ascii="宋体" w:hAnsi="宋体"/>
                <w:color w:val="auto"/>
                <w:szCs w:val="21"/>
                <w:highlight w:val="none"/>
              </w:rPr>
              <w:t>安全员</w:t>
            </w:r>
            <w:bookmarkEnd w:id="64"/>
          </w:p>
        </w:tc>
        <w:tc>
          <w:tcPr>
            <w:tcW w:w="1088" w:type="dxa"/>
            <w:vAlign w:val="center"/>
          </w:tcPr>
          <w:p w14:paraId="1834B5A3">
            <w:pPr>
              <w:jc w:val="center"/>
              <w:rPr>
                <w:rFonts w:hint="eastAsia" w:ascii="宋体" w:hAnsi="宋体"/>
                <w:color w:val="auto"/>
                <w:szCs w:val="21"/>
                <w:highlight w:val="none"/>
              </w:rPr>
            </w:pPr>
            <w:r>
              <w:rPr>
                <w:rFonts w:hint="eastAsia" w:ascii="宋体" w:hAnsi="宋体"/>
                <w:color w:val="auto"/>
                <w:szCs w:val="21"/>
                <w:highlight w:val="none"/>
              </w:rPr>
              <w:t>1</w:t>
            </w:r>
          </w:p>
        </w:tc>
        <w:tc>
          <w:tcPr>
            <w:tcW w:w="6651" w:type="dxa"/>
            <w:vAlign w:val="center"/>
          </w:tcPr>
          <w:p w14:paraId="3928EE47">
            <w:pPr>
              <w:rPr>
                <w:rFonts w:hint="eastAsia" w:ascii="宋体" w:hAnsi="宋体" w:cs="宋体"/>
                <w:color w:val="auto"/>
                <w:kern w:val="0"/>
                <w:szCs w:val="21"/>
                <w:highlight w:val="none"/>
              </w:rPr>
            </w:pPr>
            <w:r>
              <w:rPr>
                <w:rFonts w:hint="eastAsia" w:ascii="宋体" w:hAnsi="宋体" w:cs="宋体"/>
                <w:color w:val="auto"/>
                <w:kern w:val="0"/>
                <w:szCs w:val="21"/>
                <w:highlight w:val="none"/>
              </w:rPr>
              <w:t>具有有效期内的安全生产考核合格证书（</w:t>
            </w:r>
            <w:r>
              <w:rPr>
                <w:rFonts w:ascii="宋体" w:hAnsi="宋体" w:cs="宋体"/>
                <w:color w:val="auto"/>
                <w:kern w:val="0"/>
                <w:szCs w:val="21"/>
                <w:highlight w:val="none"/>
              </w:rPr>
              <w:t>C类）或建筑施工企业专职安全生产管理人员安全生产考核合格证书（C3）。</w:t>
            </w:r>
          </w:p>
        </w:tc>
      </w:tr>
      <w:tr w14:paraId="0E10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1BD1EB7B">
            <w:pPr>
              <w:jc w:val="center"/>
              <w:rPr>
                <w:rFonts w:hint="eastAsia" w:ascii="宋体" w:hAnsi="宋体"/>
                <w:color w:val="auto"/>
                <w:szCs w:val="21"/>
                <w:highlight w:val="none"/>
              </w:rPr>
            </w:pPr>
            <w:r>
              <w:rPr>
                <w:rFonts w:ascii="宋体" w:hAnsi="宋体"/>
                <w:color w:val="auto"/>
                <w:szCs w:val="21"/>
                <w:highlight w:val="none"/>
              </w:rPr>
              <w:t>8</w:t>
            </w:r>
          </w:p>
        </w:tc>
        <w:tc>
          <w:tcPr>
            <w:tcW w:w="1310" w:type="dxa"/>
            <w:vAlign w:val="center"/>
          </w:tcPr>
          <w:p w14:paraId="5F438E32">
            <w:pPr>
              <w:jc w:val="center"/>
              <w:rPr>
                <w:rFonts w:hint="eastAsia" w:ascii="宋体" w:hAnsi="宋体"/>
                <w:color w:val="auto"/>
                <w:szCs w:val="21"/>
                <w:highlight w:val="none"/>
              </w:rPr>
            </w:pPr>
            <w:r>
              <w:rPr>
                <w:rFonts w:hint="eastAsia" w:ascii="宋体" w:hAnsi="宋体"/>
                <w:color w:val="auto"/>
                <w:szCs w:val="21"/>
                <w:highlight w:val="none"/>
              </w:rPr>
              <w:t>施工员</w:t>
            </w:r>
          </w:p>
        </w:tc>
        <w:tc>
          <w:tcPr>
            <w:tcW w:w="1088" w:type="dxa"/>
            <w:vAlign w:val="center"/>
          </w:tcPr>
          <w:p w14:paraId="3DB2FD10">
            <w:pPr>
              <w:jc w:val="center"/>
              <w:rPr>
                <w:rFonts w:hint="eastAsia" w:ascii="宋体" w:hAnsi="宋体"/>
                <w:color w:val="auto"/>
                <w:szCs w:val="21"/>
                <w:highlight w:val="none"/>
              </w:rPr>
            </w:pPr>
            <w:r>
              <w:rPr>
                <w:rFonts w:hint="eastAsia" w:ascii="宋体" w:hAnsi="宋体"/>
                <w:color w:val="auto"/>
                <w:szCs w:val="21"/>
                <w:highlight w:val="none"/>
              </w:rPr>
              <w:t>1</w:t>
            </w:r>
          </w:p>
        </w:tc>
        <w:tc>
          <w:tcPr>
            <w:tcW w:w="6651" w:type="dxa"/>
            <w:vAlign w:val="center"/>
          </w:tcPr>
          <w:p w14:paraId="16A3340B">
            <w:pP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具有施工员岗位培训证</w:t>
            </w:r>
            <w:r>
              <w:rPr>
                <w:rFonts w:hint="eastAsia" w:ascii="宋体" w:hAnsi="宋体" w:cs="宋体"/>
                <w:color w:val="auto"/>
                <w:kern w:val="0"/>
                <w:szCs w:val="21"/>
                <w:highlight w:val="none"/>
                <w:lang w:val="en-US" w:eastAsia="zh-CN"/>
              </w:rPr>
              <w:t>或上岗证</w:t>
            </w:r>
          </w:p>
        </w:tc>
      </w:tr>
      <w:tr w14:paraId="39DE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225AA261">
            <w:pPr>
              <w:jc w:val="center"/>
              <w:rPr>
                <w:rFonts w:hint="eastAsia" w:ascii="宋体" w:hAnsi="宋体"/>
                <w:color w:val="auto"/>
                <w:szCs w:val="21"/>
                <w:highlight w:val="none"/>
              </w:rPr>
            </w:pPr>
            <w:r>
              <w:rPr>
                <w:rFonts w:ascii="宋体" w:hAnsi="宋体"/>
                <w:color w:val="auto"/>
                <w:szCs w:val="21"/>
                <w:highlight w:val="none"/>
              </w:rPr>
              <w:t>9</w:t>
            </w:r>
          </w:p>
        </w:tc>
        <w:tc>
          <w:tcPr>
            <w:tcW w:w="1310" w:type="dxa"/>
            <w:vAlign w:val="center"/>
          </w:tcPr>
          <w:p w14:paraId="0A141DB0">
            <w:pPr>
              <w:jc w:val="center"/>
              <w:rPr>
                <w:rFonts w:hint="eastAsia" w:ascii="宋体" w:hAnsi="宋体"/>
                <w:color w:val="auto"/>
                <w:szCs w:val="21"/>
                <w:highlight w:val="none"/>
              </w:rPr>
            </w:pPr>
            <w:r>
              <w:rPr>
                <w:rFonts w:hint="eastAsia" w:ascii="宋体" w:hAnsi="宋体"/>
                <w:color w:val="auto"/>
                <w:szCs w:val="21"/>
                <w:highlight w:val="none"/>
              </w:rPr>
              <w:t>质量员</w:t>
            </w:r>
          </w:p>
        </w:tc>
        <w:tc>
          <w:tcPr>
            <w:tcW w:w="1088" w:type="dxa"/>
            <w:vAlign w:val="center"/>
          </w:tcPr>
          <w:p w14:paraId="40C39020">
            <w:pPr>
              <w:jc w:val="center"/>
              <w:rPr>
                <w:rFonts w:hint="eastAsia" w:ascii="宋体" w:hAnsi="宋体"/>
                <w:color w:val="auto"/>
                <w:szCs w:val="21"/>
                <w:highlight w:val="none"/>
              </w:rPr>
            </w:pPr>
            <w:r>
              <w:rPr>
                <w:rFonts w:ascii="宋体" w:hAnsi="宋体"/>
                <w:color w:val="auto"/>
                <w:szCs w:val="21"/>
                <w:highlight w:val="none"/>
              </w:rPr>
              <w:t>1</w:t>
            </w:r>
          </w:p>
        </w:tc>
        <w:tc>
          <w:tcPr>
            <w:tcW w:w="6651" w:type="dxa"/>
            <w:vAlign w:val="center"/>
          </w:tcPr>
          <w:p w14:paraId="297CF564">
            <w:pPr>
              <w:rPr>
                <w:rFonts w:hint="eastAsia" w:ascii="宋体" w:hAnsi="宋体" w:cs="宋体"/>
                <w:color w:val="auto"/>
                <w:kern w:val="0"/>
                <w:szCs w:val="21"/>
                <w:highlight w:val="none"/>
              </w:rPr>
            </w:pPr>
            <w:r>
              <w:rPr>
                <w:rFonts w:hint="eastAsia" w:ascii="宋体" w:hAnsi="宋体" w:cs="宋体"/>
                <w:color w:val="auto"/>
                <w:kern w:val="0"/>
                <w:szCs w:val="21"/>
                <w:highlight w:val="none"/>
              </w:rPr>
              <w:t>具有</w:t>
            </w:r>
            <w:bookmarkStart w:id="65" w:name="OLE_LINK3"/>
            <w:r>
              <w:rPr>
                <w:rFonts w:hint="eastAsia" w:ascii="宋体" w:hAnsi="宋体"/>
                <w:color w:val="auto"/>
                <w:szCs w:val="21"/>
                <w:highlight w:val="none"/>
              </w:rPr>
              <w:t>质量</w:t>
            </w:r>
            <w:r>
              <w:rPr>
                <w:rFonts w:hint="eastAsia" w:ascii="宋体" w:hAnsi="宋体" w:cs="宋体"/>
                <w:color w:val="auto"/>
                <w:kern w:val="0"/>
                <w:szCs w:val="21"/>
                <w:highlight w:val="none"/>
              </w:rPr>
              <w:t>员</w:t>
            </w:r>
            <w:bookmarkEnd w:id="65"/>
            <w:r>
              <w:rPr>
                <w:rFonts w:hint="eastAsia" w:ascii="宋体" w:hAnsi="宋体" w:cs="宋体"/>
                <w:color w:val="auto"/>
                <w:kern w:val="0"/>
                <w:szCs w:val="21"/>
                <w:highlight w:val="none"/>
              </w:rPr>
              <w:t>岗位培训证</w:t>
            </w:r>
            <w:r>
              <w:rPr>
                <w:rFonts w:hint="eastAsia" w:ascii="宋体" w:hAnsi="宋体" w:cs="宋体"/>
                <w:color w:val="auto"/>
                <w:kern w:val="0"/>
                <w:szCs w:val="21"/>
                <w:highlight w:val="none"/>
                <w:lang w:val="en-US" w:eastAsia="zh-CN"/>
              </w:rPr>
              <w:t>或上岗证</w:t>
            </w:r>
          </w:p>
        </w:tc>
      </w:tr>
      <w:tr w14:paraId="2035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32ACB86B">
            <w:pPr>
              <w:jc w:val="center"/>
              <w:rPr>
                <w:rFonts w:hint="eastAsia" w:ascii="宋体" w:hAnsi="宋体"/>
                <w:color w:val="auto"/>
                <w:szCs w:val="21"/>
                <w:highlight w:val="none"/>
              </w:rPr>
            </w:pPr>
            <w:r>
              <w:rPr>
                <w:rFonts w:ascii="宋体" w:hAnsi="宋体"/>
                <w:color w:val="auto"/>
                <w:szCs w:val="21"/>
                <w:highlight w:val="none"/>
              </w:rPr>
              <w:t>10</w:t>
            </w:r>
          </w:p>
        </w:tc>
        <w:tc>
          <w:tcPr>
            <w:tcW w:w="1310" w:type="dxa"/>
            <w:vAlign w:val="center"/>
          </w:tcPr>
          <w:p w14:paraId="272BAEB9">
            <w:pPr>
              <w:jc w:val="center"/>
              <w:rPr>
                <w:rFonts w:hint="eastAsia" w:ascii="宋体" w:hAnsi="宋体"/>
                <w:color w:val="auto"/>
                <w:szCs w:val="21"/>
                <w:highlight w:val="none"/>
              </w:rPr>
            </w:pPr>
            <w:bookmarkStart w:id="66" w:name="OLE_LINK2"/>
            <w:r>
              <w:rPr>
                <w:rFonts w:hint="eastAsia" w:ascii="宋体" w:hAnsi="宋体"/>
                <w:color w:val="auto"/>
                <w:szCs w:val="21"/>
                <w:highlight w:val="none"/>
              </w:rPr>
              <w:t>资料员</w:t>
            </w:r>
            <w:bookmarkEnd w:id="66"/>
          </w:p>
        </w:tc>
        <w:tc>
          <w:tcPr>
            <w:tcW w:w="1088" w:type="dxa"/>
            <w:vAlign w:val="center"/>
          </w:tcPr>
          <w:p w14:paraId="51DABE7B">
            <w:pPr>
              <w:jc w:val="center"/>
              <w:rPr>
                <w:rFonts w:hint="eastAsia" w:ascii="宋体" w:hAnsi="宋体"/>
                <w:color w:val="auto"/>
                <w:szCs w:val="21"/>
                <w:highlight w:val="none"/>
              </w:rPr>
            </w:pPr>
            <w:r>
              <w:rPr>
                <w:rFonts w:ascii="宋体" w:hAnsi="宋体"/>
                <w:color w:val="auto"/>
                <w:szCs w:val="21"/>
                <w:highlight w:val="none"/>
              </w:rPr>
              <w:t>1</w:t>
            </w:r>
          </w:p>
        </w:tc>
        <w:tc>
          <w:tcPr>
            <w:tcW w:w="6651" w:type="dxa"/>
            <w:vAlign w:val="center"/>
          </w:tcPr>
          <w:p w14:paraId="4FCA5544">
            <w:pPr>
              <w:rPr>
                <w:rFonts w:hint="eastAsia" w:ascii="宋体" w:hAnsi="宋体" w:cs="宋体"/>
                <w:color w:val="auto"/>
                <w:kern w:val="0"/>
                <w:szCs w:val="21"/>
                <w:highlight w:val="none"/>
              </w:rPr>
            </w:pPr>
            <w:r>
              <w:rPr>
                <w:rFonts w:hint="eastAsia" w:ascii="宋体" w:hAnsi="宋体" w:cs="宋体"/>
                <w:color w:val="auto"/>
                <w:kern w:val="0"/>
                <w:szCs w:val="21"/>
                <w:highlight w:val="none"/>
              </w:rPr>
              <w:t>具有资料员岗位培训证</w:t>
            </w:r>
            <w:r>
              <w:rPr>
                <w:rFonts w:hint="eastAsia" w:ascii="宋体" w:hAnsi="宋体" w:cs="宋体"/>
                <w:color w:val="auto"/>
                <w:kern w:val="0"/>
                <w:szCs w:val="21"/>
                <w:highlight w:val="none"/>
                <w:lang w:val="en-US" w:eastAsia="zh-CN"/>
              </w:rPr>
              <w:t>或上岗证</w:t>
            </w:r>
          </w:p>
        </w:tc>
      </w:tr>
      <w:tr w14:paraId="2658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26" w:type="dxa"/>
            <w:gridSpan w:val="2"/>
            <w:vAlign w:val="center"/>
          </w:tcPr>
          <w:p w14:paraId="50605C3E">
            <w:pPr>
              <w:jc w:val="center"/>
              <w:rPr>
                <w:rFonts w:hint="eastAsia" w:ascii="宋体" w:hAnsi="宋体"/>
                <w:color w:val="auto"/>
                <w:szCs w:val="21"/>
                <w:highlight w:val="none"/>
              </w:rPr>
            </w:pPr>
            <w:r>
              <w:rPr>
                <w:rFonts w:hint="eastAsia" w:ascii="宋体" w:hAnsi="宋体"/>
                <w:color w:val="auto"/>
                <w:szCs w:val="21"/>
                <w:highlight w:val="none"/>
              </w:rPr>
              <w:t>合计</w:t>
            </w:r>
          </w:p>
        </w:tc>
        <w:tc>
          <w:tcPr>
            <w:tcW w:w="1088" w:type="dxa"/>
            <w:vAlign w:val="center"/>
          </w:tcPr>
          <w:p w14:paraId="1BBFA678">
            <w:pPr>
              <w:jc w:val="center"/>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0</w:t>
            </w:r>
          </w:p>
        </w:tc>
        <w:tc>
          <w:tcPr>
            <w:tcW w:w="6651" w:type="dxa"/>
            <w:vAlign w:val="center"/>
          </w:tcPr>
          <w:p w14:paraId="22620B4F">
            <w:pPr>
              <w:rPr>
                <w:rFonts w:hint="eastAsia" w:ascii="宋体" w:hAnsi="宋体"/>
                <w:color w:val="auto"/>
                <w:szCs w:val="21"/>
                <w:highlight w:val="none"/>
              </w:rPr>
            </w:pPr>
          </w:p>
        </w:tc>
      </w:tr>
    </w:tbl>
    <w:p w14:paraId="2F4B213C">
      <w:pPr>
        <w:ind w:firstLine="360" w:firstLineChars="200"/>
        <w:jc w:val="left"/>
        <w:rPr>
          <w:rFonts w:hint="eastAsia" w:ascii="宋体" w:hAnsi="宋体" w:cs="宋体"/>
          <w:snapToGrid w:val="0"/>
          <w:color w:val="auto"/>
          <w:kern w:val="0"/>
          <w:sz w:val="18"/>
          <w:szCs w:val="18"/>
          <w:highlight w:val="none"/>
        </w:rPr>
      </w:pPr>
      <w:r>
        <w:rPr>
          <w:rFonts w:hint="eastAsia" w:ascii="宋体" w:hAnsi="宋体" w:cs="宋体"/>
          <w:snapToGrid w:val="0"/>
          <w:color w:val="auto"/>
          <w:kern w:val="0"/>
          <w:sz w:val="18"/>
          <w:szCs w:val="18"/>
          <w:highlight w:val="none"/>
        </w:rPr>
        <w:t>注：（</w:t>
      </w:r>
      <w:r>
        <w:rPr>
          <w:rFonts w:ascii="宋体" w:hAnsi="宋体" w:cs="宋体"/>
          <w:snapToGrid w:val="0"/>
          <w:color w:val="auto"/>
          <w:kern w:val="0"/>
          <w:sz w:val="18"/>
          <w:szCs w:val="18"/>
          <w:highlight w:val="none"/>
        </w:rPr>
        <w:t>1）</w:t>
      </w:r>
      <w:r>
        <w:rPr>
          <w:rFonts w:hint="eastAsia" w:ascii="宋体" w:hAnsi="宋体" w:cs="宋体"/>
          <w:snapToGrid w:val="0"/>
          <w:color w:val="auto"/>
          <w:kern w:val="0"/>
          <w:sz w:val="18"/>
          <w:szCs w:val="18"/>
          <w:highlight w:val="none"/>
        </w:rPr>
        <w:t>项目管理机构人员均不能兼任，未按要求提供完整相关资料的人员，该人员不作为评分依据。人员仅指投标人自身人员，如投标申请人为集团公司，则不含集团下属具有独立法人的子公司的人员，但包含非独立法人的分公司人员；同样下属具有独立法人的子公司也不得使用集团公司的人员。社保证明时间要求为</w:t>
      </w:r>
      <w:r>
        <w:rPr>
          <w:rFonts w:hint="eastAsia" w:ascii="宋体" w:hAnsi="宋体" w:cs="宋体"/>
          <w:snapToGrid w:val="0"/>
          <w:color w:val="auto"/>
          <w:kern w:val="0"/>
          <w:sz w:val="18"/>
          <w:szCs w:val="18"/>
          <w:highlight w:val="none"/>
          <w:u w:val="single"/>
        </w:rPr>
        <w:t>2025年</w:t>
      </w:r>
      <w:r>
        <w:rPr>
          <w:rFonts w:hint="eastAsia" w:ascii="宋体" w:hAnsi="宋体" w:cs="宋体"/>
          <w:snapToGrid w:val="0"/>
          <w:color w:val="auto"/>
          <w:kern w:val="0"/>
          <w:sz w:val="18"/>
          <w:szCs w:val="18"/>
          <w:highlight w:val="none"/>
          <w:u w:val="single"/>
          <w:lang w:eastAsia="zh-CN"/>
        </w:rPr>
        <w:t>4月</w:t>
      </w:r>
      <w:r>
        <w:rPr>
          <w:rFonts w:hint="eastAsia" w:ascii="宋体" w:hAnsi="宋体" w:cs="宋体"/>
          <w:snapToGrid w:val="0"/>
          <w:color w:val="auto"/>
          <w:kern w:val="0"/>
          <w:sz w:val="18"/>
          <w:szCs w:val="18"/>
          <w:highlight w:val="none"/>
        </w:rPr>
        <w:t>。</w:t>
      </w:r>
    </w:p>
    <w:p w14:paraId="7087A157">
      <w:pPr>
        <w:ind w:firstLine="360" w:firstLineChars="200"/>
        <w:jc w:val="left"/>
        <w:rPr>
          <w:rFonts w:hint="eastAsia" w:ascii="宋体" w:hAnsi="宋体"/>
          <w:color w:val="auto"/>
          <w:highlight w:val="none"/>
        </w:rPr>
      </w:pPr>
      <w:r>
        <w:rPr>
          <w:rFonts w:hint="eastAsia" w:ascii="宋体" w:hAnsi="宋体" w:cs="宋体"/>
          <w:snapToGrid w:val="0"/>
          <w:color w:val="auto"/>
          <w:kern w:val="0"/>
          <w:sz w:val="18"/>
          <w:szCs w:val="18"/>
          <w:highlight w:val="none"/>
        </w:rPr>
        <w:t>（</w:t>
      </w:r>
      <w:r>
        <w:rPr>
          <w:rFonts w:ascii="宋体" w:hAnsi="宋体" w:cs="宋体"/>
          <w:snapToGrid w:val="0"/>
          <w:color w:val="auto"/>
          <w:kern w:val="0"/>
          <w:sz w:val="18"/>
          <w:szCs w:val="18"/>
          <w:highlight w:val="none"/>
        </w:rPr>
        <w:t>2）根据原人事部、原建设部发布的《造价工程师执业资格制度暂行规定》（人发</w:t>
      </w:r>
      <w:r>
        <w:rPr>
          <w:rFonts w:hint="eastAsia" w:ascii="宋体" w:hAnsi="宋体" w:cs="宋体"/>
          <w:snapToGrid w:val="0"/>
          <w:color w:val="auto"/>
          <w:kern w:val="0"/>
          <w:sz w:val="18"/>
          <w:szCs w:val="18"/>
          <w:highlight w:val="none"/>
          <w:lang w:eastAsia="zh-CN"/>
        </w:rPr>
        <w:t>〔1996〕77号</w:t>
      </w:r>
      <w:r>
        <w:rPr>
          <w:rFonts w:ascii="宋体" w:hAnsi="宋体" w:cs="宋体"/>
          <w:snapToGrid w:val="0"/>
          <w:color w:val="auto"/>
          <w:kern w:val="0"/>
          <w:sz w:val="18"/>
          <w:szCs w:val="18"/>
          <w:highlight w:val="none"/>
        </w:rPr>
        <w:t>)取得的造价工程师执业资格（土建或安装专业），并经注册且在有效期内的，等同于一级注册造价工程师。</w:t>
      </w:r>
    </w:p>
    <w:p w14:paraId="586FB3EC">
      <w:pPr>
        <w:rPr>
          <w:rFonts w:hint="eastAsia" w:ascii="宋体" w:hAnsi="宋体"/>
          <w:color w:val="auto"/>
          <w:highlight w:val="none"/>
        </w:rPr>
      </w:pPr>
    </w:p>
    <w:p w14:paraId="178600C2">
      <w:pPr>
        <w:pStyle w:val="5"/>
        <w:rPr>
          <w:rFonts w:hint="eastAsia"/>
          <w:color w:val="auto"/>
          <w:highlight w:val="none"/>
        </w:rPr>
      </w:pPr>
      <w:r>
        <w:rPr>
          <w:color w:val="auto"/>
          <w:highlight w:val="none"/>
        </w:rPr>
        <w:br w:type="page"/>
      </w:r>
    </w:p>
    <w:p w14:paraId="6BB08C30">
      <w:pPr>
        <w:pStyle w:val="8"/>
        <w:rPr>
          <w:rFonts w:hint="eastAsia"/>
          <w:color w:val="auto"/>
          <w:highlight w:val="none"/>
        </w:rPr>
        <w:sectPr>
          <w:headerReference r:id="rId15" w:type="first"/>
          <w:headerReference r:id="rId13" w:type="default"/>
          <w:headerReference r:id="rId14" w:type="even"/>
          <w:footerReference r:id="rId16" w:type="even"/>
          <w:endnotePr>
            <w:numFmt w:val="decimal"/>
          </w:endnotePr>
          <w:type w:val="continuous"/>
          <w:pgSz w:w="11906" w:h="16838"/>
          <w:pgMar w:top="1440" w:right="1080" w:bottom="1440" w:left="1080" w:header="851" w:footer="907" w:gutter="0"/>
          <w:cols w:space="720" w:num="1"/>
          <w:titlePg/>
          <w:docGrid w:type="linesAndChars" w:linePitch="312" w:charSpace="0"/>
        </w:sectPr>
      </w:pPr>
    </w:p>
    <w:p w14:paraId="6EFEEE64">
      <w:pPr>
        <w:pStyle w:val="8"/>
        <w:rPr>
          <w:rFonts w:hint="eastAsia"/>
          <w:color w:val="auto"/>
          <w:highlight w:val="none"/>
        </w:rPr>
      </w:pPr>
      <w:bookmarkStart w:id="67" w:name="_Toc184468512"/>
      <w:bookmarkStart w:id="68" w:name="_Toc194440089"/>
      <w:r>
        <w:rPr>
          <w:rFonts w:hint="eastAsia"/>
          <w:color w:val="auto"/>
          <w:highlight w:val="none"/>
        </w:rPr>
        <w:t>附表五</w:t>
      </w:r>
      <w:bookmarkEnd w:id="67"/>
      <w:bookmarkEnd w:id="68"/>
    </w:p>
    <w:p w14:paraId="450C7454">
      <w:pPr>
        <w:jc w:val="center"/>
        <w:rPr>
          <w:rFonts w:hint="eastAsia" w:ascii="宋体" w:hAnsi="宋体"/>
          <w:b/>
          <w:color w:val="auto"/>
          <w:sz w:val="36"/>
          <w:szCs w:val="36"/>
          <w:highlight w:val="none"/>
        </w:rPr>
      </w:pPr>
      <w:r>
        <w:rPr>
          <w:rFonts w:hint="eastAsia" w:ascii="宋体" w:hAnsi="宋体"/>
          <w:b/>
          <w:color w:val="auto"/>
          <w:sz w:val="36"/>
          <w:szCs w:val="36"/>
          <w:highlight w:val="none"/>
        </w:rPr>
        <w:t>经济标评分表</w:t>
      </w:r>
    </w:p>
    <w:p w14:paraId="09D79A0E">
      <w:pPr>
        <w:rPr>
          <w:rFonts w:hint="eastAsia" w:ascii="宋体" w:hAnsi="宋体"/>
          <w:color w:val="auto"/>
          <w:szCs w:val="21"/>
          <w:highlight w:val="none"/>
        </w:rPr>
      </w:pPr>
      <w:r>
        <w:rPr>
          <w:rFonts w:hint="eastAsia" w:ascii="宋体" w:hAnsi="宋体"/>
          <w:color w:val="auto"/>
          <w:szCs w:val="21"/>
          <w:highlight w:val="none"/>
        </w:rPr>
        <w:t>工程名称：</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1037"/>
        <w:gridCol w:w="1051"/>
        <w:gridCol w:w="1050"/>
        <w:gridCol w:w="1050"/>
        <w:gridCol w:w="1050"/>
        <w:gridCol w:w="1050"/>
        <w:gridCol w:w="1050"/>
        <w:gridCol w:w="1050"/>
        <w:gridCol w:w="1050"/>
        <w:gridCol w:w="1050"/>
        <w:gridCol w:w="1050"/>
        <w:gridCol w:w="1049"/>
      </w:tblGrid>
      <w:tr w14:paraId="48AC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6" w:type="dxa"/>
            <w:tcBorders>
              <w:top w:val="single" w:color="auto" w:sz="4" w:space="0"/>
              <w:left w:val="single" w:color="auto" w:sz="4" w:space="0"/>
              <w:bottom w:val="single" w:color="auto" w:sz="4" w:space="0"/>
              <w:right w:val="single" w:color="auto" w:sz="4" w:space="0"/>
            </w:tcBorders>
            <w:vAlign w:val="center"/>
          </w:tcPr>
          <w:p w14:paraId="2F3DAEE7">
            <w:pPr>
              <w:rPr>
                <w:rFonts w:hint="eastAsia" w:ascii="宋体" w:hAnsi="宋体"/>
                <w:color w:val="auto"/>
                <w:szCs w:val="21"/>
                <w:highlight w:val="none"/>
              </w:rPr>
            </w:pPr>
            <w:r>
              <w:rPr>
                <w:rFonts w:hint="eastAsia" w:ascii="宋体" w:hAnsi="宋体"/>
                <w:color w:val="auto"/>
                <w:szCs w:val="21"/>
                <w:highlight w:val="none"/>
              </w:rPr>
              <w:t>投标人名称</w:t>
            </w:r>
          </w:p>
        </w:tc>
        <w:tc>
          <w:tcPr>
            <w:tcW w:w="1037" w:type="dxa"/>
            <w:tcBorders>
              <w:top w:val="single" w:color="auto" w:sz="4" w:space="0"/>
              <w:left w:val="single" w:color="auto" w:sz="4" w:space="0"/>
              <w:bottom w:val="single" w:color="auto" w:sz="4" w:space="0"/>
              <w:right w:val="single" w:color="auto" w:sz="4" w:space="0"/>
            </w:tcBorders>
            <w:vAlign w:val="center"/>
          </w:tcPr>
          <w:p w14:paraId="6C6BA703">
            <w:pPr>
              <w:rPr>
                <w:rFonts w:hint="eastAsia" w:ascii="宋体" w:hAnsi="宋体"/>
                <w:color w:val="auto"/>
                <w:szCs w:val="21"/>
                <w:highlight w:val="none"/>
                <w:u w:val="single"/>
              </w:rPr>
            </w:pPr>
          </w:p>
        </w:tc>
        <w:tc>
          <w:tcPr>
            <w:tcW w:w="1051" w:type="dxa"/>
            <w:tcBorders>
              <w:top w:val="single" w:color="auto" w:sz="4" w:space="0"/>
              <w:left w:val="single" w:color="auto" w:sz="4" w:space="0"/>
              <w:bottom w:val="single" w:color="auto" w:sz="4" w:space="0"/>
              <w:right w:val="single" w:color="auto" w:sz="4" w:space="0"/>
            </w:tcBorders>
            <w:vAlign w:val="center"/>
          </w:tcPr>
          <w:p w14:paraId="78F308C9">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1EA4FA09">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3A18FE37">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6BDD60BD">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26D52DEB">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5B4F6291">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0F85387C">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04D49E6E">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6BCE89F8">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6D8FEF25">
            <w:pPr>
              <w:rPr>
                <w:rFonts w:hint="eastAsia" w:ascii="宋体" w:hAnsi="宋体"/>
                <w:color w:val="auto"/>
                <w:szCs w:val="21"/>
                <w:highlight w:val="none"/>
                <w:u w:val="single"/>
              </w:rPr>
            </w:pPr>
          </w:p>
        </w:tc>
        <w:tc>
          <w:tcPr>
            <w:tcW w:w="1049" w:type="dxa"/>
            <w:tcBorders>
              <w:top w:val="single" w:color="auto" w:sz="4" w:space="0"/>
              <w:left w:val="single" w:color="auto" w:sz="4" w:space="0"/>
              <w:bottom w:val="single" w:color="auto" w:sz="4" w:space="0"/>
              <w:right w:val="single" w:color="auto" w:sz="4" w:space="0"/>
            </w:tcBorders>
            <w:vAlign w:val="center"/>
          </w:tcPr>
          <w:p w14:paraId="45D6489D">
            <w:pPr>
              <w:rPr>
                <w:rFonts w:hint="eastAsia" w:ascii="宋体" w:hAnsi="宋体"/>
                <w:color w:val="auto"/>
                <w:szCs w:val="21"/>
                <w:highlight w:val="none"/>
                <w:u w:val="single"/>
              </w:rPr>
            </w:pPr>
          </w:p>
        </w:tc>
      </w:tr>
      <w:tr w14:paraId="56CE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14:paraId="2044F171">
            <w:pPr>
              <w:rPr>
                <w:rFonts w:hint="eastAsia"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37" w:type="dxa"/>
            <w:tcBorders>
              <w:top w:val="single" w:color="auto" w:sz="4" w:space="0"/>
              <w:left w:val="single" w:color="auto" w:sz="4" w:space="0"/>
              <w:bottom w:val="single" w:color="auto" w:sz="4" w:space="0"/>
              <w:right w:val="single" w:color="auto" w:sz="4" w:space="0"/>
            </w:tcBorders>
            <w:vAlign w:val="center"/>
          </w:tcPr>
          <w:p w14:paraId="0FEF4B1A">
            <w:pPr>
              <w:rPr>
                <w:rFonts w:hint="eastAsia" w:ascii="宋体" w:hAnsi="宋体"/>
                <w:color w:val="auto"/>
                <w:szCs w:val="21"/>
                <w:highlight w:val="none"/>
                <w:u w:val="single"/>
              </w:rPr>
            </w:pPr>
          </w:p>
        </w:tc>
        <w:tc>
          <w:tcPr>
            <w:tcW w:w="1051" w:type="dxa"/>
            <w:tcBorders>
              <w:top w:val="single" w:color="auto" w:sz="4" w:space="0"/>
              <w:left w:val="single" w:color="auto" w:sz="4" w:space="0"/>
              <w:bottom w:val="single" w:color="auto" w:sz="4" w:space="0"/>
              <w:right w:val="single" w:color="auto" w:sz="4" w:space="0"/>
            </w:tcBorders>
            <w:vAlign w:val="center"/>
          </w:tcPr>
          <w:p w14:paraId="6A20F01F">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0CA8C0A3">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40F2EBDB">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424F04B4">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6C74468E">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43C39545">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41425042">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280DC5CD">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336A0A70">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061F30AD">
            <w:pPr>
              <w:rPr>
                <w:rFonts w:hint="eastAsia" w:ascii="宋体" w:hAnsi="宋体"/>
                <w:color w:val="auto"/>
                <w:szCs w:val="21"/>
                <w:highlight w:val="none"/>
                <w:u w:val="single"/>
              </w:rPr>
            </w:pPr>
          </w:p>
        </w:tc>
        <w:tc>
          <w:tcPr>
            <w:tcW w:w="1049" w:type="dxa"/>
            <w:tcBorders>
              <w:top w:val="single" w:color="auto" w:sz="4" w:space="0"/>
              <w:left w:val="single" w:color="auto" w:sz="4" w:space="0"/>
              <w:bottom w:val="single" w:color="auto" w:sz="4" w:space="0"/>
              <w:right w:val="single" w:color="auto" w:sz="4" w:space="0"/>
            </w:tcBorders>
            <w:vAlign w:val="center"/>
          </w:tcPr>
          <w:p w14:paraId="759B02FC">
            <w:pPr>
              <w:rPr>
                <w:rFonts w:hint="eastAsia" w:ascii="宋体" w:hAnsi="宋体"/>
                <w:color w:val="auto"/>
                <w:szCs w:val="21"/>
                <w:highlight w:val="none"/>
                <w:u w:val="single"/>
              </w:rPr>
            </w:pPr>
          </w:p>
        </w:tc>
      </w:tr>
      <w:tr w14:paraId="2EB1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47990481">
            <w:pPr>
              <w:rPr>
                <w:rFonts w:hint="eastAsia" w:ascii="宋体" w:hAnsi="宋体"/>
                <w:color w:val="auto"/>
                <w:szCs w:val="21"/>
                <w:highlight w:val="none"/>
              </w:rPr>
            </w:pPr>
            <w:r>
              <w:rPr>
                <w:rFonts w:hint="eastAsia" w:ascii="宋体" w:hAnsi="宋体" w:cs="宋体"/>
                <w:color w:val="auto"/>
                <w:szCs w:val="21"/>
                <w:highlight w:val="none"/>
                <w:u w:val="single"/>
                <w:lang w:bidi="ar"/>
              </w:rPr>
              <w:t>计算评标的下浮率</w:t>
            </w:r>
            <w:r>
              <w:rPr>
                <w:rFonts w:ascii="宋体" w:hAnsi="宋体" w:cs="宋体"/>
                <w:color w:val="auto"/>
                <w:szCs w:val="21"/>
                <w:highlight w:val="none"/>
                <w:u w:val="single"/>
                <w:lang w:bidi="ar"/>
              </w:rPr>
              <w:t>X</w:t>
            </w:r>
          </w:p>
        </w:tc>
        <w:tc>
          <w:tcPr>
            <w:tcW w:w="12587" w:type="dxa"/>
            <w:gridSpan w:val="12"/>
            <w:tcBorders>
              <w:top w:val="single" w:color="auto" w:sz="4" w:space="0"/>
              <w:left w:val="single" w:color="auto" w:sz="4" w:space="0"/>
              <w:bottom w:val="single" w:color="auto" w:sz="4" w:space="0"/>
              <w:right w:val="single" w:color="auto" w:sz="4" w:space="0"/>
            </w:tcBorders>
            <w:vAlign w:val="center"/>
          </w:tcPr>
          <w:p w14:paraId="20CB34B4">
            <w:pPr>
              <w:rPr>
                <w:rFonts w:hint="eastAsia" w:ascii="宋体" w:hAnsi="宋体"/>
                <w:color w:val="auto"/>
                <w:szCs w:val="21"/>
                <w:highlight w:val="none"/>
                <w:u w:val="single"/>
              </w:rPr>
            </w:pPr>
          </w:p>
        </w:tc>
      </w:tr>
      <w:tr w14:paraId="77AE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70B59C49">
            <w:pPr>
              <w:rPr>
                <w:rFonts w:hint="eastAsia" w:ascii="宋体" w:hAnsi="宋体"/>
                <w:color w:val="auto"/>
                <w:szCs w:val="21"/>
                <w:highlight w:val="none"/>
              </w:rPr>
            </w:pPr>
            <w:r>
              <w:rPr>
                <w:rFonts w:hint="eastAsia" w:ascii="宋体" w:hAnsi="宋体"/>
                <w:color w:val="auto"/>
                <w:szCs w:val="21"/>
                <w:highlight w:val="none"/>
              </w:rPr>
              <w:t>评标参考价</w:t>
            </w:r>
            <w:r>
              <w:rPr>
                <w:rFonts w:ascii="宋体" w:hAnsi="宋体"/>
                <w:color w:val="auto"/>
                <w:szCs w:val="21"/>
                <w:highlight w:val="none"/>
              </w:rPr>
              <w:t>PC（元）</w:t>
            </w:r>
          </w:p>
        </w:tc>
        <w:tc>
          <w:tcPr>
            <w:tcW w:w="12587" w:type="dxa"/>
            <w:gridSpan w:val="12"/>
            <w:tcBorders>
              <w:top w:val="single" w:color="auto" w:sz="4" w:space="0"/>
              <w:left w:val="single" w:color="auto" w:sz="4" w:space="0"/>
              <w:bottom w:val="single" w:color="auto" w:sz="4" w:space="0"/>
              <w:right w:val="single" w:color="auto" w:sz="4" w:space="0"/>
            </w:tcBorders>
            <w:vAlign w:val="center"/>
          </w:tcPr>
          <w:p w14:paraId="02399FA6">
            <w:pPr>
              <w:rPr>
                <w:rFonts w:hint="eastAsia" w:ascii="宋体" w:hAnsi="宋体"/>
                <w:color w:val="auto"/>
                <w:szCs w:val="21"/>
                <w:highlight w:val="none"/>
                <w:u w:val="single"/>
              </w:rPr>
            </w:pPr>
          </w:p>
        </w:tc>
      </w:tr>
      <w:tr w14:paraId="2966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758C109B">
            <w:pPr>
              <w:rPr>
                <w:rFonts w:hint="eastAsia"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37" w:type="dxa"/>
            <w:tcBorders>
              <w:top w:val="single" w:color="auto" w:sz="4" w:space="0"/>
              <w:left w:val="single" w:color="auto" w:sz="4" w:space="0"/>
              <w:bottom w:val="single" w:color="auto" w:sz="4" w:space="0"/>
              <w:right w:val="single" w:color="auto" w:sz="4" w:space="0"/>
            </w:tcBorders>
            <w:vAlign w:val="center"/>
          </w:tcPr>
          <w:p w14:paraId="1965F5FC">
            <w:pPr>
              <w:rPr>
                <w:rFonts w:hint="eastAsia" w:ascii="宋体" w:hAnsi="宋体"/>
                <w:color w:val="auto"/>
                <w:szCs w:val="21"/>
                <w:highlight w:val="none"/>
                <w:u w:val="single"/>
              </w:rPr>
            </w:pPr>
          </w:p>
        </w:tc>
        <w:tc>
          <w:tcPr>
            <w:tcW w:w="1051" w:type="dxa"/>
            <w:tcBorders>
              <w:top w:val="single" w:color="auto" w:sz="4" w:space="0"/>
              <w:left w:val="single" w:color="auto" w:sz="4" w:space="0"/>
              <w:bottom w:val="single" w:color="auto" w:sz="4" w:space="0"/>
              <w:right w:val="single" w:color="auto" w:sz="4" w:space="0"/>
            </w:tcBorders>
            <w:vAlign w:val="center"/>
          </w:tcPr>
          <w:p w14:paraId="779A78C5">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7C180E8E">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41F35A7E">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2FE365D2">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41C5FF28">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63DA8183">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50A77294">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42E37880">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2B928D16">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303B3C84">
            <w:pPr>
              <w:rPr>
                <w:rFonts w:hint="eastAsia" w:ascii="宋体" w:hAnsi="宋体"/>
                <w:color w:val="auto"/>
                <w:szCs w:val="21"/>
                <w:highlight w:val="none"/>
                <w:u w:val="single"/>
              </w:rPr>
            </w:pPr>
          </w:p>
        </w:tc>
        <w:tc>
          <w:tcPr>
            <w:tcW w:w="1049" w:type="dxa"/>
            <w:tcBorders>
              <w:top w:val="single" w:color="auto" w:sz="4" w:space="0"/>
              <w:left w:val="single" w:color="auto" w:sz="4" w:space="0"/>
              <w:bottom w:val="single" w:color="auto" w:sz="4" w:space="0"/>
              <w:right w:val="single" w:color="auto" w:sz="4" w:space="0"/>
            </w:tcBorders>
            <w:vAlign w:val="center"/>
          </w:tcPr>
          <w:p w14:paraId="6B8D5E48">
            <w:pPr>
              <w:rPr>
                <w:rFonts w:hint="eastAsia" w:ascii="宋体" w:hAnsi="宋体"/>
                <w:color w:val="auto"/>
                <w:szCs w:val="21"/>
                <w:highlight w:val="none"/>
                <w:u w:val="single"/>
              </w:rPr>
            </w:pPr>
          </w:p>
        </w:tc>
      </w:tr>
      <w:tr w14:paraId="74C5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14:paraId="687400F7">
            <w:pPr>
              <w:rPr>
                <w:rFonts w:hint="eastAsia"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37" w:type="dxa"/>
            <w:tcBorders>
              <w:top w:val="single" w:color="auto" w:sz="4" w:space="0"/>
              <w:left w:val="single" w:color="auto" w:sz="4" w:space="0"/>
              <w:bottom w:val="single" w:color="auto" w:sz="4" w:space="0"/>
              <w:right w:val="single" w:color="auto" w:sz="4" w:space="0"/>
            </w:tcBorders>
            <w:vAlign w:val="center"/>
          </w:tcPr>
          <w:p w14:paraId="4555FE77">
            <w:pPr>
              <w:rPr>
                <w:rFonts w:hint="eastAsia" w:ascii="宋体" w:hAnsi="宋体"/>
                <w:color w:val="auto"/>
                <w:szCs w:val="21"/>
                <w:highlight w:val="none"/>
                <w:u w:val="single"/>
              </w:rPr>
            </w:pPr>
          </w:p>
        </w:tc>
        <w:tc>
          <w:tcPr>
            <w:tcW w:w="1051" w:type="dxa"/>
            <w:tcBorders>
              <w:top w:val="single" w:color="auto" w:sz="4" w:space="0"/>
              <w:left w:val="single" w:color="auto" w:sz="4" w:space="0"/>
              <w:bottom w:val="single" w:color="auto" w:sz="4" w:space="0"/>
              <w:right w:val="single" w:color="auto" w:sz="4" w:space="0"/>
            </w:tcBorders>
            <w:vAlign w:val="center"/>
          </w:tcPr>
          <w:p w14:paraId="0F0FE2F1">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6F81E481">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65282877">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50A543F5">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6F2CE8F7">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28F23934">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6F8941E6">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7FB215BA">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6DF88677">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724B73D8">
            <w:pPr>
              <w:rPr>
                <w:rFonts w:hint="eastAsia" w:ascii="宋体" w:hAnsi="宋体"/>
                <w:color w:val="auto"/>
                <w:szCs w:val="21"/>
                <w:highlight w:val="none"/>
                <w:u w:val="single"/>
              </w:rPr>
            </w:pPr>
          </w:p>
        </w:tc>
        <w:tc>
          <w:tcPr>
            <w:tcW w:w="1049" w:type="dxa"/>
            <w:tcBorders>
              <w:top w:val="single" w:color="auto" w:sz="4" w:space="0"/>
              <w:left w:val="single" w:color="auto" w:sz="4" w:space="0"/>
              <w:bottom w:val="single" w:color="auto" w:sz="4" w:space="0"/>
              <w:right w:val="single" w:color="auto" w:sz="4" w:space="0"/>
            </w:tcBorders>
            <w:vAlign w:val="center"/>
          </w:tcPr>
          <w:p w14:paraId="53A825F8">
            <w:pPr>
              <w:rPr>
                <w:rFonts w:hint="eastAsia" w:ascii="宋体" w:hAnsi="宋体"/>
                <w:color w:val="auto"/>
                <w:szCs w:val="21"/>
                <w:highlight w:val="none"/>
                <w:u w:val="single"/>
              </w:rPr>
            </w:pPr>
          </w:p>
        </w:tc>
      </w:tr>
      <w:tr w14:paraId="40DA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591AA45A">
            <w:pPr>
              <w:rPr>
                <w:rFonts w:hint="eastAsia"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37" w:type="dxa"/>
            <w:tcBorders>
              <w:top w:val="single" w:color="auto" w:sz="4" w:space="0"/>
              <w:left w:val="single" w:color="auto" w:sz="4" w:space="0"/>
              <w:bottom w:val="single" w:color="auto" w:sz="4" w:space="0"/>
              <w:right w:val="single" w:color="auto" w:sz="4" w:space="0"/>
            </w:tcBorders>
            <w:vAlign w:val="center"/>
          </w:tcPr>
          <w:p w14:paraId="6E2002CF">
            <w:pPr>
              <w:rPr>
                <w:rFonts w:hint="eastAsia" w:ascii="宋体" w:hAnsi="宋体"/>
                <w:color w:val="auto"/>
                <w:szCs w:val="21"/>
                <w:highlight w:val="none"/>
                <w:u w:val="single"/>
              </w:rPr>
            </w:pPr>
          </w:p>
        </w:tc>
        <w:tc>
          <w:tcPr>
            <w:tcW w:w="1051" w:type="dxa"/>
            <w:tcBorders>
              <w:top w:val="single" w:color="auto" w:sz="4" w:space="0"/>
              <w:left w:val="single" w:color="auto" w:sz="4" w:space="0"/>
              <w:bottom w:val="single" w:color="auto" w:sz="4" w:space="0"/>
              <w:right w:val="single" w:color="auto" w:sz="4" w:space="0"/>
            </w:tcBorders>
            <w:vAlign w:val="center"/>
          </w:tcPr>
          <w:p w14:paraId="5D18B18A">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175FDC2B">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538E19B6">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0D7D4EE3">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1B47FFEE">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34322068">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0212128C">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0A5E3365">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5AE65573">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5169109B">
            <w:pPr>
              <w:rPr>
                <w:rFonts w:hint="eastAsia" w:ascii="宋体" w:hAnsi="宋体"/>
                <w:color w:val="auto"/>
                <w:szCs w:val="21"/>
                <w:highlight w:val="none"/>
                <w:u w:val="single"/>
              </w:rPr>
            </w:pPr>
          </w:p>
        </w:tc>
        <w:tc>
          <w:tcPr>
            <w:tcW w:w="1049" w:type="dxa"/>
            <w:tcBorders>
              <w:top w:val="single" w:color="auto" w:sz="4" w:space="0"/>
              <w:left w:val="single" w:color="auto" w:sz="4" w:space="0"/>
              <w:bottom w:val="single" w:color="auto" w:sz="4" w:space="0"/>
              <w:right w:val="single" w:color="auto" w:sz="4" w:space="0"/>
            </w:tcBorders>
            <w:vAlign w:val="center"/>
          </w:tcPr>
          <w:p w14:paraId="46AEF42F">
            <w:pPr>
              <w:rPr>
                <w:rFonts w:hint="eastAsia" w:ascii="宋体" w:hAnsi="宋体"/>
                <w:color w:val="auto"/>
                <w:szCs w:val="21"/>
                <w:highlight w:val="none"/>
                <w:u w:val="single"/>
              </w:rPr>
            </w:pPr>
          </w:p>
        </w:tc>
      </w:tr>
      <w:tr w14:paraId="2826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18CC4150">
            <w:pPr>
              <w:rPr>
                <w:rFonts w:hint="eastAsia" w:ascii="宋体" w:hAnsi="宋体"/>
                <w:color w:val="auto"/>
                <w:szCs w:val="21"/>
                <w:highlight w:val="none"/>
              </w:rPr>
            </w:pPr>
            <w:r>
              <w:rPr>
                <w:rFonts w:hint="eastAsia" w:ascii="宋体" w:hAnsi="宋体"/>
                <w:color w:val="auto"/>
                <w:szCs w:val="21"/>
                <w:highlight w:val="none"/>
              </w:rPr>
              <w:t>得分排名次序</w:t>
            </w:r>
          </w:p>
        </w:tc>
        <w:tc>
          <w:tcPr>
            <w:tcW w:w="1037" w:type="dxa"/>
            <w:tcBorders>
              <w:top w:val="single" w:color="auto" w:sz="4" w:space="0"/>
              <w:left w:val="single" w:color="auto" w:sz="4" w:space="0"/>
              <w:bottom w:val="single" w:color="auto" w:sz="4" w:space="0"/>
              <w:right w:val="single" w:color="auto" w:sz="4" w:space="0"/>
            </w:tcBorders>
            <w:vAlign w:val="center"/>
          </w:tcPr>
          <w:p w14:paraId="6EF26BBB">
            <w:pPr>
              <w:rPr>
                <w:rFonts w:hint="eastAsia" w:ascii="宋体" w:hAnsi="宋体"/>
                <w:color w:val="auto"/>
                <w:szCs w:val="21"/>
                <w:highlight w:val="none"/>
                <w:u w:val="single"/>
              </w:rPr>
            </w:pPr>
          </w:p>
        </w:tc>
        <w:tc>
          <w:tcPr>
            <w:tcW w:w="1051" w:type="dxa"/>
            <w:tcBorders>
              <w:top w:val="single" w:color="auto" w:sz="4" w:space="0"/>
              <w:left w:val="single" w:color="auto" w:sz="4" w:space="0"/>
              <w:bottom w:val="single" w:color="auto" w:sz="4" w:space="0"/>
              <w:right w:val="single" w:color="auto" w:sz="4" w:space="0"/>
            </w:tcBorders>
            <w:vAlign w:val="center"/>
          </w:tcPr>
          <w:p w14:paraId="651BE4AF">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7A21023C">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5F5FB0E1">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751195F4">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3EB2B943">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697A107C">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0AD75A63">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02B34CAE">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339151FB">
            <w:pPr>
              <w:rPr>
                <w:rFonts w:hint="eastAsia" w:ascii="宋体" w:hAnsi="宋体"/>
                <w:color w:val="auto"/>
                <w:szCs w:val="21"/>
                <w:highlight w:val="none"/>
                <w:u w:val="single"/>
              </w:rPr>
            </w:pPr>
          </w:p>
        </w:tc>
        <w:tc>
          <w:tcPr>
            <w:tcW w:w="1050" w:type="dxa"/>
            <w:tcBorders>
              <w:top w:val="single" w:color="auto" w:sz="4" w:space="0"/>
              <w:left w:val="single" w:color="auto" w:sz="4" w:space="0"/>
              <w:bottom w:val="single" w:color="auto" w:sz="4" w:space="0"/>
              <w:right w:val="single" w:color="auto" w:sz="4" w:space="0"/>
            </w:tcBorders>
            <w:vAlign w:val="center"/>
          </w:tcPr>
          <w:p w14:paraId="6902C873">
            <w:pPr>
              <w:rPr>
                <w:rFonts w:hint="eastAsia" w:ascii="宋体" w:hAnsi="宋体"/>
                <w:color w:val="auto"/>
                <w:szCs w:val="21"/>
                <w:highlight w:val="none"/>
                <w:u w:val="single"/>
              </w:rPr>
            </w:pPr>
          </w:p>
        </w:tc>
        <w:tc>
          <w:tcPr>
            <w:tcW w:w="1049" w:type="dxa"/>
            <w:tcBorders>
              <w:top w:val="single" w:color="auto" w:sz="4" w:space="0"/>
              <w:left w:val="single" w:color="auto" w:sz="4" w:space="0"/>
              <w:bottom w:val="single" w:color="auto" w:sz="4" w:space="0"/>
              <w:right w:val="single" w:color="auto" w:sz="4" w:space="0"/>
            </w:tcBorders>
            <w:vAlign w:val="center"/>
          </w:tcPr>
          <w:p w14:paraId="2AD0D273">
            <w:pPr>
              <w:rPr>
                <w:rFonts w:hint="eastAsia" w:ascii="宋体" w:hAnsi="宋体"/>
                <w:color w:val="auto"/>
                <w:szCs w:val="21"/>
                <w:highlight w:val="none"/>
                <w:u w:val="single"/>
              </w:rPr>
            </w:pPr>
          </w:p>
        </w:tc>
      </w:tr>
    </w:tbl>
    <w:p w14:paraId="5F101188">
      <w:pPr>
        <w:rPr>
          <w:rFonts w:hint="eastAsia" w:ascii="宋体" w:hAnsi="宋体"/>
          <w:color w:val="auto"/>
          <w:highlight w:val="none"/>
        </w:rPr>
      </w:pPr>
      <w:r>
        <w:rPr>
          <w:rFonts w:hint="eastAsia" w:ascii="宋体" w:hAnsi="宋体"/>
          <w:color w:val="auto"/>
          <w:szCs w:val="21"/>
          <w:highlight w:val="none"/>
        </w:rPr>
        <w:t>评委签名：</w:t>
      </w:r>
    </w:p>
    <w:p w14:paraId="067D780F">
      <w:pPr>
        <w:pStyle w:val="8"/>
        <w:rPr>
          <w:rFonts w:hint="eastAsia"/>
          <w:color w:val="auto"/>
          <w:highlight w:val="none"/>
        </w:rPr>
      </w:pPr>
      <w:r>
        <w:rPr>
          <w:color w:val="auto"/>
          <w:sz w:val="36"/>
          <w:szCs w:val="36"/>
          <w:highlight w:val="none"/>
        </w:rPr>
        <w:br w:type="page"/>
      </w:r>
      <w:bookmarkStart w:id="69" w:name="_Toc194440090"/>
      <w:bookmarkStart w:id="70" w:name="_Toc184468513"/>
      <w:r>
        <w:rPr>
          <w:rFonts w:hint="eastAsia"/>
          <w:color w:val="auto"/>
          <w:highlight w:val="none"/>
        </w:rPr>
        <w:t>附表六</w:t>
      </w:r>
      <w:bookmarkEnd w:id="69"/>
      <w:bookmarkEnd w:id="70"/>
    </w:p>
    <w:p w14:paraId="16738F46">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6A4C3044">
      <w:pPr>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投标人</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单位：元</w:t>
      </w:r>
    </w:p>
    <w:tbl>
      <w:tblPr>
        <w:tblStyle w:val="49"/>
        <w:tblW w:w="0" w:type="auto"/>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3E1DB079">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07E4979E">
            <w:pPr>
              <w:rPr>
                <w:rFonts w:hint="eastAsia" w:ascii="宋体" w:hAnsi="宋体" w:cs="宋体"/>
                <w:color w:val="auto"/>
                <w:kern w:val="0"/>
                <w:szCs w:val="21"/>
                <w:highlight w:val="none"/>
              </w:rPr>
            </w:pPr>
            <w:r>
              <w:rPr>
                <w:rFonts w:hint="eastAsia" w:ascii="宋体" w:hAnsi="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679945FD">
            <w:pPr>
              <w:rPr>
                <w:rFonts w:hint="eastAsia"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7E1EE096">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修正前投标</w:t>
            </w:r>
          </w:p>
          <w:p w14:paraId="019AC6FE">
            <w:pPr>
              <w:rPr>
                <w:rFonts w:hint="eastAsia" w:ascii="宋体" w:hAnsi="宋体" w:cs="宋体"/>
                <w:color w:val="auto"/>
                <w:kern w:val="0"/>
                <w:szCs w:val="21"/>
                <w:highlight w:val="none"/>
              </w:rPr>
            </w:pPr>
            <w:r>
              <w:rPr>
                <w:rFonts w:hint="eastAsia" w:ascii="宋体" w:hAnsi="宋体" w:cs="宋体"/>
                <w:color w:val="auto"/>
                <w:kern w:val="0"/>
                <w:szCs w:val="21"/>
                <w:highlight w:val="none"/>
              </w:rPr>
              <w:t>报价</w:t>
            </w:r>
            <w:r>
              <w:rPr>
                <w:rFonts w:ascii="宋体" w:hAnsi="宋体" w:cs="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29D0B25A">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修正后投标</w:t>
            </w:r>
          </w:p>
          <w:p w14:paraId="4656E363">
            <w:pPr>
              <w:rPr>
                <w:rFonts w:hint="eastAsia" w:ascii="宋体" w:hAnsi="宋体" w:cs="宋体"/>
                <w:color w:val="auto"/>
                <w:kern w:val="0"/>
                <w:szCs w:val="21"/>
                <w:highlight w:val="none"/>
              </w:rPr>
            </w:pPr>
            <w:r>
              <w:rPr>
                <w:rFonts w:hint="eastAsia" w:ascii="宋体" w:hAnsi="宋体" w:cs="宋体"/>
                <w:color w:val="auto"/>
                <w:kern w:val="0"/>
                <w:szCs w:val="21"/>
                <w:highlight w:val="none"/>
              </w:rPr>
              <w:t>报价</w:t>
            </w:r>
            <w:r>
              <w:rPr>
                <w:rFonts w:ascii="宋体" w:hAnsi="宋体" w:cs="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0E5E3741">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修正率</w:t>
            </w:r>
          </w:p>
          <w:p w14:paraId="4F7A7228">
            <w:pPr>
              <w:rPr>
                <w:rFonts w:hint="eastAsia" w:ascii="宋体" w:hAnsi="宋体" w:cs="宋体"/>
                <w:color w:val="auto"/>
                <w:kern w:val="0"/>
                <w:szCs w:val="21"/>
                <w:highlight w:val="none"/>
              </w:rPr>
            </w:pPr>
            <w:r>
              <w:rPr>
                <w:rFonts w:ascii="宋体" w:hAnsi="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277A558E">
            <w:pPr>
              <w:rPr>
                <w:rFonts w:hint="eastAsia"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1B30E714">
            <w:pPr>
              <w:rPr>
                <w:rFonts w:hint="eastAsia" w:ascii="宋体" w:hAnsi="宋体" w:cs="宋体"/>
                <w:color w:val="auto"/>
                <w:kern w:val="0"/>
                <w:szCs w:val="21"/>
                <w:highlight w:val="none"/>
              </w:rPr>
            </w:pPr>
            <w:r>
              <w:rPr>
                <w:rFonts w:hint="eastAsia" w:ascii="宋体" w:hAnsi="宋体" w:cs="宋体"/>
                <w:color w:val="auto"/>
                <w:kern w:val="0"/>
                <w:szCs w:val="21"/>
                <w:highlight w:val="none"/>
              </w:rPr>
              <w:t>当</w:t>
            </w:r>
            <w:r>
              <w:rPr>
                <w:rFonts w:ascii="宋体" w:hAnsi="宋体" w:cs="宋体"/>
                <w:color w:val="auto"/>
                <w:kern w:val="0"/>
                <w:szCs w:val="21"/>
                <w:highlight w:val="none"/>
              </w:rPr>
              <w:t>B&gt;A时，修正后报价与原报价的差额；当B≤A时,R=0</w:t>
            </w:r>
          </w:p>
        </w:tc>
      </w:tr>
      <w:tr w14:paraId="1F89B26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407F35E">
            <w:pPr>
              <w:rPr>
                <w:rFonts w:hint="eastAsia" w:ascii="宋体" w:hAnsi="宋体" w:cs="宋体"/>
                <w:color w:val="auto"/>
                <w:kern w:val="0"/>
                <w:szCs w:val="21"/>
                <w:highlight w:val="none"/>
              </w:rPr>
            </w:pPr>
            <w:r>
              <w:rPr>
                <w:rFonts w:ascii="宋体" w:hAnsi="宋体" w:cs="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101015B9">
            <w:pPr>
              <w:rPr>
                <w:rFonts w:hint="eastAsia" w:ascii="宋体" w:hAnsi="宋体" w:cs="宋体"/>
                <w:color w:val="auto"/>
                <w:kern w:val="0"/>
                <w:szCs w:val="21"/>
                <w:highlight w:val="none"/>
              </w:rPr>
            </w:pPr>
            <w:r>
              <w:rPr>
                <w:rFonts w:ascii="宋体" w:hAnsi="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14:paraId="541E1300">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0CBDB11">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79FDC83">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ADB766A">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05A9EC5">
            <w:pPr>
              <w:rPr>
                <w:rFonts w:hint="eastAsia" w:ascii="宋体" w:hAnsi="宋体" w:cs="宋体"/>
                <w:color w:val="auto"/>
                <w:kern w:val="0"/>
                <w:szCs w:val="21"/>
                <w:highlight w:val="none"/>
              </w:rPr>
            </w:pPr>
          </w:p>
        </w:tc>
      </w:tr>
      <w:tr w14:paraId="055C61A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08CD94E">
            <w:pPr>
              <w:rPr>
                <w:rFonts w:hint="eastAsia" w:ascii="宋体" w:hAnsi="宋体" w:cs="宋体"/>
                <w:color w:val="auto"/>
                <w:kern w:val="0"/>
                <w:szCs w:val="21"/>
                <w:highlight w:val="none"/>
              </w:rPr>
            </w:pPr>
            <w:r>
              <w:rPr>
                <w:rFonts w:ascii="宋体" w:hAnsi="宋体" w:cs="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3679434D">
            <w:pPr>
              <w:rPr>
                <w:rFonts w:hint="eastAsia" w:ascii="宋体" w:hAnsi="宋体" w:cs="宋体"/>
                <w:color w:val="auto"/>
                <w:kern w:val="0"/>
                <w:szCs w:val="21"/>
                <w:highlight w:val="none"/>
              </w:rPr>
            </w:pPr>
            <w:r>
              <w:rPr>
                <w:rFonts w:ascii="宋体" w:hAnsi="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14:paraId="6517C321">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BA5AC58">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DD18042">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9327170">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F36D37E">
            <w:pPr>
              <w:rPr>
                <w:rFonts w:hint="eastAsia" w:ascii="宋体" w:hAnsi="宋体" w:cs="宋体"/>
                <w:color w:val="auto"/>
                <w:kern w:val="0"/>
                <w:szCs w:val="21"/>
                <w:highlight w:val="none"/>
              </w:rPr>
            </w:pPr>
          </w:p>
        </w:tc>
      </w:tr>
      <w:tr w14:paraId="4F3695C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41A9463">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4ABB8290">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68CBE09">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0630C14">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2D32691">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97B7792">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0A6EF48">
            <w:pPr>
              <w:rPr>
                <w:rFonts w:hint="eastAsia" w:ascii="宋体" w:hAnsi="宋体" w:cs="宋体"/>
                <w:color w:val="auto"/>
                <w:kern w:val="0"/>
                <w:szCs w:val="21"/>
                <w:highlight w:val="none"/>
              </w:rPr>
            </w:pPr>
          </w:p>
        </w:tc>
      </w:tr>
      <w:tr w14:paraId="376A915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C1D514D">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BC4FEE5">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F735DDA">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7E432B0">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8795024">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1047CD9">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4366FC5">
            <w:pPr>
              <w:rPr>
                <w:rFonts w:hint="eastAsia" w:ascii="宋体" w:hAnsi="宋体" w:cs="宋体"/>
                <w:color w:val="auto"/>
                <w:kern w:val="0"/>
                <w:szCs w:val="21"/>
                <w:highlight w:val="none"/>
              </w:rPr>
            </w:pPr>
          </w:p>
        </w:tc>
      </w:tr>
      <w:tr w14:paraId="74CCDAF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E576A7D">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4A9CFEBF">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3E5CE37">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224CBE1">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8AE3D8B">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F7BF049">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0BE04D9">
            <w:pPr>
              <w:rPr>
                <w:rFonts w:hint="eastAsia" w:ascii="宋体" w:hAnsi="宋体" w:cs="宋体"/>
                <w:color w:val="auto"/>
                <w:kern w:val="0"/>
                <w:szCs w:val="21"/>
                <w:highlight w:val="none"/>
              </w:rPr>
            </w:pPr>
          </w:p>
        </w:tc>
      </w:tr>
      <w:tr w14:paraId="0871731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1F9F3CC">
            <w:pPr>
              <w:rPr>
                <w:rFonts w:hint="eastAsia" w:ascii="宋体" w:hAnsi="宋体" w:cs="宋体"/>
                <w:color w:val="auto"/>
                <w:kern w:val="0"/>
                <w:szCs w:val="21"/>
                <w:highlight w:val="none"/>
              </w:rPr>
            </w:pPr>
            <w:r>
              <w:rPr>
                <w:rFonts w:ascii="宋体" w:hAnsi="宋体" w:cs="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1D0ADBDD">
            <w:pPr>
              <w:rPr>
                <w:rFonts w:hint="eastAsia" w:ascii="宋体" w:hAnsi="宋体" w:cs="宋体"/>
                <w:color w:val="auto"/>
                <w:kern w:val="0"/>
                <w:szCs w:val="21"/>
                <w:highlight w:val="none"/>
              </w:rPr>
            </w:pPr>
            <w:r>
              <w:rPr>
                <w:rFonts w:ascii="宋体" w:hAnsi="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14:paraId="44A15F6A">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DD62CD6">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C830AF3">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A47D3D5">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0967E20">
            <w:pPr>
              <w:rPr>
                <w:rFonts w:hint="eastAsia" w:ascii="宋体" w:hAnsi="宋体" w:cs="宋体"/>
                <w:color w:val="auto"/>
                <w:kern w:val="0"/>
                <w:szCs w:val="21"/>
                <w:highlight w:val="none"/>
              </w:rPr>
            </w:pPr>
          </w:p>
        </w:tc>
      </w:tr>
      <w:tr w14:paraId="6A6E51A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359B8B7">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40FF928">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13D6419C">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D9FBB7D">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13E87EA2">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94EC69F">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E269D53">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A=A</w:t>
            </w:r>
            <w:r>
              <w:rPr>
                <w:rFonts w:ascii="宋体" w:hAnsi="宋体" w:cs="宋体"/>
                <w:color w:val="auto"/>
                <w:kern w:val="0"/>
                <w:szCs w:val="21"/>
                <w:highlight w:val="none"/>
                <w:vertAlign w:val="subscript"/>
              </w:rPr>
              <w:t>1</w:t>
            </w:r>
            <w:r>
              <w:rPr>
                <w:rFonts w:ascii="宋体" w:hAnsi="宋体" w:cs="宋体"/>
                <w:color w:val="auto"/>
                <w:kern w:val="0"/>
                <w:szCs w:val="21"/>
                <w:highlight w:val="none"/>
              </w:rPr>
              <w:t>+A</w:t>
            </w:r>
            <w:r>
              <w:rPr>
                <w:rFonts w:ascii="宋体" w:hAnsi="宋体" w:cs="宋体"/>
                <w:color w:val="auto"/>
                <w:kern w:val="0"/>
                <w:szCs w:val="21"/>
                <w:highlight w:val="none"/>
                <w:vertAlign w:val="subscript"/>
              </w:rPr>
              <w:t>2</w:t>
            </w:r>
            <w:r>
              <w:rPr>
                <w:rFonts w:ascii="宋体" w:hAnsi="宋体" w:cs="宋体"/>
                <w:color w:val="auto"/>
                <w:kern w:val="0"/>
                <w:szCs w:val="21"/>
                <w:highlight w:val="none"/>
              </w:rPr>
              <w:t>+…An；∑B=B</w:t>
            </w:r>
            <w:r>
              <w:rPr>
                <w:rFonts w:ascii="宋体" w:hAnsi="宋体" w:cs="宋体"/>
                <w:color w:val="auto"/>
                <w:kern w:val="0"/>
                <w:szCs w:val="21"/>
                <w:highlight w:val="none"/>
                <w:vertAlign w:val="subscript"/>
              </w:rPr>
              <w:t>1</w:t>
            </w:r>
            <w:r>
              <w:rPr>
                <w:rFonts w:ascii="宋体" w:hAnsi="宋体" w:cs="宋体"/>
                <w:color w:val="auto"/>
                <w:kern w:val="0"/>
                <w:szCs w:val="21"/>
                <w:highlight w:val="none"/>
              </w:rPr>
              <w:t>+B</w:t>
            </w:r>
            <w:r>
              <w:rPr>
                <w:rFonts w:ascii="宋体" w:hAnsi="宋体" w:cs="宋体"/>
                <w:color w:val="auto"/>
                <w:kern w:val="0"/>
                <w:szCs w:val="21"/>
                <w:highlight w:val="none"/>
                <w:vertAlign w:val="subscript"/>
              </w:rPr>
              <w:t>2</w:t>
            </w:r>
            <w:r>
              <w:rPr>
                <w:rFonts w:ascii="宋体" w:hAnsi="宋体" w:cs="宋体"/>
                <w:color w:val="auto"/>
                <w:kern w:val="0"/>
                <w:szCs w:val="21"/>
                <w:highlight w:val="none"/>
              </w:rPr>
              <w:t>+…Bn</w:t>
            </w:r>
          </w:p>
        </w:tc>
      </w:tr>
    </w:tbl>
    <w:p w14:paraId="253EEE46">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ascii="宋体" w:hAnsi="宋体" w:cs="宋体"/>
          <w:color w:val="auto"/>
          <w:kern w:val="0"/>
          <w:szCs w:val="21"/>
          <w:highlight w:val="none"/>
        </w:rPr>
        <w:tab/>
      </w:r>
    </w:p>
    <w:p w14:paraId="2F27A6EA">
      <w:pPr>
        <w:rPr>
          <w:rFonts w:hint="eastAsia" w:ascii="宋体" w:hAnsi="宋体" w:cs="宋体"/>
          <w:color w:val="auto"/>
          <w:highlight w:val="none"/>
        </w:rPr>
      </w:pPr>
      <w:r>
        <w:rPr>
          <w:rFonts w:hint="eastAsia" w:ascii="宋体" w:hAnsi="宋体" w:cs="宋体"/>
          <w:color w:val="auto"/>
          <w:kern w:val="0"/>
          <w:szCs w:val="21"/>
          <w:highlight w:val="none"/>
        </w:rPr>
        <w:t>评委签名：</w:t>
      </w:r>
      <w:r>
        <w:rPr>
          <w:rFonts w:ascii="宋体" w:hAnsi="宋体" w:cs="宋体"/>
          <w:color w:val="auto"/>
          <w:kern w:val="0"/>
          <w:szCs w:val="21"/>
          <w:highlight w:val="none"/>
        </w:rPr>
        <w:tab/>
      </w:r>
      <w:r>
        <w:rPr>
          <w:rFonts w:ascii="宋体" w:hAnsi="宋体" w:cs="宋体"/>
          <w:color w:val="auto"/>
          <w:kern w:val="0"/>
          <w:szCs w:val="21"/>
          <w:highlight w:val="none"/>
        </w:rPr>
        <w:tab/>
      </w:r>
      <w:r>
        <w:rPr>
          <w:rFonts w:ascii="宋体" w:hAnsi="宋体" w:cs="宋体"/>
          <w:color w:val="auto"/>
          <w:kern w:val="0"/>
          <w:szCs w:val="21"/>
          <w:highlight w:val="none"/>
        </w:rPr>
        <w:tab/>
      </w:r>
      <w:r>
        <w:rPr>
          <w:rFonts w:ascii="宋体" w:hAnsi="宋体" w:cs="宋体"/>
          <w:color w:val="auto"/>
          <w:kern w:val="0"/>
          <w:szCs w:val="21"/>
          <w:highlight w:val="none"/>
        </w:rPr>
        <w:tab/>
      </w:r>
      <w:r>
        <w:rPr>
          <w:rFonts w:ascii="宋体" w:hAnsi="宋体" w:cs="宋体"/>
          <w:color w:val="auto"/>
          <w:kern w:val="0"/>
          <w:szCs w:val="21"/>
          <w:highlight w:val="none"/>
        </w:rPr>
        <w:tab/>
      </w:r>
      <w:r>
        <w:rPr>
          <w:rFonts w:hint="eastAsia" w:ascii="宋体" w:hAnsi="宋体" w:cs="宋体"/>
          <w:color w:val="auto"/>
          <w:kern w:val="0"/>
          <w:szCs w:val="21"/>
          <w:highlight w:val="none"/>
        </w:rPr>
        <w:t>日期：</w:t>
      </w:r>
    </w:p>
    <w:p w14:paraId="1F3B1D93">
      <w:pPr>
        <w:rPr>
          <w:rFonts w:hint="eastAsia" w:ascii="宋体" w:hAnsi="宋体" w:cs="宋体"/>
          <w:color w:val="auto"/>
          <w:highlight w:val="none"/>
        </w:rPr>
      </w:pPr>
      <w:r>
        <w:rPr>
          <w:rFonts w:ascii="宋体" w:hAnsi="宋体" w:cs="宋体"/>
          <w:color w:val="auto"/>
          <w:highlight w:val="none"/>
        </w:rPr>
        <w:br w:type="page"/>
      </w:r>
    </w:p>
    <w:p w14:paraId="41FDB9FB">
      <w:pPr>
        <w:spacing w:line="360" w:lineRule="auto"/>
        <w:jc w:val="center"/>
        <w:rPr>
          <w:rFonts w:hint="eastAsia" w:ascii="宋体" w:hAnsi="宋体" w:cs="宋体"/>
          <w:color w:val="auto"/>
          <w:szCs w:val="21"/>
          <w:highlight w:val="none"/>
        </w:rPr>
        <w:sectPr>
          <w:endnotePr>
            <w:numFmt w:val="decimal"/>
          </w:endnotePr>
          <w:type w:val="continuous"/>
          <w:pgSz w:w="16838" w:h="11906" w:orient="landscape"/>
          <w:pgMar w:top="1440" w:right="1080" w:bottom="1440" w:left="1080" w:header="851" w:footer="907" w:gutter="0"/>
          <w:cols w:space="720" w:num="1"/>
          <w:titlePg/>
          <w:docGrid w:type="lines" w:linePitch="312" w:charSpace="0"/>
        </w:sectPr>
      </w:pPr>
    </w:p>
    <w:p w14:paraId="3DD4B278">
      <w:pPr>
        <w:pStyle w:val="2"/>
        <w:rPr>
          <w:rFonts w:hint="eastAsia" w:ascii="宋体" w:hAnsi="宋体"/>
          <w:color w:val="auto"/>
          <w:highlight w:val="none"/>
        </w:rPr>
      </w:pPr>
      <w:bookmarkStart w:id="71" w:name="_Toc2272566"/>
      <w:bookmarkStart w:id="72" w:name="_Toc194440091"/>
      <w:r>
        <w:rPr>
          <w:rFonts w:hint="eastAsia" w:ascii="宋体" w:hAnsi="宋体"/>
          <w:color w:val="auto"/>
          <w:highlight w:val="none"/>
        </w:rPr>
        <w:t>第三章</w:t>
      </w:r>
      <w:r>
        <w:rPr>
          <w:rFonts w:ascii="宋体" w:hAnsi="宋体"/>
          <w:color w:val="auto"/>
          <w:highlight w:val="none"/>
        </w:rPr>
        <w:t xml:space="preserve"> </w:t>
      </w:r>
      <w:r>
        <w:rPr>
          <w:rFonts w:hint="eastAsia" w:ascii="宋体" w:hAnsi="宋体"/>
          <w:color w:val="auto"/>
          <w:highlight w:val="none"/>
        </w:rPr>
        <w:t>合同条款</w:t>
      </w:r>
      <w:bookmarkEnd w:id="71"/>
      <w:bookmarkEnd w:id="72"/>
    </w:p>
    <w:p w14:paraId="23CF68BB">
      <w:pPr>
        <w:pStyle w:val="26"/>
        <w:rPr>
          <w:rFonts w:hint="eastAsia" w:hAnsi="宋体"/>
          <w:color w:val="auto"/>
          <w:highlight w:val="none"/>
        </w:rPr>
      </w:pPr>
      <w:r>
        <w:rPr>
          <w:rFonts w:hint="eastAsia" w:hAnsi="宋体"/>
          <w:color w:val="auto"/>
          <w:highlight w:val="none"/>
        </w:rPr>
        <w:t>另册</w:t>
      </w:r>
    </w:p>
    <w:p w14:paraId="66F19E2E">
      <w:pPr>
        <w:widowControl/>
        <w:jc w:val="left"/>
        <w:rPr>
          <w:rFonts w:hint="eastAsia" w:ascii="宋体" w:hAnsi="宋体"/>
          <w:b/>
          <w:color w:val="auto"/>
          <w:sz w:val="28"/>
          <w:szCs w:val="28"/>
          <w:highlight w:val="none"/>
        </w:rPr>
      </w:pPr>
      <w:r>
        <w:rPr>
          <w:rFonts w:ascii="宋体" w:hAnsi="宋体"/>
          <w:b/>
          <w:color w:val="auto"/>
          <w:sz w:val="28"/>
          <w:szCs w:val="28"/>
          <w:highlight w:val="none"/>
        </w:rPr>
        <w:br w:type="page"/>
      </w:r>
    </w:p>
    <w:p w14:paraId="5E4E3927">
      <w:pPr>
        <w:pStyle w:val="2"/>
        <w:rPr>
          <w:rFonts w:hint="eastAsia" w:ascii="宋体" w:hAnsi="宋体"/>
          <w:color w:val="auto"/>
          <w:highlight w:val="none"/>
        </w:rPr>
      </w:pPr>
      <w:bookmarkStart w:id="73" w:name="_Toc2272567"/>
      <w:bookmarkStart w:id="74" w:name="_Toc194440092"/>
      <w:r>
        <w:rPr>
          <w:rFonts w:hint="eastAsia" w:ascii="宋体" w:hAnsi="宋体"/>
          <w:color w:val="auto"/>
          <w:highlight w:val="none"/>
        </w:rPr>
        <w:t>第四章</w:t>
      </w:r>
      <w:r>
        <w:rPr>
          <w:rFonts w:ascii="宋体" w:hAnsi="宋体"/>
          <w:color w:val="auto"/>
          <w:highlight w:val="none"/>
        </w:rPr>
        <w:t xml:space="preserve"> </w:t>
      </w:r>
      <w:r>
        <w:rPr>
          <w:rFonts w:hint="eastAsia" w:ascii="宋体" w:hAnsi="宋体"/>
          <w:color w:val="auto"/>
          <w:highlight w:val="none"/>
        </w:rPr>
        <w:t>投标文件格式</w:t>
      </w:r>
      <w:bookmarkEnd w:id="73"/>
      <w:bookmarkEnd w:id="74"/>
    </w:p>
    <w:p w14:paraId="79F38354">
      <w:pPr>
        <w:pStyle w:val="6"/>
        <w:rPr>
          <w:rFonts w:hint="eastAsia" w:ascii="宋体" w:hAnsi="宋体"/>
          <w:color w:val="auto"/>
          <w:highlight w:val="none"/>
        </w:rPr>
      </w:pPr>
      <w:bookmarkStart w:id="75" w:name="_Toc194440093"/>
      <w:bookmarkStart w:id="76" w:name="_Toc184468516"/>
      <w:r>
        <w:rPr>
          <w:rFonts w:hint="eastAsia" w:ascii="宋体" w:hAnsi="宋体"/>
          <w:color w:val="auto"/>
          <w:highlight w:val="none"/>
        </w:rPr>
        <w:t>一、技术标投标文件格式</w:t>
      </w:r>
      <w:bookmarkEnd w:id="75"/>
      <w:bookmarkEnd w:id="76"/>
    </w:p>
    <w:p w14:paraId="0E021884">
      <w:pPr>
        <w:pStyle w:val="8"/>
        <w:rPr>
          <w:rFonts w:hint="eastAsia"/>
          <w:color w:val="auto"/>
          <w:highlight w:val="none"/>
        </w:rPr>
      </w:pPr>
      <w:bookmarkStart w:id="77" w:name="_Toc184468517"/>
      <w:bookmarkStart w:id="78" w:name="_Toc60070621"/>
      <w:bookmarkStart w:id="79" w:name="_Toc194440094"/>
      <w:r>
        <w:rPr>
          <w:rFonts w:hint="eastAsia"/>
          <w:color w:val="auto"/>
          <w:highlight w:val="none"/>
        </w:rPr>
        <w:t>格式一：</w:t>
      </w:r>
      <w:bookmarkEnd w:id="77"/>
      <w:bookmarkEnd w:id="78"/>
      <w:bookmarkEnd w:id="79"/>
    </w:p>
    <w:p w14:paraId="0173421E">
      <w:pPr>
        <w:jc w:val="center"/>
        <w:rPr>
          <w:rFonts w:hint="eastAsia" w:ascii="宋体" w:hAnsi="宋体" w:cs="宋体"/>
          <w:b/>
          <w:color w:val="auto"/>
          <w:sz w:val="36"/>
          <w:szCs w:val="36"/>
          <w:highlight w:val="none"/>
        </w:rPr>
      </w:pPr>
      <w:bookmarkStart w:id="80" w:name="_Toc58838587"/>
      <w:r>
        <w:rPr>
          <w:rFonts w:hint="eastAsia" w:ascii="宋体" w:hAnsi="宋体" w:cs="宋体"/>
          <w:b/>
          <w:color w:val="auto"/>
          <w:sz w:val="36"/>
          <w:szCs w:val="36"/>
          <w:highlight w:val="none"/>
        </w:rPr>
        <w:t>广州建设工程施工招标投标书（技术标）</w:t>
      </w:r>
      <w:bookmarkEnd w:id="80"/>
    </w:p>
    <w:tbl>
      <w:tblPr>
        <w:tblStyle w:val="49"/>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6FB2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vAlign w:val="center"/>
          </w:tcPr>
          <w:p w14:paraId="3DBC3B49">
            <w:pPr>
              <w:autoSpaceDE w:val="0"/>
              <w:autoSpaceDN w:val="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tcPr>
          <w:p w14:paraId="793B36CF">
            <w:pPr>
              <w:autoSpaceDE w:val="0"/>
              <w:autoSpaceDN w:val="0"/>
              <w:rPr>
                <w:rFonts w:hint="eastAsia" w:ascii="宋体" w:hAnsi="宋体" w:cs="宋体"/>
                <w:bCs/>
                <w:color w:val="auto"/>
                <w:sz w:val="24"/>
                <w:szCs w:val="24"/>
                <w:highlight w:val="none"/>
                <w:lang w:val="zh-CN"/>
              </w:rPr>
            </w:pPr>
          </w:p>
        </w:tc>
      </w:tr>
      <w:tr w14:paraId="6CCA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vAlign w:val="center"/>
          </w:tcPr>
          <w:p w14:paraId="32AF3E1D">
            <w:pPr>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tcPr>
          <w:p w14:paraId="07EEBCB9">
            <w:pPr>
              <w:autoSpaceDE w:val="0"/>
              <w:autoSpaceDN w:val="0"/>
              <w:rPr>
                <w:rFonts w:hint="eastAsia" w:ascii="宋体" w:hAnsi="宋体" w:cs="宋体"/>
                <w:bCs/>
                <w:color w:val="auto"/>
                <w:sz w:val="24"/>
                <w:szCs w:val="24"/>
                <w:highlight w:val="none"/>
                <w:lang w:val="zh-CN"/>
              </w:rPr>
            </w:pPr>
          </w:p>
        </w:tc>
      </w:tr>
      <w:tr w14:paraId="62DB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vAlign w:val="center"/>
          </w:tcPr>
          <w:p w14:paraId="39F62DE8">
            <w:pPr>
              <w:jc w:val="center"/>
              <w:rPr>
                <w:rFonts w:hint="eastAsia" w:ascii="宋体" w:hAnsi="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tcPr>
          <w:p w14:paraId="344C0150">
            <w:pPr>
              <w:autoSpaceDE w:val="0"/>
              <w:autoSpaceDN w:val="0"/>
              <w:rPr>
                <w:rFonts w:hint="eastAsia" w:ascii="宋体" w:hAnsi="宋体" w:cs="宋体"/>
                <w:bCs/>
                <w:color w:val="auto"/>
                <w:sz w:val="24"/>
                <w:szCs w:val="24"/>
                <w:highlight w:val="none"/>
                <w:lang w:val="zh-CN"/>
              </w:rPr>
            </w:pPr>
          </w:p>
        </w:tc>
      </w:tr>
      <w:tr w14:paraId="4398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vAlign w:val="center"/>
          </w:tcPr>
          <w:p w14:paraId="0B74B859">
            <w:pPr>
              <w:autoSpaceDE w:val="0"/>
              <w:autoSpaceDN w:val="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tcPr>
          <w:p w14:paraId="17D0E2C9">
            <w:pPr>
              <w:autoSpaceDE w:val="0"/>
              <w:autoSpaceDN w:val="0"/>
              <w:rPr>
                <w:rFonts w:hint="eastAsia" w:ascii="宋体" w:hAnsi="宋体" w:cs="宋体"/>
                <w:bCs/>
                <w:color w:val="auto"/>
                <w:sz w:val="24"/>
                <w:szCs w:val="24"/>
                <w:highlight w:val="none"/>
                <w:lang w:val="zh-CN"/>
              </w:rPr>
            </w:pPr>
          </w:p>
        </w:tc>
      </w:tr>
      <w:tr w14:paraId="0674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14:paraId="5D900BFA">
            <w:pPr>
              <w:autoSpaceDE w:val="0"/>
              <w:autoSpaceDN w:val="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vAlign w:val="center"/>
          </w:tcPr>
          <w:p w14:paraId="7A286F47">
            <w:pPr>
              <w:jc w:val="center"/>
              <w:rPr>
                <w:rFonts w:hint="eastAsia" w:ascii="宋体" w:hAnsi="宋体"/>
                <w:color w:val="auto"/>
                <w:sz w:val="24"/>
                <w:szCs w:val="24"/>
                <w:highlight w:val="none"/>
              </w:rPr>
            </w:pPr>
            <w:r>
              <w:rPr>
                <w:rFonts w:hint="eastAsia" w:ascii="宋体" w:hAnsi="宋体"/>
                <w:color w:val="auto"/>
                <w:sz w:val="24"/>
                <w:szCs w:val="24"/>
                <w:highlight w:val="none"/>
              </w:rPr>
              <w:t>姓</w:t>
            </w:r>
            <w:r>
              <w:rPr>
                <w:rFonts w:ascii="宋体" w:hAnsi="宋体"/>
                <w:color w:val="auto"/>
                <w:sz w:val="24"/>
                <w:szCs w:val="24"/>
                <w:highlight w:val="none"/>
              </w:rPr>
              <w:t xml:space="preserve">   </w:t>
            </w:r>
            <w:r>
              <w:rPr>
                <w:rFonts w:hint="eastAsia" w:ascii="宋体" w:hAnsi="宋体"/>
                <w:color w:val="auto"/>
                <w:sz w:val="24"/>
                <w:szCs w:val="24"/>
                <w:highlight w:val="none"/>
              </w:rPr>
              <w:t>名</w:t>
            </w:r>
          </w:p>
        </w:tc>
        <w:tc>
          <w:tcPr>
            <w:tcW w:w="3834" w:type="dxa"/>
            <w:tcBorders>
              <w:top w:val="single" w:color="auto" w:sz="4" w:space="0"/>
              <w:left w:val="single" w:color="auto" w:sz="4" w:space="0"/>
              <w:bottom w:val="single" w:color="auto" w:sz="4" w:space="0"/>
              <w:right w:val="single" w:color="auto" w:sz="4" w:space="0"/>
            </w:tcBorders>
          </w:tcPr>
          <w:p w14:paraId="7C41E17D">
            <w:pPr>
              <w:autoSpaceDE w:val="0"/>
              <w:autoSpaceDN w:val="0"/>
              <w:rPr>
                <w:rFonts w:hint="eastAsia" w:ascii="宋体" w:hAnsi="宋体" w:cs="宋体"/>
                <w:bCs/>
                <w:color w:val="auto"/>
                <w:sz w:val="24"/>
                <w:szCs w:val="24"/>
                <w:highlight w:val="none"/>
                <w:lang w:val="zh-CN"/>
              </w:rPr>
            </w:pPr>
          </w:p>
        </w:tc>
      </w:tr>
      <w:tr w14:paraId="50CA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14:paraId="3B4A078B">
            <w:pPr>
              <w:autoSpaceDE w:val="0"/>
              <w:autoSpaceDN w:val="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vAlign w:val="center"/>
          </w:tcPr>
          <w:p w14:paraId="22103C42">
            <w:pPr>
              <w:autoSpaceDE w:val="0"/>
              <w:autoSpaceDN w:val="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名</w:t>
            </w:r>
          </w:p>
        </w:tc>
        <w:tc>
          <w:tcPr>
            <w:tcW w:w="3834" w:type="dxa"/>
            <w:tcBorders>
              <w:top w:val="single" w:color="auto" w:sz="4" w:space="0"/>
              <w:left w:val="single" w:color="auto" w:sz="4" w:space="0"/>
              <w:bottom w:val="single" w:color="auto" w:sz="4" w:space="0"/>
              <w:right w:val="single" w:color="auto" w:sz="4" w:space="0"/>
            </w:tcBorders>
          </w:tcPr>
          <w:p w14:paraId="63E484DE">
            <w:pPr>
              <w:autoSpaceDE w:val="0"/>
              <w:autoSpaceDN w:val="0"/>
              <w:rPr>
                <w:rFonts w:hint="eastAsia" w:ascii="宋体" w:hAnsi="宋体" w:cs="宋体"/>
                <w:bCs/>
                <w:color w:val="auto"/>
                <w:sz w:val="24"/>
                <w:szCs w:val="24"/>
                <w:highlight w:val="none"/>
                <w:lang w:val="zh-CN"/>
              </w:rPr>
            </w:pPr>
          </w:p>
        </w:tc>
      </w:tr>
    </w:tbl>
    <w:p w14:paraId="77CBC22F">
      <w:pPr>
        <w:autoSpaceDE w:val="0"/>
        <w:autoSpaceDN w:val="0"/>
        <w:spacing w:line="360" w:lineRule="auto"/>
        <w:rPr>
          <w:rFonts w:hint="eastAsia" w:ascii="宋体" w:hAnsi="宋体" w:cs="宋体"/>
          <w:color w:val="auto"/>
          <w:sz w:val="24"/>
          <w:szCs w:val="24"/>
          <w:highlight w:val="none"/>
        </w:rPr>
      </w:pPr>
      <w:r>
        <w:rPr>
          <w:rFonts w:ascii="宋体" w:hAnsi="宋体"/>
          <w:b/>
          <w:color w:val="auto"/>
          <w:highlight w:val="none"/>
        </w:rPr>
        <w:br w:type="page"/>
      </w:r>
    </w:p>
    <w:p w14:paraId="5EE5874C">
      <w:pPr>
        <w:pStyle w:val="8"/>
        <w:rPr>
          <w:rFonts w:hint="eastAsia"/>
          <w:color w:val="auto"/>
          <w:highlight w:val="none"/>
        </w:rPr>
      </w:pPr>
      <w:bookmarkStart w:id="81" w:name="_Toc194440095"/>
      <w:bookmarkStart w:id="82" w:name="_Toc184468518"/>
      <w:bookmarkStart w:id="83" w:name="_Toc60070622"/>
      <w:r>
        <w:rPr>
          <w:rFonts w:hint="eastAsia"/>
          <w:color w:val="auto"/>
          <w:highlight w:val="none"/>
        </w:rPr>
        <w:t>格式二：</w:t>
      </w:r>
      <w:bookmarkEnd w:id="81"/>
      <w:bookmarkEnd w:id="82"/>
      <w:bookmarkEnd w:id="83"/>
    </w:p>
    <w:p w14:paraId="26846320">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投标函</w:t>
      </w:r>
    </w:p>
    <w:p w14:paraId="3FDB8769">
      <w:pPr>
        <w:topLinePunct/>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r>
        <w:rPr>
          <w:rFonts w:ascii="宋体" w:hAnsi="宋体" w:cs="宋体"/>
          <w:snapToGrid w:val="0"/>
          <w:color w:val="auto"/>
          <w:spacing w:val="4"/>
          <w:kern w:val="0"/>
          <w:sz w:val="24"/>
          <w:szCs w:val="24"/>
          <w:highlight w:val="none"/>
          <w:u w:val="single"/>
        </w:rPr>
        <w:t xml:space="preserve"> （招标人名称） </w:t>
      </w:r>
    </w:p>
    <w:p w14:paraId="63E6973E">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1.根据已收到贵方的项目编号为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ascii="宋体" w:hAnsi="宋体" w:cs="宋体"/>
          <w:color w:val="auto"/>
          <w:sz w:val="24"/>
          <w:szCs w:val="24"/>
          <w:highlight w:val="none"/>
          <w:u w:val="single"/>
        </w:rPr>
        <w:t xml:space="preserve">          项目</w:t>
      </w:r>
      <w:r>
        <w:rPr>
          <w:rFonts w:hint="eastAsia" w:ascii="宋体" w:hAnsi="宋体" w:cs="宋体"/>
          <w:color w:val="auto"/>
          <w:sz w:val="24"/>
          <w:szCs w:val="24"/>
          <w:highlight w:val="none"/>
        </w:rPr>
        <w:t>的招标文件，并已详细审核了全部招标文件及有关附件。</w:t>
      </w:r>
    </w:p>
    <w:p w14:paraId="20450609">
      <w:pPr>
        <w:spacing w:line="360" w:lineRule="auto"/>
        <w:ind w:firstLine="523" w:firstLineChars="218"/>
        <w:rPr>
          <w:rFonts w:hint="eastAsia" w:ascii="宋体" w:hAnsi="宋体" w:cs="宋体"/>
          <w:color w:val="auto"/>
          <w:sz w:val="24"/>
          <w:szCs w:val="24"/>
          <w:highlight w:val="none"/>
        </w:rPr>
      </w:pPr>
      <w:r>
        <w:rPr>
          <w:rFonts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130538F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14:paraId="4A668629">
      <w:pPr>
        <w:spacing w:line="360" w:lineRule="auto"/>
        <w:rPr>
          <w:rFonts w:hint="eastAsia" w:ascii="宋体" w:hAnsi="宋体" w:cs="宋体"/>
          <w:color w:val="auto"/>
          <w:sz w:val="24"/>
          <w:szCs w:val="24"/>
          <w:highlight w:val="none"/>
        </w:rPr>
      </w:pPr>
      <w:r>
        <w:rPr>
          <w:rFonts w:ascii="宋体" w:hAnsi="宋体" w:cs="宋体"/>
          <w:color w:val="auto"/>
          <w:sz w:val="24"/>
          <w:szCs w:val="24"/>
          <w:highlight w:val="none"/>
        </w:rPr>
        <w:t xml:space="preserve">    3.我方同意所递交的投标文件在投标须知规定的投标有效期内有效，在此期间内我方的投标有可能中标，我方将受此约束。如果在投标有效期内撤回投标或放弃中标资格，给贵方造成损失的，贵方有权要求我方进行赔偿。</w:t>
      </w:r>
    </w:p>
    <w:p w14:paraId="5A35C276">
      <w:pPr>
        <w:spacing w:line="360" w:lineRule="auto"/>
        <w:rPr>
          <w:rFonts w:hint="eastAsia" w:ascii="宋体" w:hAnsi="宋体" w:cs="宋体"/>
          <w:color w:val="auto"/>
          <w:sz w:val="24"/>
          <w:szCs w:val="24"/>
          <w:highlight w:val="none"/>
        </w:rPr>
      </w:pPr>
      <w:r>
        <w:rPr>
          <w:rFonts w:ascii="宋体" w:hAnsi="宋体" w:cs="宋体"/>
          <w:color w:val="auto"/>
          <w:sz w:val="24"/>
          <w:szCs w:val="24"/>
          <w:highlight w:val="none"/>
        </w:rPr>
        <w:t xml:space="preserve">    4.我方理解贵方将不受必须接受你们所收到的最低标价或其它任何投标文件的约束。</w:t>
      </w:r>
    </w:p>
    <w:p w14:paraId="5B721476">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5.如果我方中标，我方保证按招标文件中规定的工期内完成并移交本工程，质量标准达到招标文件中的要求。</w:t>
      </w:r>
    </w:p>
    <w:p w14:paraId="4287ECC7">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6.如果我方中标，我方将按照规定递交由招标人认可，并在招标文件中规定金额的履约保函。</w:t>
      </w:r>
    </w:p>
    <w:p w14:paraId="73935612">
      <w:pPr>
        <w:spacing w:line="360" w:lineRule="auto"/>
        <w:ind w:firstLine="480"/>
        <w:rPr>
          <w:rFonts w:hint="eastAsia" w:ascii="宋体" w:hAnsi="宋体" w:cs="宋体"/>
          <w:color w:val="auto"/>
          <w:sz w:val="24"/>
          <w:szCs w:val="24"/>
          <w:highlight w:val="none"/>
        </w:rPr>
      </w:pPr>
      <w:r>
        <w:rPr>
          <w:rFonts w:ascii="宋体" w:hAnsi="宋体" w:cs="宋体"/>
          <w:color w:val="auto"/>
          <w:sz w:val="24"/>
          <w:szCs w:val="24"/>
          <w:highlight w:val="none"/>
        </w:rPr>
        <w:t>7.除非另外达成协议并生效，贵方的中标通知书和本投标文件将成为约束双方的合同文件的组成部分。</w:t>
      </w:r>
    </w:p>
    <w:p w14:paraId="7659F130">
      <w:pPr>
        <w:spacing w:line="360" w:lineRule="auto"/>
        <w:ind w:firstLine="480"/>
        <w:rPr>
          <w:rFonts w:hint="eastAsia" w:ascii="宋体" w:hAnsi="宋体" w:cs="宋体"/>
          <w:color w:val="auto"/>
          <w:sz w:val="24"/>
          <w:szCs w:val="24"/>
          <w:highlight w:val="none"/>
        </w:rPr>
      </w:pPr>
      <w:r>
        <w:rPr>
          <w:rFonts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7386B9FE">
      <w:pPr>
        <w:topLinePunct/>
        <w:spacing w:line="360" w:lineRule="auto"/>
        <w:ind w:firstLine="691" w:firstLineChars="279"/>
        <w:rPr>
          <w:rFonts w:hint="eastAsia" w:ascii="宋体" w:hAnsi="宋体" w:cs="宋体"/>
          <w:snapToGrid w:val="0"/>
          <w:color w:val="auto"/>
          <w:spacing w:val="4"/>
          <w:kern w:val="0"/>
          <w:sz w:val="24"/>
          <w:szCs w:val="24"/>
          <w:highlight w:val="none"/>
        </w:rPr>
      </w:pPr>
    </w:p>
    <w:p w14:paraId="129A3359">
      <w:pPr>
        <w:topLinePunct/>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标</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人：（盖章）</w:t>
      </w:r>
    </w:p>
    <w:p w14:paraId="36CA80EF">
      <w:pPr>
        <w:spacing w:line="360" w:lineRule="auto"/>
        <w:ind w:firstLine="691" w:firstLineChars="279"/>
        <w:jc w:val="left"/>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期：</w:t>
      </w:r>
    </w:p>
    <w:p w14:paraId="4FB8F1FE">
      <w:pPr>
        <w:spacing w:line="360" w:lineRule="auto"/>
        <w:ind w:firstLine="585" w:firstLineChars="279"/>
        <w:jc w:val="left"/>
        <w:rPr>
          <w:rFonts w:hint="eastAsia" w:ascii="宋体" w:hAnsi="宋体" w:cs="宋体"/>
          <w:color w:val="auto"/>
          <w:szCs w:val="20"/>
          <w:highlight w:val="none"/>
        </w:rPr>
      </w:pPr>
      <w:r>
        <w:rPr>
          <w:rFonts w:ascii="宋体" w:hAnsi="宋体" w:cs="宋体"/>
          <w:color w:val="auto"/>
          <w:szCs w:val="20"/>
          <w:highlight w:val="none"/>
        </w:rPr>
        <w:br w:type="page"/>
      </w:r>
    </w:p>
    <w:p w14:paraId="05287FCF">
      <w:pPr>
        <w:pStyle w:val="8"/>
        <w:rPr>
          <w:rFonts w:hint="eastAsia"/>
          <w:color w:val="auto"/>
          <w:highlight w:val="none"/>
        </w:rPr>
      </w:pPr>
      <w:bookmarkStart w:id="84" w:name="_Toc184468519"/>
      <w:bookmarkStart w:id="85" w:name="_Toc60070625"/>
      <w:bookmarkStart w:id="86" w:name="_Toc194440096"/>
      <w:r>
        <w:rPr>
          <w:rFonts w:hint="eastAsia"/>
          <w:color w:val="auto"/>
          <w:highlight w:val="none"/>
        </w:rPr>
        <w:t>格式三：</w:t>
      </w:r>
      <w:bookmarkEnd w:id="84"/>
      <w:bookmarkEnd w:id="85"/>
      <w:bookmarkEnd w:id="86"/>
    </w:p>
    <w:p w14:paraId="7DBBD634">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项目管理机构人员信息表</w:t>
      </w:r>
    </w:p>
    <w:tbl>
      <w:tblPr>
        <w:tblStyle w:val="49"/>
        <w:tblW w:w="9889" w:type="dxa"/>
        <w:tblInd w:w="0" w:type="dxa"/>
        <w:tblLayout w:type="fixed"/>
        <w:tblCellMar>
          <w:top w:w="0" w:type="dxa"/>
          <w:left w:w="108" w:type="dxa"/>
          <w:bottom w:w="0" w:type="dxa"/>
          <w:right w:w="108" w:type="dxa"/>
        </w:tblCellMar>
      </w:tblPr>
      <w:tblGrid>
        <w:gridCol w:w="1242"/>
        <w:gridCol w:w="1744"/>
        <w:gridCol w:w="1549"/>
        <w:gridCol w:w="1417"/>
        <w:gridCol w:w="3937"/>
      </w:tblGrid>
      <w:tr w14:paraId="003F183D">
        <w:tblPrEx>
          <w:tblCellMar>
            <w:top w:w="0" w:type="dxa"/>
            <w:left w:w="108" w:type="dxa"/>
            <w:bottom w:w="0" w:type="dxa"/>
            <w:right w:w="108" w:type="dxa"/>
          </w:tblCellMar>
        </w:tblPrEx>
        <w:trPr>
          <w:trHeight w:val="729"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2A1576F6">
            <w:pPr>
              <w:widowControl/>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1744" w:type="dxa"/>
            <w:tcBorders>
              <w:top w:val="single" w:color="auto" w:sz="4" w:space="0"/>
              <w:left w:val="nil"/>
              <w:bottom w:val="single" w:color="auto" w:sz="4" w:space="0"/>
              <w:right w:val="single" w:color="auto" w:sz="4" w:space="0"/>
            </w:tcBorders>
            <w:shd w:val="clear" w:color="auto" w:fill="auto"/>
            <w:vAlign w:val="center"/>
          </w:tcPr>
          <w:p w14:paraId="14818EC4">
            <w:pPr>
              <w:widowControl/>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姓名</w:t>
            </w:r>
          </w:p>
        </w:tc>
        <w:tc>
          <w:tcPr>
            <w:tcW w:w="1549" w:type="dxa"/>
            <w:tcBorders>
              <w:top w:val="single" w:color="auto" w:sz="4" w:space="0"/>
              <w:left w:val="nil"/>
              <w:bottom w:val="single" w:color="auto" w:sz="4" w:space="0"/>
              <w:right w:val="single" w:color="auto" w:sz="4" w:space="0"/>
            </w:tcBorders>
            <w:shd w:val="clear" w:color="auto" w:fill="auto"/>
            <w:vAlign w:val="center"/>
          </w:tcPr>
          <w:p w14:paraId="494EAF0C">
            <w:pPr>
              <w:widowControl/>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岗位</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9E41E3">
            <w:pPr>
              <w:widowControl/>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职称</w:t>
            </w:r>
          </w:p>
        </w:tc>
        <w:tc>
          <w:tcPr>
            <w:tcW w:w="3937" w:type="dxa"/>
            <w:tcBorders>
              <w:top w:val="single" w:color="auto" w:sz="4" w:space="0"/>
              <w:left w:val="nil"/>
              <w:bottom w:val="single" w:color="auto" w:sz="4" w:space="0"/>
              <w:right w:val="single" w:color="auto" w:sz="4" w:space="0"/>
            </w:tcBorders>
            <w:shd w:val="clear" w:color="auto" w:fill="auto"/>
            <w:vAlign w:val="center"/>
          </w:tcPr>
          <w:p w14:paraId="54529C32">
            <w:pPr>
              <w:widowControl/>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职称证书或资格证书编号</w:t>
            </w:r>
          </w:p>
        </w:tc>
      </w:tr>
      <w:tr w14:paraId="099D9367">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0F91891F">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1</w:t>
            </w:r>
          </w:p>
        </w:tc>
        <w:tc>
          <w:tcPr>
            <w:tcW w:w="1744" w:type="dxa"/>
            <w:tcBorders>
              <w:top w:val="nil"/>
              <w:left w:val="nil"/>
              <w:bottom w:val="single" w:color="auto" w:sz="4" w:space="0"/>
              <w:right w:val="single" w:color="auto" w:sz="4" w:space="0"/>
            </w:tcBorders>
            <w:shd w:val="clear" w:color="auto" w:fill="auto"/>
            <w:noWrap/>
            <w:vAlign w:val="center"/>
          </w:tcPr>
          <w:p w14:paraId="5D461D2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shd w:val="clear" w:color="auto" w:fill="auto"/>
            <w:noWrap/>
            <w:vAlign w:val="center"/>
          </w:tcPr>
          <w:p w14:paraId="65D8BCB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46CD4F5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937" w:type="dxa"/>
            <w:tcBorders>
              <w:top w:val="nil"/>
              <w:left w:val="nil"/>
              <w:bottom w:val="single" w:color="auto" w:sz="4" w:space="0"/>
              <w:right w:val="single" w:color="auto" w:sz="4" w:space="0"/>
            </w:tcBorders>
            <w:shd w:val="clear" w:color="auto" w:fill="auto"/>
            <w:noWrap/>
            <w:vAlign w:val="center"/>
          </w:tcPr>
          <w:p w14:paraId="4D6A7F2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7ED51E0F">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7D2C96C7">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2</w:t>
            </w:r>
          </w:p>
        </w:tc>
        <w:tc>
          <w:tcPr>
            <w:tcW w:w="1744" w:type="dxa"/>
            <w:tcBorders>
              <w:top w:val="nil"/>
              <w:left w:val="nil"/>
              <w:bottom w:val="single" w:color="auto" w:sz="4" w:space="0"/>
              <w:right w:val="single" w:color="auto" w:sz="4" w:space="0"/>
            </w:tcBorders>
            <w:shd w:val="clear" w:color="auto" w:fill="auto"/>
            <w:noWrap/>
            <w:vAlign w:val="center"/>
          </w:tcPr>
          <w:p w14:paraId="32A1519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shd w:val="clear" w:color="auto" w:fill="auto"/>
            <w:noWrap/>
            <w:vAlign w:val="center"/>
          </w:tcPr>
          <w:p w14:paraId="71C5080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2ED177B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937" w:type="dxa"/>
            <w:tcBorders>
              <w:top w:val="nil"/>
              <w:left w:val="nil"/>
              <w:bottom w:val="single" w:color="auto" w:sz="4" w:space="0"/>
              <w:right w:val="single" w:color="auto" w:sz="4" w:space="0"/>
            </w:tcBorders>
            <w:shd w:val="clear" w:color="auto" w:fill="auto"/>
            <w:noWrap/>
            <w:vAlign w:val="center"/>
          </w:tcPr>
          <w:p w14:paraId="34E98D0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088A557C">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50EF2CB2">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3</w:t>
            </w:r>
          </w:p>
        </w:tc>
        <w:tc>
          <w:tcPr>
            <w:tcW w:w="1744" w:type="dxa"/>
            <w:tcBorders>
              <w:top w:val="nil"/>
              <w:left w:val="nil"/>
              <w:bottom w:val="single" w:color="auto" w:sz="4" w:space="0"/>
              <w:right w:val="single" w:color="auto" w:sz="4" w:space="0"/>
            </w:tcBorders>
            <w:shd w:val="clear" w:color="auto" w:fill="auto"/>
            <w:noWrap/>
            <w:vAlign w:val="center"/>
          </w:tcPr>
          <w:p w14:paraId="02927D4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shd w:val="clear" w:color="auto" w:fill="auto"/>
            <w:noWrap/>
            <w:vAlign w:val="center"/>
          </w:tcPr>
          <w:p w14:paraId="48DC299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41344CD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937" w:type="dxa"/>
            <w:tcBorders>
              <w:top w:val="nil"/>
              <w:left w:val="nil"/>
              <w:bottom w:val="single" w:color="auto" w:sz="4" w:space="0"/>
              <w:right w:val="single" w:color="auto" w:sz="4" w:space="0"/>
            </w:tcBorders>
            <w:shd w:val="clear" w:color="auto" w:fill="auto"/>
            <w:noWrap/>
            <w:vAlign w:val="center"/>
          </w:tcPr>
          <w:p w14:paraId="0E73B8E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7BF54DB5">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3DFE336A">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4</w:t>
            </w:r>
          </w:p>
        </w:tc>
        <w:tc>
          <w:tcPr>
            <w:tcW w:w="1744" w:type="dxa"/>
            <w:tcBorders>
              <w:top w:val="nil"/>
              <w:left w:val="nil"/>
              <w:bottom w:val="single" w:color="auto" w:sz="4" w:space="0"/>
              <w:right w:val="single" w:color="auto" w:sz="4" w:space="0"/>
            </w:tcBorders>
            <w:shd w:val="clear" w:color="auto" w:fill="auto"/>
            <w:noWrap/>
            <w:vAlign w:val="center"/>
          </w:tcPr>
          <w:p w14:paraId="5C073A4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shd w:val="clear" w:color="auto" w:fill="auto"/>
            <w:noWrap/>
            <w:vAlign w:val="center"/>
          </w:tcPr>
          <w:p w14:paraId="1C53AEA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516015F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937" w:type="dxa"/>
            <w:tcBorders>
              <w:top w:val="nil"/>
              <w:left w:val="nil"/>
              <w:bottom w:val="single" w:color="auto" w:sz="4" w:space="0"/>
              <w:right w:val="single" w:color="auto" w:sz="4" w:space="0"/>
            </w:tcBorders>
            <w:shd w:val="clear" w:color="auto" w:fill="auto"/>
            <w:noWrap/>
            <w:vAlign w:val="center"/>
          </w:tcPr>
          <w:p w14:paraId="6E382BC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2C8E90A7">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0CB30AE0">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5</w:t>
            </w:r>
          </w:p>
        </w:tc>
        <w:tc>
          <w:tcPr>
            <w:tcW w:w="1744" w:type="dxa"/>
            <w:tcBorders>
              <w:top w:val="nil"/>
              <w:left w:val="nil"/>
              <w:bottom w:val="single" w:color="auto" w:sz="4" w:space="0"/>
              <w:right w:val="single" w:color="auto" w:sz="4" w:space="0"/>
            </w:tcBorders>
            <w:shd w:val="clear" w:color="auto" w:fill="auto"/>
            <w:noWrap/>
            <w:vAlign w:val="center"/>
          </w:tcPr>
          <w:p w14:paraId="4BB4D91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shd w:val="clear" w:color="auto" w:fill="auto"/>
            <w:noWrap/>
            <w:vAlign w:val="center"/>
          </w:tcPr>
          <w:p w14:paraId="73F822A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1156A42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937" w:type="dxa"/>
            <w:tcBorders>
              <w:top w:val="nil"/>
              <w:left w:val="nil"/>
              <w:bottom w:val="single" w:color="auto" w:sz="4" w:space="0"/>
              <w:right w:val="single" w:color="auto" w:sz="4" w:space="0"/>
            </w:tcBorders>
            <w:shd w:val="clear" w:color="auto" w:fill="auto"/>
            <w:noWrap/>
            <w:vAlign w:val="center"/>
          </w:tcPr>
          <w:p w14:paraId="43E468A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2D273C73">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745017ED">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6</w:t>
            </w:r>
          </w:p>
        </w:tc>
        <w:tc>
          <w:tcPr>
            <w:tcW w:w="1744" w:type="dxa"/>
            <w:tcBorders>
              <w:top w:val="nil"/>
              <w:left w:val="nil"/>
              <w:bottom w:val="single" w:color="auto" w:sz="4" w:space="0"/>
              <w:right w:val="single" w:color="auto" w:sz="4" w:space="0"/>
            </w:tcBorders>
            <w:shd w:val="clear" w:color="auto" w:fill="auto"/>
            <w:noWrap/>
            <w:vAlign w:val="center"/>
          </w:tcPr>
          <w:p w14:paraId="3FB2E75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shd w:val="clear" w:color="auto" w:fill="auto"/>
            <w:noWrap/>
            <w:vAlign w:val="center"/>
          </w:tcPr>
          <w:p w14:paraId="4D60F0F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1B08BB6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937" w:type="dxa"/>
            <w:tcBorders>
              <w:top w:val="nil"/>
              <w:left w:val="nil"/>
              <w:bottom w:val="single" w:color="auto" w:sz="4" w:space="0"/>
              <w:right w:val="single" w:color="auto" w:sz="4" w:space="0"/>
            </w:tcBorders>
            <w:shd w:val="clear" w:color="auto" w:fill="auto"/>
            <w:noWrap/>
            <w:vAlign w:val="center"/>
          </w:tcPr>
          <w:p w14:paraId="3909199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11DCC508">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5546E10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744" w:type="dxa"/>
            <w:tcBorders>
              <w:top w:val="nil"/>
              <w:left w:val="nil"/>
              <w:bottom w:val="single" w:color="auto" w:sz="4" w:space="0"/>
              <w:right w:val="single" w:color="auto" w:sz="4" w:space="0"/>
            </w:tcBorders>
            <w:shd w:val="clear" w:color="auto" w:fill="auto"/>
            <w:noWrap/>
            <w:vAlign w:val="center"/>
          </w:tcPr>
          <w:p w14:paraId="1B333D1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shd w:val="clear" w:color="auto" w:fill="auto"/>
            <w:noWrap/>
            <w:vAlign w:val="center"/>
          </w:tcPr>
          <w:p w14:paraId="17BC08C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23AA921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937" w:type="dxa"/>
            <w:tcBorders>
              <w:top w:val="nil"/>
              <w:left w:val="nil"/>
              <w:bottom w:val="single" w:color="auto" w:sz="4" w:space="0"/>
              <w:right w:val="single" w:color="auto" w:sz="4" w:space="0"/>
            </w:tcBorders>
            <w:shd w:val="clear" w:color="auto" w:fill="auto"/>
            <w:noWrap/>
            <w:vAlign w:val="center"/>
          </w:tcPr>
          <w:p w14:paraId="61B257B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bl>
    <w:p w14:paraId="5D7F6F70">
      <w:pPr>
        <w:pStyle w:val="181"/>
        <w:adjustRightInd/>
        <w:snapToGrid/>
        <w:spacing w:line="240" w:lineRule="auto"/>
        <w:ind w:firstLine="0" w:firstLineChars="0"/>
        <w:rPr>
          <w:rFonts w:hint="eastAsia" w:eastAsia="宋体"/>
          <w:color w:val="auto"/>
          <w:highlight w:val="none"/>
        </w:rPr>
      </w:pPr>
      <w:r>
        <w:rPr>
          <w:rFonts w:hint="eastAsia" w:eastAsia="宋体"/>
          <w:color w:val="auto"/>
          <w:highlight w:val="none"/>
        </w:rPr>
        <w:t>注：投标人须根据实际情况自行配备符合《项目管理机构最低人员配备要求表》的人员，并附上相关人员证件及社保证明。</w:t>
      </w:r>
    </w:p>
    <w:p w14:paraId="7CE309FB">
      <w:pPr>
        <w:topLinePunct/>
        <w:rPr>
          <w:rFonts w:hint="eastAsia" w:ascii="宋体" w:hAnsi="宋体" w:cs="宋体"/>
          <w:color w:val="auto"/>
          <w:spacing w:val="4"/>
          <w:kern w:val="0"/>
          <w:szCs w:val="21"/>
          <w:highlight w:val="none"/>
        </w:rPr>
      </w:pPr>
    </w:p>
    <w:p w14:paraId="197CE129">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标</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人：（盖章）</w:t>
      </w:r>
    </w:p>
    <w:p w14:paraId="4D16E676">
      <w:pPr>
        <w:spacing w:line="360" w:lineRule="auto"/>
        <w:ind w:firstLine="691" w:firstLineChars="279"/>
        <w:jc w:val="left"/>
        <w:rPr>
          <w:rFonts w:hint="eastAsia" w:ascii="宋体" w:hAnsi="宋体" w:cs="宋体"/>
          <w:color w:val="auto"/>
          <w:spacing w:val="4"/>
          <w:kern w:val="0"/>
          <w:sz w:val="24"/>
          <w:szCs w:val="24"/>
          <w:highlight w:val="none"/>
        </w:rPr>
      </w:pPr>
      <w:r>
        <w:rPr>
          <w:rFonts w:hint="eastAsia" w:ascii="宋体" w:hAnsi="宋体" w:cs="宋体"/>
          <w:snapToGrid w:val="0"/>
          <w:color w:val="auto"/>
          <w:spacing w:val="4"/>
          <w:kern w:val="0"/>
          <w:sz w:val="24"/>
          <w:szCs w:val="24"/>
          <w:highlight w:val="none"/>
        </w:rPr>
        <w:t>日</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期：</w:t>
      </w:r>
    </w:p>
    <w:p w14:paraId="0294288B">
      <w:pPr>
        <w:ind w:firstLine="497" w:firstLineChars="228"/>
        <w:jc w:val="center"/>
        <w:rPr>
          <w:rFonts w:hint="eastAsia" w:ascii="宋体" w:hAnsi="宋体" w:cs="宋体"/>
          <w:b/>
          <w:color w:val="auto"/>
          <w:sz w:val="36"/>
          <w:szCs w:val="36"/>
          <w:highlight w:val="none"/>
        </w:rPr>
      </w:pPr>
      <w:r>
        <w:rPr>
          <w:rFonts w:ascii="宋体" w:hAnsi="宋体"/>
          <w:color w:val="auto"/>
          <w:spacing w:val="4"/>
          <w:highlight w:val="none"/>
        </w:rPr>
        <w:br w:type="page"/>
      </w:r>
      <w:r>
        <w:rPr>
          <w:rFonts w:hint="eastAsia" w:ascii="宋体" w:hAnsi="宋体" w:cs="宋体"/>
          <w:b/>
          <w:color w:val="auto"/>
          <w:sz w:val="36"/>
          <w:szCs w:val="36"/>
          <w:highlight w:val="none"/>
        </w:rPr>
        <w:t>主要人员简历表</w:t>
      </w:r>
    </w:p>
    <w:tbl>
      <w:tblPr>
        <w:tblStyle w:val="49"/>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1334"/>
        <w:gridCol w:w="1488"/>
        <w:gridCol w:w="1534"/>
        <w:gridCol w:w="1911"/>
        <w:gridCol w:w="1361"/>
        <w:gridCol w:w="1582"/>
      </w:tblGrid>
      <w:tr w14:paraId="7CC5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20" w:hRule="atLeast"/>
          <w:tblCellSpacing w:w="0" w:type="dxa"/>
          <w:jc w:val="center"/>
        </w:trPr>
        <w:tc>
          <w:tcPr>
            <w:tcW w:w="1334" w:type="dxa"/>
            <w:vAlign w:val="center"/>
          </w:tcPr>
          <w:p w14:paraId="08E410A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488" w:type="dxa"/>
            <w:vAlign w:val="center"/>
          </w:tcPr>
          <w:p w14:paraId="305F73F8">
            <w:pPr>
              <w:spacing w:line="360" w:lineRule="auto"/>
              <w:jc w:val="center"/>
              <w:rPr>
                <w:rFonts w:hint="eastAsia" w:ascii="宋体" w:hAnsi="宋体" w:cs="宋体"/>
                <w:color w:val="auto"/>
                <w:szCs w:val="21"/>
                <w:highlight w:val="none"/>
              </w:rPr>
            </w:pPr>
          </w:p>
        </w:tc>
        <w:tc>
          <w:tcPr>
            <w:tcW w:w="1534" w:type="dxa"/>
            <w:vAlign w:val="center"/>
          </w:tcPr>
          <w:p w14:paraId="58F0BC6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1911" w:type="dxa"/>
            <w:vAlign w:val="center"/>
          </w:tcPr>
          <w:p w14:paraId="2678019D">
            <w:pPr>
              <w:spacing w:line="360" w:lineRule="auto"/>
              <w:jc w:val="center"/>
              <w:rPr>
                <w:rFonts w:hint="eastAsia" w:ascii="宋体" w:hAnsi="宋体" w:cs="宋体"/>
                <w:color w:val="auto"/>
                <w:szCs w:val="21"/>
                <w:highlight w:val="none"/>
              </w:rPr>
            </w:pPr>
          </w:p>
        </w:tc>
        <w:tc>
          <w:tcPr>
            <w:tcW w:w="1361" w:type="dxa"/>
            <w:vAlign w:val="center"/>
          </w:tcPr>
          <w:p w14:paraId="64E2A58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582" w:type="dxa"/>
            <w:vAlign w:val="center"/>
          </w:tcPr>
          <w:p w14:paraId="65F4D613">
            <w:pPr>
              <w:spacing w:line="360" w:lineRule="auto"/>
              <w:jc w:val="center"/>
              <w:rPr>
                <w:rFonts w:hint="eastAsia" w:ascii="宋体" w:hAnsi="宋体" w:cs="宋体"/>
                <w:color w:val="auto"/>
                <w:szCs w:val="21"/>
                <w:highlight w:val="none"/>
              </w:rPr>
            </w:pPr>
          </w:p>
        </w:tc>
      </w:tr>
      <w:tr w14:paraId="4B26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4" w:type="dxa"/>
            <w:vAlign w:val="center"/>
          </w:tcPr>
          <w:p w14:paraId="42B01F1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488" w:type="dxa"/>
            <w:vAlign w:val="center"/>
          </w:tcPr>
          <w:p w14:paraId="79A507B9">
            <w:pPr>
              <w:spacing w:line="360" w:lineRule="auto"/>
              <w:jc w:val="center"/>
              <w:rPr>
                <w:rFonts w:hint="eastAsia" w:ascii="宋体" w:hAnsi="宋体" w:cs="宋体"/>
                <w:color w:val="auto"/>
                <w:szCs w:val="21"/>
                <w:highlight w:val="none"/>
              </w:rPr>
            </w:pPr>
          </w:p>
        </w:tc>
        <w:tc>
          <w:tcPr>
            <w:tcW w:w="1534" w:type="dxa"/>
            <w:vAlign w:val="center"/>
          </w:tcPr>
          <w:p w14:paraId="4B262CA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911" w:type="dxa"/>
            <w:vAlign w:val="center"/>
          </w:tcPr>
          <w:p w14:paraId="128C0AF7">
            <w:pPr>
              <w:spacing w:line="360" w:lineRule="auto"/>
              <w:jc w:val="center"/>
              <w:rPr>
                <w:rFonts w:hint="eastAsia" w:ascii="宋体" w:hAnsi="宋体" w:cs="宋体"/>
                <w:color w:val="auto"/>
                <w:szCs w:val="21"/>
                <w:highlight w:val="none"/>
              </w:rPr>
            </w:pPr>
          </w:p>
        </w:tc>
        <w:tc>
          <w:tcPr>
            <w:tcW w:w="1361" w:type="dxa"/>
            <w:vAlign w:val="center"/>
          </w:tcPr>
          <w:p w14:paraId="218D68B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582" w:type="dxa"/>
            <w:vAlign w:val="center"/>
          </w:tcPr>
          <w:p w14:paraId="48F71D28">
            <w:pPr>
              <w:spacing w:line="360" w:lineRule="auto"/>
              <w:jc w:val="center"/>
              <w:rPr>
                <w:rFonts w:hint="eastAsia" w:ascii="宋体" w:hAnsi="宋体" w:cs="宋体"/>
                <w:color w:val="auto"/>
                <w:szCs w:val="21"/>
                <w:highlight w:val="none"/>
              </w:rPr>
            </w:pPr>
          </w:p>
        </w:tc>
      </w:tr>
      <w:tr w14:paraId="023F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2822" w:type="dxa"/>
            <w:gridSpan w:val="2"/>
            <w:vAlign w:val="center"/>
          </w:tcPr>
          <w:p w14:paraId="19053B9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参加工作时间</w:t>
            </w:r>
          </w:p>
        </w:tc>
        <w:tc>
          <w:tcPr>
            <w:tcW w:w="1534" w:type="dxa"/>
            <w:vAlign w:val="center"/>
          </w:tcPr>
          <w:p w14:paraId="78CC9B59">
            <w:pPr>
              <w:spacing w:line="360" w:lineRule="auto"/>
              <w:jc w:val="center"/>
              <w:rPr>
                <w:rFonts w:hint="eastAsia" w:ascii="宋体" w:hAnsi="宋体" w:cs="宋体"/>
                <w:color w:val="auto"/>
                <w:szCs w:val="21"/>
                <w:highlight w:val="none"/>
              </w:rPr>
            </w:pPr>
          </w:p>
        </w:tc>
        <w:tc>
          <w:tcPr>
            <w:tcW w:w="1911" w:type="dxa"/>
            <w:vAlign w:val="center"/>
          </w:tcPr>
          <w:p w14:paraId="5C7090B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担任相应职务年限</w:t>
            </w:r>
          </w:p>
        </w:tc>
        <w:tc>
          <w:tcPr>
            <w:tcW w:w="2943" w:type="dxa"/>
            <w:gridSpan w:val="2"/>
            <w:vAlign w:val="center"/>
          </w:tcPr>
          <w:p w14:paraId="656C2E78">
            <w:pPr>
              <w:spacing w:line="360" w:lineRule="auto"/>
              <w:jc w:val="center"/>
              <w:rPr>
                <w:rFonts w:hint="eastAsia" w:ascii="宋体" w:hAnsi="宋体" w:cs="宋体"/>
                <w:color w:val="auto"/>
                <w:szCs w:val="21"/>
                <w:highlight w:val="none"/>
              </w:rPr>
            </w:pPr>
          </w:p>
        </w:tc>
      </w:tr>
      <w:tr w14:paraId="5EE8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2822" w:type="dxa"/>
            <w:gridSpan w:val="2"/>
            <w:vAlign w:val="center"/>
          </w:tcPr>
          <w:p w14:paraId="5B05D0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资格证书号</w:t>
            </w:r>
          </w:p>
        </w:tc>
        <w:tc>
          <w:tcPr>
            <w:tcW w:w="6388" w:type="dxa"/>
            <w:gridSpan w:val="4"/>
            <w:vAlign w:val="center"/>
          </w:tcPr>
          <w:p w14:paraId="0928022C">
            <w:pPr>
              <w:spacing w:line="360" w:lineRule="auto"/>
              <w:jc w:val="center"/>
              <w:rPr>
                <w:rFonts w:hint="eastAsia" w:ascii="宋体" w:hAnsi="宋体" w:cs="宋体"/>
                <w:color w:val="auto"/>
                <w:szCs w:val="21"/>
                <w:highlight w:val="none"/>
              </w:rPr>
            </w:pPr>
          </w:p>
        </w:tc>
      </w:tr>
      <w:tr w14:paraId="1E42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9210" w:type="dxa"/>
            <w:gridSpan w:val="6"/>
            <w:vAlign w:val="center"/>
          </w:tcPr>
          <w:p w14:paraId="08CF92E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业绩简介</w:t>
            </w:r>
          </w:p>
        </w:tc>
      </w:tr>
      <w:tr w14:paraId="15B5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4" w:type="dxa"/>
            <w:vAlign w:val="center"/>
          </w:tcPr>
          <w:p w14:paraId="0AE1C6F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建设单位</w:t>
            </w:r>
          </w:p>
        </w:tc>
        <w:tc>
          <w:tcPr>
            <w:tcW w:w="1488" w:type="dxa"/>
            <w:vAlign w:val="center"/>
          </w:tcPr>
          <w:p w14:paraId="129AA07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534" w:type="dxa"/>
            <w:vAlign w:val="center"/>
          </w:tcPr>
          <w:p w14:paraId="510B9C1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1911" w:type="dxa"/>
            <w:vAlign w:val="center"/>
          </w:tcPr>
          <w:p w14:paraId="456F556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开、竣工日期</w:t>
            </w:r>
          </w:p>
        </w:tc>
        <w:tc>
          <w:tcPr>
            <w:tcW w:w="1361" w:type="dxa"/>
            <w:vAlign w:val="center"/>
          </w:tcPr>
          <w:p w14:paraId="5B2B20D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在建或已完工程质量</w:t>
            </w:r>
          </w:p>
        </w:tc>
        <w:tc>
          <w:tcPr>
            <w:tcW w:w="1582" w:type="dxa"/>
            <w:vAlign w:val="center"/>
          </w:tcPr>
          <w:p w14:paraId="209881B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r>
      <w:tr w14:paraId="6B43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4" w:type="dxa"/>
            <w:vAlign w:val="center"/>
          </w:tcPr>
          <w:p w14:paraId="6995F0B0">
            <w:pPr>
              <w:spacing w:line="360" w:lineRule="auto"/>
              <w:jc w:val="left"/>
              <w:rPr>
                <w:rFonts w:hint="eastAsia" w:ascii="宋体" w:hAnsi="宋体" w:cs="宋体"/>
                <w:color w:val="auto"/>
                <w:szCs w:val="21"/>
                <w:highlight w:val="none"/>
              </w:rPr>
            </w:pPr>
          </w:p>
        </w:tc>
        <w:tc>
          <w:tcPr>
            <w:tcW w:w="1488" w:type="dxa"/>
            <w:vAlign w:val="center"/>
          </w:tcPr>
          <w:p w14:paraId="383F8799">
            <w:pPr>
              <w:spacing w:line="360" w:lineRule="auto"/>
              <w:jc w:val="left"/>
              <w:rPr>
                <w:rFonts w:hint="eastAsia" w:ascii="宋体" w:hAnsi="宋体" w:cs="宋体"/>
                <w:color w:val="auto"/>
                <w:szCs w:val="21"/>
                <w:highlight w:val="none"/>
              </w:rPr>
            </w:pPr>
          </w:p>
        </w:tc>
        <w:tc>
          <w:tcPr>
            <w:tcW w:w="1534" w:type="dxa"/>
            <w:vAlign w:val="center"/>
          </w:tcPr>
          <w:p w14:paraId="7841D57D">
            <w:pPr>
              <w:spacing w:line="360" w:lineRule="auto"/>
              <w:jc w:val="left"/>
              <w:rPr>
                <w:rFonts w:hint="eastAsia" w:ascii="宋体" w:hAnsi="宋体" w:cs="宋体"/>
                <w:color w:val="auto"/>
                <w:szCs w:val="21"/>
                <w:highlight w:val="none"/>
              </w:rPr>
            </w:pPr>
          </w:p>
        </w:tc>
        <w:tc>
          <w:tcPr>
            <w:tcW w:w="1911" w:type="dxa"/>
            <w:vAlign w:val="center"/>
          </w:tcPr>
          <w:p w14:paraId="10A8259B">
            <w:pPr>
              <w:spacing w:line="360" w:lineRule="auto"/>
              <w:jc w:val="left"/>
              <w:rPr>
                <w:rFonts w:hint="eastAsia" w:ascii="宋体" w:hAnsi="宋体" w:cs="宋体"/>
                <w:color w:val="auto"/>
                <w:szCs w:val="21"/>
                <w:highlight w:val="none"/>
              </w:rPr>
            </w:pPr>
          </w:p>
        </w:tc>
        <w:tc>
          <w:tcPr>
            <w:tcW w:w="1361" w:type="dxa"/>
            <w:vAlign w:val="center"/>
          </w:tcPr>
          <w:p w14:paraId="1DB77544">
            <w:pPr>
              <w:spacing w:line="360" w:lineRule="auto"/>
              <w:jc w:val="left"/>
              <w:rPr>
                <w:rFonts w:hint="eastAsia" w:ascii="宋体" w:hAnsi="宋体" w:cs="宋体"/>
                <w:color w:val="auto"/>
                <w:szCs w:val="21"/>
                <w:highlight w:val="none"/>
              </w:rPr>
            </w:pPr>
          </w:p>
        </w:tc>
        <w:tc>
          <w:tcPr>
            <w:tcW w:w="1582" w:type="dxa"/>
            <w:vAlign w:val="center"/>
          </w:tcPr>
          <w:p w14:paraId="221A6FE5">
            <w:pPr>
              <w:spacing w:line="360" w:lineRule="auto"/>
              <w:jc w:val="left"/>
              <w:rPr>
                <w:rFonts w:hint="eastAsia" w:ascii="宋体" w:hAnsi="宋体" w:cs="宋体"/>
                <w:color w:val="auto"/>
                <w:szCs w:val="21"/>
                <w:highlight w:val="none"/>
              </w:rPr>
            </w:pPr>
          </w:p>
        </w:tc>
      </w:tr>
      <w:tr w14:paraId="00E5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4" w:type="dxa"/>
            <w:vAlign w:val="center"/>
          </w:tcPr>
          <w:p w14:paraId="15E81A5C">
            <w:pPr>
              <w:spacing w:line="360" w:lineRule="auto"/>
              <w:jc w:val="left"/>
              <w:rPr>
                <w:rFonts w:hint="eastAsia" w:ascii="宋体" w:hAnsi="宋体" w:cs="宋体"/>
                <w:color w:val="auto"/>
                <w:szCs w:val="21"/>
                <w:highlight w:val="none"/>
              </w:rPr>
            </w:pPr>
          </w:p>
        </w:tc>
        <w:tc>
          <w:tcPr>
            <w:tcW w:w="1488" w:type="dxa"/>
            <w:vAlign w:val="center"/>
          </w:tcPr>
          <w:p w14:paraId="0447F280">
            <w:pPr>
              <w:spacing w:line="360" w:lineRule="auto"/>
              <w:jc w:val="left"/>
              <w:rPr>
                <w:rFonts w:hint="eastAsia" w:ascii="宋体" w:hAnsi="宋体" w:cs="宋体"/>
                <w:color w:val="auto"/>
                <w:szCs w:val="21"/>
                <w:highlight w:val="none"/>
              </w:rPr>
            </w:pPr>
          </w:p>
        </w:tc>
        <w:tc>
          <w:tcPr>
            <w:tcW w:w="1534" w:type="dxa"/>
            <w:vAlign w:val="center"/>
          </w:tcPr>
          <w:p w14:paraId="572EB905">
            <w:pPr>
              <w:spacing w:line="360" w:lineRule="auto"/>
              <w:jc w:val="left"/>
              <w:rPr>
                <w:rFonts w:hint="eastAsia" w:ascii="宋体" w:hAnsi="宋体" w:cs="宋体"/>
                <w:color w:val="auto"/>
                <w:szCs w:val="21"/>
                <w:highlight w:val="none"/>
              </w:rPr>
            </w:pPr>
          </w:p>
        </w:tc>
        <w:tc>
          <w:tcPr>
            <w:tcW w:w="1911" w:type="dxa"/>
            <w:vAlign w:val="center"/>
          </w:tcPr>
          <w:p w14:paraId="367CC836">
            <w:pPr>
              <w:spacing w:line="360" w:lineRule="auto"/>
              <w:jc w:val="left"/>
              <w:rPr>
                <w:rFonts w:hint="eastAsia" w:ascii="宋体" w:hAnsi="宋体" w:cs="宋体"/>
                <w:color w:val="auto"/>
                <w:szCs w:val="21"/>
                <w:highlight w:val="none"/>
              </w:rPr>
            </w:pPr>
          </w:p>
        </w:tc>
        <w:tc>
          <w:tcPr>
            <w:tcW w:w="1361" w:type="dxa"/>
            <w:vAlign w:val="center"/>
          </w:tcPr>
          <w:p w14:paraId="6C199FD3">
            <w:pPr>
              <w:spacing w:line="360" w:lineRule="auto"/>
              <w:jc w:val="left"/>
              <w:rPr>
                <w:rFonts w:hint="eastAsia" w:ascii="宋体" w:hAnsi="宋体" w:cs="宋体"/>
                <w:color w:val="auto"/>
                <w:szCs w:val="21"/>
                <w:highlight w:val="none"/>
              </w:rPr>
            </w:pPr>
          </w:p>
        </w:tc>
        <w:tc>
          <w:tcPr>
            <w:tcW w:w="1582" w:type="dxa"/>
            <w:vAlign w:val="center"/>
          </w:tcPr>
          <w:p w14:paraId="2E15442F">
            <w:pPr>
              <w:spacing w:line="360" w:lineRule="auto"/>
              <w:jc w:val="left"/>
              <w:rPr>
                <w:rFonts w:hint="eastAsia" w:ascii="宋体" w:hAnsi="宋体" w:cs="宋体"/>
                <w:color w:val="auto"/>
                <w:szCs w:val="21"/>
                <w:highlight w:val="none"/>
              </w:rPr>
            </w:pPr>
          </w:p>
        </w:tc>
      </w:tr>
      <w:tr w14:paraId="6757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4" w:type="dxa"/>
            <w:vAlign w:val="center"/>
          </w:tcPr>
          <w:p w14:paraId="025923FF">
            <w:pPr>
              <w:spacing w:line="360" w:lineRule="auto"/>
              <w:jc w:val="left"/>
              <w:rPr>
                <w:rFonts w:hint="eastAsia" w:ascii="宋体" w:hAnsi="宋体" w:cs="宋体"/>
                <w:color w:val="auto"/>
                <w:szCs w:val="21"/>
                <w:highlight w:val="none"/>
              </w:rPr>
            </w:pPr>
          </w:p>
        </w:tc>
        <w:tc>
          <w:tcPr>
            <w:tcW w:w="1488" w:type="dxa"/>
            <w:vAlign w:val="center"/>
          </w:tcPr>
          <w:p w14:paraId="30C6967A">
            <w:pPr>
              <w:spacing w:line="360" w:lineRule="auto"/>
              <w:jc w:val="left"/>
              <w:rPr>
                <w:rFonts w:hint="eastAsia" w:ascii="宋体" w:hAnsi="宋体" w:cs="宋体"/>
                <w:color w:val="auto"/>
                <w:szCs w:val="21"/>
                <w:highlight w:val="none"/>
              </w:rPr>
            </w:pPr>
          </w:p>
        </w:tc>
        <w:tc>
          <w:tcPr>
            <w:tcW w:w="1534" w:type="dxa"/>
            <w:vAlign w:val="center"/>
          </w:tcPr>
          <w:p w14:paraId="4D878512">
            <w:pPr>
              <w:spacing w:line="360" w:lineRule="auto"/>
              <w:jc w:val="left"/>
              <w:rPr>
                <w:rFonts w:hint="eastAsia" w:ascii="宋体" w:hAnsi="宋体" w:cs="宋体"/>
                <w:color w:val="auto"/>
                <w:szCs w:val="21"/>
                <w:highlight w:val="none"/>
              </w:rPr>
            </w:pPr>
          </w:p>
        </w:tc>
        <w:tc>
          <w:tcPr>
            <w:tcW w:w="1911" w:type="dxa"/>
            <w:vAlign w:val="center"/>
          </w:tcPr>
          <w:p w14:paraId="6308DE50">
            <w:pPr>
              <w:spacing w:line="360" w:lineRule="auto"/>
              <w:jc w:val="left"/>
              <w:rPr>
                <w:rFonts w:hint="eastAsia" w:ascii="宋体" w:hAnsi="宋体" w:cs="宋体"/>
                <w:color w:val="auto"/>
                <w:szCs w:val="21"/>
                <w:highlight w:val="none"/>
              </w:rPr>
            </w:pPr>
          </w:p>
        </w:tc>
        <w:tc>
          <w:tcPr>
            <w:tcW w:w="1361" w:type="dxa"/>
            <w:vAlign w:val="center"/>
          </w:tcPr>
          <w:p w14:paraId="66459241">
            <w:pPr>
              <w:spacing w:line="360" w:lineRule="auto"/>
              <w:jc w:val="left"/>
              <w:rPr>
                <w:rFonts w:hint="eastAsia" w:ascii="宋体" w:hAnsi="宋体" w:cs="宋体"/>
                <w:color w:val="auto"/>
                <w:szCs w:val="21"/>
                <w:highlight w:val="none"/>
              </w:rPr>
            </w:pPr>
          </w:p>
        </w:tc>
        <w:tc>
          <w:tcPr>
            <w:tcW w:w="1582" w:type="dxa"/>
            <w:vAlign w:val="center"/>
          </w:tcPr>
          <w:p w14:paraId="1608B6BC">
            <w:pPr>
              <w:spacing w:line="360" w:lineRule="auto"/>
              <w:jc w:val="left"/>
              <w:rPr>
                <w:rFonts w:hint="eastAsia" w:ascii="宋体" w:hAnsi="宋体" w:cs="宋体"/>
                <w:color w:val="auto"/>
                <w:szCs w:val="21"/>
                <w:highlight w:val="none"/>
              </w:rPr>
            </w:pPr>
          </w:p>
        </w:tc>
      </w:tr>
    </w:tbl>
    <w:p w14:paraId="11776DE7">
      <w:pPr>
        <w:topLinePunct/>
        <w:spacing w:line="360" w:lineRule="auto"/>
        <w:ind w:firstLine="706" w:firstLineChars="285"/>
        <w:rPr>
          <w:rFonts w:hint="eastAsia" w:ascii="宋体" w:hAnsi="宋体" w:cs="宋体"/>
          <w:color w:val="auto"/>
          <w:spacing w:val="4"/>
          <w:kern w:val="0"/>
          <w:sz w:val="24"/>
          <w:szCs w:val="24"/>
          <w:highlight w:val="none"/>
        </w:rPr>
      </w:pPr>
    </w:p>
    <w:p w14:paraId="35AC5DD8">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标</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人：（盖章）</w:t>
      </w:r>
    </w:p>
    <w:p w14:paraId="1C34D6D4">
      <w:pPr>
        <w:spacing w:line="360" w:lineRule="auto"/>
        <w:ind w:firstLine="691" w:firstLineChars="279"/>
        <w:jc w:val="left"/>
        <w:rPr>
          <w:rFonts w:hint="eastAsia" w:ascii="宋体" w:hAnsi="宋体" w:cs="宋体"/>
          <w:color w:val="auto"/>
          <w:sz w:val="24"/>
          <w:szCs w:val="24"/>
          <w:highlight w:val="none"/>
        </w:rPr>
      </w:pPr>
      <w:r>
        <w:rPr>
          <w:rFonts w:hint="eastAsia" w:ascii="宋体" w:hAnsi="宋体" w:cs="宋体"/>
          <w:snapToGrid w:val="0"/>
          <w:color w:val="auto"/>
          <w:spacing w:val="4"/>
          <w:kern w:val="0"/>
          <w:sz w:val="24"/>
          <w:szCs w:val="24"/>
          <w:highlight w:val="none"/>
        </w:rPr>
        <w:t>日</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期：</w:t>
      </w:r>
    </w:p>
    <w:p w14:paraId="32223871">
      <w:pPr>
        <w:autoSpaceDE w:val="0"/>
        <w:autoSpaceDN w:val="0"/>
        <w:jc w:val="right"/>
        <w:rPr>
          <w:rFonts w:hint="eastAsia" w:ascii="宋体" w:hAnsi="宋体" w:cs="宋体"/>
          <w:color w:val="auto"/>
          <w:sz w:val="24"/>
          <w:szCs w:val="24"/>
          <w:highlight w:val="none"/>
        </w:rPr>
      </w:pPr>
    </w:p>
    <w:p w14:paraId="65DC0E15">
      <w:pPr>
        <w:pStyle w:val="8"/>
        <w:rPr>
          <w:rFonts w:hint="eastAsia"/>
          <w:color w:val="auto"/>
          <w:highlight w:val="none"/>
        </w:rPr>
      </w:pPr>
      <w:r>
        <w:rPr>
          <w:color w:val="auto"/>
          <w:highlight w:val="none"/>
        </w:rPr>
        <w:br w:type="page"/>
      </w:r>
    </w:p>
    <w:p w14:paraId="46151CF6">
      <w:pPr>
        <w:pStyle w:val="8"/>
        <w:rPr>
          <w:rFonts w:hint="eastAsia"/>
          <w:color w:val="auto"/>
          <w:highlight w:val="none"/>
        </w:rPr>
      </w:pPr>
      <w:bookmarkStart w:id="87" w:name="_Toc184468520"/>
      <w:bookmarkStart w:id="88" w:name="_Toc194440097"/>
      <w:bookmarkStart w:id="89" w:name="_Toc60070626"/>
      <w:r>
        <w:rPr>
          <w:rFonts w:hint="eastAsia"/>
          <w:color w:val="auto"/>
          <w:highlight w:val="none"/>
        </w:rPr>
        <w:t>格式四：</w:t>
      </w:r>
      <w:bookmarkEnd w:id="87"/>
      <w:bookmarkEnd w:id="88"/>
      <w:bookmarkEnd w:id="89"/>
    </w:p>
    <w:p w14:paraId="3304E156">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企业业绩信息表</w:t>
      </w:r>
    </w:p>
    <w:p w14:paraId="5D455D28">
      <w:pPr>
        <w:rPr>
          <w:rFonts w:hint="eastAsia" w:ascii="宋体" w:hAnsi="宋体"/>
          <w:color w:val="auto"/>
          <w:sz w:val="24"/>
          <w:szCs w:val="24"/>
          <w:highlight w:val="none"/>
        </w:rPr>
      </w:pPr>
    </w:p>
    <w:tbl>
      <w:tblPr>
        <w:tblStyle w:val="49"/>
        <w:tblpPr w:leftFromText="180" w:rightFromText="180" w:vertAnchor="text" w:horzAnchor="margin" w:tblpXSpec="center" w:tblpY="-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163"/>
        <w:gridCol w:w="2693"/>
        <w:gridCol w:w="3736"/>
      </w:tblGrid>
      <w:tr w14:paraId="616A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4" w:type="dxa"/>
            <w:vMerge w:val="restart"/>
            <w:tcBorders>
              <w:top w:val="single" w:color="auto" w:sz="4" w:space="0"/>
              <w:left w:val="single" w:color="auto" w:sz="4" w:space="0"/>
              <w:right w:val="single" w:color="auto" w:sz="4" w:space="0"/>
            </w:tcBorders>
            <w:vAlign w:val="center"/>
          </w:tcPr>
          <w:p w14:paraId="4913BB38">
            <w:pPr>
              <w:widowControl/>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类似工程业绩</w:t>
            </w:r>
          </w:p>
        </w:tc>
        <w:tc>
          <w:tcPr>
            <w:tcW w:w="2163" w:type="dxa"/>
            <w:tcBorders>
              <w:top w:val="single" w:color="auto" w:sz="4" w:space="0"/>
              <w:left w:val="single" w:color="auto" w:sz="4" w:space="0"/>
              <w:right w:val="single" w:color="auto" w:sz="4" w:space="0"/>
            </w:tcBorders>
            <w:vAlign w:val="center"/>
          </w:tcPr>
          <w:p w14:paraId="15023E92">
            <w:pPr>
              <w:autoSpaceDE w:val="0"/>
              <w:autoSpaceDN w:val="0"/>
              <w:jc w:val="center"/>
              <w:rPr>
                <w:rFonts w:hint="eastAsia" w:ascii="宋体" w:hAnsi="宋体"/>
                <w:color w:val="auto"/>
                <w:sz w:val="24"/>
                <w:szCs w:val="24"/>
                <w:highlight w:val="none"/>
              </w:rPr>
            </w:pPr>
            <w:r>
              <w:rPr>
                <w:rFonts w:hint="eastAsia" w:ascii="宋体" w:hAnsi="宋体"/>
                <w:color w:val="auto"/>
                <w:sz w:val="24"/>
                <w:szCs w:val="24"/>
                <w:highlight w:val="none"/>
              </w:rPr>
              <w:t>工程名称</w:t>
            </w:r>
          </w:p>
        </w:tc>
        <w:tc>
          <w:tcPr>
            <w:tcW w:w="2693" w:type="dxa"/>
            <w:tcBorders>
              <w:top w:val="single" w:color="auto" w:sz="4" w:space="0"/>
              <w:left w:val="single" w:color="auto" w:sz="4" w:space="0"/>
              <w:bottom w:val="single" w:color="auto" w:sz="4" w:space="0"/>
              <w:right w:val="single" w:color="auto" w:sz="4" w:space="0"/>
            </w:tcBorders>
            <w:vAlign w:val="center"/>
          </w:tcPr>
          <w:p w14:paraId="122717BF">
            <w:pPr>
              <w:autoSpaceDE w:val="0"/>
              <w:autoSpaceDN w:val="0"/>
              <w:jc w:val="center"/>
              <w:rPr>
                <w:rFonts w:hint="eastAsia"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金额</w:t>
            </w:r>
          </w:p>
        </w:tc>
        <w:tc>
          <w:tcPr>
            <w:tcW w:w="3736" w:type="dxa"/>
            <w:tcBorders>
              <w:top w:val="single" w:color="auto" w:sz="4" w:space="0"/>
              <w:left w:val="single" w:color="auto" w:sz="4" w:space="0"/>
              <w:bottom w:val="single" w:color="auto" w:sz="4" w:space="0"/>
              <w:right w:val="single" w:color="auto" w:sz="4" w:space="0"/>
            </w:tcBorders>
            <w:vAlign w:val="center"/>
          </w:tcPr>
          <w:p w14:paraId="00C6B06A">
            <w:pPr>
              <w:autoSpaceDE w:val="0"/>
              <w:autoSpaceDN w:val="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备注</w:t>
            </w:r>
          </w:p>
        </w:tc>
      </w:tr>
      <w:tr w14:paraId="6DAC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4" w:type="dxa"/>
            <w:vMerge w:val="continue"/>
            <w:tcBorders>
              <w:left w:val="single" w:color="auto" w:sz="4" w:space="0"/>
              <w:right w:val="single" w:color="auto" w:sz="4" w:space="0"/>
            </w:tcBorders>
            <w:vAlign w:val="center"/>
          </w:tcPr>
          <w:p w14:paraId="4E6C48AD">
            <w:pPr>
              <w:widowControl/>
              <w:jc w:val="center"/>
              <w:rPr>
                <w:rFonts w:hint="eastAsia" w:ascii="宋体" w:hAnsi="宋体" w:cs="宋体"/>
                <w:bCs/>
                <w:color w:val="auto"/>
                <w:sz w:val="24"/>
                <w:szCs w:val="24"/>
                <w:highlight w:val="none"/>
                <w:lang w:val="zh-CN"/>
              </w:rPr>
            </w:pPr>
          </w:p>
        </w:tc>
        <w:tc>
          <w:tcPr>
            <w:tcW w:w="2163" w:type="dxa"/>
            <w:tcBorders>
              <w:left w:val="single" w:color="auto" w:sz="4" w:space="0"/>
              <w:right w:val="single" w:color="auto" w:sz="4" w:space="0"/>
            </w:tcBorders>
            <w:vAlign w:val="center"/>
          </w:tcPr>
          <w:p w14:paraId="2B2CFB47">
            <w:pPr>
              <w:autoSpaceDE w:val="0"/>
              <w:autoSpaceDN w:val="0"/>
              <w:jc w:val="center"/>
              <w:rPr>
                <w:rFonts w:hint="eastAsia" w:ascii="宋体" w:hAnsi="宋体" w:cs="宋体"/>
                <w:bCs/>
                <w:color w:val="auto"/>
                <w:sz w:val="24"/>
                <w:szCs w:val="24"/>
                <w:highlight w:val="none"/>
                <w:lang w:val="zh-CN"/>
              </w:rPr>
            </w:pPr>
          </w:p>
        </w:tc>
        <w:tc>
          <w:tcPr>
            <w:tcW w:w="2693" w:type="dxa"/>
            <w:tcBorders>
              <w:top w:val="single" w:color="auto" w:sz="4" w:space="0"/>
              <w:left w:val="single" w:color="auto" w:sz="4" w:space="0"/>
              <w:bottom w:val="single" w:color="auto" w:sz="4" w:space="0"/>
              <w:right w:val="single" w:color="auto" w:sz="4" w:space="0"/>
            </w:tcBorders>
            <w:vAlign w:val="center"/>
          </w:tcPr>
          <w:p w14:paraId="77B091E1">
            <w:pPr>
              <w:autoSpaceDE w:val="0"/>
              <w:autoSpaceDN w:val="0"/>
              <w:jc w:val="center"/>
              <w:rPr>
                <w:rFonts w:hint="eastAsia" w:ascii="宋体" w:hAnsi="宋体" w:cs="宋体"/>
                <w:bCs/>
                <w:color w:val="auto"/>
                <w:sz w:val="24"/>
                <w:szCs w:val="24"/>
                <w:highlight w:val="none"/>
                <w:lang w:val="zh-CN"/>
              </w:rPr>
            </w:pPr>
          </w:p>
        </w:tc>
        <w:tc>
          <w:tcPr>
            <w:tcW w:w="3736" w:type="dxa"/>
            <w:tcBorders>
              <w:top w:val="single" w:color="auto" w:sz="4" w:space="0"/>
              <w:left w:val="single" w:color="auto" w:sz="4" w:space="0"/>
              <w:bottom w:val="single" w:color="auto" w:sz="4" w:space="0"/>
              <w:right w:val="single" w:color="auto" w:sz="4" w:space="0"/>
            </w:tcBorders>
            <w:vAlign w:val="center"/>
          </w:tcPr>
          <w:p w14:paraId="4BD962B1">
            <w:pPr>
              <w:autoSpaceDE w:val="0"/>
              <w:autoSpaceDN w:val="0"/>
              <w:jc w:val="center"/>
              <w:rPr>
                <w:rFonts w:hint="eastAsia" w:ascii="宋体" w:hAnsi="宋体" w:cs="宋体"/>
                <w:bCs/>
                <w:color w:val="auto"/>
                <w:sz w:val="24"/>
                <w:szCs w:val="24"/>
                <w:highlight w:val="none"/>
                <w:lang w:val="zh-CN"/>
              </w:rPr>
            </w:pPr>
          </w:p>
        </w:tc>
      </w:tr>
      <w:tr w14:paraId="7D84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4" w:type="dxa"/>
            <w:vMerge w:val="continue"/>
            <w:tcBorders>
              <w:left w:val="single" w:color="auto" w:sz="4" w:space="0"/>
              <w:right w:val="single" w:color="auto" w:sz="4" w:space="0"/>
            </w:tcBorders>
            <w:vAlign w:val="center"/>
          </w:tcPr>
          <w:p w14:paraId="7B9C323E">
            <w:pPr>
              <w:widowControl/>
              <w:jc w:val="center"/>
              <w:rPr>
                <w:rFonts w:hint="eastAsia" w:ascii="宋体" w:hAnsi="宋体" w:cs="宋体"/>
                <w:bCs/>
                <w:color w:val="auto"/>
                <w:sz w:val="24"/>
                <w:szCs w:val="24"/>
                <w:highlight w:val="none"/>
                <w:lang w:val="zh-CN"/>
              </w:rPr>
            </w:pPr>
          </w:p>
        </w:tc>
        <w:tc>
          <w:tcPr>
            <w:tcW w:w="2163" w:type="dxa"/>
            <w:tcBorders>
              <w:left w:val="single" w:color="auto" w:sz="4" w:space="0"/>
              <w:right w:val="single" w:color="auto" w:sz="4" w:space="0"/>
            </w:tcBorders>
            <w:vAlign w:val="center"/>
          </w:tcPr>
          <w:p w14:paraId="3240801E">
            <w:pPr>
              <w:autoSpaceDE w:val="0"/>
              <w:autoSpaceDN w:val="0"/>
              <w:jc w:val="center"/>
              <w:rPr>
                <w:rFonts w:hint="eastAsia" w:ascii="宋体" w:hAnsi="宋体" w:cs="宋体"/>
                <w:bCs/>
                <w:color w:val="auto"/>
                <w:sz w:val="24"/>
                <w:szCs w:val="24"/>
                <w:highlight w:val="none"/>
                <w:lang w:val="zh-CN"/>
              </w:rPr>
            </w:pPr>
          </w:p>
        </w:tc>
        <w:tc>
          <w:tcPr>
            <w:tcW w:w="2693" w:type="dxa"/>
            <w:tcBorders>
              <w:top w:val="single" w:color="auto" w:sz="4" w:space="0"/>
              <w:left w:val="single" w:color="auto" w:sz="4" w:space="0"/>
              <w:bottom w:val="single" w:color="auto" w:sz="4" w:space="0"/>
              <w:right w:val="single" w:color="auto" w:sz="4" w:space="0"/>
            </w:tcBorders>
            <w:vAlign w:val="center"/>
          </w:tcPr>
          <w:p w14:paraId="6F7FC1A8">
            <w:pPr>
              <w:autoSpaceDE w:val="0"/>
              <w:autoSpaceDN w:val="0"/>
              <w:jc w:val="center"/>
              <w:rPr>
                <w:rFonts w:hint="eastAsia" w:ascii="宋体" w:hAnsi="宋体" w:cs="宋体"/>
                <w:bCs/>
                <w:color w:val="auto"/>
                <w:sz w:val="24"/>
                <w:szCs w:val="24"/>
                <w:highlight w:val="none"/>
                <w:lang w:val="zh-CN"/>
              </w:rPr>
            </w:pPr>
          </w:p>
        </w:tc>
        <w:tc>
          <w:tcPr>
            <w:tcW w:w="3736" w:type="dxa"/>
            <w:tcBorders>
              <w:top w:val="single" w:color="auto" w:sz="4" w:space="0"/>
              <w:left w:val="single" w:color="auto" w:sz="4" w:space="0"/>
              <w:bottom w:val="single" w:color="auto" w:sz="4" w:space="0"/>
              <w:right w:val="single" w:color="auto" w:sz="4" w:space="0"/>
            </w:tcBorders>
            <w:vAlign w:val="center"/>
          </w:tcPr>
          <w:p w14:paraId="1335442B">
            <w:pPr>
              <w:autoSpaceDE w:val="0"/>
              <w:autoSpaceDN w:val="0"/>
              <w:jc w:val="center"/>
              <w:rPr>
                <w:rFonts w:hint="eastAsia" w:ascii="宋体" w:hAnsi="宋体" w:cs="宋体"/>
                <w:bCs/>
                <w:color w:val="auto"/>
                <w:sz w:val="24"/>
                <w:szCs w:val="24"/>
                <w:highlight w:val="none"/>
                <w:lang w:val="zh-CN"/>
              </w:rPr>
            </w:pPr>
          </w:p>
        </w:tc>
      </w:tr>
      <w:tr w14:paraId="4D9E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4" w:type="dxa"/>
            <w:vMerge w:val="restart"/>
            <w:tcBorders>
              <w:left w:val="single" w:color="auto" w:sz="4" w:space="0"/>
              <w:right w:val="single" w:color="auto" w:sz="4" w:space="0"/>
            </w:tcBorders>
            <w:vAlign w:val="center"/>
          </w:tcPr>
          <w:p w14:paraId="6CFC6094">
            <w:pPr>
              <w:widowControl/>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获奖情况</w:t>
            </w:r>
          </w:p>
        </w:tc>
        <w:tc>
          <w:tcPr>
            <w:tcW w:w="2163" w:type="dxa"/>
            <w:tcBorders>
              <w:left w:val="single" w:color="auto" w:sz="4" w:space="0"/>
              <w:right w:val="single" w:color="auto" w:sz="4" w:space="0"/>
            </w:tcBorders>
            <w:vAlign w:val="center"/>
          </w:tcPr>
          <w:p w14:paraId="29120248">
            <w:pPr>
              <w:autoSpaceDE w:val="0"/>
              <w:autoSpaceDN w:val="0"/>
              <w:jc w:val="center"/>
              <w:rPr>
                <w:rFonts w:hint="eastAsia" w:ascii="宋体" w:hAnsi="宋体"/>
                <w:color w:val="auto"/>
                <w:sz w:val="24"/>
                <w:szCs w:val="24"/>
                <w:highlight w:val="none"/>
              </w:rPr>
            </w:pPr>
            <w:r>
              <w:rPr>
                <w:rFonts w:hint="eastAsia" w:ascii="宋体" w:hAnsi="宋体"/>
                <w:color w:val="auto"/>
                <w:sz w:val="24"/>
                <w:szCs w:val="24"/>
                <w:highlight w:val="none"/>
              </w:rPr>
              <w:t>工程名称</w:t>
            </w:r>
          </w:p>
        </w:tc>
        <w:tc>
          <w:tcPr>
            <w:tcW w:w="2693" w:type="dxa"/>
            <w:tcBorders>
              <w:top w:val="single" w:color="auto" w:sz="4" w:space="0"/>
              <w:left w:val="single" w:color="auto" w:sz="4" w:space="0"/>
              <w:bottom w:val="single" w:color="auto" w:sz="4" w:space="0"/>
              <w:right w:val="single" w:color="auto" w:sz="4" w:space="0"/>
            </w:tcBorders>
            <w:vAlign w:val="center"/>
          </w:tcPr>
          <w:p w14:paraId="32EE4904">
            <w:pPr>
              <w:autoSpaceDE w:val="0"/>
              <w:autoSpaceDN w:val="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所获奖项</w:t>
            </w:r>
          </w:p>
        </w:tc>
        <w:tc>
          <w:tcPr>
            <w:tcW w:w="3736" w:type="dxa"/>
            <w:tcBorders>
              <w:top w:val="single" w:color="auto" w:sz="4" w:space="0"/>
              <w:left w:val="single" w:color="auto" w:sz="4" w:space="0"/>
              <w:bottom w:val="single" w:color="auto" w:sz="4" w:space="0"/>
              <w:right w:val="single" w:color="auto" w:sz="4" w:space="0"/>
            </w:tcBorders>
            <w:vAlign w:val="center"/>
          </w:tcPr>
          <w:p w14:paraId="7A73F584">
            <w:pPr>
              <w:autoSpaceDE w:val="0"/>
              <w:autoSpaceDN w:val="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备注</w:t>
            </w:r>
          </w:p>
        </w:tc>
      </w:tr>
      <w:tr w14:paraId="5A7B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4" w:type="dxa"/>
            <w:vMerge w:val="continue"/>
            <w:tcBorders>
              <w:left w:val="single" w:color="auto" w:sz="4" w:space="0"/>
              <w:right w:val="single" w:color="auto" w:sz="4" w:space="0"/>
            </w:tcBorders>
            <w:vAlign w:val="center"/>
          </w:tcPr>
          <w:p w14:paraId="5FF990E1">
            <w:pPr>
              <w:widowControl/>
              <w:jc w:val="center"/>
              <w:rPr>
                <w:rFonts w:hint="eastAsia" w:ascii="宋体" w:hAnsi="宋体" w:cs="宋体"/>
                <w:bCs/>
                <w:color w:val="auto"/>
                <w:sz w:val="24"/>
                <w:szCs w:val="24"/>
                <w:highlight w:val="none"/>
                <w:lang w:val="zh-CN"/>
              </w:rPr>
            </w:pPr>
          </w:p>
        </w:tc>
        <w:tc>
          <w:tcPr>
            <w:tcW w:w="2163" w:type="dxa"/>
            <w:tcBorders>
              <w:left w:val="single" w:color="auto" w:sz="4" w:space="0"/>
              <w:right w:val="single" w:color="auto" w:sz="4" w:space="0"/>
            </w:tcBorders>
          </w:tcPr>
          <w:p w14:paraId="0437F570">
            <w:pPr>
              <w:autoSpaceDE w:val="0"/>
              <w:autoSpaceDN w:val="0"/>
              <w:jc w:val="center"/>
              <w:rPr>
                <w:rFonts w:hint="eastAsia" w:ascii="宋体" w:hAnsi="宋体" w:cs="宋体"/>
                <w:bCs/>
                <w:color w:val="auto"/>
                <w:sz w:val="24"/>
                <w:szCs w:val="24"/>
                <w:highlight w:val="none"/>
                <w:lang w:val="zh-CN"/>
              </w:rPr>
            </w:pPr>
          </w:p>
        </w:tc>
        <w:tc>
          <w:tcPr>
            <w:tcW w:w="2693" w:type="dxa"/>
            <w:tcBorders>
              <w:top w:val="single" w:color="auto" w:sz="4" w:space="0"/>
              <w:left w:val="single" w:color="auto" w:sz="4" w:space="0"/>
              <w:bottom w:val="single" w:color="auto" w:sz="4" w:space="0"/>
              <w:right w:val="single" w:color="auto" w:sz="4" w:space="0"/>
            </w:tcBorders>
            <w:vAlign w:val="center"/>
          </w:tcPr>
          <w:p w14:paraId="71CF7A2A">
            <w:pPr>
              <w:autoSpaceDE w:val="0"/>
              <w:autoSpaceDN w:val="0"/>
              <w:jc w:val="center"/>
              <w:rPr>
                <w:rFonts w:hint="eastAsia" w:ascii="宋体" w:hAnsi="宋体" w:cs="宋体"/>
                <w:bCs/>
                <w:color w:val="auto"/>
                <w:sz w:val="24"/>
                <w:szCs w:val="24"/>
                <w:highlight w:val="none"/>
                <w:lang w:val="zh-CN"/>
              </w:rPr>
            </w:pPr>
          </w:p>
        </w:tc>
        <w:tc>
          <w:tcPr>
            <w:tcW w:w="3736" w:type="dxa"/>
            <w:tcBorders>
              <w:top w:val="single" w:color="auto" w:sz="4" w:space="0"/>
              <w:left w:val="single" w:color="auto" w:sz="4" w:space="0"/>
              <w:bottom w:val="single" w:color="auto" w:sz="4" w:space="0"/>
              <w:right w:val="single" w:color="auto" w:sz="4" w:space="0"/>
            </w:tcBorders>
            <w:vAlign w:val="center"/>
          </w:tcPr>
          <w:p w14:paraId="3F8E8B1A">
            <w:pPr>
              <w:autoSpaceDE w:val="0"/>
              <w:autoSpaceDN w:val="0"/>
              <w:jc w:val="center"/>
              <w:rPr>
                <w:rFonts w:hint="eastAsia" w:ascii="宋体" w:hAnsi="宋体" w:cs="宋体"/>
                <w:bCs/>
                <w:color w:val="auto"/>
                <w:sz w:val="24"/>
                <w:szCs w:val="24"/>
                <w:highlight w:val="none"/>
                <w:lang w:val="zh-CN"/>
              </w:rPr>
            </w:pPr>
          </w:p>
        </w:tc>
      </w:tr>
      <w:tr w14:paraId="5CEE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4" w:type="dxa"/>
            <w:vMerge w:val="continue"/>
            <w:tcBorders>
              <w:left w:val="single" w:color="auto" w:sz="4" w:space="0"/>
              <w:right w:val="single" w:color="auto" w:sz="4" w:space="0"/>
            </w:tcBorders>
            <w:vAlign w:val="center"/>
          </w:tcPr>
          <w:p w14:paraId="46BAB50D">
            <w:pPr>
              <w:widowControl/>
              <w:jc w:val="center"/>
              <w:rPr>
                <w:rFonts w:hint="eastAsia" w:ascii="宋体" w:hAnsi="宋体" w:cs="宋体"/>
                <w:bCs/>
                <w:color w:val="auto"/>
                <w:sz w:val="24"/>
                <w:szCs w:val="24"/>
                <w:highlight w:val="none"/>
                <w:lang w:val="zh-CN"/>
              </w:rPr>
            </w:pPr>
          </w:p>
        </w:tc>
        <w:tc>
          <w:tcPr>
            <w:tcW w:w="2163" w:type="dxa"/>
            <w:tcBorders>
              <w:left w:val="single" w:color="auto" w:sz="4" w:space="0"/>
              <w:right w:val="single" w:color="auto" w:sz="4" w:space="0"/>
            </w:tcBorders>
          </w:tcPr>
          <w:p w14:paraId="03C09103">
            <w:pPr>
              <w:autoSpaceDE w:val="0"/>
              <w:autoSpaceDN w:val="0"/>
              <w:jc w:val="center"/>
              <w:rPr>
                <w:rFonts w:hint="eastAsia" w:ascii="宋体" w:hAnsi="宋体" w:cs="宋体"/>
                <w:bCs/>
                <w:color w:val="auto"/>
                <w:sz w:val="24"/>
                <w:szCs w:val="24"/>
                <w:highlight w:val="none"/>
                <w:lang w:val="zh-CN"/>
              </w:rPr>
            </w:pPr>
          </w:p>
        </w:tc>
        <w:tc>
          <w:tcPr>
            <w:tcW w:w="2693" w:type="dxa"/>
            <w:tcBorders>
              <w:top w:val="single" w:color="auto" w:sz="4" w:space="0"/>
              <w:left w:val="single" w:color="auto" w:sz="4" w:space="0"/>
              <w:bottom w:val="single" w:color="auto" w:sz="4" w:space="0"/>
              <w:right w:val="single" w:color="auto" w:sz="4" w:space="0"/>
            </w:tcBorders>
            <w:vAlign w:val="center"/>
          </w:tcPr>
          <w:p w14:paraId="0D87D90A">
            <w:pPr>
              <w:autoSpaceDE w:val="0"/>
              <w:autoSpaceDN w:val="0"/>
              <w:jc w:val="center"/>
              <w:rPr>
                <w:rFonts w:hint="eastAsia" w:ascii="宋体" w:hAnsi="宋体" w:cs="宋体"/>
                <w:bCs/>
                <w:color w:val="auto"/>
                <w:sz w:val="24"/>
                <w:szCs w:val="24"/>
                <w:highlight w:val="none"/>
                <w:lang w:val="zh-CN"/>
              </w:rPr>
            </w:pPr>
          </w:p>
        </w:tc>
        <w:tc>
          <w:tcPr>
            <w:tcW w:w="3736" w:type="dxa"/>
            <w:tcBorders>
              <w:top w:val="single" w:color="auto" w:sz="4" w:space="0"/>
              <w:left w:val="single" w:color="auto" w:sz="4" w:space="0"/>
              <w:bottom w:val="single" w:color="auto" w:sz="4" w:space="0"/>
              <w:right w:val="single" w:color="auto" w:sz="4" w:space="0"/>
            </w:tcBorders>
            <w:vAlign w:val="center"/>
          </w:tcPr>
          <w:p w14:paraId="2F9E09E8">
            <w:pPr>
              <w:autoSpaceDE w:val="0"/>
              <w:autoSpaceDN w:val="0"/>
              <w:jc w:val="center"/>
              <w:rPr>
                <w:rFonts w:hint="eastAsia" w:ascii="宋体" w:hAnsi="宋体" w:cs="宋体"/>
                <w:bCs/>
                <w:color w:val="auto"/>
                <w:sz w:val="24"/>
                <w:szCs w:val="24"/>
                <w:highlight w:val="none"/>
                <w:lang w:val="zh-CN"/>
              </w:rPr>
            </w:pPr>
          </w:p>
        </w:tc>
      </w:tr>
    </w:tbl>
    <w:p w14:paraId="5489AF29">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p>
    <w:p w14:paraId="306F01B9">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标</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人：（盖章）</w:t>
      </w:r>
    </w:p>
    <w:p w14:paraId="66306269">
      <w:pPr>
        <w:spacing w:line="360" w:lineRule="auto"/>
        <w:ind w:firstLine="691" w:firstLineChars="279"/>
        <w:jc w:val="left"/>
        <w:rPr>
          <w:rFonts w:hint="eastAsia" w:ascii="宋体" w:hAnsi="宋体" w:cs="宋体"/>
          <w:color w:val="auto"/>
          <w:sz w:val="24"/>
          <w:szCs w:val="24"/>
          <w:highlight w:val="none"/>
        </w:rPr>
      </w:pPr>
      <w:r>
        <w:rPr>
          <w:rFonts w:hint="eastAsia" w:ascii="宋体" w:hAnsi="宋体" w:cs="宋体"/>
          <w:snapToGrid w:val="0"/>
          <w:color w:val="auto"/>
          <w:spacing w:val="4"/>
          <w:kern w:val="0"/>
          <w:sz w:val="24"/>
          <w:szCs w:val="24"/>
          <w:highlight w:val="none"/>
        </w:rPr>
        <w:t>日</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期：</w:t>
      </w:r>
    </w:p>
    <w:p w14:paraId="693C4CAE">
      <w:pPr>
        <w:pStyle w:val="8"/>
        <w:rPr>
          <w:rFonts w:hint="eastAsia"/>
          <w:color w:val="auto"/>
          <w:highlight w:val="none"/>
        </w:rPr>
      </w:pPr>
      <w:r>
        <w:rPr>
          <w:color w:val="auto"/>
          <w:highlight w:val="none"/>
        </w:rPr>
        <w:br w:type="page"/>
      </w:r>
    </w:p>
    <w:p w14:paraId="495696B0">
      <w:pPr>
        <w:pStyle w:val="8"/>
        <w:rPr>
          <w:rFonts w:hint="eastAsia"/>
          <w:bCs/>
          <w:color w:val="auto"/>
          <w:highlight w:val="none"/>
          <w:lang w:val="zh-CN"/>
        </w:rPr>
      </w:pPr>
      <w:bookmarkStart w:id="90" w:name="_Toc194440098"/>
      <w:bookmarkStart w:id="91" w:name="_Toc60070629"/>
      <w:bookmarkStart w:id="92" w:name="_Toc184468521"/>
      <w:r>
        <w:rPr>
          <w:rFonts w:hint="eastAsia"/>
          <w:color w:val="auto"/>
          <w:highlight w:val="none"/>
        </w:rPr>
        <w:t>格式五：</w:t>
      </w:r>
      <w:bookmarkEnd w:id="90"/>
      <w:bookmarkEnd w:id="91"/>
      <w:bookmarkEnd w:id="92"/>
    </w:p>
    <w:p w14:paraId="19DFB1DC">
      <w:pPr>
        <w:autoSpaceDE w:val="0"/>
        <w:autoSpaceDN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拟投入本工程施工的主要机械设备配备表</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856"/>
        <w:gridCol w:w="2024"/>
        <w:gridCol w:w="2603"/>
        <w:gridCol w:w="1545"/>
      </w:tblGrid>
      <w:tr w14:paraId="0AF95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5B7092F">
            <w:pPr>
              <w:spacing w:line="24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856" w:type="dxa"/>
            <w:tcBorders>
              <w:top w:val="single" w:color="auto" w:sz="4" w:space="0"/>
              <w:left w:val="single" w:color="auto" w:sz="4" w:space="0"/>
              <w:bottom w:val="single" w:color="auto" w:sz="4" w:space="0"/>
              <w:right w:val="single" w:color="auto" w:sz="4" w:space="0"/>
            </w:tcBorders>
            <w:vAlign w:val="center"/>
          </w:tcPr>
          <w:p w14:paraId="49E815C2">
            <w:pPr>
              <w:spacing w:line="24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设备名称</w:t>
            </w:r>
          </w:p>
        </w:tc>
        <w:tc>
          <w:tcPr>
            <w:tcW w:w="2024" w:type="dxa"/>
            <w:tcBorders>
              <w:top w:val="single" w:color="auto" w:sz="4" w:space="0"/>
              <w:left w:val="single" w:color="auto" w:sz="4" w:space="0"/>
              <w:bottom w:val="single" w:color="auto" w:sz="4" w:space="0"/>
              <w:right w:val="single" w:color="auto" w:sz="4" w:space="0"/>
            </w:tcBorders>
            <w:vAlign w:val="center"/>
          </w:tcPr>
          <w:p w14:paraId="67978A77">
            <w:pPr>
              <w:spacing w:line="24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投入总数量</w:t>
            </w:r>
          </w:p>
        </w:tc>
        <w:tc>
          <w:tcPr>
            <w:tcW w:w="2603" w:type="dxa"/>
            <w:tcBorders>
              <w:top w:val="single" w:color="auto" w:sz="4" w:space="0"/>
              <w:left w:val="single" w:color="auto" w:sz="4" w:space="0"/>
              <w:bottom w:val="single" w:color="auto" w:sz="4" w:space="0"/>
              <w:right w:val="single" w:color="auto" w:sz="4" w:space="0"/>
            </w:tcBorders>
            <w:vAlign w:val="center"/>
          </w:tcPr>
          <w:p w14:paraId="3BA7F303">
            <w:pPr>
              <w:spacing w:line="24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来源</w:t>
            </w:r>
            <w:r>
              <w:rPr>
                <w:rFonts w:ascii="宋体" w:hAnsi="宋体" w:cs="宋体"/>
                <w:color w:val="auto"/>
                <w:szCs w:val="21"/>
                <w:highlight w:val="none"/>
              </w:rPr>
              <w:t>(自有/</w:t>
            </w:r>
            <w:r>
              <w:rPr>
                <w:rFonts w:hint="eastAsia" w:ascii="宋体" w:hAnsi="宋体" w:cs="宋体"/>
                <w:color w:val="auto"/>
                <w:szCs w:val="21"/>
                <w:highlight w:val="none"/>
              </w:rPr>
              <w:t>租赁</w:t>
            </w:r>
            <w:r>
              <w:rPr>
                <w:rFonts w:ascii="宋体" w:hAnsi="宋体" w:cs="宋体"/>
                <w:color w:val="auto"/>
                <w:szCs w:val="21"/>
                <w:highlight w:val="none"/>
              </w:rPr>
              <w:t>)</w:t>
            </w:r>
          </w:p>
        </w:tc>
        <w:tc>
          <w:tcPr>
            <w:tcW w:w="1545" w:type="dxa"/>
            <w:tcBorders>
              <w:top w:val="single" w:color="auto" w:sz="4" w:space="0"/>
              <w:left w:val="single" w:color="auto" w:sz="4" w:space="0"/>
              <w:bottom w:val="single" w:color="auto" w:sz="4" w:space="0"/>
              <w:right w:val="single" w:color="auto" w:sz="4" w:space="0"/>
            </w:tcBorders>
            <w:vAlign w:val="center"/>
          </w:tcPr>
          <w:p w14:paraId="352296A1">
            <w:pPr>
              <w:spacing w:line="24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72E77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BAA4CCF">
            <w:pPr>
              <w:spacing w:line="240" w:lineRule="exact"/>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6F51568C">
            <w:pPr>
              <w:spacing w:line="240" w:lineRule="exact"/>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1E721F4A">
            <w:pPr>
              <w:spacing w:line="240" w:lineRule="exact"/>
              <w:jc w:val="center"/>
              <w:textAlignment w:val="center"/>
              <w:rPr>
                <w:rFonts w:hint="eastAsia" w:ascii="宋体" w:hAnsi="宋体" w:cs="宋体"/>
                <w:color w:val="auto"/>
                <w:szCs w:val="21"/>
                <w:highlight w:val="none"/>
              </w:rPr>
            </w:pPr>
          </w:p>
        </w:tc>
        <w:tc>
          <w:tcPr>
            <w:tcW w:w="2603" w:type="dxa"/>
            <w:tcBorders>
              <w:top w:val="single" w:color="auto" w:sz="4" w:space="0"/>
              <w:left w:val="single" w:color="auto" w:sz="4" w:space="0"/>
              <w:bottom w:val="single" w:color="auto" w:sz="4" w:space="0"/>
              <w:right w:val="single" w:color="auto" w:sz="4" w:space="0"/>
            </w:tcBorders>
            <w:vAlign w:val="center"/>
          </w:tcPr>
          <w:p w14:paraId="1B27190D">
            <w:pPr>
              <w:spacing w:line="240" w:lineRule="exact"/>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45F8BFEB">
            <w:pPr>
              <w:spacing w:line="240" w:lineRule="exact"/>
              <w:jc w:val="center"/>
              <w:textAlignment w:val="center"/>
              <w:rPr>
                <w:rFonts w:hint="eastAsia" w:ascii="宋体" w:hAnsi="宋体" w:cs="宋体"/>
                <w:color w:val="auto"/>
                <w:szCs w:val="21"/>
                <w:highlight w:val="none"/>
              </w:rPr>
            </w:pPr>
          </w:p>
        </w:tc>
      </w:tr>
      <w:tr w14:paraId="1677D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5B53E08">
            <w:pPr>
              <w:spacing w:line="240" w:lineRule="exact"/>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05197860">
            <w:pPr>
              <w:spacing w:line="240" w:lineRule="exact"/>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3D2BA895">
            <w:pPr>
              <w:spacing w:line="240" w:lineRule="exact"/>
              <w:jc w:val="center"/>
              <w:textAlignment w:val="center"/>
              <w:rPr>
                <w:rFonts w:hint="eastAsia" w:ascii="宋体" w:hAnsi="宋体" w:cs="宋体"/>
                <w:color w:val="auto"/>
                <w:szCs w:val="21"/>
                <w:highlight w:val="none"/>
              </w:rPr>
            </w:pPr>
          </w:p>
        </w:tc>
        <w:tc>
          <w:tcPr>
            <w:tcW w:w="2603" w:type="dxa"/>
            <w:tcBorders>
              <w:top w:val="single" w:color="auto" w:sz="4" w:space="0"/>
              <w:left w:val="single" w:color="auto" w:sz="4" w:space="0"/>
              <w:bottom w:val="single" w:color="auto" w:sz="4" w:space="0"/>
              <w:right w:val="single" w:color="auto" w:sz="4" w:space="0"/>
            </w:tcBorders>
            <w:vAlign w:val="center"/>
          </w:tcPr>
          <w:p w14:paraId="4EEF2E53">
            <w:pPr>
              <w:spacing w:line="240" w:lineRule="exact"/>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48D109F5">
            <w:pPr>
              <w:spacing w:line="240" w:lineRule="exact"/>
              <w:jc w:val="center"/>
              <w:textAlignment w:val="center"/>
              <w:rPr>
                <w:rFonts w:hint="eastAsia" w:ascii="宋体" w:hAnsi="宋体" w:cs="宋体"/>
                <w:color w:val="auto"/>
                <w:szCs w:val="21"/>
                <w:highlight w:val="none"/>
              </w:rPr>
            </w:pPr>
          </w:p>
        </w:tc>
      </w:tr>
      <w:tr w14:paraId="7E396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0E0314C4">
            <w:pPr>
              <w:spacing w:line="240" w:lineRule="exact"/>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27405688">
            <w:pPr>
              <w:spacing w:line="240" w:lineRule="exact"/>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6A446324">
            <w:pPr>
              <w:spacing w:line="240" w:lineRule="exact"/>
              <w:jc w:val="center"/>
              <w:textAlignment w:val="center"/>
              <w:rPr>
                <w:rFonts w:hint="eastAsia" w:ascii="宋体" w:hAnsi="宋体" w:cs="宋体"/>
                <w:color w:val="auto"/>
                <w:szCs w:val="21"/>
                <w:highlight w:val="none"/>
              </w:rPr>
            </w:pPr>
          </w:p>
        </w:tc>
        <w:tc>
          <w:tcPr>
            <w:tcW w:w="2603" w:type="dxa"/>
            <w:tcBorders>
              <w:top w:val="single" w:color="auto" w:sz="4" w:space="0"/>
              <w:left w:val="single" w:color="auto" w:sz="4" w:space="0"/>
              <w:bottom w:val="single" w:color="auto" w:sz="4" w:space="0"/>
              <w:right w:val="single" w:color="auto" w:sz="4" w:space="0"/>
            </w:tcBorders>
            <w:vAlign w:val="center"/>
          </w:tcPr>
          <w:p w14:paraId="5C9C3DB5">
            <w:pPr>
              <w:spacing w:line="240" w:lineRule="exact"/>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70F83C97">
            <w:pPr>
              <w:spacing w:line="240" w:lineRule="exact"/>
              <w:jc w:val="center"/>
              <w:textAlignment w:val="center"/>
              <w:rPr>
                <w:rFonts w:hint="eastAsia" w:ascii="宋体" w:hAnsi="宋体" w:cs="宋体"/>
                <w:color w:val="auto"/>
                <w:szCs w:val="21"/>
                <w:highlight w:val="none"/>
              </w:rPr>
            </w:pPr>
          </w:p>
        </w:tc>
      </w:tr>
      <w:tr w14:paraId="69001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B0B7659">
            <w:pPr>
              <w:spacing w:line="240" w:lineRule="exact"/>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01C83EE1">
            <w:pPr>
              <w:spacing w:line="240" w:lineRule="exact"/>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7A20EBAB">
            <w:pPr>
              <w:spacing w:line="240" w:lineRule="exact"/>
              <w:jc w:val="center"/>
              <w:textAlignment w:val="center"/>
              <w:rPr>
                <w:rFonts w:hint="eastAsia" w:ascii="宋体" w:hAnsi="宋体" w:cs="宋体"/>
                <w:color w:val="auto"/>
                <w:szCs w:val="21"/>
                <w:highlight w:val="none"/>
              </w:rPr>
            </w:pPr>
          </w:p>
        </w:tc>
        <w:tc>
          <w:tcPr>
            <w:tcW w:w="2603" w:type="dxa"/>
            <w:tcBorders>
              <w:top w:val="single" w:color="auto" w:sz="4" w:space="0"/>
              <w:left w:val="single" w:color="auto" w:sz="4" w:space="0"/>
              <w:bottom w:val="single" w:color="auto" w:sz="4" w:space="0"/>
              <w:right w:val="single" w:color="auto" w:sz="4" w:space="0"/>
            </w:tcBorders>
            <w:vAlign w:val="center"/>
          </w:tcPr>
          <w:p w14:paraId="5BFDE639">
            <w:pPr>
              <w:spacing w:line="240" w:lineRule="exact"/>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3676073A">
            <w:pPr>
              <w:spacing w:line="240" w:lineRule="exact"/>
              <w:jc w:val="center"/>
              <w:textAlignment w:val="center"/>
              <w:rPr>
                <w:rFonts w:hint="eastAsia" w:ascii="宋体" w:hAnsi="宋体" w:cs="宋体"/>
                <w:color w:val="auto"/>
                <w:szCs w:val="21"/>
                <w:highlight w:val="none"/>
              </w:rPr>
            </w:pPr>
          </w:p>
        </w:tc>
      </w:tr>
      <w:tr w14:paraId="565CB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42DF829E">
            <w:pPr>
              <w:spacing w:line="240" w:lineRule="exact"/>
              <w:jc w:val="center"/>
              <w:textAlignment w:val="center"/>
              <w:rPr>
                <w:rFonts w:hint="eastAsia"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13A2D04D">
            <w:pPr>
              <w:spacing w:line="240" w:lineRule="exact"/>
              <w:jc w:val="center"/>
              <w:textAlignment w:val="center"/>
              <w:rPr>
                <w:rFonts w:hint="eastAsia"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681DD8D6">
            <w:pPr>
              <w:spacing w:line="240" w:lineRule="exact"/>
              <w:jc w:val="center"/>
              <w:textAlignment w:val="center"/>
              <w:rPr>
                <w:rFonts w:hint="eastAsia" w:ascii="宋体" w:hAnsi="宋体" w:cs="宋体"/>
                <w:color w:val="auto"/>
                <w:szCs w:val="21"/>
                <w:highlight w:val="none"/>
              </w:rPr>
            </w:pPr>
          </w:p>
        </w:tc>
        <w:tc>
          <w:tcPr>
            <w:tcW w:w="2603" w:type="dxa"/>
            <w:tcBorders>
              <w:top w:val="single" w:color="auto" w:sz="4" w:space="0"/>
              <w:left w:val="single" w:color="auto" w:sz="4" w:space="0"/>
              <w:bottom w:val="single" w:color="auto" w:sz="4" w:space="0"/>
              <w:right w:val="single" w:color="auto" w:sz="4" w:space="0"/>
            </w:tcBorders>
            <w:vAlign w:val="center"/>
          </w:tcPr>
          <w:p w14:paraId="5C1472CA">
            <w:pPr>
              <w:spacing w:line="240" w:lineRule="exact"/>
              <w:jc w:val="center"/>
              <w:textAlignment w:val="center"/>
              <w:rPr>
                <w:rFonts w:hint="eastAsia" w:ascii="宋体" w:hAnsi="宋体" w:cs="宋体"/>
                <w:color w:val="auto"/>
                <w:szCs w:val="21"/>
                <w:highlight w:val="none"/>
              </w:rPr>
            </w:pPr>
          </w:p>
        </w:tc>
        <w:tc>
          <w:tcPr>
            <w:tcW w:w="1545" w:type="dxa"/>
            <w:tcBorders>
              <w:top w:val="single" w:color="auto" w:sz="4" w:space="0"/>
              <w:left w:val="single" w:color="auto" w:sz="4" w:space="0"/>
              <w:right w:val="single" w:color="auto" w:sz="4" w:space="0"/>
            </w:tcBorders>
            <w:vAlign w:val="center"/>
          </w:tcPr>
          <w:p w14:paraId="1784A28D">
            <w:pPr>
              <w:spacing w:line="240" w:lineRule="exact"/>
              <w:jc w:val="center"/>
              <w:textAlignment w:val="center"/>
              <w:rPr>
                <w:rFonts w:hint="eastAsia" w:ascii="宋体" w:hAnsi="宋体" w:cs="宋体"/>
                <w:color w:val="auto"/>
                <w:szCs w:val="21"/>
                <w:highlight w:val="none"/>
              </w:rPr>
            </w:pPr>
          </w:p>
        </w:tc>
      </w:tr>
    </w:tbl>
    <w:p w14:paraId="3DB22EAC">
      <w:pPr>
        <w:tabs>
          <w:tab w:val="left" w:pos="720"/>
        </w:tabs>
        <w:spacing w:line="360" w:lineRule="auto"/>
        <w:rPr>
          <w:rFonts w:hint="eastAsia" w:ascii="宋体" w:hAnsi="宋体" w:cs="宋体"/>
          <w:b/>
          <w:color w:val="auto"/>
          <w:szCs w:val="21"/>
          <w:highlight w:val="none"/>
        </w:rPr>
      </w:pPr>
      <w:r>
        <w:rPr>
          <w:rFonts w:hint="eastAsia" w:ascii="宋体" w:hAnsi="宋体"/>
          <w:color w:val="auto"/>
          <w:highlight w:val="none"/>
        </w:rPr>
        <w:t>注：设备名称及要求数量由投标人视本工程具体情况结合招标人对本工程的具体要求自行配备。</w:t>
      </w:r>
    </w:p>
    <w:p w14:paraId="77B5563F">
      <w:pPr>
        <w:topLinePunct/>
        <w:spacing w:line="360" w:lineRule="auto"/>
        <w:ind w:firstLine="691" w:firstLineChars="279"/>
        <w:rPr>
          <w:rFonts w:hint="eastAsia" w:ascii="宋体" w:hAnsi="宋体" w:cs="宋体"/>
          <w:snapToGrid w:val="0"/>
          <w:color w:val="auto"/>
          <w:spacing w:val="4"/>
          <w:kern w:val="0"/>
          <w:sz w:val="24"/>
          <w:szCs w:val="24"/>
          <w:highlight w:val="none"/>
        </w:rPr>
      </w:pPr>
    </w:p>
    <w:p w14:paraId="1B223EB2">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标</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人：（盖章）</w:t>
      </w:r>
    </w:p>
    <w:p w14:paraId="5F4852E4">
      <w:pPr>
        <w:spacing w:line="360" w:lineRule="auto"/>
        <w:ind w:firstLine="691" w:firstLineChars="279"/>
        <w:jc w:val="left"/>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期：</w:t>
      </w:r>
    </w:p>
    <w:p w14:paraId="74A0D6FB">
      <w:pPr>
        <w:widowControl/>
        <w:jc w:val="left"/>
        <w:rPr>
          <w:rFonts w:hint="eastAsia" w:ascii="宋体" w:hAnsi="宋体"/>
          <w:color w:val="auto"/>
          <w:highlight w:val="none"/>
        </w:rPr>
      </w:pPr>
      <w:r>
        <w:rPr>
          <w:rFonts w:ascii="宋体" w:hAnsi="宋体"/>
          <w:color w:val="auto"/>
          <w:highlight w:val="none"/>
        </w:rPr>
        <w:br w:type="page"/>
      </w:r>
    </w:p>
    <w:p w14:paraId="59645970">
      <w:pPr>
        <w:pStyle w:val="8"/>
        <w:rPr>
          <w:rFonts w:hint="eastAsia"/>
          <w:color w:val="auto"/>
          <w:highlight w:val="none"/>
        </w:rPr>
      </w:pPr>
      <w:bookmarkStart w:id="93" w:name="_Toc184468522"/>
      <w:bookmarkStart w:id="94" w:name="_Toc194440099"/>
      <w:bookmarkStart w:id="95" w:name="_Toc60070630"/>
      <w:bookmarkStart w:id="96" w:name="_Toc58838602"/>
      <w:r>
        <w:rPr>
          <w:rFonts w:hint="eastAsia"/>
          <w:color w:val="auto"/>
          <w:highlight w:val="none"/>
        </w:rPr>
        <w:t>格式六：</w:t>
      </w:r>
      <w:bookmarkEnd w:id="93"/>
      <w:bookmarkEnd w:id="94"/>
      <w:bookmarkEnd w:id="95"/>
    </w:p>
    <w:p w14:paraId="79C7FA12">
      <w:pPr>
        <w:jc w:val="center"/>
        <w:rPr>
          <w:rFonts w:hint="eastAsia" w:ascii="宋体" w:hAnsi="宋体"/>
          <w:b/>
          <w:color w:val="auto"/>
          <w:sz w:val="36"/>
          <w:szCs w:val="36"/>
          <w:highlight w:val="none"/>
        </w:rPr>
      </w:pPr>
      <w:r>
        <w:rPr>
          <w:rFonts w:hint="eastAsia" w:ascii="宋体" w:hAnsi="宋体"/>
          <w:b/>
          <w:color w:val="auto"/>
          <w:sz w:val="36"/>
          <w:szCs w:val="36"/>
          <w:highlight w:val="none"/>
        </w:rPr>
        <w:t>危险性较大的分部分项工程安全管理措施</w:t>
      </w:r>
      <w:bookmarkEnd w:id="96"/>
    </w:p>
    <w:p w14:paraId="07D18352">
      <w:pPr>
        <w:numPr>
          <w:ilvl w:val="0"/>
          <w:numId w:val="3"/>
        </w:numPr>
        <w:autoSpaceDE w:val="0"/>
        <w:autoSpaceDN w:val="0"/>
        <w:spacing w:line="360" w:lineRule="auto"/>
        <w:rPr>
          <w:rFonts w:hint="eastAsia" w:ascii="宋体" w:hAnsi="宋体"/>
          <w:snapToGrid w:val="0"/>
          <w:color w:val="auto"/>
          <w:spacing w:val="4"/>
          <w:kern w:val="0"/>
          <w:sz w:val="24"/>
          <w:szCs w:val="24"/>
          <w:highlight w:val="none"/>
        </w:rPr>
      </w:pPr>
      <w:r>
        <w:rPr>
          <w:rFonts w:hint="eastAsia" w:ascii="宋体" w:hAnsi="宋体"/>
          <w:color w:val="auto"/>
          <w:sz w:val="24"/>
          <w:szCs w:val="28"/>
          <w:highlight w:val="none"/>
        </w:rPr>
        <w:t>根据中华人民共和国住房和城乡建设部令第</w:t>
      </w:r>
      <w:r>
        <w:rPr>
          <w:rFonts w:ascii="宋体" w:hAnsi="宋体"/>
          <w:color w:val="auto"/>
          <w:sz w:val="24"/>
          <w:szCs w:val="28"/>
          <w:highlight w:val="none"/>
        </w:rPr>
        <w:t>37号《危险性较大的分部分项工程安全管理规定》（以下简称“37号文”），投标人在投标时须补充完善危大工程清单并</w:t>
      </w:r>
      <w:r>
        <w:rPr>
          <w:rFonts w:hint="eastAsia" w:ascii="宋体" w:hAnsi="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0BA7A128">
      <w:pPr>
        <w:numPr>
          <w:ilvl w:val="0"/>
          <w:numId w:val="3"/>
        </w:numPr>
        <w:autoSpaceDE w:val="0"/>
        <w:autoSpaceDN w:val="0"/>
        <w:spacing w:line="360" w:lineRule="auto"/>
        <w:rPr>
          <w:rFonts w:hint="eastAsia" w:ascii="宋体" w:hAnsi="宋体"/>
          <w:color w:val="auto"/>
          <w:sz w:val="24"/>
          <w:szCs w:val="28"/>
          <w:highlight w:val="none"/>
        </w:rPr>
      </w:pPr>
      <w:r>
        <w:rPr>
          <w:rFonts w:hint="eastAsia" w:ascii="宋体" w:hAnsi="宋体"/>
          <w:color w:val="auto"/>
          <w:sz w:val="24"/>
          <w:szCs w:val="28"/>
          <w:highlight w:val="none"/>
        </w:rPr>
        <w:t>招标人根据设计文件的要求及</w:t>
      </w:r>
      <w:r>
        <w:rPr>
          <w:rFonts w:ascii="宋体" w:hAnsi="宋体"/>
          <w:color w:val="auto"/>
          <w:sz w:val="24"/>
          <w:szCs w:val="28"/>
          <w:highlight w:val="none"/>
        </w:rPr>
        <w:t>37号文的规定列出“危险性较大的分部分项工程清单及超过一定规模的危险性较大的分部分项工程清单”中与本招标项目相关的清单项，具体详见第5点“打</w:t>
      </w:r>
      <w:r>
        <w:rPr>
          <w:rFonts w:hint="eastAsia" w:ascii="宋体" w:hAnsi="宋体"/>
          <w:color w:val="auto"/>
          <w:sz w:val="24"/>
          <w:szCs w:val="36"/>
          <w:highlight w:val="none"/>
        </w:rPr>
        <w:t>√”标识。</w:t>
      </w:r>
    </w:p>
    <w:p w14:paraId="38DE3022">
      <w:pPr>
        <w:numPr>
          <w:ilvl w:val="0"/>
          <w:numId w:val="4"/>
        </w:numPr>
        <w:autoSpaceDE w:val="0"/>
        <w:autoSpaceDN w:val="0"/>
        <w:spacing w:line="360" w:lineRule="auto"/>
        <w:rPr>
          <w:rFonts w:hint="eastAsia" w:ascii="宋体" w:hAnsi="宋体"/>
          <w:color w:val="auto"/>
          <w:sz w:val="24"/>
          <w:szCs w:val="36"/>
          <w:highlight w:val="none"/>
        </w:rPr>
      </w:pPr>
      <w:r>
        <w:rPr>
          <w:rFonts w:hint="eastAsia" w:ascii="宋体" w:hAnsi="宋体"/>
          <w:color w:val="auto"/>
          <w:sz w:val="24"/>
          <w:szCs w:val="28"/>
          <w:highlight w:val="none"/>
        </w:rPr>
        <w:t>投标单位同意招标人在清单中标识的该项请在对应项打“</w:t>
      </w:r>
      <w:r>
        <w:rPr>
          <w:rFonts w:hint="eastAsia" w:ascii="宋体" w:hAnsi="宋体"/>
          <w:color w:val="auto"/>
          <w:sz w:val="24"/>
          <w:szCs w:val="36"/>
          <w:highlight w:val="none"/>
        </w:rPr>
        <w:t>√”标识，并在投标文件中提供相应的安全管理措施。</w:t>
      </w:r>
    </w:p>
    <w:p w14:paraId="3EE94F75">
      <w:pPr>
        <w:numPr>
          <w:ilvl w:val="0"/>
          <w:numId w:val="4"/>
        </w:numPr>
        <w:autoSpaceDE w:val="0"/>
        <w:autoSpaceDN w:val="0"/>
        <w:spacing w:line="360" w:lineRule="auto"/>
        <w:rPr>
          <w:rFonts w:hint="eastAsia" w:ascii="宋体" w:hAnsi="宋体"/>
          <w:color w:val="auto"/>
          <w:sz w:val="24"/>
          <w:szCs w:val="36"/>
          <w:highlight w:val="none"/>
        </w:rPr>
      </w:pPr>
      <w:r>
        <w:rPr>
          <w:rFonts w:hint="eastAsia" w:ascii="宋体" w:hAnsi="宋体"/>
          <w:color w:val="auto"/>
          <w:sz w:val="24"/>
          <w:szCs w:val="28"/>
          <w:highlight w:val="none"/>
        </w:rPr>
        <w:t>投标单位对清单中认为需要补充的该项请在对应项打“</w:t>
      </w:r>
      <w:r>
        <w:rPr>
          <w:rFonts w:hint="eastAsia" w:ascii="宋体" w:hAnsi="宋体"/>
          <w:color w:val="auto"/>
          <w:sz w:val="24"/>
          <w:szCs w:val="36"/>
          <w:highlight w:val="none"/>
        </w:rPr>
        <w:t>√”标识，并在投标文件中提供相应的安全管理措施。</w:t>
      </w:r>
    </w:p>
    <w:p w14:paraId="179A23CF">
      <w:pPr>
        <w:numPr>
          <w:ilvl w:val="0"/>
          <w:numId w:val="4"/>
        </w:numPr>
        <w:autoSpaceDE w:val="0"/>
        <w:autoSpaceDN w:val="0"/>
        <w:spacing w:line="360" w:lineRule="auto"/>
        <w:rPr>
          <w:rFonts w:hint="eastAsia" w:ascii="宋体" w:hAnsi="宋体"/>
          <w:color w:val="auto"/>
          <w:sz w:val="24"/>
          <w:szCs w:val="28"/>
          <w:highlight w:val="none"/>
        </w:rPr>
      </w:pPr>
      <w:r>
        <w:rPr>
          <w:rFonts w:hint="eastAsia" w:ascii="宋体" w:hAnsi="宋体"/>
          <w:color w:val="auto"/>
          <w:sz w:val="24"/>
          <w:szCs w:val="36"/>
          <w:highlight w:val="none"/>
        </w:rPr>
        <w:t>投标单位不同意招标人</w:t>
      </w:r>
      <w:r>
        <w:rPr>
          <w:rFonts w:hint="eastAsia" w:ascii="宋体" w:hAnsi="宋体"/>
          <w:color w:val="auto"/>
          <w:sz w:val="24"/>
          <w:szCs w:val="28"/>
          <w:highlight w:val="none"/>
        </w:rPr>
        <w:t>在清单中标识的该项</w:t>
      </w:r>
      <w:r>
        <w:rPr>
          <w:rFonts w:hint="eastAsia" w:ascii="宋体" w:hAnsi="宋体"/>
          <w:color w:val="auto"/>
          <w:sz w:val="24"/>
          <w:szCs w:val="36"/>
          <w:highlight w:val="none"/>
        </w:rPr>
        <w:t>请在对应项打“×”标识，并在备注栏填上相关说明。</w:t>
      </w:r>
    </w:p>
    <w:p w14:paraId="0F5C69AF">
      <w:pPr>
        <w:numPr>
          <w:ilvl w:val="0"/>
          <w:numId w:val="3"/>
        </w:numPr>
        <w:autoSpaceDE w:val="0"/>
        <w:autoSpaceDN w:val="0"/>
        <w:spacing w:line="360" w:lineRule="auto"/>
        <w:rPr>
          <w:rFonts w:hint="eastAsia" w:ascii="宋体" w:hAnsi="宋体"/>
          <w:color w:val="auto"/>
          <w:sz w:val="24"/>
          <w:szCs w:val="28"/>
          <w:highlight w:val="none"/>
        </w:rPr>
      </w:pPr>
      <w:r>
        <w:rPr>
          <w:rFonts w:hint="eastAsia" w:ascii="宋体" w:hAnsi="宋体"/>
          <w:color w:val="auto"/>
          <w:sz w:val="24"/>
          <w:szCs w:val="28"/>
          <w:highlight w:val="none"/>
        </w:rPr>
        <w:t>投标单位应当在投标时根据招标人提供的下述第</w:t>
      </w:r>
      <w:r>
        <w:rPr>
          <w:rFonts w:ascii="宋体" w:hAnsi="宋体"/>
          <w:color w:val="auto"/>
          <w:sz w:val="24"/>
          <w:szCs w:val="28"/>
          <w:highlight w:val="none"/>
        </w:rPr>
        <w:t>5点清单，在投标文件中编制专项施工方案。</w:t>
      </w:r>
    </w:p>
    <w:p w14:paraId="674F1BDD">
      <w:pPr>
        <w:numPr>
          <w:ilvl w:val="0"/>
          <w:numId w:val="3"/>
        </w:numPr>
        <w:autoSpaceDE w:val="0"/>
        <w:autoSpaceDN w:val="0"/>
        <w:spacing w:line="360" w:lineRule="auto"/>
        <w:rPr>
          <w:rFonts w:hint="eastAsia" w:ascii="宋体" w:hAnsi="宋体"/>
          <w:color w:val="auto"/>
          <w:sz w:val="24"/>
          <w:szCs w:val="28"/>
          <w:highlight w:val="none"/>
        </w:rPr>
      </w:pPr>
      <w:r>
        <w:rPr>
          <w:rFonts w:hint="eastAsia" w:ascii="宋体" w:hAnsi="宋体"/>
          <w:color w:val="auto"/>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60ECDD73">
      <w:pPr>
        <w:numPr>
          <w:ilvl w:val="0"/>
          <w:numId w:val="3"/>
        </w:numPr>
        <w:autoSpaceDE w:val="0"/>
        <w:autoSpaceDN w:val="0"/>
        <w:spacing w:line="360" w:lineRule="auto"/>
        <w:rPr>
          <w:rFonts w:hint="eastAsia" w:ascii="宋体" w:hAnsi="宋体"/>
          <w:color w:val="auto"/>
          <w:sz w:val="24"/>
          <w:szCs w:val="28"/>
          <w:highlight w:val="none"/>
        </w:rPr>
      </w:pPr>
      <w:r>
        <w:rPr>
          <w:rFonts w:hint="eastAsia" w:ascii="宋体" w:hAnsi="宋体"/>
          <w:color w:val="auto"/>
          <w:sz w:val="24"/>
          <w:szCs w:val="28"/>
          <w:highlight w:val="none"/>
        </w:rPr>
        <w:t>危险性较大的分部分项工程清单及超过一定规模的危险性较大的分部分项工程清单：</w:t>
      </w:r>
    </w:p>
    <w:p w14:paraId="79F881C1">
      <w:pPr>
        <w:widowControl/>
        <w:jc w:val="left"/>
        <w:rPr>
          <w:rFonts w:hint="eastAsia" w:ascii="宋体" w:hAnsi="宋体"/>
          <w:color w:val="auto"/>
          <w:sz w:val="24"/>
          <w:szCs w:val="28"/>
          <w:highlight w:val="none"/>
        </w:rPr>
      </w:pPr>
      <w:r>
        <w:rPr>
          <w:rFonts w:ascii="宋体" w:hAnsi="宋体"/>
          <w:color w:val="auto"/>
          <w:sz w:val="24"/>
          <w:szCs w:val="28"/>
          <w:highlight w:val="none"/>
        </w:rPr>
        <w:br w:type="page"/>
      </w:r>
    </w:p>
    <w:tbl>
      <w:tblPr>
        <w:tblStyle w:val="49"/>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8"/>
        <w:gridCol w:w="1361"/>
        <w:gridCol w:w="1361"/>
        <w:gridCol w:w="1028"/>
      </w:tblGrid>
      <w:tr w14:paraId="41D0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vAlign w:val="center"/>
          </w:tcPr>
          <w:p w14:paraId="4D96C86A">
            <w:pPr>
              <w:jc w:val="center"/>
              <w:rPr>
                <w:rFonts w:hint="eastAsia" w:ascii="宋体" w:hAnsi="宋体"/>
                <w:b/>
                <w:color w:val="auto"/>
                <w:szCs w:val="21"/>
                <w:highlight w:val="none"/>
              </w:rPr>
            </w:pPr>
            <w:r>
              <w:rPr>
                <w:rFonts w:hint="eastAsia" w:ascii="宋体" w:hAnsi="宋体"/>
                <w:b/>
                <w:color w:val="auto"/>
                <w:szCs w:val="21"/>
                <w:highlight w:val="none"/>
              </w:rPr>
              <w:t>一、危险性较大的分部分项工程清单</w:t>
            </w:r>
          </w:p>
        </w:tc>
        <w:tc>
          <w:tcPr>
            <w:tcW w:w="1361" w:type="dxa"/>
            <w:tcBorders>
              <w:top w:val="single" w:color="auto" w:sz="4" w:space="0"/>
              <w:left w:val="single" w:color="auto" w:sz="4" w:space="0"/>
              <w:bottom w:val="single" w:color="auto" w:sz="4" w:space="0"/>
              <w:right w:val="single" w:color="auto" w:sz="4" w:space="0"/>
            </w:tcBorders>
            <w:vAlign w:val="center"/>
          </w:tcPr>
          <w:p w14:paraId="2C937BBA">
            <w:pPr>
              <w:jc w:val="center"/>
              <w:rPr>
                <w:rFonts w:hint="eastAsia" w:ascii="宋体" w:hAnsi="宋体"/>
                <w:color w:val="auto"/>
                <w:szCs w:val="21"/>
                <w:highlight w:val="none"/>
              </w:rPr>
            </w:pPr>
            <w:r>
              <w:rPr>
                <w:rFonts w:hint="eastAsia" w:ascii="宋体" w:hAnsi="宋体"/>
                <w:color w:val="auto"/>
                <w:szCs w:val="21"/>
                <w:highlight w:val="none"/>
              </w:rPr>
              <w:t>建设单位</w:t>
            </w:r>
          </w:p>
        </w:tc>
        <w:tc>
          <w:tcPr>
            <w:tcW w:w="1361" w:type="dxa"/>
            <w:tcBorders>
              <w:top w:val="single" w:color="auto" w:sz="4" w:space="0"/>
              <w:left w:val="single" w:color="auto" w:sz="4" w:space="0"/>
              <w:bottom w:val="single" w:color="auto" w:sz="4" w:space="0"/>
              <w:right w:val="single" w:color="auto" w:sz="4" w:space="0"/>
            </w:tcBorders>
            <w:vAlign w:val="center"/>
          </w:tcPr>
          <w:p w14:paraId="30FE53A8">
            <w:pPr>
              <w:jc w:val="center"/>
              <w:rPr>
                <w:rFonts w:hint="eastAsia" w:ascii="宋体" w:hAnsi="宋体"/>
                <w:color w:val="auto"/>
                <w:szCs w:val="21"/>
                <w:highlight w:val="none"/>
              </w:rPr>
            </w:pPr>
            <w:r>
              <w:rPr>
                <w:rFonts w:hint="eastAsia" w:ascii="宋体" w:hAnsi="宋体"/>
                <w:color w:val="auto"/>
                <w:szCs w:val="21"/>
                <w:highlight w:val="none"/>
              </w:rPr>
              <w:t>投标单位</w:t>
            </w:r>
          </w:p>
        </w:tc>
        <w:tc>
          <w:tcPr>
            <w:tcW w:w="1028" w:type="dxa"/>
            <w:tcBorders>
              <w:top w:val="single" w:color="auto" w:sz="4" w:space="0"/>
              <w:left w:val="single" w:color="auto" w:sz="4" w:space="0"/>
              <w:bottom w:val="single" w:color="auto" w:sz="4" w:space="0"/>
              <w:right w:val="single" w:color="auto" w:sz="4" w:space="0"/>
            </w:tcBorders>
            <w:vAlign w:val="center"/>
          </w:tcPr>
          <w:p w14:paraId="27DC19A4">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69A0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75AF857B">
            <w:pPr>
              <w:jc w:val="left"/>
              <w:rPr>
                <w:rFonts w:hint="eastAsia" w:ascii="宋体" w:hAnsi="宋体"/>
                <w:color w:val="auto"/>
                <w:szCs w:val="21"/>
                <w:highlight w:val="none"/>
              </w:rPr>
            </w:pPr>
            <w:r>
              <w:rPr>
                <w:rFonts w:hint="eastAsia" w:ascii="宋体" w:hAnsi="宋体"/>
                <w:b/>
                <w:color w:val="auto"/>
                <w:szCs w:val="21"/>
                <w:highlight w:val="none"/>
              </w:rPr>
              <w:t>一、基坑支护</w:t>
            </w:r>
          </w:p>
        </w:tc>
      </w:tr>
      <w:tr w14:paraId="1506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57475547">
            <w:pPr>
              <w:jc w:val="left"/>
              <w:rPr>
                <w:rFonts w:hint="eastAsia" w:ascii="宋体" w:hAnsi="宋体"/>
                <w:color w:val="auto"/>
                <w:szCs w:val="21"/>
                <w:highlight w:val="none"/>
              </w:rPr>
            </w:pPr>
            <w:r>
              <w:rPr>
                <w:rFonts w:hint="eastAsia" w:ascii="宋体" w:hAnsi="宋体"/>
                <w:color w:val="auto"/>
                <w:szCs w:val="21"/>
                <w:highlight w:val="none"/>
              </w:rPr>
              <w:t>（一）开挖深度超过3m（含3m）的基坑（槽）的土方开挖、支护、降水工程。</w:t>
            </w:r>
          </w:p>
        </w:tc>
        <w:tc>
          <w:tcPr>
            <w:tcW w:w="1361" w:type="dxa"/>
            <w:tcBorders>
              <w:top w:val="single" w:color="auto" w:sz="4" w:space="0"/>
              <w:left w:val="single" w:color="auto" w:sz="4" w:space="0"/>
              <w:bottom w:val="single" w:color="auto" w:sz="4" w:space="0"/>
              <w:right w:val="single" w:color="auto" w:sz="4" w:space="0"/>
            </w:tcBorders>
            <w:vAlign w:val="center"/>
          </w:tcPr>
          <w:p w14:paraId="669F5F74">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B1DDD1B">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13B800DF">
            <w:pPr>
              <w:jc w:val="center"/>
              <w:rPr>
                <w:rFonts w:hint="eastAsia" w:ascii="宋体" w:hAnsi="宋体"/>
                <w:color w:val="auto"/>
                <w:szCs w:val="21"/>
                <w:highlight w:val="none"/>
              </w:rPr>
            </w:pPr>
          </w:p>
        </w:tc>
      </w:tr>
      <w:tr w14:paraId="006D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25AD0004">
            <w:pPr>
              <w:jc w:val="left"/>
              <w:rPr>
                <w:rFonts w:hint="eastAsia" w:ascii="宋体" w:hAnsi="宋体"/>
                <w:color w:val="auto"/>
                <w:szCs w:val="21"/>
                <w:highlight w:val="none"/>
              </w:rPr>
            </w:pPr>
            <w:r>
              <w:rPr>
                <w:rFonts w:hint="eastAsia" w:ascii="宋体" w:hAnsi="宋体"/>
                <w:color w:val="auto"/>
                <w:szCs w:val="21"/>
                <w:highlight w:val="none"/>
              </w:rPr>
              <w:t>（二）开挖深度虽未超过3m，但地质条件、周围环境和地下管线复杂，或影响毗邻建、构筑物安全的基坑（槽）的土方开挖、支护、降水工程。</w:t>
            </w:r>
          </w:p>
        </w:tc>
        <w:tc>
          <w:tcPr>
            <w:tcW w:w="1361" w:type="dxa"/>
            <w:tcBorders>
              <w:top w:val="single" w:color="auto" w:sz="4" w:space="0"/>
              <w:left w:val="single" w:color="auto" w:sz="4" w:space="0"/>
              <w:bottom w:val="single" w:color="auto" w:sz="4" w:space="0"/>
              <w:right w:val="single" w:color="auto" w:sz="4" w:space="0"/>
            </w:tcBorders>
            <w:vAlign w:val="center"/>
          </w:tcPr>
          <w:p w14:paraId="78E668F3">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A5527C4">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6FE35CD9">
            <w:pPr>
              <w:jc w:val="center"/>
              <w:rPr>
                <w:rFonts w:hint="eastAsia" w:ascii="宋体" w:hAnsi="宋体"/>
                <w:color w:val="auto"/>
                <w:szCs w:val="21"/>
                <w:highlight w:val="none"/>
              </w:rPr>
            </w:pPr>
          </w:p>
        </w:tc>
      </w:tr>
      <w:tr w14:paraId="683F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11078329">
            <w:pPr>
              <w:jc w:val="left"/>
              <w:rPr>
                <w:rFonts w:hint="eastAsia" w:ascii="宋体" w:hAnsi="宋体"/>
                <w:color w:val="auto"/>
                <w:szCs w:val="21"/>
                <w:highlight w:val="none"/>
              </w:rPr>
            </w:pPr>
            <w:r>
              <w:rPr>
                <w:rFonts w:hint="eastAsia" w:ascii="宋体" w:hAnsi="宋体"/>
                <w:b/>
                <w:color w:val="auto"/>
                <w:szCs w:val="21"/>
                <w:highlight w:val="none"/>
              </w:rPr>
              <w:t>二、模板工程及支撑体系</w:t>
            </w:r>
          </w:p>
        </w:tc>
      </w:tr>
      <w:tr w14:paraId="53B3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65558489">
            <w:pPr>
              <w:jc w:val="left"/>
              <w:rPr>
                <w:rFonts w:hint="eastAsia"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vAlign w:val="center"/>
          </w:tcPr>
          <w:p w14:paraId="1CCA6CC4">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CBB4B62">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5847C092">
            <w:pPr>
              <w:jc w:val="center"/>
              <w:rPr>
                <w:rFonts w:hint="eastAsia" w:ascii="宋体" w:hAnsi="宋体"/>
                <w:color w:val="auto"/>
                <w:szCs w:val="21"/>
                <w:highlight w:val="none"/>
              </w:rPr>
            </w:pPr>
          </w:p>
        </w:tc>
      </w:tr>
      <w:tr w14:paraId="50E3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2B99EC14">
            <w:pPr>
              <w:jc w:val="left"/>
              <w:rPr>
                <w:rFonts w:hint="eastAsia" w:ascii="宋体" w:hAnsi="宋体"/>
                <w:color w:val="auto"/>
                <w:szCs w:val="21"/>
                <w:highlight w:val="none"/>
              </w:rPr>
            </w:pPr>
            <w:r>
              <w:rPr>
                <w:rFonts w:hint="eastAsia" w:ascii="宋体" w:hAnsi="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color="auto" w:sz="4" w:space="0"/>
              <w:left w:val="single" w:color="auto" w:sz="4" w:space="0"/>
              <w:bottom w:val="single" w:color="auto" w:sz="4" w:space="0"/>
              <w:right w:val="single" w:color="auto" w:sz="4" w:space="0"/>
            </w:tcBorders>
            <w:vAlign w:val="center"/>
          </w:tcPr>
          <w:p w14:paraId="4B028884">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B3C1435">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0AE01072">
            <w:pPr>
              <w:jc w:val="center"/>
              <w:rPr>
                <w:rFonts w:hint="eastAsia" w:ascii="宋体" w:hAnsi="宋体"/>
                <w:color w:val="auto"/>
                <w:szCs w:val="21"/>
                <w:highlight w:val="none"/>
              </w:rPr>
            </w:pPr>
          </w:p>
        </w:tc>
      </w:tr>
      <w:tr w14:paraId="66E5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46C090C0">
            <w:pPr>
              <w:widowControl/>
              <w:jc w:val="left"/>
              <w:rPr>
                <w:rFonts w:hint="eastAsia"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361" w:type="dxa"/>
            <w:tcBorders>
              <w:top w:val="single" w:color="auto" w:sz="4" w:space="0"/>
              <w:left w:val="single" w:color="auto" w:sz="4" w:space="0"/>
              <w:bottom w:val="single" w:color="auto" w:sz="4" w:space="0"/>
              <w:right w:val="single" w:color="auto" w:sz="4" w:space="0"/>
            </w:tcBorders>
            <w:vAlign w:val="center"/>
          </w:tcPr>
          <w:p w14:paraId="647DEAB7">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4DA26DEF">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6B604289">
            <w:pPr>
              <w:jc w:val="center"/>
              <w:rPr>
                <w:rFonts w:hint="eastAsia" w:ascii="宋体" w:hAnsi="宋体"/>
                <w:color w:val="auto"/>
                <w:szCs w:val="21"/>
                <w:highlight w:val="none"/>
              </w:rPr>
            </w:pPr>
          </w:p>
        </w:tc>
      </w:tr>
      <w:tr w14:paraId="2F93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0E13FB12">
            <w:pPr>
              <w:jc w:val="left"/>
              <w:rPr>
                <w:rFonts w:hint="eastAsia" w:ascii="宋体" w:hAnsi="宋体"/>
                <w:color w:val="auto"/>
                <w:szCs w:val="21"/>
                <w:highlight w:val="none"/>
              </w:rPr>
            </w:pPr>
            <w:r>
              <w:rPr>
                <w:rFonts w:hint="eastAsia" w:ascii="宋体" w:hAnsi="宋体" w:cs="宋体"/>
                <w:b/>
                <w:color w:val="auto"/>
                <w:szCs w:val="21"/>
                <w:highlight w:val="none"/>
              </w:rPr>
              <w:t>三、起重吊装及起重机械安装拆卸工程</w:t>
            </w:r>
          </w:p>
        </w:tc>
      </w:tr>
      <w:tr w14:paraId="586A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4A3EBDD8">
            <w:pPr>
              <w:widowControl/>
              <w:jc w:val="left"/>
              <w:rPr>
                <w:rFonts w:hint="eastAsia"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361" w:type="dxa"/>
            <w:tcBorders>
              <w:top w:val="single" w:color="auto" w:sz="4" w:space="0"/>
              <w:left w:val="single" w:color="auto" w:sz="4" w:space="0"/>
              <w:bottom w:val="single" w:color="auto" w:sz="4" w:space="0"/>
              <w:right w:val="single" w:color="auto" w:sz="4" w:space="0"/>
            </w:tcBorders>
            <w:vAlign w:val="center"/>
          </w:tcPr>
          <w:p w14:paraId="6405D5FE">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4EEF58E6">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4F325169">
            <w:pPr>
              <w:jc w:val="center"/>
              <w:rPr>
                <w:rFonts w:hint="eastAsia" w:ascii="宋体" w:hAnsi="宋体"/>
                <w:color w:val="auto"/>
                <w:szCs w:val="21"/>
                <w:highlight w:val="none"/>
              </w:rPr>
            </w:pPr>
          </w:p>
        </w:tc>
      </w:tr>
      <w:tr w14:paraId="40C9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77490079">
            <w:pPr>
              <w:jc w:val="left"/>
              <w:rPr>
                <w:rFonts w:hint="eastAsia" w:ascii="宋体" w:hAnsi="宋体"/>
                <w:color w:val="auto"/>
                <w:szCs w:val="21"/>
                <w:highlight w:val="none"/>
              </w:rPr>
            </w:pPr>
            <w:r>
              <w:rPr>
                <w:rFonts w:hint="eastAsia" w:ascii="宋体" w:hAnsi="宋体" w:cs="宋体"/>
                <w:color w:val="auto"/>
                <w:szCs w:val="21"/>
                <w:highlight w:val="none"/>
              </w:rPr>
              <w:t>（二）采用起重机械进行安装的工程。</w:t>
            </w:r>
          </w:p>
        </w:tc>
        <w:tc>
          <w:tcPr>
            <w:tcW w:w="1361" w:type="dxa"/>
            <w:tcBorders>
              <w:top w:val="single" w:color="auto" w:sz="4" w:space="0"/>
              <w:left w:val="single" w:color="auto" w:sz="4" w:space="0"/>
              <w:bottom w:val="single" w:color="auto" w:sz="4" w:space="0"/>
              <w:right w:val="single" w:color="auto" w:sz="4" w:space="0"/>
            </w:tcBorders>
            <w:vAlign w:val="center"/>
          </w:tcPr>
          <w:p w14:paraId="46A41845">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043E1B7">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6736EA5E">
            <w:pPr>
              <w:jc w:val="center"/>
              <w:rPr>
                <w:rFonts w:hint="eastAsia" w:ascii="宋体" w:hAnsi="宋体"/>
                <w:color w:val="auto"/>
                <w:szCs w:val="21"/>
                <w:highlight w:val="none"/>
              </w:rPr>
            </w:pPr>
          </w:p>
        </w:tc>
      </w:tr>
      <w:tr w14:paraId="6A81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200FF4AB">
            <w:pPr>
              <w:jc w:val="left"/>
              <w:rPr>
                <w:rFonts w:hint="eastAsia"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361" w:type="dxa"/>
            <w:tcBorders>
              <w:top w:val="single" w:color="auto" w:sz="4" w:space="0"/>
              <w:left w:val="single" w:color="auto" w:sz="4" w:space="0"/>
              <w:bottom w:val="single" w:color="auto" w:sz="4" w:space="0"/>
              <w:right w:val="single" w:color="auto" w:sz="4" w:space="0"/>
            </w:tcBorders>
            <w:vAlign w:val="center"/>
          </w:tcPr>
          <w:p w14:paraId="1F2A08AF">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A9BDCC5">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38713813">
            <w:pPr>
              <w:jc w:val="center"/>
              <w:rPr>
                <w:rFonts w:hint="eastAsia" w:ascii="宋体" w:hAnsi="宋体"/>
                <w:color w:val="auto"/>
                <w:szCs w:val="21"/>
                <w:highlight w:val="none"/>
              </w:rPr>
            </w:pPr>
          </w:p>
        </w:tc>
      </w:tr>
      <w:tr w14:paraId="271C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7315D1BC">
            <w:pPr>
              <w:jc w:val="left"/>
              <w:rPr>
                <w:rFonts w:hint="eastAsia" w:ascii="宋体" w:hAnsi="宋体"/>
                <w:color w:val="auto"/>
                <w:szCs w:val="21"/>
                <w:highlight w:val="none"/>
              </w:rPr>
            </w:pPr>
            <w:r>
              <w:rPr>
                <w:rFonts w:hint="eastAsia" w:ascii="宋体" w:hAnsi="宋体"/>
                <w:b/>
                <w:color w:val="auto"/>
                <w:szCs w:val="21"/>
                <w:highlight w:val="none"/>
              </w:rPr>
              <w:t>四、脚手架工程</w:t>
            </w:r>
          </w:p>
        </w:tc>
      </w:tr>
      <w:tr w14:paraId="3041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7D10A98D">
            <w:pPr>
              <w:jc w:val="left"/>
              <w:rPr>
                <w:rFonts w:hint="eastAsia" w:ascii="宋体" w:hAnsi="宋体"/>
                <w:color w:val="auto"/>
                <w:szCs w:val="21"/>
                <w:highlight w:val="none"/>
              </w:rPr>
            </w:pPr>
            <w:r>
              <w:rPr>
                <w:rFonts w:hint="eastAsia" w:ascii="宋体" w:hAnsi="宋体"/>
                <w:color w:val="auto"/>
                <w:szCs w:val="21"/>
                <w:highlight w:val="none"/>
              </w:rPr>
              <w:t>（一）搭设高度24m及以上的落地式钢管脚手架工程（包括采光井、电梯井脚手架）。</w:t>
            </w:r>
          </w:p>
        </w:tc>
        <w:tc>
          <w:tcPr>
            <w:tcW w:w="1361" w:type="dxa"/>
            <w:tcBorders>
              <w:top w:val="single" w:color="auto" w:sz="4" w:space="0"/>
              <w:left w:val="single" w:color="auto" w:sz="4" w:space="0"/>
              <w:bottom w:val="single" w:color="auto" w:sz="4" w:space="0"/>
              <w:right w:val="single" w:color="auto" w:sz="4" w:space="0"/>
            </w:tcBorders>
            <w:vAlign w:val="center"/>
          </w:tcPr>
          <w:p w14:paraId="0345762B">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AD3117C">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2E528EED">
            <w:pPr>
              <w:jc w:val="center"/>
              <w:rPr>
                <w:rFonts w:hint="eastAsia" w:ascii="宋体" w:hAnsi="宋体"/>
                <w:color w:val="auto"/>
                <w:szCs w:val="21"/>
                <w:highlight w:val="none"/>
              </w:rPr>
            </w:pPr>
          </w:p>
        </w:tc>
      </w:tr>
      <w:tr w14:paraId="33A7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6D017250">
            <w:pPr>
              <w:jc w:val="left"/>
              <w:rPr>
                <w:rFonts w:hint="eastAsia" w:ascii="宋体" w:hAnsi="宋体"/>
                <w:color w:val="auto"/>
                <w:szCs w:val="21"/>
                <w:highlight w:val="none"/>
              </w:rPr>
            </w:pPr>
            <w:r>
              <w:rPr>
                <w:rFonts w:hint="eastAsia" w:ascii="宋体" w:hAnsi="宋体"/>
                <w:color w:val="auto"/>
                <w:szCs w:val="21"/>
                <w:highlight w:val="none"/>
              </w:rPr>
              <w:t>（二）附着式升降脚手架工程。</w:t>
            </w:r>
          </w:p>
        </w:tc>
        <w:tc>
          <w:tcPr>
            <w:tcW w:w="1361" w:type="dxa"/>
            <w:tcBorders>
              <w:top w:val="single" w:color="auto" w:sz="4" w:space="0"/>
              <w:left w:val="single" w:color="auto" w:sz="4" w:space="0"/>
              <w:bottom w:val="single" w:color="auto" w:sz="4" w:space="0"/>
              <w:right w:val="single" w:color="auto" w:sz="4" w:space="0"/>
            </w:tcBorders>
            <w:vAlign w:val="center"/>
          </w:tcPr>
          <w:p w14:paraId="6B8B6863">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E308B95">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0767C972">
            <w:pPr>
              <w:jc w:val="center"/>
              <w:rPr>
                <w:rFonts w:hint="eastAsia" w:ascii="宋体" w:hAnsi="宋体"/>
                <w:color w:val="auto"/>
                <w:szCs w:val="21"/>
                <w:highlight w:val="none"/>
              </w:rPr>
            </w:pPr>
          </w:p>
        </w:tc>
      </w:tr>
      <w:tr w14:paraId="5121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467BA20B">
            <w:pPr>
              <w:jc w:val="left"/>
              <w:rPr>
                <w:rFonts w:hint="eastAsia" w:ascii="宋体" w:hAnsi="宋体"/>
                <w:color w:val="auto"/>
                <w:szCs w:val="21"/>
                <w:highlight w:val="none"/>
              </w:rPr>
            </w:pPr>
            <w:r>
              <w:rPr>
                <w:rFonts w:hint="eastAsia" w:ascii="宋体" w:hAnsi="宋体"/>
                <w:color w:val="auto"/>
                <w:szCs w:val="21"/>
                <w:highlight w:val="none"/>
              </w:rPr>
              <w:t>（三）悬挑式脚手架工程。</w:t>
            </w:r>
          </w:p>
        </w:tc>
        <w:tc>
          <w:tcPr>
            <w:tcW w:w="1361" w:type="dxa"/>
            <w:tcBorders>
              <w:top w:val="single" w:color="auto" w:sz="4" w:space="0"/>
              <w:left w:val="single" w:color="auto" w:sz="4" w:space="0"/>
              <w:bottom w:val="single" w:color="auto" w:sz="4" w:space="0"/>
              <w:right w:val="single" w:color="auto" w:sz="4" w:space="0"/>
            </w:tcBorders>
            <w:vAlign w:val="center"/>
          </w:tcPr>
          <w:p w14:paraId="10046980">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44FFD63">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5BB8870B">
            <w:pPr>
              <w:jc w:val="center"/>
              <w:rPr>
                <w:rFonts w:hint="eastAsia" w:ascii="宋体" w:hAnsi="宋体"/>
                <w:color w:val="auto"/>
                <w:szCs w:val="21"/>
                <w:highlight w:val="none"/>
              </w:rPr>
            </w:pPr>
          </w:p>
        </w:tc>
      </w:tr>
      <w:tr w14:paraId="35D1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13169488">
            <w:pPr>
              <w:jc w:val="left"/>
              <w:rPr>
                <w:rFonts w:hint="eastAsia" w:ascii="宋体" w:hAnsi="宋体"/>
                <w:color w:val="auto"/>
                <w:szCs w:val="21"/>
                <w:highlight w:val="none"/>
              </w:rPr>
            </w:pPr>
            <w:r>
              <w:rPr>
                <w:rFonts w:hint="eastAsia" w:ascii="宋体" w:hAnsi="宋体"/>
                <w:color w:val="auto"/>
                <w:szCs w:val="21"/>
                <w:highlight w:val="none"/>
              </w:rPr>
              <w:t>（四）高处作业吊篮。</w:t>
            </w:r>
          </w:p>
        </w:tc>
        <w:tc>
          <w:tcPr>
            <w:tcW w:w="1361" w:type="dxa"/>
            <w:tcBorders>
              <w:top w:val="single" w:color="auto" w:sz="4" w:space="0"/>
              <w:left w:val="single" w:color="auto" w:sz="4" w:space="0"/>
              <w:bottom w:val="single" w:color="auto" w:sz="4" w:space="0"/>
              <w:right w:val="single" w:color="auto" w:sz="4" w:space="0"/>
            </w:tcBorders>
            <w:vAlign w:val="center"/>
          </w:tcPr>
          <w:p w14:paraId="644CE791">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55C8E6C">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7AD0C2E3">
            <w:pPr>
              <w:jc w:val="center"/>
              <w:rPr>
                <w:rFonts w:hint="eastAsia" w:ascii="宋体" w:hAnsi="宋体"/>
                <w:color w:val="auto"/>
                <w:szCs w:val="21"/>
                <w:highlight w:val="none"/>
              </w:rPr>
            </w:pPr>
          </w:p>
        </w:tc>
      </w:tr>
      <w:tr w14:paraId="1416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3EBC117A">
            <w:pPr>
              <w:jc w:val="left"/>
              <w:rPr>
                <w:rFonts w:hint="eastAsia" w:ascii="宋体" w:hAnsi="宋体"/>
                <w:color w:val="auto"/>
                <w:szCs w:val="21"/>
                <w:highlight w:val="none"/>
              </w:rPr>
            </w:pPr>
            <w:r>
              <w:rPr>
                <w:rFonts w:hint="eastAsia" w:ascii="宋体" w:hAnsi="宋体"/>
                <w:color w:val="auto"/>
                <w:szCs w:val="21"/>
                <w:highlight w:val="none"/>
              </w:rPr>
              <w:t>（五）卸料平台、操作平台工程。</w:t>
            </w:r>
          </w:p>
        </w:tc>
        <w:tc>
          <w:tcPr>
            <w:tcW w:w="1361" w:type="dxa"/>
            <w:tcBorders>
              <w:top w:val="single" w:color="auto" w:sz="4" w:space="0"/>
              <w:left w:val="single" w:color="auto" w:sz="4" w:space="0"/>
              <w:bottom w:val="single" w:color="auto" w:sz="4" w:space="0"/>
              <w:right w:val="single" w:color="auto" w:sz="4" w:space="0"/>
            </w:tcBorders>
            <w:vAlign w:val="center"/>
          </w:tcPr>
          <w:p w14:paraId="4FF739A7">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A6BAEAE">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70194271">
            <w:pPr>
              <w:jc w:val="center"/>
              <w:rPr>
                <w:rFonts w:hint="eastAsia" w:ascii="宋体" w:hAnsi="宋体"/>
                <w:color w:val="auto"/>
                <w:szCs w:val="21"/>
                <w:highlight w:val="none"/>
              </w:rPr>
            </w:pPr>
          </w:p>
        </w:tc>
      </w:tr>
      <w:tr w14:paraId="161A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4D63FB58">
            <w:pPr>
              <w:jc w:val="left"/>
              <w:rPr>
                <w:rFonts w:hint="eastAsia" w:ascii="宋体" w:hAnsi="宋体"/>
                <w:color w:val="auto"/>
                <w:szCs w:val="21"/>
                <w:highlight w:val="none"/>
              </w:rPr>
            </w:pPr>
            <w:r>
              <w:rPr>
                <w:rFonts w:hint="eastAsia" w:ascii="宋体" w:hAnsi="宋体"/>
                <w:color w:val="auto"/>
                <w:szCs w:val="21"/>
                <w:highlight w:val="none"/>
              </w:rPr>
              <w:t>（六）异型脚手架工程。</w:t>
            </w:r>
          </w:p>
        </w:tc>
        <w:tc>
          <w:tcPr>
            <w:tcW w:w="1361" w:type="dxa"/>
            <w:tcBorders>
              <w:top w:val="single" w:color="auto" w:sz="4" w:space="0"/>
              <w:left w:val="single" w:color="auto" w:sz="4" w:space="0"/>
              <w:bottom w:val="single" w:color="auto" w:sz="4" w:space="0"/>
              <w:right w:val="single" w:color="auto" w:sz="4" w:space="0"/>
            </w:tcBorders>
            <w:vAlign w:val="center"/>
          </w:tcPr>
          <w:p w14:paraId="0FAE37B0">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299B10D0">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3CE0C60B">
            <w:pPr>
              <w:jc w:val="center"/>
              <w:rPr>
                <w:rFonts w:hint="eastAsia" w:ascii="宋体" w:hAnsi="宋体"/>
                <w:color w:val="auto"/>
                <w:szCs w:val="21"/>
                <w:highlight w:val="none"/>
              </w:rPr>
            </w:pPr>
          </w:p>
        </w:tc>
      </w:tr>
      <w:tr w14:paraId="4112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0C5F5A2A">
            <w:pPr>
              <w:jc w:val="left"/>
              <w:rPr>
                <w:rFonts w:hint="eastAsia" w:ascii="宋体" w:hAnsi="宋体"/>
                <w:color w:val="auto"/>
                <w:szCs w:val="21"/>
                <w:highlight w:val="none"/>
              </w:rPr>
            </w:pPr>
            <w:r>
              <w:rPr>
                <w:rFonts w:hint="eastAsia" w:ascii="宋体" w:hAnsi="宋体"/>
                <w:b/>
                <w:color w:val="auto"/>
                <w:szCs w:val="21"/>
                <w:highlight w:val="none"/>
              </w:rPr>
              <w:t>五、拆除工程</w:t>
            </w:r>
          </w:p>
        </w:tc>
      </w:tr>
      <w:tr w14:paraId="165D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03528226">
            <w:pPr>
              <w:jc w:val="left"/>
              <w:rPr>
                <w:rFonts w:hint="eastAsia" w:ascii="宋体" w:hAnsi="宋体"/>
                <w:color w:val="auto"/>
                <w:szCs w:val="21"/>
                <w:highlight w:val="none"/>
              </w:rPr>
            </w:pPr>
            <w:r>
              <w:rPr>
                <w:rFonts w:hint="eastAsia" w:ascii="宋体" w:hAnsi="宋体"/>
                <w:color w:val="auto"/>
                <w:szCs w:val="21"/>
                <w:highlight w:val="none"/>
              </w:rPr>
              <w:t>可能影响行人、交通、电力设施、通讯设施或其它建、构筑物安全的拆除工程。</w:t>
            </w:r>
          </w:p>
        </w:tc>
        <w:tc>
          <w:tcPr>
            <w:tcW w:w="1361" w:type="dxa"/>
            <w:tcBorders>
              <w:top w:val="single" w:color="auto" w:sz="4" w:space="0"/>
              <w:left w:val="single" w:color="auto" w:sz="4" w:space="0"/>
              <w:bottom w:val="single" w:color="auto" w:sz="4" w:space="0"/>
              <w:right w:val="single" w:color="auto" w:sz="4" w:space="0"/>
            </w:tcBorders>
            <w:vAlign w:val="center"/>
          </w:tcPr>
          <w:p w14:paraId="0F57958B">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E10AFA5">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512F159F">
            <w:pPr>
              <w:jc w:val="center"/>
              <w:rPr>
                <w:rFonts w:hint="eastAsia" w:ascii="宋体" w:hAnsi="宋体"/>
                <w:color w:val="auto"/>
                <w:szCs w:val="21"/>
                <w:highlight w:val="none"/>
              </w:rPr>
            </w:pPr>
          </w:p>
        </w:tc>
      </w:tr>
      <w:tr w14:paraId="25F9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15B6EEF2">
            <w:pPr>
              <w:jc w:val="left"/>
              <w:rPr>
                <w:rFonts w:hint="eastAsia" w:ascii="宋体" w:hAnsi="宋体"/>
                <w:color w:val="auto"/>
                <w:szCs w:val="21"/>
                <w:highlight w:val="none"/>
              </w:rPr>
            </w:pPr>
            <w:r>
              <w:rPr>
                <w:rFonts w:hint="eastAsia" w:ascii="宋体" w:hAnsi="宋体"/>
                <w:b/>
                <w:color w:val="auto"/>
                <w:szCs w:val="21"/>
                <w:highlight w:val="none"/>
              </w:rPr>
              <w:t>六、暗挖工程</w:t>
            </w:r>
          </w:p>
        </w:tc>
      </w:tr>
      <w:tr w14:paraId="1C1F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6F8CC87A">
            <w:pPr>
              <w:jc w:val="left"/>
              <w:rPr>
                <w:rFonts w:hint="eastAsia"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vAlign w:val="center"/>
          </w:tcPr>
          <w:p w14:paraId="06F3E297">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5486E7B">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56C3444B">
            <w:pPr>
              <w:jc w:val="center"/>
              <w:rPr>
                <w:rFonts w:hint="eastAsia" w:ascii="宋体" w:hAnsi="宋体"/>
                <w:color w:val="auto"/>
                <w:szCs w:val="21"/>
                <w:highlight w:val="none"/>
              </w:rPr>
            </w:pPr>
          </w:p>
        </w:tc>
      </w:tr>
      <w:tr w14:paraId="5F3C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09716BAB">
            <w:pPr>
              <w:jc w:val="left"/>
              <w:rPr>
                <w:rFonts w:hint="eastAsia" w:ascii="宋体" w:hAnsi="宋体"/>
                <w:color w:val="auto"/>
                <w:szCs w:val="21"/>
                <w:highlight w:val="none"/>
              </w:rPr>
            </w:pPr>
            <w:r>
              <w:rPr>
                <w:rFonts w:hint="eastAsia" w:ascii="宋体" w:hAnsi="宋体"/>
                <w:b/>
                <w:color w:val="auto"/>
                <w:szCs w:val="21"/>
                <w:highlight w:val="none"/>
              </w:rPr>
              <w:t>七、其它</w:t>
            </w:r>
          </w:p>
        </w:tc>
      </w:tr>
      <w:tr w14:paraId="061D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26030B83">
            <w:pPr>
              <w:jc w:val="left"/>
              <w:rPr>
                <w:rFonts w:hint="eastAsia" w:ascii="宋体" w:hAnsi="宋体"/>
                <w:color w:val="auto"/>
                <w:szCs w:val="21"/>
                <w:highlight w:val="none"/>
              </w:rPr>
            </w:pPr>
            <w:r>
              <w:rPr>
                <w:rFonts w:hint="eastAsia" w:ascii="宋体" w:hAnsi="宋体"/>
                <w:color w:val="auto"/>
                <w:szCs w:val="21"/>
                <w:highlight w:val="none"/>
              </w:rPr>
              <w:t>（一）建筑幕墙安装工程。</w:t>
            </w:r>
          </w:p>
        </w:tc>
        <w:tc>
          <w:tcPr>
            <w:tcW w:w="1361" w:type="dxa"/>
            <w:tcBorders>
              <w:top w:val="single" w:color="auto" w:sz="4" w:space="0"/>
              <w:left w:val="single" w:color="auto" w:sz="4" w:space="0"/>
              <w:bottom w:val="single" w:color="auto" w:sz="4" w:space="0"/>
              <w:right w:val="single" w:color="auto" w:sz="4" w:space="0"/>
            </w:tcBorders>
            <w:vAlign w:val="center"/>
          </w:tcPr>
          <w:p w14:paraId="5DDD5EDB">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08CCF3A">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04F6AB7B">
            <w:pPr>
              <w:jc w:val="center"/>
              <w:rPr>
                <w:rFonts w:hint="eastAsia" w:ascii="宋体" w:hAnsi="宋体"/>
                <w:color w:val="auto"/>
                <w:szCs w:val="21"/>
                <w:highlight w:val="none"/>
              </w:rPr>
            </w:pPr>
          </w:p>
        </w:tc>
      </w:tr>
      <w:tr w14:paraId="3258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2BF1ECB7">
            <w:pPr>
              <w:jc w:val="left"/>
              <w:rPr>
                <w:rFonts w:hint="eastAsia" w:ascii="宋体" w:hAnsi="宋体"/>
                <w:color w:val="auto"/>
                <w:szCs w:val="21"/>
                <w:highlight w:val="none"/>
              </w:rPr>
            </w:pPr>
            <w:r>
              <w:rPr>
                <w:rFonts w:hint="eastAsia" w:ascii="宋体" w:hAnsi="宋体"/>
                <w:color w:val="auto"/>
                <w:szCs w:val="21"/>
                <w:highlight w:val="none"/>
              </w:rPr>
              <w:t>（二）钢结构、网架和索膜结构安装工程。</w:t>
            </w:r>
          </w:p>
        </w:tc>
        <w:tc>
          <w:tcPr>
            <w:tcW w:w="1361" w:type="dxa"/>
            <w:tcBorders>
              <w:top w:val="single" w:color="auto" w:sz="4" w:space="0"/>
              <w:left w:val="single" w:color="auto" w:sz="4" w:space="0"/>
              <w:bottom w:val="single" w:color="auto" w:sz="4" w:space="0"/>
              <w:right w:val="single" w:color="auto" w:sz="4" w:space="0"/>
            </w:tcBorders>
            <w:vAlign w:val="center"/>
          </w:tcPr>
          <w:p w14:paraId="7B12E744">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F3F2426">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545A96CD">
            <w:pPr>
              <w:jc w:val="center"/>
              <w:rPr>
                <w:rFonts w:hint="eastAsia" w:ascii="宋体" w:hAnsi="宋体"/>
                <w:color w:val="auto"/>
                <w:szCs w:val="21"/>
                <w:highlight w:val="none"/>
              </w:rPr>
            </w:pPr>
          </w:p>
        </w:tc>
      </w:tr>
      <w:tr w14:paraId="1817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797EE753">
            <w:pPr>
              <w:jc w:val="left"/>
              <w:rPr>
                <w:rFonts w:hint="eastAsia" w:ascii="宋体" w:hAnsi="宋体"/>
                <w:color w:val="auto"/>
                <w:szCs w:val="21"/>
                <w:highlight w:val="none"/>
              </w:rPr>
            </w:pPr>
            <w:r>
              <w:rPr>
                <w:rFonts w:hint="eastAsia" w:ascii="宋体" w:hAnsi="宋体"/>
                <w:color w:val="auto"/>
                <w:szCs w:val="21"/>
                <w:highlight w:val="none"/>
              </w:rPr>
              <w:t>（三）人工挖孔桩工程。</w:t>
            </w:r>
          </w:p>
        </w:tc>
        <w:tc>
          <w:tcPr>
            <w:tcW w:w="1361" w:type="dxa"/>
            <w:tcBorders>
              <w:top w:val="single" w:color="auto" w:sz="4" w:space="0"/>
              <w:left w:val="single" w:color="auto" w:sz="4" w:space="0"/>
              <w:bottom w:val="single" w:color="auto" w:sz="4" w:space="0"/>
              <w:right w:val="single" w:color="auto" w:sz="4" w:space="0"/>
            </w:tcBorders>
            <w:vAlign w:val="center"/>
          </w:tcPr>
          <w:p w14:paraId="147D49E6">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2588C204">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0A87D58B">
            <w:pPr>
              <w:jc w:val="center"/>
              <w:rPr>
                <w:rFonts w:hint="eastAsia" w:ascii="宋体" w:hAnsi="宋体"/>
                <w:color w:val="auto"/>
                <w:szCs w:val="21"/>
                <w:highlight w:val="none"/>
              </w:rPr>
            </w:pPr>
          </w:p>
        </w:tc>
      </w:tr>
      <w:tr w14:paraId="472B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69821C6B">
            <w:pPr>
              <w:jc w:val="left"/>
              <w:rPr>
                <w:rFonts w:hint="eastAsia" w:ascii="宋体" w:hAnsi="宋体"/>
                <w:color w:val="auto"/>
                <w:szCs w:val="21"/>
                <w:highlight w:val="none"/>
              </w:rPr>
            </w:pPr>
            <w:r>
              <w:rPr>
                <w:rFonts w:hint="eastAsia" w:ascii="宋体" w:hAnsi="宋体"/>
                <w:color w:val="auto"/>
                <w:szCs w:val="21"/>
                <w:highlight w:val="none"/>
              </w:rPr>
              <w:t>（四）水下作业工程。</w:t>
            </w:r>
          </w:p>
        </w:tc>
        <w:tc>
          <w:tcPr>
            <w:tcW w:w="1361" w:type="dxa"/>
            <w:tcBorders>
              <w:top w:val="single" w:color="auto" w:sz="4" w:space="0"/>
              <w:left w:val="single" w:color="auto" w:sz="4" w:space="0"/>
              <w:bottom w:val="single" w:color="auto" w:sz="4" w:space="0"/>
              <w:right w:val="single" w:color="auto" w:sz="4" w:space="0"/>
            </w:tcBorders>
            <w:vAlign w:val="center"/>
          </w:tcPr>
          <w:p w14:paraId="3F8925CA">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0B7B85F6">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1CCEDE19">
            <w:pPr>
              <w:jc w:val="center"/>
              <w:rPr>
                <w:rFonts w:hint="eastAsia" w:ascii="宋体" w:hAnsi="宋体"/>
                <w:color w:val="auto"/>
                <w:szCs w:val="21"/>
                <w:highlight w:val="none"/>
              </w:rPr>
            </w:pPr>
          </w:p>
        </w:tc>
      </w:tr>
      <w:tr w14:paraId="7EB1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5F67A8EF">
            <w:pPr>
              <w:jc w:val="left"/>
              <w:rPr>
                <w:rFonts w:hint="eastAsia" w:ascii="宋体" w:hAnsi="宋体"/>
                <w:color w:val="auto"/>
                <w:szCs w:val="21"/>
                <w:highlight w:val="none"/>
              </w:rPr>
            </w:pPr>
            <w:r>
              <w:rPr>
                <w:rFonts w:hint="eastAsia" w:ascii="宋体" w:hAnsi="宋体"/>
                <w:color w:val="auto"/>
                <w:szCs w:val="21"/>
                <w:highlight w:val="none"/>
              </w:rPr>
              <w:t>（五）装配式建筑混凝土预制构件安装工程。</w:t>
            </w:r>
          </w:p>
        </w:tc>
        <w:tc>
          <w:tcPr>
            <w:tcW w:w="1361" w:type="dxa"/>
            <w:tcBorders>
              <w:top w:val="single" w:color="auto" w:sz="4" w:space="0"/>
              <w:left w:val="single" w:color="auto" w:sz="4" w:space="0"/>
              <w:bottom w:val="single" w:color="auto" w:sz="4" w:space="0"/>
              <w:right w:val="single" w:color="auto" w:sz="4" w:space="0"/>
            </w:tcBorders>
            <w:vAlign w:val="center"/>
          </w:tcPr>
          <w:p w14:paraId="26C8BAAF">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DAE8797">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2B9498A7">
            <w:pPr>
              <w:jc w:val="center"/>
              <w:rPr>
                <w:rFonts w:hint="eastAsia" w:ascii="宋体" w:hAnsi="宋体"/>
                <w:color w:val="auto"/>
                <w:szCs w:val="21"/>
                <w:highlight w:val="none"/>
              </w:rPr>
            </w:pPr>
          </w:p>
        </w:tc>
      </w:tr>
      <w:tr w14:paraId="1189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698A95F8">
            <w:pPr>
              <w:jc w:val="left"/>
              <w:rPr>
                <w:rFonts w:hint="eastAsia"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vAlign w:val="center"/>
          </w:tcPr>
          <w:p w14:paraId="04A82B88">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429AAB1E">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42A365E8">
            <w:pPr>
              <w:jc w:val="center"/>
              <w:rPr>
                <w:rFonts w:hint="eastAsia" w:ascii="宋体" w:hAnsi="宋体"/>
                <w:color w:val="auto"/>
                <w:szCs w:val="21"/>
                <w:highlight w:val="none"/>
              </w:rPr>
            </w:pPr>
          </w:p>
        </w:tc>
      </w:tr>
      <w:tr w14:paraId="62F9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vAlign w:val="center"/>
          </w:tcPr>
          <w:p w14:paraId="5920A74A">
            <w:pPr>
              <w:widowControl/>
              <w:rPr>
                <w:rFonts w:hint="eastAsia"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361" w:type="dxa"/>
            <w:tcBorders>
              <w:top w:val="single" w:color="auto" w:sz="4" w:space="0"/>
              <w:left w:val="single" w:color="auto" w:sz="4" w:space="0"/>
              <w:bottom w:val="single" w:color="auto" w:sz="4" w:space="0"/>
              <w:right w:val="single" w:color="auto" w:sz="4" w:space="0"/>
            </w:tcBorders>
            <w:vAlign w:val="center"/>
          </w:tcPr>
          <w:p w14:paraId="54BEAA08">
            <w:pPr>
              <w:jc w:val="center"/>
              <w:rPr>
                <w:rFonts w:hint="eastAsia" w:ascii="宋体" w:hAnsi="宋体"/>
                <w:color w:val="auto"/>
                <w:szCs w:val="21"/>
                <w:highlight w:val="none"/>
              </w:rPr>
            </w:pPr>
            <w:r>
              <w:rPr>
                <w:rFonts w:hint="eastAsia" w:ascii="宋体" w:hAnsi="宋体"/>
                <w:color w:val="auto"/>
                <w:szCs w:val="21"/>
                <w:highlight w:val="none"/>
              </w:rPr>
              <w:t>建设单位</w:t>
            </w:r>
          </w:p>
        </w:tc>
        <w:tc>
          <w:tcPr>
            <w:tcW w:w="1361" w:type="dxa"/>
            <w:tcBorders>
              <w:top w:val="single" w:color="auto" w:sz="4" w:space="0"/>
              <w:left w:val="single" w:color="auto" w:sz="4" w:space="0"/>
              <w:bottom w:val="single" w:color="auto" w:sz="4" w:space="0"/>
              <w:right w:val="single" w:color="auto" w:sz="4" w:space="0"/>
            </w:tcBorders>
            <w:vAlign w:val="center"/>
          </w:tcPr>
          <w:p w14:paraId="318DE12E">
            <w:pPr>
              <w:jc w:val="center"/>
              <w:rPr>
                <w:rFonts w:hint="eastAsia" w:ascii="宋体" w:hAnsi="宋体"/>
                <w:color w:val="auto"/>
                <w:szCs w:val="21"/>
                <w:highlight w:val="none"/>
              </w:rPr>
            </w:pPr>
            <w:r>
              <w:rPr>
                <w:rFonts w:hint="eastAsia" w:ascii="宋体" w:hAnsi="宋体"/>
                <w:color w:val="auto"/>
                <w:szCs w:val="21"/>
                <w:highlight w:val="none"/>
              </w:rPr>
              <w:t>投标单位</w:t>
            </w:r>
          </w:p>
        </w:tc>
        <w:tc>
          <w:tcPr>
            <w:tcW w:w="1028" w:type="dxa"/>
            <w:tcBorders>
              <w:top w:val="single" w:color="auto" w:sz="4" w:space="0"/>
              <w:left w:val="single" w:color="auto" w:sz="4" w:space="0"/>
              <w:bottom w:val="single" w:color="auto" w:sz="4" w:space="0"/>
              <w:right w:val="single" w:color="auto" w:sz="4" w:space="0"/>
            </w:tcBorders>
            <w:vAlign w:val="center"/>
          </w:tcPr>
          <w:p w14:paraId="2B04673F">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2137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1E398F37">
            <w:pPr>
              <w:jc w:val="left"/>
              <w:rPr>
                <w:rFonts w:hint="eastAsia" w:ascii="宋体" w:hAnsi="宋体"/>
                <w:color w:val="auto"/>
                <w:szCs w:val="21"/>
                <w:highlight w:val="none"/>
              </w:rPr>
            </w:pPr>
            <w:r>
              <w:rPr>
                <w:rFonts w:hint="eastAsia" w:ascii="宋体" w:hAnsi="宋体"/>
                <w:b/>
                <w:color w:val="auto"/>
                <w:szCs w:val="21"/>
                <w:highlight w:val="none"/>
              </w:rPr>
              <w:t>一、深基坑工程</w:t>
            </w:r>
          </w:p>
        </w:tc>
      </w:tr>
      <w:tr w14:paraId="6F0F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788EEACF">
            <w:pPr>
              <w:jc w:val="left"/>
              <w:rPr>
                <w:rFonts w:hint="eastAsia" w:ascii="宋体" w:hAnsi="宋体"/>
                <w:color w:val="auto"/>
                <w:szCs w:val="21"/>
                <w:highlight w:val="none"/>
              </w:rPr>
            </w:pPr>
            <w:r>
              <w:rPr>
                <w:rFonts w:hint="eastAsia" w:ascii="宋体" w:hAnsi="宋体"/>
                <w:color w:val="auto"/>
                <w:szCs w:val="21"/>
                <w:highlight w:val="none"/>
              </w:rPr>
              <w:t>开挖深度超过5m（含5m）的基坑（槽）的土方开挖、支护、降水工程。</w:t>
            </w:r>
          </w:p>
        </w:tc>
        <w:tc>
          <w:tcPr>
            <w:tcW w:w="1361" w:type="dxa"/>
            <w:tcBorders>
              <w:top w:val="single" w:color="auto" w:sz="4" w:space="0"/>
              <w:left w:val="single" w:color="auto" w:sz="4" w:space="0"/>
              <w:bottom w:val="single" w:color="auto" w:sz="4" w:space="0"/>
              <w:right w:val="single" w:color="auto" w:sz="4" w:space="0"/>
            </w:tcBorders>
            <w:vAlign w:val="center"/>
          </w:tcPr>
          <w:p w14:paraId="1DD30EE6">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44EF3F3B">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2959A4AF">
            <w:pPr>
              <w:jc w:val="center"/>
              <w:rPr>
                <w:rFonts w:hint="eastAsia" w:ascii="宋体" w:hAnsi="宋体"/>
                <w:color w:val="auto"/>
                <w:szCs w:val="21"/>
                <w:highlight w:val="none"/>
              </w:rPr>
            </w:pPr>
          </w:p>
        </w:tc>
      </w:tr>
      <w:tr w14:paraId="70BE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44183BE4">
            <w:pPr>
              <w:jc w:val="left"/>
              <w:rPr>
                <w:rFonts w:hint="eastAsia" w:ascii="宋体" w:hAnsi="宋体"/>
                <w:color w:val="auto"/>
                <w:szCs w:val="21"/>
                <w:highlight w:val="none"/>
              </w:rPr>
            </w:pPr>
            <w:r>
              <w:rPr>
                <w:rFonts w:hint="eastAsia" w:ascii="宋体" w:hAnsi="宋体"/>
                <w:b/>
                <w:color w:val="auto"/>
                <w:szCs w:val="21"/>
                <w:highlight w:val="none"/>
              </w:rPr>
              <w:t>二、模板工程及支撑体系</w:t>
            </w:r>
          </w:p>
        </w:tc>
      </w:tr>
      <w:tr w14:paraId="68E9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5476C3A8">
            <w:pPr>
              <w:jc w:val="left"/>
              <w:rPr>
                <w:rFonts w:hint="eastAsia"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vAlign w:val="center"/>
          </w:tcPr>
          <w:p w14:paraId="6B3CDE78">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92F84A7">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4F00B33D">
            <w:pPr>
              <w:jc w:val="center"/>
              <w:rPr>
                <w:rFonts w:hint="eastAsia" w:ascii="宋体" w:hAnsi="宋体"/>
                <w:color w:val="auto"/>
                <w:szCs w:val="21"/>
                <w:highlight w:val="none"/>
              </w:rPr>
            </w:pPr>
          </w:p>
        </w:tc>
      </w:tr>
      <w:tr w14:paraId="171E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4F3DB97D">
            <w:pPr>
              <w:jc w:val="left"/>
              <w:rPr>
                <w:rFonts w:hint="eastAsia" w:ascii="宋体" w:hAnsi="宋体"/>
                <w:color w:val="auto"/>
                <w:szCs w:val="21"/>
                <w:highlight w:val="none"/>
              </w:rPr>
            </w:pPr>
            <w:r>
              <w:rPr>
                <w:rFonts w:hint="eastAsia" w:ascii="宋体" w:hAnsi="宋体"/>
                <w:color w:val="auto"/>
                <w:szCs w:val="21"/>
                <w:highlight w:val="none"/>
              </w:rPr>
              <w:t>（二）混凝土模板支撑工程：搭设高度8m及以上，或搭设跨度18m及以上，或施工总荷载（设计值）15kN/m2及以上，或集中线荷载（设计值）20kN/m及以上。</w:t>
            </w:r>
          </w:p>
        </w:tc>
        <w:tc>
          <w:tcPr>
            <w:tcW w:w="1361" w:type="dxa"/>
            <w:tcBorders>
              <w:top w:val="single" w:color="auto" w:sz="4" w:space="0"/>
              <w:left w:val="single" w:color="auto" w:sz="4" w:space="0"/>
              <w:bottom w:val="single" w:color="auto" w:sz="4" w:space="0"/>
              <w:right w:val="single" w:color="auto" w:sz="4" w:space="0"/>
            </w:tcBorders>
            <w:vAlign w:val="center"/>
          </w:tcPr>
          <w:p w14:paraId="0E01D81D">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7CC92FE">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7E301EE5">
            <w:pPr>
              <w:jc w:val="center"/>
              <w:rPr>
                <w:rFonts w:hint="eastAsia" w:ascii="宋体" w:hAnsi="宋体"/>
                <w:color w:val="auto"/>
                <w:szCs w:val="21"/>
                <w:highlight w:val="none"/>
              </w:rPr>
            </w:pPr>
          </w:p>
        </w:tc>
      </w:tr>
      <w:tr w14:paraId="5F2D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7A6B9006">
            <w:pPr>
              <w:jc w:val="left"/>
              <w:rPr>
                <w:rFonts w:hint="eastAsia" w:ascii="宋体" w:hAnsi="宋体"/>
                <w:color w:val="auto"/>
                <w:szCs w:val="21"/>
                <w:highlight w:val="none"/>
              </w:rPr>
            </w:pPr>
            <w:r>
              <w:rPr>
                <w:rFonts w:hint="eastAsia" w:ascii="宋体" w:hAnsi="宋体"/>
                <w:color w:val="auto"/>
                <w:szCs w:val="21"/>
                <w:highlight w:val="none"/>
              </w:rPr>
              <w:t>（三）承重支撑体系：用于钢结构安装等满堂支撑体系，承受单点集中荷载7kN及以上。</w:t>
            </w:r>
          </w:p>
        </w:tc>
        <w:tc>
          <w:tcPr>
            <w:tcW w:w="1361" w:type="dxa"/>
            <w:tcBorders>
              <w:top w:val="single" w:color="auto" w:sz="4" w:space="0"/>
              <w:left w:val="single" w:color="auto" w:sz="4" w:space="0"/>
              <w:bottom w:val="single" w:color="auto" w:sz="4" w:space="0"/>
              <w:right w:val="single" w:color="auto" w:sz="4" w:space="0"/>
            </w:tcBorders>
            <w:vAlign w:val="center"/>
          </w:tcPr>
          <w:p w14:paraId="0B813F9A">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871AF83">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3C673A1D">
            <w:pPr>
              <w:jc w:val="center"/>
              <w:rPr>
                <w:rFonts w:hint="eastAsia" w:ascii="宋体" w:hAnsi="宋体"/>
                <w:color w:val="auto"/>
                <w:szCs w:val="21"/>
                <w:highlight w:val="none"/>
              </w:rPr>
            </w:pPr>
          </w:p>
        </w:tc>
      </w:tr>
      <w:tr w14:paraId="7377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64D8FD3D">
            <w:pPr>
              <w:jc w:val="left"/>
              <w:rPr>
                <w:rFonts w:hint="eastAsia" w:ascii="宋体" w:hAnsi="宋体"/>
                <w:color w:val="auto"/>
                <w:szCs w:val="21"/>
                <w:highlight w:val="none"/>
              </w:rPr>
            </w:pPr>
            <w:r>
              <w:rPr>
                <w:rFonts w:hint="eastAsia" w:ascii="宋体" w:hAnsi="宋体"/>
                <w:b/>
                <w:color w:val="auto"/>
                <w:szCs w:val="21"/>
                <w:highlight w:val="none"/>
              </w:rPr>
              <w:t>三、起重吊装及起重机械安装拆卸工程</w:t>
            </w:r>
          </w:p>
        </w:tc>
      </w:tr>
      <w:tr w14:paraId="46F4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5AE87108">
            <w:pPr>
              <w:jc w:val="left"/>
              <w:rPr>
                <w:rFonts w:hint="eastAsia" w:ascii="宋体" w:hAnsi="宋体"/>
                <w:color w:val="auto"/>
                <w:szCs w:val="21"/>
                <w:highlight w:val="none"/>
              </w:rPr>
            </w:pPr>
            <w:r>
              <w:rPr>
                <w:rFonts w:hint="eastAsia" w:ascii="宋体" w:hAnsi="宋体"/>
                <w:color w:val="auto"/>
                <w:szCs w:val="21"/>
                <w:highlight w:val="none"/>
              </w:rPr>
              <w:t>（一）采用非常规起重设备、方法，且单件起吊重量在100kN及以上的起重吊装工程。</w:t>
            </w:r>
          </w:p>
        </w:tc>
        <w:tc>
          <w:tcPr>
            <w:tcW w:w="1361" w:type="dxa"/>
            <w:tcBorders>
              <w:top w:val="single" w:color="auto" w:sz="4" w:space="0"/>
              <w:left w:val="single" w:color="auto" w:sz="4" w:space="0"/>
              <w:bottom w:val="single" w:color="auto" w:sz="4" w:space="0"/>
              <w:right w:val="single" w:color="auto" w:sz="4" w:space="0"/>
            </w:tcBorders>
            <w:vAlign w:val="center"/>
          </w:tcPr>
          <w:p w14:paraId="22452609">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1D0F0D9">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57B49CE8">
            <w:pPr>
              <w:jc w:val="center"/>
              <w:rPr>
                <w:rFonts w:hint="eastAsia" w:ascii="宋体" w:hAnsi="宋体"/>
                <w:color w:val="auto"/>
                <w:szCs w:val="21"/>
                <w:highlight w:val="none"/>
              </w:rPr>
            </w:pPr>
          </w:p>
        </w:tc>
      </w:tr>
      <w:tr w14:paraId="7923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26842526">
            <w:pPr>
              <w:jc w:val="left"/>
              <w:rPr>
                <w:rFonts w:hint="eastAsia" w:ascii="宋体" w:hAnsi="宋体"/>
                <w:color w:val="auto"/>
                <w:szCs w:val="21"/>
                <w:highlight w:val="none"/>
              </w:rPr>
            </w:pPr>
            <w:r>
              <w:rPr>
                <w:rFonts w:hint="eastAsia" w:ascii="宋体" w:hAnsi="宋体"/>
                <w:color w:val="auto"/>
                <w:szCs w:val="21"/>
                <w:highlight w:val="none"/>
              </w:rPr>
              <w:t>（二）起重量300kN及以上，或搭设总高度200m及以上，或搭设基础标高在200m及以上的起重机械安装和拆卸工程。</w:t>
            </w:r>
          </w:p>
        </w:tc>
        <w:tc>
          <w:tcPr>
            <w:tcW w:w="1361" w:type="dxa"/>
            <w:tcBorders>
              <w:top w:val="single" w:color="auto" w:sz="4" w:space="0"/>
              <w:left w:val="single" w:color="auto" w:sz="4" w:space="0"/>
              <w:bottom w:val="single" w:color="auto" w:sz="4" w:space="0"/>
              <w:right w:val="single" w:color="auto" w:sz="4" w:space="0"/>
            </w:tcBorders>
            <w:vAlign w:val="center"/>
          </w:tcPr>
          <w:p w14:paraId="3691EB7C">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703D53B">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09180277">
            <w:pPr>
              <w:jc w:val="center"/>
              <w:rPr>
                <w:rFonts w:hint="eastAsia" w:ascii="宋体" w:hAnsi="宋体"/>
                <w:color w:val="auto"/>
                <w:szCs w:val="21"/>
                <w:highlight w:val="none"/>
              </w:rPr>
            </w:pPr>
          </w:p>
        </w:tc>
      </w:tr>
      <w:tr w14:paraId="71B8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5B694CE7">
            <w:pPr>
              <w:jc w:val="left"/>
              <w:rPr>
                <w:rFonts w:hint="eastAsia" w:ascii="宋体" w:hAnsi="宋体"/>
                <w:color w:val="auto"/>
                <w:szCs w:val="21"/>
                <w:highlight w:val="none"/>
              </w:rPr>
            </w:pPr>
            <w:r>
              <w:rPr>
                <w:rFonts w:hint="eastAsia" w:ascii="宋体" w:hAnsi="宋体"/>
                <w:b/>
                <w:color w:val="auto"/>
                <w:szCs w:val="21"/>
                <w:highlight w:val="none"/>
              </w:rPr>
              <w:t>四、脚手架工程</w:t>
            </w:r>
          </w:p>
        </w:tc>
      </w:tr>
      <w:tr w14:paraId="4CC3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4189A0BB">
            <w:pPr>
              <w:jc w:val="left"/>
              <w:rPr>
                <w:rFonts w:hint="eastAsia" w:ascii="宋体" w:hAnsi="宋体"/>
                <w:color w:val="auto"/>
                <w:szCs w:val="21"/>
                <w:highlight w:val="none"/>
              </w:rPr>
            </w:pPr>
            <w:r>
              <w:rPr>
                <w:rFonts w:hint="eastAsia" w:ascii="宋体" w:hAnsi="宋体"/>
                <w:color w:val="auto"/>
                <w:szCs w:val="21"/>
                <w:highlight w:val="none"/>
              </w:rPr>
              <w:t>（一）搭设高度50m及以上的落地式钢管脚手架工程。</w:t>
            </w:r>
          </w:p>
        </w:tc>
        <w:tc>
          <w:tcPr>
            <w:tcW w:w="1361" w:type="dxa"/>
            <w:tcBorders>
              <w:top w:val="single" w:color="auto" w:sz="4" w:space="0"/>
              <w:left w:val="single" w:color="auto" w:sz="4" w:space="0"/>
              <w:bottom w:val="single" w:color="auto" w:sz="4" w:space="0"/>
              <w:right w:val="single" w:color="auto" w:sz="4" w:space="0"/>
            </w:tcBorders>
            <w:vAlign w:val="center"/>
          </w:tcPr>
          <w:p w14:paraId="57E7F67B">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8E7B0A3">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6B7042E4">
            <w:pPr>
              <w:jc w:val="center"/>
              <w:rPr>
                <w:rFonts w:hint="eastAsia" w:ascii="宋体" w:hAnsi="宋体"/>
                <w:color w:val="auto"/>
                <w:szCs w:val="21"/>
                <w:highlight w:val="none"/>
              </w:rPr>
            </w:pPr>
          </w:p>
        </w:tc>
      </w:tr>
      <w:tr w14:paraId="5E9F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727F5789">
            <w:pPr>
              <w:jc w:val="left"/>
              <w:rPr>
                <w:rFonts w:hint="eastAsia" w:ascii="宋体" w:hAnsi="宋体"/>
                <w:color w:val="auto"/>
                <w:szCs w:val="21"/>
                <w:highlight w:val="none"/>
              </w:rPr>
            </w:pPr>
            <w:r>
              <w:rPr>
                <w:rFonts w:hint="eastAsia" w:ascii="宋体" w:hAnsi="宋体"/>
                <w:color w:val="auto"/>
                <w:szCs w:val="21"/>
                <w:highlight w:val="none"/>
              </w:rPr>
              <w:t>（二）提升高度在150m及以上的附着式升降脚手架工程或附着式升降操作平台工程。</w:t>
            </w:r>
          </w:p>
        </w:tc>
        <w:tc>
          <w:tcPr>
            <w:tcW w:w="1361" w:type="dxa"/>
            <w:tcBorders>
              <w:top w:val="single" w:color="auto" w:sz="4" w:space="0"/>
              <w:left w:val="single" w:color="auto" w:sz="4" w:space="0"/>
              <w:bottom w:val="single" w:color="auto" w:sz="4" w:space="0"/>
              <w:right w:val="single" w:color="auto" w:sz="4" w:space="0"/>
            </w:tcBorders>
            <w:vAlign w:val="center"/>
          </w:tcPr>
          <w:p w14:paraId="1A4E08AD">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3EAF8986">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6F3BA7C1">
            <w:pPr>
              <w:jc w:val="center"/>
              <w:rPr>
                <w:rFonts w:hint="eastAsia" w:ascii="宋体" w:hAnsi="宋体"/>
                <w:color w:val="auto"/>
                <w:szCs w:val="21"/>
                <w:highlight w:val="none"/>
              </w:rPr>
            </w:pPr>
          </w:p>
        </w:tc>
      </w:tr>
      <w:tr w14:paraId="5583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2749C08B">
            <w:pPr>
              <w:jc w:val="left"/>
              <w:rPr>
                <w:rFonts w:hint="eastAsia" w:ascii="宋体" w:hAnsi="宋体"/>
                <w:color w:val="auto"/>
                <w:szCs w:val="21"/>
                <w:highlight w:val="none"/>
              </w:rPr>
            </w:pPr>
            <w:r>
              <w:rPr>
                <w:rFonts w:hint="eastAsia" w:ascii="宋体" w:hAnsi="宋体"/>
                <w:color w:val="auto"/>
                <w:szCs w:val="21"/>
                <w:highlight w:val="none"/>
              </w:rPr>
              <w:t>（三）分段架体搭设高度20m及以上的悬挑式脚手架工程。</w:t>
            </w:r>
          </w:p>
        </w:tc>
        <w:tc>
          <w:tcPr>
            <w:tcW w:w="1361" w:type="dxa"/>
            <w:tcBorders>
              <w:top w:val="single" w:color="auto" w:sz="4" w:space="0"/>
              <w:left w:val="single" w:color="auto" w:sz="4" w:space="0"/>
              <w:bottom w:val="single" w:color="auto" w:sz="4" w:space="0"/>
              <w:right w:val="single" w:color="auto" w:sz="4" w:space="0"/>
            </w:tcBorders>
            <w:vAlign w:val="center"/>
          </w:tcPr>
          <w:p w14:paraId="536C553C">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E0EB63C">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15721B07">
            <w:pPr>
              <w:jc w:val="center"/>
              <w:rPr>
                <w:rFonts w:hint="eastAsia" w:ascii="宋体" w:hAnsi="宋体"/>
                <w:color w:val="auto"/>
                <w:szCs w:val="21"/>
                <w:highlight w:val="none"/>
              </w:rPr>
            </w:pPr>
          </w:p>
        </w:tc>
      </w:tr>
      <w:tr w14:paraId="2CF4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358AE80A">
            <w:pPr>
              <w:jc w:val="left"/>
              <w:rPr>
                <w:rFonts w:hint="eastAsia" w:ascii="宋体" w:hAnsi="宋体"/>
                <w:color w:val="auto"/>
                <w:szCs w:val="21"/>
                <w:highlight w:val="none"/>
              </w:rPr>
            </w:pPr>
            <w:r>
              <w:rPr>
                <w:rFonts w:hint="eastAsia" w:ascii="宋体" w:hAnsi="宋体"/>
                <w:b/>
                <w:color w:val="auto"/>
                <w:szCs w:val="21"/>
                <w:highlight w:val="none"/>
              </w:rPr>
              <w:t>五、拆除工程</w:t>
            </w:r>
          </w:p>
        </w:tc>
      </w:tr>
      <w:tr w14:paraId="47DB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3C2EDB4F">
            <w:pPr>
              <w:jc w:val="left"/>
              <w:rPr>
                <w:rFonts w:hint="eastAsia" w:ascii="宋体" w:hAnsi="宋体"/>
                <w:color w:val="auto"/>
                <w:szCs w:val="21"/>
                <w:highlight w:val="none"/>
              </w:rPr>
            </w:pPr>
            <w:r>
              <w:rPr>
                <w:rFonts w:hint="eastAsia" w:ascii="宋体" w:hAnsi="宋体"/>
                <w:color w:val="auto"/>
                <w:szCs w:val="21"/>
                <w:highlight w:val="none"/>
              </w:rPr>
              <w:t>（一）码头、桥梁、高架、烟囱、水塔或拆除中容易引起有毒有害气（液）体或粉尘扩散、易燃易爆事故发生的特殊建、构筑物的拆除工程。</w:t>
            </w:r>
          </w:p>
        </w:tc>
        <w:tc>
          <w:tcPr>
            <w:tcW w:w="1361" w:type="dxa"/>
            <w:tcBorders>
              <w:top w:val="single" w:color="auto" w:sz="4" w:space="0"/>
              <w:left w:val="single" w:color="auto" w:sz="4" w:space="0"/>
              <w:bottom w:val="single" w:color="auto" w:sz="4" w:space="0"/>
              <w:right w:val="single" w:color="auto" w:sz="4" w:space="0"/>
            </w:tcBorders>
            <w:vAlign w:val="center"/>
          </w:tcPr>
          <w:p w14:paraId="6CA029F5">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776880D">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794E31DC">
            <w:pPr>
              <w:jc w:val="center"/>
              <w:rPr>
                <w:rFonts w:hint="eastAsia" w:ascii="宋体" w:hAnsi="宋体"/>
                <w:color w:val="auto"/>
                <w:szCs w:val="21"/>
                <w:highlight w:val="none"/>
              </w:rPr>
            </w:pPr>
          </w:p>
        </w:tc>
      </w:tr>
      <w:tr w14:paraId="5C51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56933E05">
            <w:pPr>
              <w:jc w:val="left"/>
              <w:rPr>
                <w:rFonts w:hint="eastAsia" w:ascii="宋体" w:hAnsi="宋体"/>
                <w:color w:val="auto"/>
                <w:szCs w:val="21"/>
                <w:highlight w:val="none"/>
              </w:rPr>
            </w:pPr>
            <w:r>
              <w:rPr>
                <w:rFonts w:hint="eastAsia" w:ascii="宋体" w:hAnsi="宋体"/>
                <w:color w:val="auto"/>
                <w:szCs w:val="21"/>
                <w:highlight w:val="none"/>
              </w:rPr>
              <w:t>（二）文物保护建筑、优秀历史建筑或历史文化风貌区影响范围内的拆除工程。</w:t>
            </w:r>
          </w:p>
        </w:tc>
        <w:tc>
          <w:tcPr>
            <w:tcW w:w="1361" w:type="dxa"/>
            <w:tcBorders>
              <w:top w:val="single" w:color="auto" w:sz="4" w:space="0"/>
              <w:left w:val="single" w:color="auto" w:sz="4" w:space="0"/>
              <w:bottom w:val="single" w:color="auto" w:sz="4" w:space="0"/>
              <w:right w:val="single" w:color="auto" w:sz="4" w:space="0"/>
            </w:tcBorders>
            <w:vAlign w:val="center"/>
          </w:tcPr>
          <w:p w14:paraId="69BF3ADA">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841B2C1">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3B739617">
            <w:pPr>
              <w:jc w:val="center"/>
              <w:rPr>
                <w:rFonts w:hint="eastAsia" w:ascii="宋体" w:hAnsi="宋体"/>
                <w:color w:val="auto"/>
                <w:szCs w:val="21"/>
                <w:highlight w:val="none"/>
              </w:rPr>
            </w:pPr>
          </w:p>
        </w:tc>
      </w:tr>
      <w:tr w14:paraId="73BC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4A2B21CD">
            <w:pPr>
              <w:jc w:val="left"/>
              <w:rPr>
                <w:rFonts w:hint="eastAsia" w:ascii="宋体" w:hAnsi="宋体"/>
                <w:color w:val="auto"/>
                <w:szCs w:val="21"/>
                <w:highlight w:val="none"/>
              </w:rPr>
            </w:pPr>
            <w:r>
              <w:rPr>
                <w:rFonts w:hint="eastAsia" w:ascii="宋体" w:hAnsi="宋体"/>
                <w:b/>
                <w:color w:val="auto"/>
                <w:szCs w:val="21"/>
                <w:highlight w:val="none"/>
              </w:rPr>
              <w:t>六、暗挖工程</w:t>
            </w:r>
          </w:p>
        </w:tc>
      </w:tr>
      <w:tr w14:paraId="20A2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21EA17B9">
            <w:pPr>
              <w:jc w:val="left"/>
              <w:rPr>
                <w:rFonts w:hint="eastAsia"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vAlign w:val="center"/>
          </w:tcPr>
          <w:p w14:paraId="2C9CD146">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71545B2">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261F7A48">
            <w:pPr>
              <w:jc w:val="center"/>
              <w:rPr>
                <w:rFonts w:hint="eastAsia" w:ascii="宋体" w:hAnsi="宋体"/>
                <w:color w:val="auto"/>
                <w:szCs w:val="21"/>
                <w:highlight w:val="none"/>
              </w:rPr>
            </w:pPr>
          </w:p>
        </w:tc>
      </w:tr>
      <w:tr w14:paraId="2838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gridSpan w:val="4"/>
            <w:tcBorders>
              <w:top w:val="single" w:color="auto" w:sz="4" w:space="0"/>
              <w:left w:val="single" w:color="auto" w:sz="4" w:space="0"/>
              <w:bottom w:val="single" w:color="auto" w:sz="4" w:space="0"/>
              <w:right w:val="single" w:color="auto" w:sz="4" w:space="0"/>
            </w:tcBorders>
          </w:tcPr>
          <w:p w14:paraId="26766CCD">
            <w:pPr>
              <w:jc w:val="left"/>
              <w:rPr>
                <w:rFonts w:hint="eastAsia" w:ascii="宋体" w:hAnsi="宋体"/>
                <w:color w:val="auto"/>
                <w:szCs w:val="21"/>
                <w:highlight w:val="none"/>
              </w:rPr>
            </w:pPr>
            <w:r>
              <w:rPr>
                <w:rFonts w:hint="eastAsia" w:ascii="宋体" w:hAnsi="宋体"/>
                <w:b/>
                <w:color w:val="auto"/>
                <w:szCs w:val="21"/>
                <w:highlight w:val="none"/>
              </w:rPr>
              <w:t>七、其它</w:t>
            </w:r>
          </w:p>
        </w:tc>
      </w:tr>
      <w:tr w14:paraId="3D10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25ABCC1C">
            <w:pPr>
              <w:jc w:val="left"/>
              <w:rPr>
                <w:rFonts w:hint="eastAsia" w:ascii="宋体" w:hAnsi="宋体"/>
                <w:color w:val="auto"/>
                <w:szCs w:val="21"/>
                <w:highlight w:val="none"/>
              </w:rPr>
            </w:pPr>
            <w:r>
              <w:rPr>
                <w:rFonts w:hint="eastAsia" w:ascii="宋体" w:hAnsi="宋体"/>
                <w:color w:val="auto"/>
                <w:szCs w:val="21"/>
                <w:highlight w:val="none"/>
              </w:rPr>
              <w:t>（一）施工高度50m及以上的建筑幕墙安装工程。</w:t>
            </w:r>
          </w:p>
        </w:tc>
        <w:tc>
          <w:tcPr>
            <w:tcW w:w="1361" w:type="dxa"/>
            <w:tcBorders>
              <w:top w:val="single" w:color="auto" w:sz="4" w:space="0"/>
              <w:left w:val="single" w:color="auto" w:sz="4" w:space="0"/>
              <w:bottom w:val="single" w:color="auto" w:sz="4" w:space="0"/>
              <w:right w:val="single" w:color="auto" w:sz="4" w:space="0"/>
            </w:tcBorders>
            <w:vAlign w:val="center"/>
          </w:tcPr>
          <w:p w14:paraId="4AC205EB">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069E79C">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49E6F9FA">
            <w:pPr>
              <w:jc w:val="center"/>
              <w:rPr>
                <w:rFonts w:hint="eastAsia" w:ascii="宋体" w:hAnsi="宋体"/>
                <w:color w:val="auto"/>
                <w:szCs w:val="21"/>
                <w:highlight w:val="none"/>
              </w:rPr>
            </w:pPr>
          </w:p>
        </w:tc>
      </w:tr>
      <w:tr w14:paraId="3CDC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48F16541">
            <w:pPr>
              <w:jc w:val="left"/>
              <w:rPr>
                <w:rFonts w:hint="eastAsia" w:ascii="宋体" w:hAnsi="宋体"/>
                <w:color w:val="auto"/>
                <w:szCs w:val="21"/>
                <w:highlight w:val="none"/>
              </w:rPr>
            </w:pPr>
            <w:r>
              <w:rPr>
                <w:rFonts w:hint="eastAsia" w:ascii="宋体" w:hAnsi="宋体"/>
                <w:color w:val="auto"/>
                <w:szCs w:val="21"/>
                <w:highlight w:val="none"/>
              </w:rPr>
              <w:t>（二）跨度36m及以上的钢结构安装工程，或跨度60m及以上的网架和索膜结构安装工程。</w:t>
            </w:r>
          </w:p>
        </w:tc>
        <w:tc>
          <w:tcPr>
            <w:tcW w:w="1361" w:type="dxa"/>
            <w:tcBorders>
              <w:top w:val="single" w:color="auto" w:sz="4" w:space="0"/>
              <w:left w:val="single" w:color="auto" w:sz="4" w:space="0"/>
              <w:bottom w:val="single" w:color="auto" w:sz="4" w:space="0"/>
              <w:right w:val="single" w:color="auto" w:sz="4" w:space="0"/>
            </w:tcBorders>
            <w:vAlign w:val="center"/>
          </w:tcPr>
          <w:p w14:paraId="6FC64959">
            <w:pPr>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24"/>
                <w:szCs w:val="36"/>
                <w:highlight w:val="none"/>
              </w:rPr>
              <w:t>√</w:t>
            </w:r>
            <w:r>
              <w:rPr>
                <w:rFonts w:hint="eastAsia" w:ascii="宋体" w:hAnsi="宋体"/>
                <w:color w:val="auto"/>
                <w:szCs w:val="21"/>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4F8DA43">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79DA0AC9">
            <w:pPr>
              <w:jc w:val="center"/>
              <w:rPr>
                <w:rFonts w:hint="eastAsia" w:ascii="宋体" w:hAnsi="宋体"/>
                <w:color w:val="auto"/>
                <w:szCs w:val="21"/>
                <w:highlight w:val="none"/>
              </w:rPr>
            </w:pPr>
          </w:p>
        </w:tc>
      </w:tr>
      <w:tr w14:paraId="4786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7CF30DC2">
            <w:pPr>
              <w:jc w:val="left"/>
              <w:rPr>
                <w:rFonts w:hint="eastAsia" w:ascii="宋体" w:hAnsi="宋体"/>
                <w:color w:val="auto"/>
                <w:szCs w:val="21"/>
                <w:highlight w:val="none"/>
              </w:rPr>
            </w:pPr>
            <w:r>
              <w:rPr>
                <w:rFonts w:hint="eastAsia" w:ascii="宋体" w:hAnsi="宋体"/>
                <w:color w:val="auto"/>
                <w:szCs w:val="21"/>
                <w:highlight w:val="none"/>
              </w:rPr>
              <w:t>（三）开挖深度16m及以上的人工挖孔桩工程。</w:t>
            </w:r>
          </w:p>
        </w:tc>
        <w:tc>
          <w:tcPr>
            <w:tcW w:w="1361" w:type="dxa"/>
            <w:tcBorders>
              <w:top w:val="single" w:color="auto" w:sz="4" w:space="0"/>
              <w:left w:val="single" w:color="auto" w:sz="4" w:space="0"/>
              <w:bottom w:val="single" w:color="auto" w:sz="4" w:space="0"/>
              <w:right w:val="single" w:color="auto" w:sz="4" w:space="0"/>
            </w:tcBorders>
            <w:vAlign w:val="center"/>
          </w:tcPr>
          <w:p w14:paraId="1363BB6C">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419E018">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1FB6EBF6">
            <w:pPr>
              <w:jc w:val="center"/>
              <w:rPr>
                <w:rFonts w:hint="eastAsia" w:ascii="宋体" w:hAnsi="宋体"/>
                <w:color w:val="auto"/>
                <w:szCs w:val="21"/>
                <w:highlight w:val="none"/>
              </w:rPr>
            </w:pPr>
          </w:p>
        </w:tc>
      </w:tr>
      <w:tr w14:paraId="3553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20C86AD4">
            <w:pPr>
              <w:jc w:val="left"/>
              <w:rPr>
                <w:rFonts w:hint="eastAsia" w:ascii="宋体" w:hAnsi="宋体"/>
                <w:color w:val="auto"/>
                <w:szCs w:val="21"/>
                <w:highlight w:val="none"/>
              </w:rPr>
            </w:pPr>
            <w:r>
              <w:rPr>
                <w:rFonts w:hint="eastAsia" w:ascii="宋体" w:hAnsi="宋体"/>
                <w:color w:val="auto"/>
                <w:szCs w:val="21"/>
                <w:highlight w:val="none"/>
              </w:rPr>
              <w:t>（四）水下作业工程。</w:t>
            </w:r>
          </w:p>
        </w:tc>
        <w:tc>
          <w:tcPr>
            <w:tcW w:w="1361" w:type="dxa"/>
            <w:tcBorders>
              <w:top w:val="single" w:color="auto" w:sz="4" w:space="0"/>
              <w:left w:val="single" w:color="auto" w:sz="4" w:space="0"/>
              <w:bottom w:val="single" w:color="auto" w:sz="4" w:space="0"/>
              <w:right w:val="single" w:color="auto" w:sz="4" w:space="0"/>
            </w:tcBorders>
            <w:vAlign w:val="center"/>
          </w:tcPr>
          <w:p w14:paraId="43B718EA">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24390F0">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551C2F69">
            <w:pPr>
              <w:jc w:val="center"/>
              <w:rPr>
                <w:rFonts w:hint="eastAsia" w:ascii="宋体" w:hAnsi="宋体"/>
                <w:color w:val="auto"/>
                <w:szCs w:val="21"/>
                <w:highlight w:val="none"/>
              </w:rPr>
            </w:pPr>
          </w:p>
        </w:tc>
      </w:tr>
      <w:tr w14:paraId="629D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69551160">
            <w:pPr>
              <w:jc w:val="left"/>
              <w:rPr>
                <w:rFonts w:hint="eastAsia" w:ascii="宋体" w:hAnsi="宋体"/>
                <w:color w:val="auto"/>
                <w:szCs w:val="21"/>
                <w:highlight w:val="none"/>
              </w:rPr>
            </w:pPr>
            <w:r>
              <w:rPr>
                <w:rFonts w:hint="eastAsia" w:ascii="宋体" w:hAnsi="宋体"/>
                <w:color w:val="auto"/>
                <w:szCs w:val="21"/>
                <w:highlight w:val="none"/>
              </w:rPr>
              <w:t>（五）重量1000kN及以上的大型结构整体顶升、平移、转体等施工工艺。</w:t>
            </w:r>
          </w:p>
        </w:tc>
        <w:tc>
          <w:tcPr>
            <w:tcW w:w="1361" w:type="dxa"/>
            <w:tcBorders>
              <w:top w:val="single" w:color="auto" w:sz="4" w:space="0"/>
              <w:left w:val="single" w:color="auto" w:sz="4" w:space="0"/>
              <w:bottom w:val="single" w:color="auto" w:sz="4" w:space="0"/>
              <w:right w:val="single" w:color="auto" w:sz="4" w:space="0"/>
            </w:tcBorders>
            <w:vAlign w:val="center"/>
          </w:tcPr>
          <w:p w14:paraId="7F887FAA">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32969D43">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571BDA98">
            <w:pPr>
              <w:jc w:val="center"/>
              <w:rPr>
                <w:rFonts w:hint="eastAsia" w:ascii="宋体" w:hAnsi="宋体"/>
                <w:color w:val="auto"/>
                <w:szCs w:val="21"/>
                <w:highlight w:val="none"/>
              </w:rPr>
            </w:pPr>
          </w:p>
        </w:tc>
      </w:tr>
      <w:tr w14:paraId="030E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single" w:color="auto" w:sz="4" w:space="0"/>
              <w:left w:val="single" w:color="auto" w:sz="4" w:space="0"/>
              <w:bottom w:val="single" w:color="auto" w:sz="4" w:space="0"/>
              <w:right w:val="single" w:color="auto" w:sz="4" w:space="0"/>
            </w:tcBorders>
          </w:tcPr>
          <w:p w14:paraId="5FF8271B">
            <w:pPr>
              <w:jc w:val="left"/>
              <w:rPr>
                <w:rFonts w:hint="eastAsia"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vAlign w:val="center"/>
          </w:tcPr>
          <w:p w14:paraId="4E011B36">
            <w:pPr>
              <w:jc w:val="center"/>
              <w:rPr>
                <w:rFonts w:hint="eastAsia" w:ascii="宋体" w:hAnsi="宋体"/>
                <w:color w:val="auto"/>
                <w:szCs w:val="21"/>
                <w:highlight w:val="none"/>
              </w:rPr>
            </w:pPr>
            <w:r>
              <w:rPr>
                <w:rFonts w:hint="eastAsia" w:ascii="宋体" w:hAnsi="宋体"/>
                <w:color w:val="auto"/>
                <w:szCs w:val="21"/>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B7DCFBE">
            <w:pPr>
              <w:jc w:val="center"/>
              <w:rPr>
                <w:rFonts w:hint="eastAsia" w:ascii="宋体" w:hAnsi="宋体"/>
                <w:color w:val="auto"/>
                <w:szCs w:val="21"/>
                <w:highlight w:val="none"/>
              </w:rPr>
            </w:pPr>
            <w:r>
              <w:rPr>
                <w:rFonts w:hint="eastAsia" w:ascii="宋体" w:hAnsi="宋体"/>
                <w:color w:val="auto"/>
                <w:szCs w:val="21"/>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14:paraId="44977FCB">
            <w:pPr>
              <w:jc w:val="center"/>
              <w:rPr>
                <w:rFonts w:hint="eastAsia" w:ascii="宋体" w:hAnsi="宋体"/>
                <w:color w:val="auto"/>
                <w:szCs w:val="21"/>
                <w:highlight w:val="none"/>
              </w:rPr>
            </w:pPr>
          </w:p>
        </w:tc>
      </w:tr>
    </w:tbl>
    <w:p w14:paraId="5B3C4F40">
      <w:pPr>
        <w:topLinePunct/>
        <w:spacing w:line="360" w:lineRule="auto"/>
        <w:ind w:firstLine="691" w:firstLineChars="279"/>
        <w:rPr>
          <w:rFonts w:hint="eastAsia" w:ascii="宋体" w:hAnsi="宋体" w:cs="宋体"/>
          <w:snapToGrid w:val="0"/>
          <w:color w:val="auto"/>
          <w:spacing w:val="4"/>
          <w:kern w:val="0"/>
          <w:sz w:val="24"/>
          <w:szCs w:val="24"/>
          <w:highlight w:val="none"/>
        </w:rPr>
      </w:pPr>
    </w:p>
    <w:p w14:paraId="2AC24DF3">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标</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人：（盖章）</w:t>
      </w:r>
    </w:p>
    <w:p w14:paraId="583E7B7A">
      <w:pPr>
        <w:spacing w:line="360" w:lineRule="auto"/>
        <w:ind w:firstLine="691" w:firstLineChars="279"/>
        <w:jc w:val="left"/>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期：</w:t>
      </w:r>
    </w:p>
    <w:p w14:paraId="7013DABF">
      <w:pPr>
        <w:widowControl/>
        <w:jc w:val="left"/>
        <w:rPr>
          <w:rFonts w:hint="eastAsia" w:ascii="宋体" w:hAnsi="宋体"/>
          <w:color w:val="auto"/>
          <w:highlight w:val="none"/>
        </w:rPr>
      </w:pPr>
      <w:r>
        <w:rPr>
          <w:rFonts w:ascii="宋体" w:hAnsi="宋体"/>
          <w:color w:val="auto"/>
          <w:highlight w:val="none"/>
        </w:rPr>
        <w:br w:type="page"/>
      </w:r>
    </w:p>
    <w:p w14:paraId="44BBD303">
      <w:pPr>
        <w:pStyle w:val="8"/>
        <w:rPr>
          <w:rFonts w:hint="eastAsia"/>
          <w:color w:val="auto"/>
          <w:highlight w:val="none"/>
        </w:rPr>
      </w:pPr>
      <w:bookmarkStart w:id="97" w:name="_Toc194440100"/>
      <w:bookmarkStart w:id="98" w:name="_Toc60070631"/>
      <w:bookmarkStart w:id="99" w:name="_Toc58838603"/>
      <w:bookmarkStart w:id="100" w:name="_Toc184468523"/>
      <w:r>
        <w:rPr>
          <w:rFonts w:hint="eastAsia"/>
          <w:color w:val="auto"/>
          <w:highlight w:val="none"/>
        </w:rPr>
        <w:t>格式七：</w:t>
      </w:r>
      <w:bookmarkEnd w:id="97"/>
      <w:bookmarkEnd w:id="98"/>
      <w:bookmarkEnd w:id="99"/>
      <w:bookmarkEnd w:id="100"/>
    </w:p>
    <w:p w14:paraId="749AFD38">
      <w:pPr>
        <w:jc w:val="center"/>
        <w:rPr>
          <w:rFonts w:hint="eastAsia" w:ascii="宋体" w:hAnsi="宋体"/>
          <w:b/>
          <w:color w:val="auto"/>
          <w:sz w:val="36"/>
          <w:szCs w:val="36"/>
          <w:highlight w:val="none"/>
        </w:rPr>
      </w:pPr>
      <w:r>
        <w:rPr>
          <w:rFonts w:hint="eastAsia" w:ascii="宋体" w:hAnsi="宋体"/>
          <w:b/>
          <w:color w:val="auto"/>
          <w:sz w:val="36"/>
          <w:szCs w:val="36"/>
          <w:highlight w:val="none"/>
        </w:rPr>
        <w:t>参与编制技术标投标文件人员名单</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2221"/>
      </w:tblGrid>
      <w:tr w14:paraId="5842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889" w:type="dxa"/>
            <w:gridSpan w:val="5"/>
            <w:tcBorders>
              <w:top w:val="single" w:color="auto" w:sz="4" w:space="0"/>
              <w:left w:val="single" w:color="auto" w:sz="4" w:space="0"/>
              <w:bottom w:val="single" w:color="auto" w:sz="4" w:space="0"/>
              <w:right w:val="single" w:color="auto" w:sz="4" w:space="0"/>
            </w:tcBorders>
            <w:vAlign w:val="center"/>
          </w:tcPr>
          <w:p w14:paraId="78F13318">
            <w:pPr>
              <w:tabs>
                <w:tab w:val="left" w:pos="720"/>
              </w:tabs>
              <w:jc w:val="center"/>
              <w:rPr>
                <w:rFonts w:hint="eastAsia" w:ascii="宋体" w:hAnsi="宋体" w:cs="宋体"/>
                <w:color w:val="auto"/>
                <w:szCs w:val="21"/>
                <w:highlight w:val="none"/>
              </w:rPr>
            </w:pPr>
            <w:r>
              <w:rPr>
                <w:rFonts w:hint="eastAsia" w:ascii="宋体" w:hAnsi="宋体" w:cs="宋体"/>
                <w:color w:val="auto"/>
                <w:szCs w:val="21"/>
                <w:highlight w:val="none"/>
              </w:rPr>
              <w:t>投标单位名称</w:t>
            </w:r>
          </w:p>
        </w:tc>
      </w:tr>
      <w:tr w14:paraId="36A7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14:paraId="79EC8834">
            <w:pPr>
              <w:tabs>
                <w:tab w:val="left" w:pos="720"/>
              </w:tabs>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vAlign w:val="center"/>
          </w:tcPr>
          <w:p w14:paraId="02323B6A">
            <w:pPr>
              <w:tabs>
                <w:tab w:val="left" w:pos="720"/>
              </w:tabs>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vAlign w:val="center"/>
          </w:tcPr>
          <w:p w14:paraId="5C1E032F">
            <w:pPr>
              <w:tabs>
                <w:tab w:val="left" w:pos="720"/>
              </w:tabs>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vAlign w:val="center"/>
          </w:tcPr>
          <w:p w14:paraId="066D0C54">
            <w:pPr>
              <w:tabs>
                <w:tab w:val="left" w:pos="720"/>
              </w:tabs>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2221" w:type="dxa"/>
            <w:tcBorders>
              <w:top w:val="single" w:color="auto" w:sz="4" w:space="0"/>
              <w:left w:val="single" w:color="auto" w:sz="4" w:space="0"/>
              <w:bottom w:val="single" w:color="auto" w:sz="4" w:space="0"/>
              <w:right w:val="single" w:color="auto" w:sz="4" w:space="0"/>
            </w:tcBorders>
            <w:vAlign w:val="center"/>
          </w:tcPr>
          <w:p w14:paraId="207EAC5D">
            <w:pPr>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14:paraId="32C1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14:paraId="45B49003">
            <w:pPr>
              <w:tabs>
                <w:tab w:val="left" w:pos="720"/>
              </w:tabs>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3B058ACC">
            <w:pPr>
              <w:tabs>
                <w:tab w:val="left" w:pos="720"/>
              </w:tabs>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5EAA876E">
            <w:pPr>
              <w:tabs>
                <w:tab w:val="left" w:pos="720"/>
              </w:tabs>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4F1A6033">
            <w:pPr>
              <w:tabs>
                <w:tab w:val="left" w:pos="720"/>
              </w:tabs>
              <w:jc w:val="center"/>
              <w:rPr>
                <w:rFonts w:hint="eastAsia" w:ascii="宋体" w:hAnsi="宋体" w:cs="宋体"/>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14:paraId="41E96B2E">
            <w:pPr>
              <w:tabs>
                <w:tab w:val="left" w:pos="720"/>
              </w:tabs>
              <w:jc w:val="center"/>
              <w:rPr>
                <w:rFonts w:hint="eastAsia" w:ascii="宋体" w:hAnsi="宋体" w:cs="宋体"/>
                <w:color w:val="auto"/>
                <w:szCs w:val="21"/>
                <w:highlight w:val="none"/>
              </w:rPr>
            </w:pPr>
          </w:p>
        </w:tc>
      </w:tr>
      <w:tr w14:paraId="26AC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47E5C5FB">
            <w:pPr>
              <w:tabs>
                <w:tab w:val="left" w:pos="720"/>
              </w:tabs>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54E9161C">
            <w:pPr>
              <w:tabs>
                <w:tab w:val="left" w:pos="720"/>
              </w:tabs>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D02078B">
            <w:pPr>
              <w:tabs>
                <w:tab w:val="left" w:pos="720"/>
              </w:tabs>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21E80B08">
            <w:pPr>
              <w:tabs>
                <w:tab w:val="left" w:pos="720"/>
              </w:tabs>
              <w:jc w:val="center"/>
              <w:rPr>
                <w:rFonts w:hint="eastAsia" w:ascii="宋体" w:hAnsi="宋体" w:cs="宋体"/>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14:paraId="5DFBF9D6">
            <w:pPr>
              <w:tabs>
                <w:tab w:val="left" w:pos="720"/>
              </w:tabs>
              <w:jc w:val="center"/>
              <w:rPr>
                <w:rFonts w:hint="eastAsia" w:ascii="宋体" w:hAnsi="宋体" w:cs="宋体"/>
                <w:color w:val="auto"/>
                <w:szCs w:val="21"/>
                <w:highlight w:val="none"/>
              </w:rPr>
            </w:pPr>
          </w:p>
        </w:tc>
      </w:tr>
      <w:tr w14:paraId="3A1A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4029ECF8">
            <w:pPr>
              <w:tabs>
                <w:tab w:val="left" w:pos="720"/>
              </w:tabs>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2374CDDF">
            <w:pPr>
              <w:tabs>
                <w:tab w:val="left" w:pos="720"/>
              </w:tabs>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530AAD71">
            <w:pPr>
              <w:tabs>
                <w:tab w:val="left" w:pos="720"/>
              </w:tabs>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5BACA230">
            <w:pPr>
              <w:tabs>
                <w:tab w:val="left" w:pos="720"/>
              </w:tabs>
              <w:jc w:val="center"/>
              <w:rPr>
                <w:rFonts w:hint="eastAsia" w:ascii="宋体" w:hAnsi="宋体" w:cs="宋体"/>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14:paraId="08D6F8FD">
            <w:pPr>
              <w:tabs>
                <w:tab w:val="left" w:pos="720"/>
              </w:tabs>
              <w:jc w:val="center"/>
              <w:rPr>
                <w:rFonts w:hint="eastAsia" w:ascii="宋体" w:hAnsi="宋体" w:cs="宋体"/>
                <w:color w:val="auto"/>
                <w:szCs w:val="21"/>
                <w:highlight w:val="none"/>
              </w:rPr>
            </w:pPr>
          </w:p>
        </w:tc>
      </w:tr>
      <w:tr w14:paraId="03EC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2B23C5DE">
            <w:pPr>
              <w:tabs>
                <w:tab w:val="left" w:pos="720"/>
              </w:tabs>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166A9351">
            <w:pPr>
              <w:tabs>
                <w:tab w:val="left" w:pos="720"/>
              </w:tabs>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1A250B6">
            <w:pPr>
              <w:tabs>
                <w:tab w:val="left" w:pos="720"/>
              </w:tabs>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1AFF1822">
            <w:pPr>
              <w:tabs>
                <w:tab w:val="left" w:pos="720"/>
              </w:tabs>
              <w:jc w:val="center"/>
              <w:rPr>
                <w:rFonts w:hint="eastAsia" w:ascii="宋体" w:hAnsi="宋体" w:cs="宋体"/>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14:paraId="474D84CD">
            <w:pPr>
              <w:tabs>
                <w:tab w:val="left" w:pos="720"/>
              </w:tabs>
              <w:jc w:val="center"/>
              <w:rPr>
                <w:rFonts w:hint="eastAsia" w:ascii="宋体" w:hAnsi="宋体" w:cs="宋体"/>
                <w:color w:val="auto"/>
                <w:szCs w:val="21"/>
                <w:highlight w:val="none"/>
              </w:rPr>
            </w:pPr>
          </w:p>
        </w:tc>
      </w:tr>
      <w:tr w14:paraId="4CC6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24C3F2E8">
            <w:pPr>
              <w:tabs>
                <w:tab w:val="left" w:pos="720"/>
              </w:tabs>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0C4A8161">
            <w:pPr>
              <w:tabs>
                <w:tab w:val="left" w:pos="720"/>
              </w:tabs>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1522A93">
            <w:pPr>
              <w:tabs>
                <w:tab w:val="left" w:pos="720"/>
              </w:tabs>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6838160D">
            <w:pPr>
              <w:tabs>
                <w:tab w:val="left" w:pos="720"/>
              </w:tabs>
              <w:jc w:val="center"/>
              <w:rPr>
                <w:rFonts w:hint="eastAsia" w:ascii="宋体" w:hAnsi="宋体" w:cs="宋体"/>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14:paraId="4AB2E9F5">
            <w:pPr>
              <w:tabs>
                <w:tab w:val="left" w:pos="720"/>
              </w:tabs>
              <w:jc w:val="center"/>
              <w:rPr>
                <w:rFonts w:hint="eastAsia" w:ascii="宋体" w:hAnsi="宋体" w:cs="宋体"/>
                <w:color w:val="auto"/>
                <w:szCs w:val="21"/>
                <w:highlight w:val="none"/>
              </w:rPr>
            </w:pPr>
          </w:p>
        </w:tc>
      </w:tr>
      <w:tr w14:paraId="59C8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6A71381F">
            <w:pPr>
              <w:tabs>
                <w:tab w:val="left" w:pos="720"/>
              </w:tabs>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1482F560">
            <w:pPr>
              <w:tabs>
                <w:tab w:val="left" w:pos="720"/>
              </w:tabs>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F0C1DDE">
            <w:pPr>
              <w:tabs>
                <w:tab w:val="left" w:pos="720"/>
              </w:tabs>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0EE2BE1E">
            <w:pPr>
              <w:tabs>
                <w:tab w:val="left" w:pos="720"/>
              </w:tabs>
              <w:jc w:val="center"/>
              <w:rPr>
                <w:rFonts w:hint="eastAsia" w:ascii="宋体" w:hAnsi="宋体" w:cs="宋体"/>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14:paraId="2BA4511A">
            <w:pPr>
              <w:tabs>
                <w:tab w:val="left" w:pos="720"/>
              </w:tabs>
              <w:jc w:val="center"/>
              <w:rPr>
                <w:rFonts w:hint="eastAsia" w:ascii="宋体" w:hAnsi="宋体" w:cs="宋体"/>
                <w:color w:val="auto"/>
                <w:szCs w:val="21"/>
                <w:highlight w:val="none"/>
              </w:rPr>
            </w:pPr>
          </w:p>
        </w:tc>
      </w:tr>
      <w:tr w14:paraId="749B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6DC8302A">
            <w:pPr>
              <w:tabs>
                <w:tab w:val="left" w:pos="720"/>
              </w:tabs>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33ECB864">
            <w:pPr>
              <w:tabs>
                <w:tab w:val="left" w:pos="720"/>
              </w:tabs>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B6A94FE">
            <w:pPr>
              <w:tabs>
                <w:tab w:val="left" w:pos="720"/>
              </w:tabs>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62E2A4BF">
            <w:pPr>
              <w:tabs>
                <w:tab w:val="left" w:pos="720"/>
              </w:tabs>
              <w:jc w:val="center"/>
              <w:rPr>
                <w:rFonts w:hint="eastAsia" w:ascii="宋体" w:hAnsi="宋体" w:cs="宋体"/>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14:paraId="2BD71060">
            <w:pPr>
              <w:tabs>
                <w:tab w:val="left" w:pos="720"/>
              </w:tabs>
              <w:jc w:val="center"/>
              <w:rPr>
                <w:rFonts w:hint="eastAsia" w:ascii="宋体" w:hAnsi="宋体" w:cs="宋体"/>
                <w:color w:val="auto"/>
                <w:szCs w:val="21"/>
                <w:highlight w:val="none"/>
              </w:rPr>
            </w:pPr>
          </w:p>
        </w:tc>
      </w:tr>
      <w:tr w14:paraId="0DDC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14:paraId="1E4520D3">
            <w:pPr>
              <w:tabs>
                <w:tab w:val="left" w:pos="720"/>
              </w:tabs>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5D08F653">
            <w:pPr>
              <w:tabs>
                <w:tab w:val="left" w:pos="720"/>
              </w:tabs>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BDEA66B">
            <w:pPr>
              <w:tabs>
                <w:tab w:val="left" w:pos="720"/>
              </w:tabs>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67A32FA9">
            <w:pPr>
              <w:tabs>
                <w:tab w:val="left" w:pos="720"/>
              </w:tabs>
              <w:jc w:val="center"/>
              <w:rPr>
                <w:rFonts w:hint="eastAsia" w:ascii="宋体" w:hAnsi="宋体" w:cs="宋体"/>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14:paraId="7A684999">
            <w:pPr>
              <w:tabs>
                <w:tab w:val="left" w:pos="720"/>
              </w:tabs>
              <w:jc w:val="center"/>
              <w:rPr>
                <w:rFonts w:hint="eastAsia" w:ascii="宋体" w:hAnsi="宋体" w:cs="宋体"/>
                <w:color w:val="auto"/>
                <w:szCs w:val="21"/>
                <w:highlight w:val="none"/>
              </w:rPr>
            </w:pPr>
          </w:p>
        </w:tc>
      </w:tr>
    </w:tbl>
    <w:p w14:paraId="5A40FC64">
      <w:pPr>
        <w:autoSpaceDE w:val="0"/>
        <w:autoSpaceDN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注：参与编制技术标书所有人员名单应包括如编制技术投标方案、负责清样校对、负责打印及复印等所有人员在内的人员名单。</w:t>
      </w:r>
    </w:p>
    <w:p w14:paraId="64257C9D">
      <w:pPr>
        <w:widowControl/>
        <w:jc w:val="left"/>
        <w:rPr>
          <w:rFonts w:hint="eastAsia" w:ascii="宋体" w:hAnsi="宋体"/>
          <w:color w:val="auto"/>
          <w:highlight w:val="none"/>
        </w:rPr>
      </w:pPr>
      <w:r>
        <w:rPr>
          <w:rFonts w:ascii="宋体" w:hAnsi="宋体"/>
          <w:color w:val="auto"/>
          <w:highlight w:val="none"/>
        </w:rPr>
        <w:br w:type="page"/>
      </w:r>
    </w:p>
    <w:p w14:paraId="689DBC32">
      <w:pPr>
        <w:pStyle w:val="8"/>
        <w:rPr>
          <w:rFonts w:hint="eastAsia"/>
          <w:color w:val="auto"/>
          <w:highlight w:val="none"/>
        </w:rPr>
      </w:pPr>
      <w:r>
        <w:rPr>
          <w:rFonts w:hint="eastAsia"/>
          <w:color w:val="auto"/>
          <w:highlight w:val="none"/>
        </w:rPr>
        <w:t>格式八：</w:t>
      </w:r>
    </w:p>
    <w:p w14:paraId="53900C78">
      <w:pPr>
        <w:kinsoku w:val="0"/>
        <w:overflowPunct w:val="0"/>
        <w:spacing w:line="360" w:lineRule="auto"/>
        <w:ind w:left="401"/>
        <w:jc w:val="center"/>
        <w:rPr>
          <w:rFonts w:hint="eastAsia" w:ascii="宋体" w:hAnsi="宋体" w:cs="宋体"/>
          <w:b/>
          <w:color w:val="auto"/>
          <w:spacing w:val="2"/>
          <w:position w:val="-1"/>
          <w:sz w:val="32"/>
          <w:szCs w:val="32"/>
          <w:highlight w:val="none"/>
        </w:rPr>
      </w:pPr>
      <w:r>
        <w:rPr>
          <w:rFonts w:hint="eastAsia" w:ascii="宋体" w:hAnsi="宋体" w:cs="宋体"/>
          <w:b/>
          <w:color w:val="auto"/>
          <w:spacing w:val="2"/>
          <w:position w:val="-1"/>
          <w:sz w:val="32"/>
          <w:szCs w:val="32"/>
          <w:highlight w:val="none"/>
        </w:rPr>
        <w:t>中小企业声明函</w:t>
      </w:r>
    </w:p>
    <w:p w14:paraId="583B49DC">
      <w:pPr>
        <w:kinsoku w:val="0"/>
        <w:overflowPunct w:val="0"/>
        <w:spacing w:line="360" w:lineRule="auto"/>
        <w:ind w:right="216"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本企业郑重声明，根据《关于印发中小企业划型标准规定的通知》（工信部联企业〔</w:t>
      </w:r>
      <w:r>
        <w:rPr>
          <w:rFonts w:ascii="宋体" w:hAnsi="宋体" w:cs="宋体"/>
          <w:color w:val="auto"/>
          <w:sz w:val="24"/>
          <w:szCs w:val="24"/>
          <w:highlight w:val="none"/>
        </w:rPr>
        <w:t>2011</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300 </w:t>
      </w:r>
      <w:r>
        <w:rPr>
          <w:rFonts w:hint="eastAsia" w:ascii="宋体" w:hAnsi="宋体" w:cs="宋体"/>
          <w:color w:val="auto"/>
          <w:sz w:val="24"/>
          <w:szCs w:val="24"/>
          <w:highlight w:val="none"/>
        </w:rPr>
        <w:t>号）的规定，本企业具体情</w:t>
      </w:r>
      <w:r>
        <w:rPr>
          <w:rFonts w:ascii="宋体" w:hAnsi="宋体" w:cs="宋体"/>
          <w:color w:val="auto"/>
          <w:sz w:val="24"/>
          <w:szCs w:val="24"/>
          <w:highlight w:val="none"/>
        </w:rPr>
        <w:t xml:space="preserve"> 况如下： </w:t>
      </w:r>
    </w:p>
    <w:p w14:paraId="758D56D5">
      <w:pPr>
        <w:kinsoku w:val="0"/>
        <w:overflowPunct w:val="0"/>
        <w:spacing w:line="360" w:lineRule="auto"/>
        <w:ind w:right="216"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本企业属于</w:t>
      </w:r>
      <w:r>
        <w:rPr>
          <w:rFonts w:hint="eastAsia" w:ascii="宋体" w:hAnsi="宋体" w:cs="宋体"/>
          <w:b/>
          <w:color w:val="auto"/>
          <w:sz w:val="24"/>
          <w:szCs w:val="24"/>
          <w:highlight w:val="none"/>
          <w:u w:val="single"/>
        </w:rPr>
        <w:t>建筑业</w:t>
      </w:r>
      <w:r>
        <w:rPr>
          <w:rFonts w:hint="eastAsia" w:ascii="宋体" w:hAnsi="宋体" w:cs="宋体"/>
          <w:color w:val="auto"/>
          <w:sz w:val="24"/>
          <w:szCs w:val="24"/>
          <w:highlight w:val="none"/>
        </w:rPr>
        <w:t>行业；营业收入为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大</w:t>
      </w:r>
      <w:r>
        <w:rPr>
          <w:rFonts w:ascii="宋体" w:hAnsi="宋体" w:cs="宋体"/>
          <w:color w:val="auto"/>
          <w:sz w:val="24"/>
          <w:szCs w:val="24"/>
          <w:highlight w:val="none"/>
          <w:u w:val="single"/>
        </w:rPr>
        <w:t>型企业</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14:paraId="4A492862">
      <w:pPr>
        <w:kinsoku w:val="0"/>
        <w:overflowPunct w:val="0"/>
        <w:spacing w:line="360" w:lineRule="auto"/>
        <w:ind w:right="216"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依据《政府采购促进中小企业发展管理办法》的规定，本企业不属于大企业的分支机构，不存在控股股东为大企业的情形，也不存在与大企业的负责人为同一人的情形。</w:t>
      </w:r>
      <w:r>
        <w:rPr>
          <w:rFonts w:ascii="宋体" w:hAnsi="宋体" w:cs="宋体"/>
          <w:color w:val="auto"/>
          <w:sz w:val="24"/>
          <w:szCs w:val="24"/>
          <w:highlight w:val="none"/>
        </w:rPr>
        <w:t xml:space="preserve"> </w:t>
      </w:r>
    </w:p>
    <w:p w14:paraId="739F0CF1">
      <w:pPr>
        <w:kinsoku w:val="0"/>
        <w:wordWrap w:val="0"/>
        <w:overflowPunct w:val="0"/>
        <w:spacing w:line="360" w:lineRule="auto"/>
        <w:ind w:right="215"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r>
        <w:rPr>
          <w:rFonts w:ascii="宋体" w:hAnsi="宋体" w:cs="宋体"/>
          <w:color w:val="auto"/>
          <w:sz w:val="24"/>
          <w:szCs w:val="24"/>
          <w:highlight w:val="none"/>
        </w:rPr>
        <w:t xml:space="preserve"> </w:t>
      </w:r>
    </w:p>
    <w:p w14:paraId="2DCBDB9F">
      <w:pPr>
        <w:kinsoku w:val="0"/>
        <w:overflowPunct w:val="0"/>
        <w:spacing w:line="360" w:lineRule="auto"/>
        <w:ind w:right="216" w:firstLine="3600" w:firstLineChars="1500"/>
        <w:jc w:val="right"/>
        <w:rPr>
          <w:rFonts w:hint="eastAsia" w:ascii="宋体" w:hAnsi="宋体" w:cs="宋体"/>
          <w:color w:val="auto"/>
          <w:sz w:val="24"/>
          <w:szCs w:val="24"/>
          <w:highlight w:val="none"/>
        </w:rPr>
      </w:pPr>
    </w:p>
    <w:p w14:paraId="57C65AD7">
      <w:pPr>
        <w:topLinePunct/>
        <w:adjustRightInd w:val="0"/>
        <w:snapToGrid w:val="0"/>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标</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人：（盖章）</w:t>
      </w:r>
    </w:p>
    <w:p w14:paraId="6F97C07F">
      <w:pPr>
        <w:spacing w:line="360" w:lineRule="auto"/>
        <w:jc w:val="left"/>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期：</w:t>
      </w:r>
    </w:p>
    <w:p w14:paraId="6E005CA2">
      <w:pPr>
        <w:kinsoku w:val="0"/>
        <w:overflowPunct w:val="0"/>
        <w:spacing w:line="276" w:lineRule="auto"/>
        <w:ind w:right="216"/>
        <w:jc w:val="left"/>
        <w:rPr>
          <w:rFonts w:hint="eastAsia" w:ascii="宋体" w:hAnsi="宋体" w:cs="宋体"/>
          <w:b/>
          <w:color w:val="auto"/>
          <w:szCs w:val="21"/>
          <w:highlight w:val="none"/>
          <w:u w:val="single"/>
        </w:rPr>
      </w:pPr>
    </w:p>
    <w:p w14:paraId="03C0338D">
      <w:pPr>
        <w:kinsoku w:val="0"/>
        <w:overflowPunct w:val="0"/>
        <w:spacing w:line="276" w:lineRule="auto"/>
        <w:ind w:right="216"/>
        <w:jc w:val="left"/>
        <w:rPr>
          <w:rFonts w:hint="eastAsia" w:ascii="宋体" w:hAnsi="宋体" w:cs="宋体"/>
          <w:b/>
          <w:color w:val="auto"/>
          <w:szCs w:val="21"/>
          <w:highlight w:val="none"/>
          <w:u w:val="single"/>
        </w:rPr>
      </w:pPr>
    </w:p>
    <w:p w14:paraId="2FFBA5D7">
      <w:pPr>
        <w:kinsoku w:val="0"/>
        <w:overflowPunct w:val="0"/>
        <w:spacing w:line="276" w:lineRule="auto"/>
        <w:ind w:right="216"/>
        <w:jc w:val="left"/>
        <w:rPr>
          <w:rFonts w:hint="eastAsia" w:ascii="宋体" w:hAnsi="宋体" w:cs="宋体"/>
          <w:b/>
          <w:color w:val="auto"/>
          <w:szCs w:val="21"/>
          <w:highlight w:val="none"/>
          <w:u w:val="single"/>
        </w:rPr>
      </w:pPr>
    </w:p>
    <w:p w14:paraId="566436C6">
      <w:pPr>
        <w:kinsoku w:val="0"/>
        <w:overflowPunct w:val="0"/>
        <w:spacing w:line="276" w:lineRule="auto"/>
        <w:ind w:right="216"/>
        <w:jc w:val="left"/>
        <w:rPr>
          <w:rFonts w:hint="eastAsia" w:ascii="宋体" w:hAnsi="宋体" w:cs="宋体"/>
          <w:b/>
          <w:color w:val="auto"/>
          <w:szCs w:val="21"/>
          <w:highlight w:val="none"/>
          <w:u w:val="single"/>
        </w:rPr>
      </w:pPr>
    </w:p>
    <w:p w14:paraId="52B05CBE">
      <w:pPr>
        <w:kinsoku w:val="0"/>
        <w:overflowPunct w:val="0"/>
        <w:spacing w:line="276" w:lineRule="auto"/>
        <w:ind w:right="216"/>
        <w:jc w:val="left"/>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注：</w:t>
      </w:r>
    </w:p>
    <w:p w14:paraId="52E2C861">
      <w:pPr>
        <w:kinsoku w:val="0"/>
        <w:overflowPunct w:val="0"/>
        <w:spacing w:line="276" w:lineRule="auto"/>
        <w:ind w:right="216" w:firstLine="424" w:firstLineChars="202"/>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1.营业收入、资产总额填报上一年度数据，无上一年度数据的新成立企业可不填报。</w:t>
      </w:r>
    </w:p>
    <w:p w14:paraId="612E0588">
      <w:pPr>
        <w:wordWrap w:val="0"/>
        <w:spacing w:line="276" w:lineRule="auto"/>
        <w:ind w:firstLine="424" w:firstLineChars="202"/>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2.《中小企业声明函》由参加招投标活动的</w:t>
      </w:r>
      <w:r>
        <w:rPr>
          <w:rFonts w:hint="eastAsia" w:ascii="宋体" w:hAnsi="宋体" w:cs="宋体"/>
          <w:b/>
          <w:color w:val="auto"/>
          <w:szCs w:val="21"/>
          <w:highlight w:val="none"/>
          <w:u w:val="single"/>
        </w:rPr>
        <w:t>投标人</w:t>
      </w:r>
      <w:r>
        <w:rPr>
          <w:rFonts w:hint="eastAsia" w:ascii="宋体" w:hAnsi="宋体" w:cs="宋体"/>
          <w:color w:val="auto"/>
          <w:szCs w:val="21"/>
          <w:highlight w:val="none"/>
          <w:u w:val="single"/>
        </w:rPr>
        <w:t>出具。投标人可参考《广东省财政厅关于进一步规范政府采购活动中落实促进中小企业发展政策的通知（粤财采购〔2024〕11号）》（http://czt.gd.gov.cn/zfcg/content/post_4497011.html）、《广州市政府采购中心关于规范填写《中小企业声明函》的温馨提示》（集团公告 - 详情页  https://www.gzggzy.cn/jtgg/1001279.jhtml）填写。</w:t>
      </w:r>
    </w:p>
    <w:p w14:paraId="68BA67AA">
      <w:pPr>
        <w:spacing w:line="276" w:lineRule="auto"/>
        <w:ind w:firstLine="424" w:firstLineChars="202"/>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3.中小企业划分标准按照《工业和信息化部 国家统计局 国家发展和改革委员会 财政部关于印发中小企业划型标准规定的通知》（工信部联企业〔2011〕300号）执行。本招标项目属于</w:t>
      </w:r>
      <w:r>
        <w:rPr>
          <w:rFonts w:hint="eastAsia" w:ascii="宋体" w:hAnsi="宋体" w:cs="宋体"/>
          <w:b/>
          <w:color w:val="auto"/>
          <w:szCs w:val="21"/>
          <w:highlight w:val="none"/>
          <w:u w:val="single"/>
        </w:rPr>
        <w:t>建筑业</w:t>
      </w:r>
      <w:r>
        <w:rPr>
          <w:rFonts w:hint="eastAsia" w:ascii="宋体" w:hAnsi="宋体" w:cs="宋体"/>
          <w:color w:val="auto"/>
          <w:szCs w:val="21"/>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649C367">
      <w:pPr>
        <w:jc w:val="center"/>
        <w:rPr>
          <w:rFonts w:hint="eastAsia" w:ascii="宋体" w:hAnsi="宋体"/>
          <w:b/>
          <w:color w:val="auto"/>
          <w:sz w:val="36"/>
          <w:szCs w:val="36"/>
          <w:highlight w:val="none"/>
        </w:rPr>
      </w:pPr>
    </w:p>
    <w:p w14:paraId="7E3DAD8E">
      <w:pPr>
        <w:widowControl/>
        <w:jc w:val="left"/>
        <w:rPr>
          <w:rFonts w:hint="eastAsia" w:ascii="宋体" w:hAnsi="宋体" w:cs="宋体"/>
          <w:color w:val="auto"/>
          <w:kern w:val="0"/>
          <w:sz w:val="24"/>
          <w:szCs w:val="24"/>
          <w:highlight w:val="none"/>
        </w:rPr>
      </w:pPr>
      <w:r>
        <w:rPr>
          <w:rFonts w:ascii="宋体" w:hAnsi="宋体"/>
          <w:color w:val="auto"/>
          <w:highlight w:val="none"/>
        </w:rPr>
        <w:br w:type="page"/>
      </w:r>
    </w:p>
    <w:p w14:paraId="2B36BFE3">
      <w:pPr>
        <w:pStyle w:val="8"/>
        <w:rPr>
          <w:rFonts w:hint="eastAsia"/>
          <w:color w:val="auto"/>
          <w:highlight w:val="none"/>
        </w:rPr>
      </w:pPr>
      <w:r>
        <w:rPr>
          <w:rFonts w:hint="eastAsia"/>
          <w:color w:val="auto"/>
          <w:highlight w:val="none"/>
        </w:rPr>
        <w:t>格式九：</w:t>
      </w:r>
    </w:p>
    <w:p w14:paraId="54F17506">
      <w:pPr>
        <w:jc w:val="center"/>
        <w:rPr>
          <w:rFonts w:hint="eastAsia" w:ascii="宋体" w:hAnsi="宋体"/>
          <w:b/>
          <w:color w:val="auto"/>
          <w:sz w:val="36"/>
          <w:szCs w:val="36"/>
          <w:highlight w:val="none"/>
        </w:rPr>
      </w:pPr>
      <w:r>
        <w:rPr>
          <w:rFonts w:hint="eastAsia" w:ascii="宋体" w:hAnsi="宋体"/>
          <w:b/>
          <w:color w:val="auto"/>
          <w:sz w:val="36"/>
          <w:szCs w:val="36"/>
          <w:highlight w:val="none"/>
        </w:rPr>
        <w:t>分包（采购）意向承诺书（如有）</w:t>
      </w:r>
    </w:p>
    <w:p w14:paraId="0BB4C48F">
      <w:pPr>
        <w:spacing w:line="360" w:lineRule="auto"/>
        <w:rPr>
          <w:rFonts w:hint="eastAsia"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（招标人）</w:t>
      </w:r>
    </w:p>
    <w:p w14:paraId="6EFA55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我单位参加</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rPr>
        <w:t>的投标活动。如中标，我单位承诺如下</w:t>
      </w:r>
      <w:r>
        <w:rPr>
          <w:rFonts w:hint="eastAsia" w:ascii="宋体" w:hAnsi="宋体" w:cs="宋体"/>
          <w:color w:val="auto"/>
          <w:szCs w:val="21"/>
          <w:highlight w:val="none"/>
        </w:rPr>
        <w:t>：</w:t>
      </w:r>
    </w:p>
    <w:p w14:paraId="14BBF2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一、按以下方式执行本项目的中小企业预留份额：</w:t>
      </w:r>
    </w:p>
    <w:p w14:paraId="67873C0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b/>
          <w:color w:val="auto"/>
          <w:szCs w:val="21"/>
          <w:highlight w:val="none"/>
        </w:rPr>
        <w:t>专业</w:t>
      </w:r>
      <w:r>
        <w:rPr>
          <w:rFonts w:ascii="宋体" w:hAnsi="宋体" w:cs="宋体"/>
          <w:b/>
          <w:color w:val="auto"/>
          <w:szCs w:val="21"/>
          <w:highlight w:val="none"/>
        </w:rPr>
        <w:t>分包</w:t>
      </w:r>
      <w:r>
        <w:rPr>
          <w:rFonts w:hint="eastAsia" w:ascii="宋体" w:hAnsi="宋体" w:cs="宋体"/>
          <w:b/>
          <w:color w:val="auto"/>
          <w:szCs w:val="21"/>
          <w:highlight w:val="none"/>
        </w:rPr>
        <w:t>：</w:t>
      </w:r>
      <w:r>
        <w:rPr>
          <w:rFonts w:hint="eastAsia" w:ascii="宋体" w:hAnsi="宋体" w:cs="宋体"/>
          <w:color w:val="auto"/>
          <w:szCs w:val="21"/>
          <w:highlight w:val="none"/>
        </w:rPr>
        <w:t>我单位承诺将不低于</w:t>
      </w:r>
      <w:r>
        <w:rPr>
          <w:rFonts w:hint="eastAsia" w:ascii="宋体" w:hAnsi="宋体" w:cs="宋体"/>
          <w:b/>
          <w:color w:val="auto"/>
          <w:szCs w:val="21"/>
          <w:highlight w:val="none"/>
        </w:rPr>
        <w:t>合同总金额的</w:t>
      </w:r>
      <w:r>
        <w:rPr>
          <w:rFonts w:ascii="宋体" w:hAnsi="宋体" w:cs="宋体"/>
          <w:b/>
          <w:color w:val="auto"/>
          <w:szCs w:val="21"/>
          <w:highlight w:val="none"/>
          <w:u w:val="single"/>
        </w:rPr>
        <w:t xml:space="preserve">    </w:t>
      </w:r>
      <w:r>
        <w:rPr>
          <w:rFonts w:ascii="宋体" w:hAnsi="宋体" w:cs="宋体"/>
          <w:b/>
          <w:color w:val="auto"/>
          <w:szCs w:val="21"/>
          <w:highlight w:val="none"/>
        </w:rPr>
        <w:t>%</w:t>
      </w:r>
      <w:r>
        <w:rPr>
          <w:rFonts w:hint="eastAsia" w:ascii="宋体" w:hAnsi="宋体" w:cs="宋体"/>
          <w:color w:val="auto"/>
          <w:szCs w:val="21"/>
          <w:highlight w:val="none"/>
        </w:rPr>
        <w:t>分包给</w:t>
      </w:r>
      <w:r>
        <w:rPr>
          <w:rFonts w:hint="eastAsia" w:ascii="宋体" w:hAnsi="宋体" w:cs="宋体"/>
          <w:b/>
          <w:color w:val="auto"/>
          <w:szCs w:val="21"/>
          <w:highlight w:val="none"/>
        </w:rPr>
        <w:t>建筑业</w:t>
      </w:r>
      <w:r>
        <w:rPr>
          <w:rFonts w:hint="eastAsia" w:ascii="宋体" w:hAnsi="宋体" w:cs="宋体"/>
          <w:color w:val="auto"/>
          <w:szCs w:val="21"/>
          <w:highlight w:val="none"/>
        </w:rPr>
        <w:t>的</w:t>
      </w:r>
      <w:r>
        <w:rPr>
          <w:rFonts w:hint="eastAsia" w:ascii="宋体" w:hAnsi="宋体" w:cs="宋体"/>
          <w:b/>
          <w:color w:val="auto"/>
          <w:szCs w:val="21"/>
          <w:highlight w:val="none"/>
        </w:rPr>
        <w:t>中型</w:t>
      </w:r>
      <w:r>
        <w:rPr>
          <w:rFonts w:hint="eastAsia" w:ascii="宋体" w:hAnsi="宋体" w:cs="宋体"/>
          <w:color w:val="auto"/>
          <w:szCs w:val="21"/>
          <w:highlight w:val="none"/>
        </w:rPr>
        <w:t>企业</w:t>
      </w:r>
      <w:r>
        <w:rPr>
          <w:rFonts w:ascii="宋体" w:hAnsi="宋体" w:cs="宋体"/>
          <w:color w:val="auto"/>
          <w:szCs w:val="21"/>
          <w:highlight w:val="none"/>
        </w:rPr>
        <w:t>。</w:t>
      </w:r>
    </w:p>
    <w:p w14:paraId="50046C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b/>
          <w:color w:val="auto"/>
          <w:szCs w:val="21"/>
          <w:highlight w:val="none"/>
        </w:rPr>
        <w:t>专业</w:t>
      </w:r>
      <w:r>
        <w:rPr>
          <w:rFonts w:ascii="宋体" w:hAnsi="宋体" w:cs="宋体"/>
          <w:b/>
          <w:color w:val="auto"/>
          <w:szCs w:val="21"/>
          <w:highlight w:val="none"/>
        </w:rPr>
        <w:t>分包</w:t>
      </w:r>
      <w:r>
        <w:rPr>
          <w:rFonts w:hint="eastAsia" w:ascii="宋体" w:hAnsi="宋体" w:cs="宋体"/>
          <w:b/>
          <w:color w:val="auto"/>
          <w:szCs w:val="21"/>
          <w:highlight w:val="none"/>
        </w:rPr>
        <w:t>：</w:t>
      </w:r>
      <w:r>
        <w:rPr>
          <w:rFonts w:hint="eastAsia" w:ascii="宋体" w:hAnsi="宋体" w:cs="宋体"/>
          <w:color w:val="auto"/>
          <w:szCs w:val="21"/>
          <w:highlight w:val="none"/>
        </w:rPr>
        <w:t>我单位承诺将不低于</w:t>
      </w:r>
      <w:r>
        <w:rPr>
          <w:rFonts w:hint="eastAsia" w:ascii="宋体" w:hAnsi="宋体" w:cs="宋体"/>
          <w:b/>
          <w:color w:val="auto"/>
          <w:szCs w:val="21"/>
          <w:highlight w:val="none"/>
        </w:rPr>
        <w:t>合同总金额的</w:t>
      </w:r>
      <w:r>
        <w:rPr>
          <w:rFonts w:ascii="宋体" w:hAnsi="宋体" w:cs="宋体"/>
          <w:b/>
          <w:color w:val="auto"/>
          <w:szCs w:val="21"/>
          <w:highlight w:val="none"/>
          <w:u w:val="single"/>
        </w:rPr>
        <w:t xml:space="preserve">    </w:t>
      </w:r>
      <w:r>
        <w:rPr>
          <w:rFonts w:ascii="宋体" w:hAnsi="宋体" w:cs="宋体"/>
          <w:b/>
          <w:color w:val="auto"/>
          <w:szCs w:val="21"/>
          <w:highlight w:val="none"/>
        </w:rPr>
        <w:t>%</w:t>
      </w:r>
      <w:r>
        <w:rPr>
          <w:rFonts w:hint="eastAsia" w:ascii="宋体" w:hAnsi="宋体" w:cs="宋体"/>
          <w:color w:val="auto"/>
          <w:szCs w:val="21"/>
          <w:highlight w:val="none"/>
        </w:rPr>
        <w:t>分包给</w:t>
      </w:r>
      <w:r>
        <w:rPr>
          <w:rFonts w:hint="eastAsia" w:ascii="宋体" w:hAnsi="宋体" w:cs="宋体"/>
          <w:b/>
          <w:color w:val="auto"/>
          <w:szCs w:val="21"/>
          <w:highlight w:val="none"/>
        </w:rPr>
        <w:t>建筑业</w:t>
      </w:r>
      <w:r>
        <w:rPr>
          <w:rFonts w:hint="eastAsia" w:ascii="宋体" w:hAnsi="宋体" w:cs="宋体"/>
          <w:color w:val="auto"/>
          <w:szCs w:val="21"/>
          <w:highlight w:val="none"/>
        </w:rPr>
        <w:t>的</w:t>
      </w:r>
      <w:r>
        <w:rPr>
          <w:rFonts w:hint="eastAsia" w:ascii="宋体" w:hAnsi="宋体" w:cs="宋体"/>
          <w:b/>
          <w:color w:val="auto"/>
          <w:szCs w:val="21"/>
          <w:highlight w:val="none"/>
        </w:rPr>
        <w:t>小微型</w:t>
      </w:r>
      <w:r>
        <w:rPr>
          <w:rFonts w:hint="eastAsia" w:ascii="宋体" w:hAnsi="宋体" w:cs="宋体"/>
          <w:color w:val="auto"/>
          <w:szCs w:val="21"/>
          <w:highlight w:val="none"/>
        </w:rPr>
        <w:t>企业</w:t>
      </w:r>
      <w:r>
        <w:rPr>
          <w:rFonts w:ascii="宋体" w:hAnsi="宋体" w:cs="宋体"/>
          <w:color w:val="auto"/>
          <w:szCs w:val="21"/>
          <w:highlight w:val="none"/>
        </w:rPr>
        <w:t>。</w:t>
      </w:r>
    </w:p>
    <w:p w14:paraId="4A174B8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b/>
          <w:color w:val="auto"/>
          <w:szCs w:val="21"/>
          <w:highlight w:val="none"/>
        </w:rPr>
        <w:t>劳务</w:t>
      </w:r>
      <w:r>
        <w:rPr>
          <w:rFonts w:ascii="宋体" w:hAnsi="宋体" w:cs="宋体"/>
          <w:b/>
          <w:color w:val="auto"/>
          <w:szCs w:val="21"/>
          <w:highlight w:val="none"/>
        </w:rPr>
        <w:t>分包</w:t>
      </w:r>
      <w:r>
        <w:rPr>
          <w:rFonts w:hint="eastAsia" w:ascii="宋体" w:hAnsi="宋体" w:cs="宋体"/>
          <w:b/>
          <w:color w:val="auto"/>
          <w:szCs w:val="21"/>
          <w:highlight w:val="none"/>
        </w:rPr>
        <w:t>：</w:t>
      </w:r>
      <w:r>
        <w:rPr>
          <w:rFonts w:hint="eastAsia" w:ascii="宋体" w:hAnsi="宋体" w:cs="宋体"/>
          <w:color w:val="auto"/>
          <w:szCs w:val="21"/>
          <w:highlight w:val="none"/>
        </w:rPr>
        <w:t>我单位承诺将不低于</w:t>
      </w:r>
      <w:r>
        <w:rPr>
          <w:rFonts w:hint="eastAsia" w:ascii="宋体" w:hAnsi="宋体" w:cs="宋体"/>
          <w:b/>
          <w:color w:val="auto"/>
          <w:szCs w:val="21"/>
          <w:highlight w:val="none"/>
        </w:rPr>
        <w:t>合同总金额的</w:t>
      </w:r>
      <w:r>
        <w:rPr>
          <w:rFonts w:ascii="宋体" w:hAnsi="宋体" w:cs="宋体"/>
          <w:b/>
          <w:color w:val="auto"/>
          <w:szCs w:val="21"/>
          <w:highlight w:val="none"/>
          <w:u w:val="single"/>
        </w:rPr>
        <w:t xml:space="preserve">    </w:t>
      </w:r>
      <w:r>
        <w:rPr>
          <w:rFonts w:ascii="宋体" w:hAnsi="宋体" w:cs="宋体"/>
          <w:b/>
          <w:color w:val="auto"/>
          <w:szCs w:val="21"/>
          <w:highlight w:val="none"/>
        </w:rPr>
        <w:t>%</w:t>
      </w:r>
      <w:r>
        <w:rPr>
          <w:rFonts w:hint="eastAsia" w:ascii="宋体" w:hAnsi="宋体" w:cs="宋体"/>
          <w:color w:val="auto"/>
          <w:szCs w:val="21"/>
          <w:highlight w:val="none"/>
        </w:rPr>
        <w:t>分包给</w:t>
      </w:r>
      <w:r>
        <w:rPr>
          <w:rFonts w:hint="eastAsia" w:ascii="宋体" w:hAnsi="宋体" w:cs="宋体"/>
          <w:b/>
          <w:color w:val="auto"/>
          <w:szCs w:val="21"/>
          <w:highlight w:val="none"/>
        </w:rPr>
        <w:t>租赁和商务服务业</w:t>
      </w:r>
      <w:r>
        <w:rPr>
          <w:rFonts w:hint="eastAsia" w:ascii="宋体" w:hAnsi="宋体" w:cs="宋体"/>
          <w:color w:val="auto"/>
          <w:szCs w:val="21"/>
          <w:highlight w:val="none"/>
        </w:rPr>
        <w:t>的</w:t>
      </w:r>
      <w:r>
        <w:rPr>
          <w:rFonts w:hint="eastAsia" w:ascii="宋体" w:hAnsi="宋体" w:cs="宋体"/>
          <w:b/>
          <w:color w:val="auto"/>
          <w:szCs w:val="21"/>
          <w:highlight w:val="none"/>
        </w:rPr>
        <w:t>中型</w:t>
      </w:r>
      <w:r>
        <w:rPr>
          <w:rFonts w:hint="eastAsia" w:ascii="宋体" w:hAnsi="宋体" w:cs="宋体"/>
          <w:color w:val="auto"/>
          <w:szCs w:val="21"/>
          <w:highlight w:val="none"/>
        </w:rPr>
        <w:t>企业</w:t>
      </w:r>
      <w:r>
        <w:rPr>
          <w:rFonts w:ascii="宋体" w:hAnsi="宋体" w:cs="宋体"/>
          <w:color w:val="auto"/>
          <w:szCs w:val="21"/>
          <w:highlight w:val="none"/>
        </w:rPr>
        <w:t>。</w:t>
      </w:r>
    </w:p>
    <w:p w14:paraId="0730A37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b/>
          <w:color w:val="auto"/>
          <w:szCs w:val="21"/>
          <w:highlight w:val="none"/>
        </w:rPr>
        <w:t>劳务</w:t>
      </w:r>
      <w:r>
        <w:rPr>
          <w:rFonts w:ascii="宋体" w:hAnsi="宋体" w:cs="宋体"/>
          <w:b/>
          <w:color w:val="auto"/>
          <w:szCs w:val="21"/>
          <w:highlight w:val="none"/>
        </w:rPr>
        <w:t>分包</w:t>
      </w:r>
      <w:r>
        <w:rPr>
          <w:rFonts w:hint="eastAsia" w:ascii="宋体" w:hAnsi="宋体" w:cs="宋体"/>
          <w:b/>
          <w:color w:val="auto"/>
          <w:szCs w:val="21"/>
          <w:highlight w:val="none"/>
        </w:rPr>
        <w:t>：</w:t>
      </w:r>
      <w:r>
        <w:rPr>
          <w:rFonts w:hint="eastAsia" w:ascii="宋体" w:hAnsi="宋体" w:cs="宋体"/>
          <w:color w:val="auto"/>
          <w:szCs w:val="21"/>
          <w:highlight w:val="none"/>
        </w:rPr>
        <w:t>我单位承诺将不低于</w:t>
      </w:r>
      <w:r>
        <w:rPr>
          <w:rFonts w:hint="eastAsia" w:ascii="宋体" w:hAnsi="宋体" w:cs="宋体"/>
          <w:b/>
          <w:color w:val="auto"/>
          <w:szCs w:val="21"/>
          <w:highlight w:val="none"/>
        </w:rPr>
        <w:t>合同总金额的</w:t>
      </w:r>
      <w:r>
        <w:rPr>
          <w:rFonts w:ascii="宋体" w:hAnsi="宋体" w:cs="宋体"/>
          <w:b/>
          <w:color w:val="auto"/>
          <w:szCs w:val="21"/>
          <w:highlight w:val="none"/>
          <w:u w:val="single"/>
        </w:rPr>
        <w:t xml:space="preserve">    </w:t>
      </w:r>
      <w:r>
        <w:rPr>
          <w:rFonts w:ascii="宋体" w:hAnsi="宋体" w:cs="宋体"/>
          <w:b/>
          <w:color w:val="auto"/>
          <w:szCs w:val="21"/>
          <w:highlight w:val="none"/>
        </w:rPr>
        <w:t>%</w:t>
      </w:r>
      <w:r>
        <w:rPr>
          <w:rFonts w:hint="eastAsia" w:ascii="宋体" w:hAnsi="宋体" w:cs="宋体"/>
          <w:color w:val="auto"/>
          <w:szCs w:val="21"/>
          <w:highlight w:val="none"/>
        </w:rPr>
        <w:t>分包给</w:t>
      </w:r>
      <w:r>
        <w:rPr>
          <w:rFonts w:hint="eastAsia" w:ascii="宋体" w:hAnsi="宋体" w:cs="宋体"/>
          <w:b/>
          <w:color w:val="auto"/>
          <w:szCs w:val="21"/>
          <w:highlight w:val="none"/>
        </w:rPr>
        <w:t>租赁和商务服务业</w:t>
      </w:r>
      <w:r>
        <w:rPr>
          <w:rFonts w:hint="eastAsia" w:ascii="宋体" w:hAnsi="宋体" w:cs="宋体"/>
          <w:color w:val="auto"/>
          <w:szCs w:val="21"/>
          <w:highlight w:val="none"/>
        </w:rPr>
        <w:t>的</w:t>
      </w:r>
      <w:r>
        <w:rPr>
          <w:rFonts w:hint="eastAsia" w:ascii="宋体" w:hAnsi="宋体" w:cs="宋体"/>
          <w:b/>
          <w:color w:val="auto"/>
          <w:szCs w:val="21"/>
          <w:highlight w:val="none"/>
        </w:rPr>
        <w:t>小微型</w:t>
      </w:r>
      <w:r>
        <w:rPr>
          <w:rFonts w:hint="eastAsia" w:ascii="宋体" w:hAnsi="宋体" w:cs="宋体"/>
          <w:color w:val="auto"/>
          <w:szCs w:val="21"/>
          <w:highlight w:val="none"/>
        </w:rPr>
        <w:t>企业</w:t>
      </w:r>
      <w:r>
        <w:rPr>
          <w:rFonts w:ascii="宋体" w:hAnsi="宋体" w:cs="宋体"/>
          <w:color w:val="auto"/>
          <w:szCs w:val="21"/>
          <w:highlight w:val="none"/>
        </w:rPr>
        <w:t>。</w:t>
      </w:r>
    </w:p>
    <w:p w14:paraId="42CD66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b/>
          <w:color w:val="auto"/>
          <w:szCs w:val="21"/>
          <w:highlight w:val="none"/>
        </w:rPr>
        <w:t>材料、设备采购：</w:t>
      </w:r>
      <w:r>
        <w:rPr>
          <w:rFonts w:hint="eastAsia" w:ascii="宋体" w:hAnsi="宋体" w:cs="宋体"/>
          <w:color w:val="auto"/>
          <w:szCs w:val="21"/>
          <w:highlight w:val="none"/>
        </w:rPr>
        <w:t>我单位承诺将不低于</w:t>
      </w:r>
      <w:r>
        <w:rPr>
          <w:rFonts w:hint="eastAsia" w:ascii="宋体" w:hAnsi="宋体" w:cs="宋体"/>
          <w:b/>
          <w:color w:val="auto"/>
          <w:szCs w:val="21"/>
          <w:highlight w:val="none"/>
        </w:rPr>
        <w:t>合同总金额的</w:t>
      </w:r>
      <w:r>
        <w:rPr>
          <w:rFonts w:ascii="宋体" w:hAnsi="宋体" w:cs="宋体"/>
          <w:b/>
          <w:color w:val="auto"/>
          <w:szCs w:val="21"/>
          <w:highlight w:val="none"/>
          <w:u w:val="single"/>
        </w:rPr>
        <w:t xml:space="preserve">    </w:t>
      </w:r>
      <w:r>
        <w:rPr>
          <w:rFonts w:ascii="宋体" w:hAnsi="宋体" w:cs="宋体"/>
          <w:b/>
          <w:color w:val="auto"/>
          <w:szCs w:val="21"/>
          <w:highlight w:val="none"/>
        </w:rPr>
        <w:t>%</w:t>
      </w:r>
      <w:r>
        <w:rPr>
          <w:rFonts w:hint="eastAsia" w:ascii="宋体" w:hAnsi="宋体" w:cs="宋体"/>
          <w:color w:val="auto"/>
          <w:szCs w:val="21"/>
          <w:highlight w:val="none"/>
        </w:rPr>
        <w:t>分包给</w:t>
      </w:r>
      <w:r>
        <w:rPr>
          <w:rFonts w:hint="eastAsia" w:ascii="宋体" w:hAnsi="宋体" w:cs="宋体"/>
          <w:b/>
          <w:color w:val="auto"/>
          <w:szCs w:val="21"/>
          <w:highlight w:val="none"/>
        </w:rPr>
        <w:t>提供材料或设备</w:t>
      </w:r>
      <w:r>
        <w:rPr>
          <w:rFonts w:hint="eastAsia" w:ascii="宋体" w:hAnsi="宋体" w:cs="宋体"/>
          <w:color w:val="auto"/>
          <w:szCs w:val="21"/>
          <w:highlight w:val="none"/>
        </w:rPr>
        <w:t>的</w:t>
      </w:r>
      <w:r>
        <w:rPr>
          <w:rFonts w:hint="eastAsia" w:ascii="宋体" w:hAnsi="宋体" w:cs="宋体"/>
          <w:b/>
          <w:color w:val="auto"/>
          <w:szCs w:val="21"/>
          <w:highlight w:val="none"/>
        </w:rPr>
        <w:t>中型</w:t>
      </w:r>
      <w:r>
        <w:rPr>
          <w:rFonts w:hint="eastAsia" w:ascii="宋体" w:hAnsi="宋体" w:cs="宋体"/>
          <w:color w:val="auto"/>
          <w:szCs w:val="21"/>
          <w:highlight w:val="none"/>
        </w:rPr>
        <w:t>企业</w:t>
      </w:r>
      <w:r>
        <w:rPr>
          <w:rFonts w:ascii="宋体" w:hAnsi="宋体" w:cs="宋体"/>
          <w:color w:val="auto"/>
          <w:szCs w:val="21"/>
          <w:highlight w:val="none"/>
        </w:rPr>
        <w:t>。</w:t>
      </w:r>
    </w:p>
    <w:p w14:paraId="28E5E4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b/>
          <w:color w:val="auto"/>
          <w:szCs w:val="21"/>
          <w:highlight w:val="none"/>
        </w:rPr>
        <w:t>材料、设备采购：</w:t>
      </w:r>
      <w:r>
        <w:rPr>
          <w:rFonts w:hint="eastAsia" w:ascii="宋体" w:hAnsi="宋体" w:cs="宋体"/>
          <w:color w:val="auto"/>
          <w:szCs w:val="21"/>
          <w:highlight w:val="none"/>
        </w:rPr>
        <w:t>我单位承诺将不低于</w:t>
      </w:r>
      <w:r>
        <w:rPr>
          <w:rFonts w:hint="eastAsia" w:ascii="宋体" w:hAnsi="宋体" w:cs="宋体"/>
          <w:b/>
          <w:color w:val="auto"/>
          <w:szCs w:val="21"/>
          <w:highlight w:val="none"/>
        </w:rPr>
        <w:t>合同总金额的</w:t>
      </w:r>
      <w:r>
        <w:rPr>
          <w:rFonts w:ascii="宋体" w:hAnsi="宋体" w:cs="宋体"/>
          <w:b/>
          <w:color w:val="auto"/>
          <w:szCs w:val="21"/>
          <w:highlight w:val="none"/>
          <w:u w:val="single"/>
        </w:rPr>
        <w:t xml:space="preserve">    </w:t>
      </w:r>
      <w:r>
        <w:rPr>
          <w:rFonts w:ascii="宋体" w:hAnsi="宋体" w:cs="宋体"/>
          <w:b/>
          <w:color w:val="auto"/>
          <w:szCs w:val="21"/>
          <w:highlight w:val="none"/>
        </w:rPr>
        <w:t>%</w:t>
      </w:r>
      <w:r>
        <w:rPr>
          <w:rFonts w:hint="eastAsia" w:ascii="宋体" w:hAnsi="宋体" w:cs="宋体"/>
          <w:color w:val="auto"/>
          <w:szCs w:val="21"/>
          <w:highlight w:val="none"/>
        </w:rPr>
        <w:t>分包给</w:t>
      </w:r>
      <w:r>
        <w:rPr>
          <w:rFonts w:hint="eastAsia" w:ascii="宋体" w:hAnsi="宋体" w:cs="宋体"/>
          <w:b/>
          <w:color w:val="auto"/>
          <w:szCs w:val="21"/>
          <w:highlight w:val="none"/>
        </w:rPr>
        <w:t>提供材料或设备</w:t>
      </w:r>
      <w:r>
        <w:rPr>
          <w:rFonts w:hint="eastAsia" w:ascii="宋体" w:hAnsi="宋体" w:cs="宋体"/>
          <w:color w:val="auto"/>
          <w:szCs w:val="21"/>
          <w:highlight w:val="none"/>
        </w:rPr>
        <w:t>的</w:t>
      </w:r>
      <w:r>
        <w:rPr>
          <w:rFonts w:hint="eastAsia" w:ascii="宋体" w:hAnsi="宋体" w:cs="宋体"/>
          <w:b/>
          <w:color w:val="auto"/>
          <w:szCs w:val="21"/>
          <w:highlight w:val="none"/>
        </w:rPr>
        <w:t>小微型</w:t>
      </w:r>
      <w:r>
        <w:rPr>
          <w:rFonts w:hint="eastAsia" w:ascii="宋体" w:hAnsi="宋体" w:cs="宋体"/>
          <w:color w:val="auto"/>
          <w:szCs w:val="21"/>
          <w:highlight w:val="none"/>
        </w:rPr>
        <w:t>企业</w:t>
      </w:r>
      <w:r>
        <w:rPr>
          <w:rFonts w:ascii="宋体" w:hAnsi="宋体" w:cs="宋体"/>
          <w:color w:val="auto"/>
          <w:szCs w:val="21"/>
          <w:highlight w:val="none"/>
        </w:rPr>
        <w:t>。</w:t>
      </w:r>
    </w:p>
    <w:p w14:paraId="7AB9A2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p>
    <w:p w14:paraId="7811A6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二、接受分包（采购）的企业与投标人之间不存在直接控股、管理关系的情形。</w:t>
      </w:r>
    </w:p>
    <w:p w14:paraId="5ADE9FB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三、如中标，在本项目合同履行中，我单位严格按照</w:t>
      </w:r>
      <w:r>
        <w:rPr>
          <w:rFonts w:hint="eastAsia" w:ascii="宋体" w:hAnsi="宋体" w:cs="宋体"/>
          <w:color w:val="auto"/>
          <w:highlight w:val="none"/>
        </w:rPr>
        <w:t>上述承诺份额执行并</w:t>
      </w:r>
      <w:r>
        <w:rPr>
          <w:rFonts w:hint="eastAsia" w:ascii="宋体" w:hAnsi="宋体" w:cs="宋体"/>
          <w:color w:val="auto"/>
          <w:kern w:val="0"/>
          <w:szCs w:val="21"/>
          <w:highlight w:val="none"/>
        </w:rPr>
        <w:t>同意随时接受招标人或相关部门监督检查</w:t>
      </w:r>
      <w:r>
        <w:rPr>
          <w:rFonts w:hint="eastAsia" w:ascii="宋体" w:hAnsi="宋体" w:cs="宋体"/>
          <w:color w:val="auto"/>
          <w:highlight w:val="none"/>
        </w:rPr>
        <w:t>。如有虚假，将依法承担相应责任。</w:t>
      </w:r>
    </w:p>
    <w:p w14:paraId="02CC141C">
      <w:pPr>
        <w:spacing w:line="360" w:lineRule="auto"/>
        <w:rPr>
          <w:rFonts w:hint="eastAsia" w:ascii="宋体" w:hAnsi="宋体"/>
          <w:color w:val="auto"/>
          <w:highlight w:val="none"/>
        </w:rPr>
      </w:pPr>
    </w:p>
    <w:p w14:paraId="4A569E89">
      <w:pPr>
        <w:spacing w:line="276" w:lineRule="auto"/>
        <w:rPr>
          <w:rFonts w:hint="eastAsia" w:ascii="宋体" w:hAnsi="宋体"/>
          <w:color w:val="auto"/>
          <w:highlight w:val="none"/>
        </w:rPr>
      </w:pPr>
      <w:r>
        <w:rPr>
          <w:rFonts w:hint="eastAsia" w:ascii="宋体" w:hAnsi="宋体"/>
          <w:color w:val="auto"/>
          <w:highlight w:val="none"/>
        </w:rPr>
        <w:t>投 标 人：（盖章）</w:t>
      </w:r>
    </w:p>
    <w:p w14:paraId="71185202">
      <w:pPr>
        <w:spacing w:line="276" w:lineRule="auto"/>
        <w:rPr>
          <w:rFonts w:hint="eastAsia" w:ascii="宋体" w:hAnsi="宋体"/>
          <w:color w:val="auto"/>
          <w:highlight w:val="none"/>
          <w:u w:val="single"/>
        </w:rPr>
      </w:pPr>
      <w:r>
        <w:rPr>
          <w:rFonts w:hint="eastAsia" w:ascii="宋体" w:hAnsi="宋体"/>
          <w:color w:val="auto"/>
          <w:highlight w:val="none"/>
        </w:rPr>
        <w:t>日    期：</w:t>
      </w:r>
    </w:p>
    <w:p w14:paraId="70216212">
      <w:pPr>
        <w:spacing w:line="276" w:lineRule="auto"/>
        <w:rPr>
          <w:rFonts w:hint="eastAsia" w:ascii="宋体" w:hAnsi="宋体"/>
          <w:color w:val="auto"/>
          <w:highlight w:val="none"/>
          <w:u w:val="single"/>
        </w:rPr>
      </w:pPr>
    </w:p>
    <w:p w14:paraId="3F32BC3A">
      <w:pPr>
        <w:spacing w:line="276" w:lineRule="auto"/>
        <w:rPr>
          <w:rFonts w:hint="eastAsia" w:ascii="宋体" w:hAnsi="宋体"/>
          <w:color w:val="auto"/>
          <w:highlight w:val="none"/>
          <w:u w:val="single"/>
        </w:rPr>
      </w:pPr>
      <w:r>
        <w:rPr>
          <w:rFonts w:hint="eastAsia" w:ascii="宋体" w:hAnsi="宋体"/>
          <w:color w:val="auto"/>
          <w:highlight w:val="none"/>
          <w:u w:val="single"/>
        </w:rPr>
        <w:t>注：本承诺书内容不得擅自修改，并将作为签订合同的附件之一。</w:t>
      </w:r>
    </w:p>
    <w:p w14:paraId="32EB1536">
      <w:pPr>
        <w:widowControl/>
        <w:jc w:val="left"/>
        <w:rPr>
          <w:rFonts w:hint="eastAsia" w:ascii="宋体" w:hAnsi="宋体"/>
          <w:color w:val="auto"/>
          <w:highlight w:val="none"/>
        </w:rPr>
      </w:pPr>
      <w:r>
        <w:rPr>
          <w:rFonts w:ascii="宋体" w:hAnsi="宋体"/>
          <w:color w:val="auto"/>
          <w:highlight w:val="none"/>
        </w:rPr>
        <w:br w:type="page"/>
      </w:r>
    </w:p>
    <w:p w14:paraId="56153277">
      <w:pPr>
        <w:pStyle w:val="8"/>
        <w:rPr>
          <w:rFonts w:hint="eastAsia"/>
          <w:color w:val="auto"/>
          <w:highlight w:val="none"/>
        </w:rPr>
      </w:pPr>
      <w:r>
        <w:rPr>
          <w:rFonts w:hint="eastAsia"/>
          <w:color w:val="auto"/>
          <w:highlight w:val="none"/>
        </w:rPr>
        <w:t>格式十：</w:t>
      </w:r>
    </w:p>
    <w:p w14:paraId="26A2A81F">
      <w:pPr>
        <w:widowControl/>
        <w:jc w:val="center"/>
        <w:rPr>
          <w:rFonts w:hint="eastAsia" w:ascii="宋体" w:hAnsi="宋体" w:cs="宋体"/>
          <w:b/>
          <w:color w:val="auto"/>
          <w:sz w:val="32"/>
          <w:szCs w:val="32"/>
          <w:highlight w:val="none"/>
        </w:rPr>
      </w:pPr>
      <w:r>
        <w:rPr>
          <w:rFonts w:ascii="宋体" w:hAnsi="宋体" w:cs="宋体"/>
          <w:b/>
          <w:color w:val="auto"/>
          <w:sz w:val="32"/>
          <w:szCs w:val="32"/>
          <w:highlight w:val="none"/>
        </w:rPr>
        <w:t>监狱企业</w:t>
      </w:r>
      <w:r>
        <w:rPr>
          <w:rFonts w:hint="eastAsia" w:ascii="宋体" w:hAnsi="宋体" w:cs="宋体"/>
          <w:b/>
          <w:color w:val="auto"/>
          <w:sz w:val="32"/>
          <w:szCs w:val="32"/>
          <w:highlight w:val="none"/>
        </w:rPr>
        <w:t>证明文件（如有）</w:t>
      </w:r>
    </w:p>
    <w:p w14:paraId="658F0438">
      <w:pPr>
        <w:widowControl/>
        <w:jc w:val="left"/>
        <w:rPr>
          <w:rFonts w:hint="eastAsia" w:ascii="宋体" w:hAnsi="宋体" w:cs="宋体"/>
          <w:b/>
          <w:color w:val="auto"/>
          <w:sz w:val="32"/>
          <w:szCs w:val="32"/>
          <w:highlight w:val="none"/>
        </w:rPr>
      </w:pPr>
    </w:p>
    <w:p w14:paraId="794A1AFF">
      <w:pPr>
        <w:pStyle w:val="5"/>
        <w:rPr>
          <w:rFonts w:hint="eastAsia"/>
          <w:color w:val="auto"/>
          <w:highlight w:val="none"/>
        </w:rPr>
      </w:pPr>
    </w:p>
    <w:p w14:paraId="2F8C31F0">
      <w:pPr>
        <w:pStyle w:val="5"/>
        <w:rPr>
          <w:rFonts w:hint="eastAsia"/>
          <w:color w:val="auto"/>
          <w:highlight w:val="none"/>
        </w:rPr>
      </w:pPr>
    </w:p>
    <w:p w14:paraId="3DB0B830">
      <w:pPr>
        <w:rPr>
          <w:rFonts w:hint="eastAsia" w:ascii="宋体" w:hAnsi="宋体"/>
          <w:color w:val="auto"/>
          <w:highlight w:val="none"/>
        </w:rPr>
      </w:pPr>
    </w:p>
    <w:p w14:paraId="520F9701">
      <w:pPr>
        <w:pStyle w:val="5"/>
        <w:rPr>
          <w:rFonts w:hint="eastAsia"/>
          <w:color w:val="auto"/>
          <w:highlight w:val="none"/>
        </w:rPr>
      </w:pPr>
    </w:p>
    <w:p w14:paraId="6172605F">
      <w:pPr>
        <w:rPr>
          <w:rFonts w:hint="eastAsia" w:ascii="宋体" w:hAnsi="宋体"/>
          <w:color w:val="auto"/>
          <w:highlight w:val="none"/>
        </w:rPr>
      </w:pPr>
    </w:p>
    <w:p w14:paraId="77B25A5F">
      <w:pPr>
        <w:pStyle w:val="5"/>
        <w:ind w:firstLine="0" w:firstLineChars="0"/>
        <w:rPr>
          <w:rFonts w:hint="eastAsia"/>
          <w:color w:val="auto"/>
          <w:highlight w:val="none"/>
          <w:u w:val="single"/>
        </w:rPr>
      </w:pPr>
      <w:r>
        <w:rPr>
          <w:rFonts w:hint="eastAsia"/>
          <w:color w:val="auto"/>
          <w:highlight w:val="none"/>
          <w:u w:val="singl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041E4D4">
      <w:pPr>
        <w:pStyle w:val="5"/>
        <w:ind w:firstLine="0" w:firstLineChars="0"/>
        <w:rPr>
          <w:rFonts w:hint="eastAsia"/>
          <w:color w:val="auto"/>
          <w:highlight w:val="none"/>
          <w:u w:val="single"/>
        </w:rPr>
      </w:pPr>
      <w:r>
        <w:rPr>
          <w:rFonts w:hint="eastAsia"/>
          <w:color w:val="auto"/>
          <w:highlight w:val="none"/>
          <w:u w:val="single"/>
        </w:rPr>
        <w:t>2、监狱企业参与投标的，需提供由省级以上监狱管理局、戒毒管理局（含新疆生产建设兵团）出具的属于监狱企业的证明文件。监狱企业视同小微企业，无需再提供《中小企业声明函》。</w:t>
      </w:r>
    </w:p>
    <w:p w14:paraId="7925139E">
      <w:pPr>
        <w:pStyle w:val="5"/>
        <w:ind w:firstLine="0" w:firstLineChars="0"/>
        <w:rPr>
          <w:rFonts w:hint="eastAsia"/>
          <w:color w:val="auto"/>
          <w:highlight w:val="none"/>
        </w:rPr>
      </w:pPr>
      <w:r>
        <w:rPr>
          <w:rFonts w:hint="eastAsia"/>
          <w:color w:val="auto"/>
          <w:highlight w:val="none"/>
          <w:u w:val="single"/>
        </w:rPr>
        <w:t>3、如非监狱企业，不需要提供证明文件。</w:t>
      </w:r>
    </w:p>
    <w:p w14:paraId="4FE8C751">
      <w:pPr>
        <w:pStyle w:val="5"/>
        <w:ind w:firstLine="0" w:firstLineChars="0"/>
        <w:rPr>
          <w:rFonts w:hint="eastAsia"/>
          <w:color w:val="auto"/>
          <w:highlight w:val="none"/>
        </w:rPr>
      </w:pPr>
    </w:p>
    <w:p w14:paraId="5A4EC578">
      <w:pPr>
        <w:widowControl/>
        <w:jc w:val="left"/>
        <w:rPr>
          <w:rFonts w:hint="eastAsia" w:ascii="宋体" w:hAnsi="宋体" w:cs="宋体"/>
          <w:b/>
          <w:color w:val="auto"/>
          <w:sz w:val="32"/>
          <w:szCs w:val="32"/>
          <w:highlight w:val="none"/>
        </w:rPr>
      </w:pPr>
      <w:r>
        <w:rPr>
          <w:rFonts w:ascii="宋体" w:hAnsi="宋体" w:cs="宋体"/>
          <w:b/>
          <w:color w:val="auto"/>
          <w:sz w:val="32"/>
          <w:szCs w:val="32"/>
          <w:highlight w:val="none"/>
        </w:rPr>
        <w:br w:type="page"/>
      </w:r>
    </w:p>
    <w:p w14:paraId="279BE267">
      <w:pPr>
        <w:pStyle w:val="8"/>
        <w:rPr>
          <w:rFonts w:hint="eastAsia"/>
          <w:color w:val="auto"/>
          <w:highlight w:val="none"/>
        </w:rPr>
      </w:pPr>
      <w:r>
        <w:rPr>
          <w:rFonts w:hint="eastAsia"/>
          <w:color w:val="auto"/>
          <w:highlight w:val="none"/>
        </w:rPr>
        <w:t>格式十一：</w:t>
      </w:r>
    </w:p>
    <w:p w14:paraId="1A2235B8">
      <w:pPr>
        <w:widowControl/>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残疾人福利性单位声明函（如有）</w:t>
      </w:r>
    </w:p>
    <w:p w14:paraId="6A793066">
      <w:pPr>
        <w:widowControl/>
        <w:spacing w:line="360" w:lineRule="auto"/>
        <w:jc w:val="left"/>
        <w:rPr>
          <w:rFonts w:hint="eastAsia" w:ascii="宋体" w:hAnsi="宋体" w:cs="宋体"/>
          <w:color w:val="auto"/>
          <w:kern w:val="0"/>
          <w:sz w:val="20"/>
          <w:szCs w:val="20"/>
          <w:highlight w:val="none"/>
          <w:lang w:eastAsia="zh-Hans"/>
        </w:rPr>
      </w:pPr>
      <w:r>
        <w:rPr>
          <w:rFonts w:hint="eastAsia" w:ascii="宋体" w:hAnsi="宋体" w:cs="宋体"/>
          <w:color w:val="auto"/>
          <w:kern w:val="0"/>
          <w:sz w:val="24"/>
          <w:szCs w:val="20"/>
          <w:highlight w:val="none"/>
          <w:lang w:eastAsia="zh-Hans"/>
        </w:rPr>
        <w:t>致：</w:t>
      </w:r>
      <w:r>
        <w:rPr>
          <w:rFonts w:hint="eastAsia" w:ascii="宋体" w:hAnsi="宋体" w:cs="宋体"/>
          <w:color w:val="auto"/>
          <w:kern w:val="0"/>
          <w:sz w:val="24"/>
          <w:szCs w:val="20"/>
          <w:highlight w:val="none"/>
          <w:u w:val="single"/>
          <w:lang w:eastAsia="zh-Hans"/>
        </w:rPr>
        <w:t xml:space="preserve">        （招标人）</w:t>
      </w:r>
      <w:r>
        <w:rPr>
          <w:rFonts w:hint="eastAsia" w:ascii="宋体" w:hAnsi="宋体" w:cs="宋体"/>
          <w:color w:val="auto"/>
          <w:kern w:val="0"/>
          <w:sz w:val="24"/>
          <w:szCs w:val="20"/>
          <w:highlight w:val="none"/>
          <w:u w:val="single"/>
        </w:rPr>
        <w:t xml:space="preserve">         </w:t>
      </w:r>
    </w:p>
    <w:p w14:paraId="46429A16">
      <w:pPr>
        <w:widowControl/>
        <w:spacing w:line="360" w:lineRule="auto"/>
        <w:ind w:firstLine="480" w:firstLineChars="200"/>
        <w:jc w:val="left"/>
        <w:rPr>
          <w:rFonts w:hint="eastAsia" w:ascii="宋体" w:hAnsi="宋体" w:cs="宋体"/>
          <w:color w:val="auto"/>
          <w:kern w:val="0"/>
          <w:sz w:val="24"/>
          <w:szCs w:val="24"/>
          <w:highlight w:val="none"/>
          <w:lang w:eastAsia="zh-Hans"/>
        </w:rPr>
      </w:pPr>
      <w:r>
        <w:rPr>
          <w:rFonts w:ascii="宋体" w:hAnsi="宋体" w:cs="宋体"/>
          <w:color w:val="auto"/>
          <w:kern w:val="0"/>
          <w:sz w:val="24"/>
          <w:szCs w:val="24"/>
          <w:highlight w:val="none"/>
          <w:lang w:eastAsia="zh-Hans"/>
        </w:rPr>
        <w:t>本单位郑重声明，根据《财政部 民政部 中国残疾人联合会关于促进残疾人就业政府采购政策的通知》</w:t>
      </w:r>
      <w:r>
        <w:rPr>
          <w:rFonts w:hint="eastAsia" w:ascii="宋体" w:hAnsi="宋体" w:cs="宋体"/>
          <w:color w:val="auto"/>
          <w:kern w:val="0"/>
          <w:sz w:val="24"/>
          <w:szCs w:val="24"/>
          <w:highlight w:val="none"/>
          <w:lang w:eastAsia="zh-Hans"/>
        </w:rPr>
        <w:t>（财库〔2017〕141号）</w:t>
      </w:r>
      <w:r>
        <w:rPr>
          <w:rFonts w:ascii="宋体" w:hAnsi="宋体" w:cs="宋体"/>
          <w:color w:val="auto"/>
          <w:kern w:val="0"/>
          <w:sz w:val="24"/>
          <w:szCs w:val="24"/>
          <w:highlight w:val="none"/>
          <w:lang w:eastAsia="zh-Hans"/>
        </w:rPr>
        <w:t>的规定，本单位为符合条件的残疾人福利性单位，且本单位参加</w:t>
      </w:r>
      <w:r>
        <w:rPr>
          <w:rFonts w:hint="eastAsia" w:ascii="宋体" w:hAnsi="宋体" w:cs="宋体"/>
          <w:color w:val="auto"/>
          <w:kern w:val="0"/>
          <w:sz w:val="24"/>
          <w:szCs w:val="20"/>
          <w:highlight w:val="none"/>
          <w:u w:val="single"/>
          <w:lang w:eastAsia="zh-Hans"/>
        </w:rPr>
        <w:t xml:space="preserve">        （招标人）</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4"/>
          <w:highlight w:val="none"/>
          <w:lang w:eastAsia="zh-Hans"/>
        </w:rPr>
        <w:t>单位的</w:t>
      </w:r>
      <w:r>
        <w:rPr>
          <w:rFonts w:hint="eastAsia" w:ascii="宋体" w:hAnsi="宋体" w:cs="宋体"/>
          <w:color w:val="auto"/>
          <w:kern w:val="0"/>
          <w:sz w:val="24"/>
          <w:szCs w:val="20"/>
          <w:highlight w:val="none"/>
          <w:u w:val="single"/>
          <w:lang w:eastAsia="zh-Hans"/>
        </w:rPr>
        <w:t xml:space="preserve">        （</w:t>
      </w:r>
      <w:r>
        <w:rPr>
          <w:rFonts w:hint="eastAsia" w:ascii="宋体" w:hAnsi="宋体" w:cs="宋体"/>
          <w:color w:val="auto"/>
          <w:kern w:val="0"/>
          <w:sz w:val="24"/>
          <w:szCs w:val="20"/>
          <w:highlight w:val="none"/>
          <w:u w:val="single"/>
        </w:rPr>
        <w:t>项目名称</w:t>
      </w:r>
      <w:r>
        <w:rPr>
          <w:rFonts w:hint="eastAsia" w:ascii="宋体" w:hAnsi="宋体" w:cs="宋体"/>
          <w:color w:val="auto"/>
          <w:kern w:val="0"/>
          <w:sz w:val="24"/>
          <w:szCs w:val="20"/>
          <w:highlight w:val="none"/>
          <w:u w:val="single"/>
          <w:lang w:eastAsia="zh-Hans"/>
        </w:rPr>
        <w:t>）</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项目</w:t>
      </w:r>
      <w:r>
        <w:rPr>
          <w:rFonts w:hint="eastAsia" w:ascii="宋体" w:hAnsi="宋体" w:cs="宋体"/>
          <w:color w:val="auto"/>
          <w:kern w:val="0"/>
          <w:sz w:val="24"/>
          <w:szCs w:val="24"/>
          <w:highlight w:val="none"/>
        </w:rPr>
        <w:t>招标</w:t>
      </w:r>
      <w:r>
        <w:rPr>
          <w:rFonts w:ascii="宋体" w:hAnsi="宋体" w:cs="宋体"/>
          <w:color w:val="auto"/>
          <w:kern w:val="0"/>
          <w:sz w:val="24"/>
          <w:szCs w:val="24"/>
          <w:highlight w:val="none"/>
          <w:lang w:eastAsia="zh-Hans"/>
        </w:rPr>
        <w:t>活动</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lang w:eastAsia="zh-Hans"/>
        </w:rPr>
        <w:t>由本单位承</w:t>
      </w:r>
      <w:r>
        <w:rPr>
          <w:rFonts w:hint="eastAsia" w:ascii="宋体" w:hAnsi="宋体" w:cs="宋体"/>
          <w:color w:val="auto"/>
          <w:kern w:val="0"/>
          <w:sz w:val="24"/>
          <w:szCs w:val="24"/>
          <w:highlight w:val="none"/>
        </w:rPr>
        <w:t>接本项目</w:t>
      </w:r>
      <w:r>
        <w:rPr>
          <w:rFonts w:ascii="宋体" w:hAnsi="宋体" w:cs="宋体"/>
          <w:color w:val="auto"/>
          <w:kern w:val="0"/>
          <w:sz w:val="24"/>
          <w:szCs w:val="24"/>
          <w:highlight w:val="none"/>
          <w:lang w:eastAsia="zh-Hans"/>
        </w:rPr>
        <w:t>。</w:t>
      </w:r>
    </w:p>
    <w:p w14:paraId="041E2074">
      <w:pPr>
        <w:widowControl/>
        <w:spacing w:line="360" w:lineRule="auto"/>
        <w:ind w:firstLine="480" w:firstLineChars="200"/>
        <w:jc w:val="left"/>
        <w:rPr>
          <w:rFonts w:hint="eastAsia" w:ascii="宋体" w:hAnsi="宋体" w:cs="宋体"/>
          <w:color w:val="auto"/>
          <w:kern w:val="0"/>
          <w:sz w:val="20"/>
          <w:szCs w:val="20"/>
          <w:highlight w:val="none"/>
          <w:lang w:eastAsia="zh-Hans"/>
        </w:rPr>
      </w:pPr>
      <w:r>
        <w:rPr>
          <w:rFonts w:ascii="宋体" w:hAnsi="宋体" w:cs="宋体"/>
          <w:color w:val="auto"/>
          <w:sz w:val="24"/>
          <w:szCs w:val="24"/>
          <w:highlight w:val="none"/>
        </w:rPr>
        <w:t>本单位对上述声明的真实性负责。如有虚假，将依法承担相应责任。</w:t>
      </w:r>
    </w:p>
    <w:p w14:paraId="12CFA92E">
      <w:pPr>
        <w:spacing w:line="360" w:lineRule="auto"/>
        <w:ind w:firstLine="5040" w:firstLineChars="2100"/>
        <w:rPr>
          <w:rFonts w:hint="eastAsia" w:ascii="宋体" w:hAnsi="宋体" w:cs="宋体"/>
          <w:color w:val="auto"/>
          <w:sz w:val="24"/>
          <w:szCs w:val="20"/>
          <w:highlight w:val="none"/>
        </w:rPr>
      </w:pPr>
    </w:p>
    <w:p w14:paraId="439A158A">
      <w:pPr>
        <w:spacing w:line="360" w:lineRule="auto"/>
        <w:ind w:firstLine="5040" w:firstLineChars="2100"/>
        <w:rPr>
          <w:rFonts w:hint="eastAsia" w:ascii="宋体" w:hAnsi="宋体" w:cs="宋体"/>
          <w:color w:val="auto"/>
          <w:sz w:val="24"/>
          <w:szCs w:val="20"/>
          <w:highlight w:val="none"/>
        </w:rPr>
      </w:pPr>
    </w:p>
    <w:p w14:paraId="09392215">
      <w:pPr>
        <w:spacing w:line="360" w:lineRule="auto"/>
        <w:rPr>
          <w:rFonts w:hint="eastAsia" w:ascii="宋体" w:hAnsi="宋体" w:cs="宋体"/>
          <w:color w:val="auto"/>
          <w:kern w:val="0"/>
          <w:sz w:val="24"/>
          <w:szCs w:val="20"/>
          <w:highlight w:val="none"/>
        </w:rPr>
      </w:pPr>
    </w:p>
    <w:p w14:paraId="6FDD3606">
      <w:pPr>
        <w:spacing w:line="360" w:lineRule="auto"/>
        <w:rPr>
          <w:rFonts w:hint="eastAsia" w:ascii="宋体" w:hAnsi="宋体" w:cs="宋体"/>
          <w:color w:val="auto"/>
          <w:kern w:val="0"/>
          <w:sz w:val="24"/>
          <w:szCs w:val="20"/>
          <w:highlight w:val="none"/>
        </w:rPr>
      </w:pPr>
    </w:p>
    <w:p w14:paraId="327D208E">
      <w:pPr>
        <w:topLinePunct/>
        <w:adjustRightInd w:val="0"/>
        <w:snapToGrid w:val="0"/>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标</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人：（盖章）</w:t>
      </w:r>
    </w:p>
    <w:p w14:paraId="0556B7EA">
      <w:pPr>
        <w:spacing w:line="360" w:lineRule="auto"/>
        <w:jc w:val="left"/>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期：</w:t>
      </w:r>
    </w:p>
    <w:p w14:paraId="39506AE8">
      <w:pPr>
        <w:spacing w:line="360" w:lineRule="auto"/>
        <w:jc w:val="center"/>
        <w:rPr>
          <w:rFonts w:hint="eastAsia" w:ascii="宋体" w:hAnsi="宋体" w:cs="宋体"/>
          <w:b/>
          <w:bCs/>
          <w:color w:val="auto"/>
          <w:highlight w:val="none"/>
        </w:rPr>
      </w:pPr>
    </w:p>
    <w:p w14:paraId="25E57E2E">
      <w:pPr>
        <w:spacing w:line="360" w:lineRule="auto"/>
        <w:jc w:val="center"/>
        <w:rPr>
          <w:rFonts w:hint="eastAsia" w:ascii="宋体" w:hAnsi="宋体" w:cs="宋体"/>
          <w:b/>
          <w:bCs/>
          <w:color w:val="auto"/>
          <w:highlight w:val="none"/>
        </w:rPr>
      </w:pPr>
    </w:p>
    <w:p w14:paraId="70266082">
      <w:pPr>
        <w:spacing w:line="360" w:lineRule="auto"/>
        <w:jc w:val="center"/>
        <w:rPr>
          <w:rFonts w:hint="eastAsia" w:ascii="宋体" w:hAnsi="宋体" w:cs="宋体"/>
          <w:b/>
          <w:bCs/>
          <w:color w:val="auto"/>
          <w:highlight w:val="none"/>
        </w:rPr>
      </w:pPr>
    </w:p>
    <w:p w14:paraId="0B51451B">
      <w:pPr>
        <w:spacing w:line="360" w:lineRule="auto"/>
        <w:jc w:val="center"/>
        <w:rPr>
          <w:rFonts w:hint="eastAsia" w:ascii="宋体" w:hAnsi="宋体" w:cs="宋体"/>
          <w:b/>
          <w:bCs/>
          <w:color w:val="auto"/>
          <w:highlight w:val="none"/>
        </w:rPr>
      </w:pPr>
    </w:p>
    <w:p w14:paraId="47D4C33F">
      <w:pPr>
        <w:spacing w:line="360" w:lineRule="auto"/>
        <w:jc w:val="center"/>
        <w:rPr>
          <w:rFonts w:hint="eastAsia" w:ascii="宋体" w:hAnsi="宋体" w:cs="宋体"/>
          <w:b/>
          <w:bCs/>
          <w:color w:val="auto"/>
          <w:highlight w:val="none"/>
        </w:rPr>
      </w:pPr>
    </w:p>
    <w:p w14:paraId="485328B2">
      <w:pPr>
        <w:spacing w:line="276" w:lineRule="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注：</w:t>
      </w:r>
      <w:r>
        <w:rPr>
          <w:rFonts w:ascii="宋体" w:hAnsi="宋体" w:cs="宋体"/>
          <w:bCs/>
          <w:color w:val="auto"/>
          <w:szCs w:val="21"/>
          <w:highlight w:val="none"/>
          <w:u w:val="single"/>
        </w:rPr>
        <w:t>1、残疾人福利性单位声明函（如有）适用于残疾人福利性单位参加招投标活动的。本函未填写的视作未做声明。如不适用，本格式不需要提供。</w:t>
      </w:r>
    </w:p>
    <w:p w14:paraId="2D738958">
      <w:pPr>
        <w:widowControl/>
        <w:spacing w:line="276" w:lineRule="auto"/>
        <w:jc w:val="left"/>
        <w:rPr>
          <w:rFonts w:hint="eastAsia" w:ascii="宋体" w:hAnsi="宋体" w:cs="宋体"/>
          <w:color w:val="auto"/>
          <w:sz w:val="32"/>
          <w:szCs w:val="32"/>
          <w:highlight w:val="none"/>
          <w:u w:val="single"/>
        </w:rPr>
      </w:pPr>
      <w:r>
        <w:rPr>
          <w:rFonts w:ascii="宋体" w:hAnsi="宋体" w:cs="宋体"/>
          <w:bCs/>
          <w:color w:val="auto"/>
          <w:szCs w:val="21"/>
          <w:highlight w:val="none"/>
          <w:u w:val="single"/>
        </w:rPr>
        <w:t>2、残疾人福利性单位视同小微企业，无需再提供《中小企业声明函》。</w:t>
      </w:r>
    </w:p>
    <w:p w14:paraId="46002717">
      <w:pPr>
        <w:widowControl/>
        <w:jc w:val="left"/>
        <w:rPr>
          <w:rFonts w:hint="eastAsia" w:ascii="宋体" w:hAnsi="宋体"/>
          <w:color w:val="auto"/>
          <w:highlight w:val="none"/>
        </w:rPr>
      </w:pPr>
    </w:p>
    <w:p w14:paraId="0A1F65FE">
      <w:pPr>
        <w:widowControl/>
        <w:jc w:val="left"/>
        <w:rPr>
          <w:rFonts w:hint="eastAsia" w:ascii="宋体" w:hAnsi="宋体"/>
          <w:color w:val="auto"/>
          <w:highlight w:val="none"/>
        </w:rPr>
      </w:pPr>
      <w:r>
        <w:rPr>
          <w:rFonts w:ascii="宋体" w:hAnsi="宋体"/>
          <w:color w:val="auto"/>
          <w:highlight w:val="none"/>
        </w:rPr>
        <w:br w:type="page"/>
      </w:r>
    </w:p>
    <w:p w14:paraId="719876B2">
      <w:pPr>
        <w:pStyle w:val="6"/>
        <w:rPr>
          <w:rFonts w:hint="eastAsia" w:ascii="宋体" w:hAnsi="宋体"/>
          <w:bCs/>
          <w:color w:val="auto"/>
          <w:highlight w:val="none"/>
        </w:rPr>
      </w:pPr>
      <w:bookmarkStart w:id="101" w:name="_Toc184468524"/>
      <w:bookmarkStart w:id="102" w:name="_Toc58838604"/>
      <w:bookmarkStart w:id="103" w:name="_Toc194440101"/>
      <w:r>
        <w:rPr>
          <w:rFonts w:hint="eastAsia" w:ascii="宋体" w:hAnsi="宋体"/>
          <w:color w:val="auto"/>
          <w:highlight w:val="none"/>
        </w:rPr>
        <w:t>二、经济标投标文件格式</w:t>
      </w:r>
      <w:bookmarkEnd w:id="101"/>
      <w:bookmarkEnd w:id="102"/>
      <w:bookmarkEnd w:id="103"/>
    </w:p>
    <w:p w14:paraId="010E7810">
      <w:pPr>
        <w:pStyle w:val="8"/>
        <w:rPr>
          <w:rFonts w:hint="eastAsia"/>
          <w:b/>
          <w:bCs/>
          <w:color w:val="auto"/>
          <w:sz w:val="44"/>
          <w:szCs w:val="44"/>
          <w:highlight w:val="none"/>
          <w:lang w:val="zh-CN"/>
        </w:rPr>
      </w:pPr>
      <w:bookmarkStart w:id="104" w:name="_Toc6493862"/>
      <w:bookmarkStart w:id="105" w:name="_Toc58838605"/>
      <w:bookmarkStart w:id="106" w:name="_Toc184468525"/>
      <w:bookmarkStart w:id="107" w:name="_Toc194440102"/>
      <w:bookmarkStart w:id="108" w:name="_Toc60070633"/>
      <w:r>
        <w:rPr>
          <w:rFonts w:hint="eastAsia"/>
          <w:snapToGrid w:val="0"/>
          <w:color w:val="auto"/>
          <w:highlight w:val="none"/>
        </w:rPr>
        <w:t>格式</w:t>
      </w:r>
      <w:bookmarkEnd w:id="104"/>
      <w:bookmarkEnd w:id="105"/>
      <w:r>
        <w:rPr>
          <w:rFonts w:hint="eastAsia"/>
          <w:snapToGrid w:val="0"/>
          <w:color w:val="auto"/>
          <w:highlight w:val="none"/>
        </w:rPr>
        <w:t>一：</w:t>
      </w:r>
      <w:bookmarkEnd w:id="106"/>
      <w:bookmarkEnd w:id="107"/>
      <w:bookmarkEnd w:id="108"/>
    </w:p>
    <w:p w14:paraId="2320B8C8">
      <w:pPr>
        <w:jc w:val="center"/>
        <w:rPr>
          <w:rFonts w:hint="eastAsia" w:ascii="宋体" w:hAnsi="宋体"/>
          <w:b/>
          <w:color w:val="auto"/>
          <w:sz w:val="36"/>
          <w:szCs w:val="36"/>
          <w:highlight w:val="none"/>
        </w:rPr>
      </w:pPr>
      <w:bookmarkStart w:id="109" w:name="_Toc58838606"/>
      <w:r>
        <w:rPr>
          <w:rFonts w:hint="eastAsia" w:ascii="宋体" w:hAnsi="宋体"/>
          <w:b/>
          <w:color w:val="auto"/>
          <w:sz w:val="36"/>
          <w:szCs w:val="36"/>
          <w:highlight w:val="none"/>
        </w:rPr>
        <w:t>广州建设工程施工招标投标书（经济标）</w:t>
      </w:r>
      <w:bookmarkEnd w:id="109"/>
    </w:p>
    <w:tbl>
      <w:tblPr>
        <w:tblStyle w:val="49"/>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14:paraId="73D9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34" w:type="dxa"/>
            <w:tcBorders>
              <w:top w:val="single" w:color="auto" w:sz="4" w:space="0"/>
              <w:left w:val="single" w:color="auto" w:sz="4" w:space="0"/>
              <w:bottom w:val="single" w:color="auto" w:sz="4" w:space="0"/>
              <w:right w:val="single" w:color="auto" w:sz="4" w:space="0"/>
            </w:tcBorders>
            <w:vAlign w:val="center"/>
          </w:tcPr>
          <w:p w14:paraId="395DA8A0">
            <w:pPr>
              <w:autoSpaceDE w:val="0"/>
              <w:autoSpaceDN w:val="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tcBorders>
              <w:top w:val="single" w:color="auto" w:sz="4" w:space="0"/>
              <w:left w:val="single" w:color="auto" w:sz="4" w:space="0"/>
              <w:bottom w:val="single" w:color="auto" w:sz="4" w:space="0"/>
              <w:right w:val="single" w:color="auto" w:sz="4" w:space="0"/>
            </w:tcBorders>
          </w:tcPr>
          <w:p w14:paraId="591ACA8B">
            <w:pPr>
              <w:autoSpaceDE w:val="0"/>
              <w:autoSpaceDN w:val="0"/>
              <w:rPr>
                <w:rFonts w:hint="eastAsia" w:ascii="宋体" w:hAnsi="宋体" w:cs="宋体"/>
                <w:bCs/>
                <w:color w:val="auto"/>
                <w:sz w:val="24"/>
                <w:szCs w:val="24"/>
                <w:highlight w:val="none"/>
                <w:lang w:val="zh-CN"/>
              </w:rPr>
            </w:pPr>
          </w:p>
        </w:tc>
      </w:tr>
      <w:tr w14:paraId="0CB7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14:paraId="69A7E129">
            <w:pPr>
              <w:autoSpaceDE w:val="0"/>
              <w:autoSpaceDN w:val="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6045" w:type="dxa"/>
            <w:tcBorders>
              <w:top w:val="single" w:color="auto" w:sz="4" w:space="0"/>
              <w:left w:val="single" w:color="auto" w:sz="4" w:space="0"/>
              <w:bottom w:val="single" w:color="auto" w:sz="4" w:space="0"/>
              <w:right w:val="single" w:color="auto" w:sz="4" w:space="0"/>
            </w:tcBorders>
            <w:vAlign w:val="center"/>
          </w:tcPr>
          <w:p w14:paraId="6875DD4D">
            <w:pPr>
              <w:autoSpaceDE w:val="0"/>
              <w:autoSpaceDN w:val="0"/>
              <w:rPr>
                <w:rFonts w:hint="eastAsia" w:ascii="宋体" w:hAnsi="宋体" w:cs="宋体"/>
                <w:bCs/>
                <w:color w:val="auto"/>
                <w:sz w:val="24"/>
                <w:szCs w:val="24"/>
                <w:highlight w:val="none"/>
                <w:lang w:val="zh-CN"/>
              </w:rPr>
            </w:pPr>
            <w:r>
              <w:rPr>
                <w:rFonts w:hint="eastAsia" w:ascii="宋体" w:hAnsi="宋体"/>
                <w:color w:val="auto"/>
                <w:sz w:val="24"/>
                <w:szCs w:val="24"/>
                <w:highlight w:val="none"/>
              </w:rPr>
              <w:t>大写：</w:t>
            </w:r>
            <w:r>
              <w:rPr>
                <w:rFonts w:ascii="宋体" w:hAnsi="宋体" w:cs="宋体"/>
                <w:bCs/>
                <w:color w:val="auto"/>
                <w:sz w:val="24"/>
                <w:szCs w:val="24"/>
                <w:highlight w:val="none"/>
                <w:lang w:val="zh-CN"/>
              </w:rPr>
              <w:t xml:space="preserve"> </w:t>
            </w:r>
          </w:p>
        </w:tc>
      </w:tr>
      <w:tr w14:paraId="55F4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14:paraId="7E5C0E7F">
            <w:pPr>
              <w:widowControl/>
              <w:jc w:val="left"/>
              <w:rPr>
                <w:rFonts w:hint="eastAsia"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2CA5211D">
            <w:pPr>
              <w:autoSpaceDE w:val="0"/>
              <w:autoSpaceDN w:val="0"/>
              <w:rPr>
                <w:rFonts w:hint="eastAsia" w:ascii="宋体" w:hAnsi="宋体" w:cs="宋体"/>
                <w:bCs/>
                <w:color w:val="auto"/>
                <w:sz w:val="24"/>
                <w:szCs w:val="24"/>
                <w:highlight w:val="none"/>
                <w:lang w:val="zh-CN"/>
              </w:rPr>
            </w:pPr>
            <w:r>
              <w:rPr>
                <w:rFonts w:hint="eastAsia" w:ascii="宋体" w:hAnsi="宋体"/>
                <w:color w:val="auto"/>
                <w:sz w:val="24"/>
                <w:szCs w:val="24"/>
                <w:highlight w:val="none"/>
              </w:rPr>
              <w:t>小写：</w:t>
            </w:r>
            <w:r>
              <w:rPr>
                <w:rFonts w:ascii="宋体" w:hAnsi="宋体" w:cs="宋体"/>
                <w:bCs/>
                <w:color w:val="auto"/>
                <w:sz w:val="24"/>
                <w:szCs w:val="24"/>
                <w:highlight w:val="none"/>
                <w:lang w:val="zh-CN"/>
              </w:rPr>
              <w:t xml:space="preserve"> </w:t>
            </w:r>
          </w:p>
        </w:tc>
      </w:tr>
      <w:tr w14:paraId="15F6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14:paraId="10F5E824">
            <w:pPr>
              <w:autoSpaceDE w:val="0"/>
              <w:autoSpaceDN w:val="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14:paraId="44D762CD">
            <w:pPr>
              <w:autoSpaceDE w:val="0"/>
              <w:autoSpaceDN w:val="0"/>
              <w:rPr>
                <w:rFonts w:hint="eastAsia" w:ascii="宋体" w:hAnsi="宋体" w:cs="宋体"/>
                <w:bCs/>
                <w:color w:val="auto"/>
                <w:sz w:val="24"/>
                <w:szCs w:val="24"/>
                <w:highlight w:val="none"/>
                <w:lang w:val="zh-CN"/>
              </w:rPr>
            </w:pPr>
            <w:r>
              <w:rPr>
                <w:rFonts w:hint="eastAsia" w:ascii="宋体" w:hAnsi="宋体"/>
                <w:color w:val="auto"/>
                <w:sz w:val="24"/>
                <w:szCs w:val="24"/>
                <w:highlight w:val="none"/>
              </w:rPr>
              <w:t>大写：</w:t>
            </w:r>
            <w:r>
              <w:rPr>
                <w:rFonts w:ascii="宋体" w:hAnsi="宋体" w:cs="宋体"/>
                <w:bCs/>
                <w:color w:val="auto"/>
                <w:sz w:val="24"/>
                <w:szCs w:val="24"/>
                <w:highlight w:val="none"/>
                <w:lang w:val="zh-CN"/>
              </w:rPr>
              <w:t xml:space="preserve"> </w:t>
            </w:r>
          </w:p>
        </w:tc>
      </w:tr>
      <w:tr w14:paraId="6B9C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14:paraId="216A9B17">
            <w:pPr>
              <w:widowControl/>
              <w:jc w:val="left"/>
              <w:rPr>
                <w:rFonts w:hint="eastAsia"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11CC7476">
            <w:pPr>
              <w:autoSpaceDE w:val="0"/>
              <w:autoSpaceDN w:val="0"/>
              <w:rPr>
                <w:rFonts w:hint="eastAsia" w:ascii="宋体" w:hAnsi="宋体" w:cs="宋体"/>
                <w:bCs/>
                <w:color w:val="auto"/>
                <w:sz w:val="24"/>
                <w:szCs w:val="24"/>
                <w:highlight w:val="none"/>
                <w:lang w:val="zh-CN"/>
              </w:rPr>
            </w:pPr>
            <w:r>
              <w:rPr>
                <w:rFonts w:hint="eastAsia" w:ascii="宋体" w:hAnsi="宋体"/>
                <w:color w:val="auto"/>
                <w:sz w:val="24"/>
                <w:szCs w:val="24"/>
                <w:highlight w:val="none"/>
              </w:rPr>
              <w:t>小写：</w:t>
            </w:r>
            <w:r>
              <w:rPr>
                <w:rFonts w:ascii="宋体" w:hAnsi="宋体" w:cs="宋体"/>
                <w:bCs/>
                <w:color w:val="auto"/>
                <w:sz w:val="24"/>
                <w:szCs w:val="24"/>
                <w:highlight w:val="none"/>
                <w:lang w:val="zh-CN"/>
              </w:rPr>
              <w:t xml:space="preserve"> </w:t>
            </w:r>
          </w:p>
        </w:tc>
      </w:tr>
      <w:tr w14:paraId="473D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top w:val="single" w:color="auto" w:sz="4" w:space="0"/>
              <w:left w:val="single" w:color="auto" w:sz="4" w:space="0"/>
              <w:right w:val="single" w:color="auto" w:sz="4" w:space="0"/>
            </w:tcBorders>
            <w:vAlign w:val="center"/>
          </w:tcPr>
          <w:p w14:paraId="6E2877A8">
            <w:pPr>
              <w:widowControl/>
              <w:jc w:val="left"/>
              <w:rPr>
                <w:rFonts w:hint="eastAsia"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vAlign w:val="center"/>
          </w:tcPr>
          <w:p w14:paraId="21835AC0">
            <w:pPr>
              <w:autoSpaceDE w:val="0"/>
              <w:autoSpaceDN w:val="0"/>
              <w:rPr>
                <w:rFonts w:hint="eastAsia" w:ascii="宋体" w:hAnsi="宋体" w:cs="宋体"/>
                <w:bCs/>
                <w:color w:val="auto"/>
                <w:sz w:val="24"/>
                <w:szCs w:val="24"/>
                <w:highlight w:val="none"/>
                <w:lang w:val="zh-CN"/>
              </w:rPr>
            </w:pPr>
            <w:r>
              <w:rPr>
                <w:rFonts w:hint="eastAsia" w:ascii="宋体" w:hAnsi="宋体"/>
                <w:color w:val="auto"/>
                <w:sz w:val="24"/>
                <w:szCs w:val="24"/>
                <w:highlight w:val="none"/>
              </w:rPr>
              <w:t>大写：</w:t>
            </w:r>
            <w:r>
              <w:rPr>
                <w:rFonts w:ascii="宋体" w:hAnsi="宋体" w:cs="宋体"/>
                <w:bCs/>
                <w:color w:val="auto"/>
                <w:sz w:val="24"/>
                <w:szCs w:val="24"/>
                <w:highlight w:val="none"/>
                <w:lang w:val="zh-CN"/>
              </w:rPr>
              <w:t xml:space="preserve"> </w:t>
            </w:r>
          </w:p>
        </w:tc>
      </w:tr>
      <w:tr w14:paraId="7B41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vAlign w:val="center"/>
          </w:tcPr>
          <w:p w14:paraId="113A1B8A">
            <w:pPr>
              <w:widowControl/>
              <w:jc w:val="left"/>
              <w:rPr>
                <w:rFonts w:hint="eastAsia"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7D3F2A29">
            <w:pPr>
              <w:autoSpaceDE w:val="0"/>
              <w:autoSpaceDN w:val="0"/>
              <w:rPr>
                <w:rFonts w:hint="eastAsia" w:ascii="宋体" w:hAnsi="宋体" w:cs="宋体"/>
                <w:bCs/>
                <w:color w:val="auto"/>
                <w:sz w:val="24"/>
                <w:szCs w:val="24"/>
                <w:highlight w:val="none"/>
                <w:lang w:val="zh-CN"/>
              </w:rPr>
            </w:pPr>
            <w:r>
              <w:rPr>
                <w:rFonts w:hint="eastAsia" w:ascii="宋体" w:hAnsi="宋体"/>
                <w:color w:val="auto"/>
                <w:sz w:val="24"/>
                <w:szCs w:val="24"/>
                <w:highlight w:val="none"/>
              </w:rPr>
              <w:t>小写：</w:t>
            </w:r>
            <w:r>
              <w:rPr>
                <w:rFonts w:ascii="宋体" w:hAnsi="宋体" w:cs="宋体"/>
                <w:bCs/>
                <w:color w:val="auto"/>
                <w:sz w:val="24"/>
                <w:szCs w:val="24"/>
                <w:highlight w:val="none"/>
                <w:lang w:val="zh-CN"/>
              </w:rPr>
              <w:t xml:space="preserve"> </w:t>
            </w:r>
          </w:p>
        </w:tc>
      </w:tr>
      <w:tr w14:paraId="14F4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left w:val="single" w:color="auto" w:sz="4" w:space="0"/>
              <w:right w:val="single" w:color="auto" w:sz="4" w:space="0"/>
            </w:tcBorders>
            <w:vAlign w:val="center"/>
          </w:tcPr>
          <w:p w14:paraId="181150C4">
            <w:pPr>
              <w:widowControl/>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暂列金额</w:t>
            </w:r>
            <w:r>
              <w:rPr>
                <w:rFonts w:hint="eastAsia" w:ascii="宋体" w:hAnsi="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14:paraId="6B541D48">
            <w:pPr>
              <w:autoSpaceDE w:val="0"/>
              <w:autoSpaceDN w:val="0"/>
              <w:rPr>
                <w:rFonts w:hint="eastAsia" w:ascii="宋体" w:hAnsi="宋体" w:cs="宋体"/>
                <w:bCs/>
                <w:color w:val="auto"/>
                <w:sz w:val="24"/>
                <w:szCs w:val="24"/>
                <w:highlight w:val="none"/>
                <w:lang w:val="zh-CN"/>
              </w:rPr>
            </w:pPr>
            <w:r>
              <w:rPr>
                <w:rFonts w:hint="eastAsia" w:ascii="宋体" w:hAnsi="宋体"/>
                <w:color w:val="auto"/>
                <w:sz w:val="24"/>
                <w:szCs w:val="24"/>
                <w:highlight w:val="none"/>
              </w:rPr>
              <w:t>大写：</w:t>
            </w:r>
            <w:r>
              <w:rPr>
                <w:rFonts w:ascii="宋体" w:hAnsi="宋体" w:cs="宋体"/>
                <w:bCs/>
                <w:color w:val="auto"/>
                <w:sz w:val="24"/>
                <w:szCs w:val="24"/>
                <w:highlight w:val="none"/>
                <w:lang w:val="zh-CN"/>
              </w:rPr>
              <w:t xml:space="preserve"> </w:t>
            </w:r>
          </w:p>
        </w:tc>
      </w:tr>
      <w:tr w14:paraId="1608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bottom w:val="single" w:color="auto" w:sz="4" w:space="0"/>
              <w:right w:val="single" w:color="auto" w:sz="4" w:space="0"/>
            </w:tcBorders>
            <w:vAlign w:val="center"/>
          </w:tcPr>
          <w:p w14:paraId="7A827583">
            <w:pPr>
              <w:widowControl/>
              <w:jc w:val="left"/>
              <w:rPr>
                <w:rFonts w:hint="eastAsia"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79E30A23">
            <w:pPr>
              <w:autoSpaceDE w:val="0"/>
              <w:autoSpaceDN w:val="0"/>
              <w:rPr>
                <w:rFonts w:hint="eastAsia" w:ascii="宋体" w:hAnsi="宋体" w:cs="宋体"/>
                <w:bCs/>
                <w:color w:val="auto"/>
                <w:sz w:val="24"/>
                <w:szCs w:val="24"/>
                <w:highlight w:val="none"/>
                <w:lang w:val="zh-CN"/>
              </w:rPr>
            </w:pPr>
            <w:r>
              <w:rPr>
                <w:rFonts w:hint="eastAsia" w:ascii="宋体" w:hAnsi="宋体"/>
                <w:color w:val="auto"/>
                <w:sz w:val="24"/>
                <w:szCs w:val="24"/>
                <w:highlight w:val="none"/>
              </w:rPr>
              <w:t>小写：</w:t>
            </w:r>
            <w:r>
              <w:rPr>
                <w:rFonts w:ascii="宋体" w:hAnsi="宋体" w:cs="宋体"/>
                <w:bCs/>
                <w:color w:val="auto"/>
                <w:sz w:val="24"/>
                <w:szCs w:val="24"/>
                <w:highlight w:val="none"/>
                <w:lang w:val="zh-CN"/>
              </w:rPr>
              <w:t xml:space="preserve"> </w:t>
            </w:r>
          </w:p>
        </w:tc>
      </w:tr>
    </w:tbl>
    <w:p w14:paraId="6DD7670C">
      <w:pPr>
        <w:pStyle w:val="8"/>
        <w:rPr>
          <w:rFonts w:hint="eastAsia"/>
          <w:bCs/>
          <w:color w:val="auto"/>
          <w:highlight w:val="none"/>
        </w:rPr>
      </w:pPr>
      <w:r>
        <w:rPr>
          <w:color w:val="auto"/>
          <w:highlight w:val="none"/>
        </w:rPr>
        <w:br w:type="page"/>
      </w:r>
      <w:bookmarkStart w:id="110" w:name="_Toc58838607"/>
      <w:bookmarkStart w:id="111" w:name="_Toc6493863"/>
      <w:bookmarkStart w:id="112" w:name="_Toc194440103"/>
      <w:bookmarkStart w:id="113" w:name="_Toc184468526"/>
      <w:bookmarkStart w:id="114" w:name="_Toc60070634"/>
      <w:r>
        <w:rPr>
          <w:rFonts w:hint="eastAsia"/>
          <w:snapToGrid w:val="0"/>
          <w:color w:val="auto"/>
          <w:highlight w:val="none"/>
        </w:rPr>
        <w:t>格式</w:t>
      </w:r>
      <w:bookmarkEnd w:id="110"/>
      <w:bookmarkEnd w:id="111"/>
      <w:r>
        <w:rPr>
          <w:rFonts w:hint="eastAsia"/>
          <w:snapToGrid w:val="0"/>
          <w:color w:val="auto"/>
          <w:highlight w:val="none"/>
        </w:rPr>
        <w:t>二：</w:t>
      </w:r>
      <w:bookmarkEnd w:id="112"/>
      <w:bookmarkEnd w:id="113"/>
      <w:bookmarkEnd w:id="114"/>
    </w:p>
    <w:p w14:paraId="7B992281">
      <w:pPr>
        <w:jc w:val="center"/>
        <w:rPr>
          <w:rFonts w:hint="eastAsia" w:ascii="宋体" w:hAnsi="宋体"/>
          <w:b/>
          <w:color w:val="auto"/>
          <w:sz w:val="36"/>
          <w:szCs w:val="36"/>
          <w:highlight w:val="none"/>
        </w:rPr>
      </w:pPr>
      <w:bookmarkStart w:id="115" w:name="_Toc58838608"/>
      <w:r>
        <w:rPr>
          <w:rFonts w:hint="eastAsia" w:ascii="宋体" w:hAnsi="宋体"/>
          <w:b/>
          <w:color w:val="auto"/>
          <w:sz w:val="36"/>
          <w:szCs w:val="36"/>
          <w:highlight w:val="none"/>
        </w:rPr>
        <w:t>参与编制经济标投标文件人员名单</w:t>
      </w:r>
      <w:bookmarkEnd w:id="115"/>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2389"/>
      </w:tblGrid>
      <w:tr w14:paraId="3852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889" w:type="dxa"/>
            <w:gridSpan w:val="5"/>
            <w:vAlign w:val="center"/>
          </w:tcPr>
          <w:p w14:paraId="3CCDA57A">
            <w:pPr>
              <w:tabs>
                <w:tab w:val="left" w:pos="720"/>
              </w:tabs>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投标单位名称</w:t>
            </w:r>
          </w:p>
        </w:tc>
      </w:tr>
      <w:tr w14:paraId="0494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vAlign w:val="center"/>
          </w:tcPr>
          <w:p w14:paraId="3D0F7C16">
            <w:pPr>
              <w:tabs>
                <w:tab w:val="left" w:pos="720"/>
              </w:tabs>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1441" w:type="dxa"/>
            <w:vAlign w:val="center"/>
          </w:tcPr>
          <w:p w14:paraId="16183EDF">
            <w:pPr>
              <w:tabs>
                <w:tab w:val="left" w:pos="720"/>
              </w:tabs>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职务</w:t>
            </w:r>
          </w:p>
        </w:tc>
        <w:tc>
          <w:tcPr>
            <w:tcW w:w="2461" w:type="dxa"/>
            <w:vAlign w:val="center"/>
          </w:tcPr>
          <w:p w14:paraId="3B30B38C">
            <w:pPr>
              <w:tabs>
                <w:tab w:val="left" w:pos="720"/>
              </w:tabs>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所承担工作</w:t>
            </w:r>
          </w:p>
        </w:tc>
        <w:tc>
          <w:tcPr>
            <w:tcW w:w="2359" w:type="dxa"/>
            <w:vAlign w:val="center"/>
          </w:tcPr>
          <w:p w14:paraId="5664E716">
            <w:pPr>
              <w:tabs>
                <w:tab w:val="left" w:pos="720"/>
              </w:tabs>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身份证号码</w:t>
            </w:r>
          </w:p>
        </w:tc>
        <w:tc>
          <w:tcPr>
            <w:tcW w:w="2389" w:type="dxa"/>
            <w:vAlign w:val="center"/>
          </w:tcPr>
          <w:p w14:paraId="7802200A">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本人签名栏</w:t>
            </w:r>
          </w:p>
        </w:tc>
      </w:tr>
      <w:tr w14:paraId="2AA1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9" w:type="dxa"/>
            <w:vAlign w:val="center"/>
          </w:tcPr>
          <w:p w14:paraId="3FA1FCFE">
            <w:pPr>
              <w:tabs>
                <w:tab w:val="left" w:pos="720"/>
              </w:tabs>
              <w:spacing w:line="360" w:lineRule="auto"/>
              <w:jc w:val="center"/>
              <w:rPr>
                <w:rFonts w:hint="eastAsia" w:ascii="宋体" w:hAnsi="宋体"/>
                <w:color w:val="auto"/>
                <w:sz w:val="24"/>
                <w:szCs w:val="24"/>
                <w:highlight w:val="none"/>
              </w:rPr>
            </w:pPr>
          </w:p>
        </w:tc>
        <w:tc>
          <w:tcPr>
            <w:tcW w:w="1441" w:type="dxa"/>
            <w:vAlign w:val="center"/>
          </w:tcPr>
          <w:p w14:paraId="447370CB">
            <w:pPr>
              <w:tabs>
                <w:tab w:val="left" w:pos="720"/>
              </w:tabs>
              <w:spacing w:line="360" w:lineRule="auto"/>
              <w:jc w:val="center"/>
              <w:rPr>
                <w:rFonts w:hint="eastAsia" w:ascii="宋体" w:hAnsi="宋体"/>
                <w:color w:val="auto"/>
                <w:sz w:val="24"/>
                <w:szCs w:val="24"/>
                <w:highlight w:val="none"/>
              </w:rPr>
            </w:pPr>
          </w:p>
        </w:tc>
        <w:tc>
          <w:tcPr>
            <w:tcW w:w="2461" w:type="dxa"/>
            <w:vAlign w:val="center"/>
          </w:tcPr>
          <w:p w14:paraId="1BBAF164">
            <w:pPr>
              <w:tabs>
                <w:tab w:val="left" w:pos="720"/>
              </w:tabs>
              <w:spacing w:line="360" w:lineRule="auto"/>
              <w:jc w:val="center"/>
              <w:rPr>
                <w:rFonts w:hint="eastAsia" w:ascii="宋体" w:hAnsi="宋体"/>
                <w:color w:val="auto"/>
                <w:sz w:val="24"/>
                <w:szCs w:val="24"/>
                <w:highlight w:val="none"/>
              </w:rPr>
            </w:pPr>
          </w:p>
        </w:tc>
        <w:tc>
          <w:tcPr>
            <w:tcW w:w="2359" w:type="dxa"/>
            <w:vAlign w:val="center"/>
          </w:tcPr>
          <w:p w14:paraId="6DCB5467">
            <w:pPr>
              <w:tabs>
                <w:tab w:val="left" w:pos="720"/>
              </w:tabs>
              <w:spacing w:line="360" w:lineRule="auto"/>
              <w:jc w:val="center"/>
              <w:rPr>
                <w:rFonts w:hint="eastAsia" w:ascii="宋体" w:hAnsi="宋体"/>
                <w:color w:val="auto"/>
                <w:sz w:val="24"/>
                <w:szCs w:val="24"/>
                <w:highlight w:val="none"/>
              </w:rPr>
            </w:pPr>
          </w:p>
        </w:tc>
        <w:tc>
          <w:tcPr>
            <w:tcW w:w="2389" w:type="dxa"/>
            <w:vAlign w:val="center"/>
          </w:tcPr>
          <w:p w14:paraId="2C71F3C6">
            <w:pPr>
              <w:tabs>
                <w:tab w:val="left" w:pos="720"/>
              </w:tabs>
              <w:spacing w:line="360" w:lineRule="auto"/>
              <w:jc w:val="center"/>
              <w:rPr>
                <w:rFonts w:hint="eastAsia" w:ascii="宋体" w:hAnsi="宋体"/>
                <w:color w:val="auto"/>
                <w:sz w:val="24"/>
                <w:szCs w:val="24"/>
                <w:highlight w:val="none"/>
              </w:rPr>
            </w:pPr>
          </w:p>
        </w:tc>
      </w:tr>
      <w:tr w14:paraId="5DBB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1759EB5E">
            <w:pPr>
              <w:tabs>
                <w:tab w:val="left" w:pos="720"/>
              </w:tabs>
              <w:spacing w:line="360" w:lineRule="auto"/>
              <w:jc w:val="center"/>
              <w:rPr>
                <w:rFonts w:hint="eastAsia" w:ascii="宋体" w:hAnsi="宋体"/>
                <w:color w:val="auto"/>
                <w:sz w:val="24"/>
                <w:szCs w:val="24"/>
                <w:highlight w:val="none"/>
              </w:rPr>
            </w:pPr>
          </w:p>
        </w:tc>
        <w:tc>
          <w:tcPr>
            <w:tcW w:w="1441" w:type="dxa"/>
            <w:vAlign w:val="center"/>
          </w:tcPr>
          <w:p w14:paraId="6FA74000">
            <w:pPr>
              <w:tabs>
                <w:tab w:val="left" w:pos="720"/>
              </w:tabs>
              <w:spacing w:line="360" w:lineRule="auto"/>
              <w:jc w:val="center"/>
              <w:rPr>
                <w:rFonts w:hint="eastAsia" w:ascii="宋体" w:hAnsi="宋体"/>
                <w:color w:val="auto"/>
                <w:sz w:val="24"/>
                <w:szCs w:val="24"/>
                <w:highlight w:val="none"/>
              </w:rPr>
            </w:pPr>
          </w:p>
        </w:tc>
        <w:tc>
          <w:tcPr>
            <w:tcW w:w="2461" w:type="dxa"/>
            <w:vAlign w:val="center"/>
          </w:tcPr>
          <w:p w14:paraId="7E4F2B72">
            <w:pPr>
              <w:tabs>
                <w:tab w:val="left" w:pos="720"/>
              </w:tabs>
              <w:spacing w:line="360" w:lineRule="auto"/>
              <w:jc w:val="center"/>
              <w:rPr>
                <w:rFonts w:hint="eastAsia" w:ascii="宋体" w:hAnsi="宋体"/>
                <w:color w:val="auto"/>
                <w:sz w:val="24"/>
                <w:szCs w:val="24"/>
                <w:highlight w:val="none"/>
              </w:rPr>
            </w:pPr>
          </w:p>
        </w:tc>
        <w:tc>
          <w:tcPr>
            <w:tcW w:w="2359" w:type="dxa"/>
            <w:vAlign w:val="center"/>
          </w:tcPr>
          <w:p w14:paraId="3E42A089">
            <w:pPr>
              <w:tabs>
                <w:tab w:val="left" w:pos="720"/>
              </w:tabs>
              <w:spacing w:line="360" w:lineRule="auto"/>
              <w:jc w:val="center"/>
              <w:rPr>
                <w:rFonts w:hint="eastAsia" w:ascii="宋体" w:hAnsi="宋体"/>
                <w:color w:val="auto"/>
                <w:sz w:val="24"/>
                <w:szCs w:val="24"/>
                <w:highlight w:val="none"/>
              </w:rPr>
            </w:pPr>
          </w:p>
        </w:tc>
        <w:tc>
          <w:tcPr>
            <w:tcW w:w="2389" w:type="dxa"/>
            <w:vAlign w:val="center"/>
          </w:tcPr>
          <w:p w14:paraId="1D1585CF">
            <w:pPr>
              <w:tabs>
                <w:tab w:val="left" w:pos="720"/>
              </w:tabs>
              <w:spacing w:line="360" w:lineRule="auto"/>
              <w:jc w:val="center"/>
              <w:rPr>
                <w:rFonts w:hint="eastAsia" w:ascii="宋体" w:hAnsi="宋体"/>
                <w:color w:val="auto"/>
                <w:sz w:val="24"/>
                <w:szCs w:val="24"/>
                <w:highlight w:val="none"/>
              </w:rPr>
            </w:pPr>
          </w:p>
        </w:tc>
      </w:tr>
      <w:tr w14:paraId="1520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6B32A63C">
            <w:pPr>
              <w:tabs>
                <w:tab w:val="left" w:pos="720"/>
              </w:tabs>
              <w:spacing w:line="360" w:lineRule="auto"/>
              <w:jc w:val="center"/>
              <w:rPr>
                <w:rFonts w:hint="eastAsia" w:ascii="宋体" w:hAnsi="宋体"/>
                <w:color w:val="auto"/>
                <w:sz w:val="24"/>
                <w:szCs w:val="24"/>
                <w:highlight w:val="none"/>
              </w:rPr>
            </w:pPr>
          </w:p>
        </w:tc>
        <w:tc>
          <w:tcPr>
            <w:tcW w:w="1441" w:type="dxa"/>
            <w:vAlign w:val="center"/>
          </w:tcPr>
          <w:p w14:paraId="11202F01">
            <w:pPr>
              <w:tabs>
                <w:tab w:val="left" w:pos="720"/>
              </w:tabs>
              <w:spacing w:line="360" w:lineRule="auto"/>
              <w:jc w:val="center"/>
              <w:rPr>
                <w:rFonts w:hint="eastAsia" w:ascii="宋体" w:hAnsi="宋体"/>
                <w:color w:val="auto"/>
                <w:sz w:val="24"/>
                <w:szCs w:val="24"/>
                <w:highlight w:val="none"/>
              </w:rPr>
            </w:pPr>
          </w:p>
        </w:tc>
        <w:tc>
          <w:tcPr>
            <w:tcW w:w="2461" w:type="dxa"/>
            <w:vAlign w:val="center"/>
          </w:tcPr>
          <w:p w14:paraId="1AB7FFB9">
            <w:pPr>
              <w:tabs>
                <w:tab w:val="left" w:pos="720"/>
              </w:tabs>
              <w:spacing w:line="360" w:lineRule="auto"/>
              <w:jc w:val="center"/>
              <w:rPr>
                <w:rFonts w:hint="eastAsia" w:ascii="宋体" w:hAnsi="宋体"/>
                <w:color w:val="auto"/>
                <w:sz w:val="24"/>
                <w:szCs w:val="24"/>
                <w:highlight w:val="none"/>
              </w:rPr>
            </w:pPr>
          </w:p>
        </w:tc>
        <w:tc>
          <w:tcPr>
            <w:tcW w:w="2359" w:type="dxa"/>
            <w:vAlign w:val="center"/>
          </w:tcPr>
          <w:p w14:paraId="1FDA2531">
            <w:pPr>
              <w:tabs>
                <w:tab w:val="left" w:pos="720"/>
              </w:tabs>
              <w:spacing w:line="360" w:lineRule="auto"/>
              <w:jc w:val="center"/>
              <w:rPr>
                <w:rFonts w:hint="eastAsia" w:ascii="宋体" w:hAnsi="宋体"/>
                <w:color w:val="auto"/>
                <w:sz w:val="24"/>
                <w:szCs w:val="24"/>
                <w:highlight w:val="none"/>
              </w:rPr>
            </w:pPr>
          </w:p>
        </w:tc>
        <w:tc>
          <w:tcPr>
            <w:tcW w:w="2389" w:type="dxa"/>
            <w:vAlign w:val="center"/>
          </w:tcPr>
          <w:p w14:paraId="0ED17922">
            <w:pPr>
              <w:tabs>
                <w:tab w:val="left" w:pos="720"/>
              </w:tabs>
              <w:spacing w:line="360" w:lineRule="auto"/>
              <w:jc w:val="center"/>
              <w:rPr>
                <w:rFonts w:hint="eastAsia" w:ascii="宋体" w:hAnsi="宋体"/>
                <w:color w:val="auto"/>
                <w:sz w:val="24"/>
                <w:szCs w:val="24"/>
                <w:highlight w:val="none"/>
              </w:rPr>
            </w:pPr>
          </w:p>
        </w:tc>
      </w:tr>
      <w:tr w14:paraId="6A1E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257B2C37">
            <w:pPr>
              <w:tabs>
                <w:tab w:val="left" w:pos="720"/>
              </w:tabs>
              <w:spacing w:line="360" w:lineRule="auto"/>
              <w:jc w:val="center"/>
              <w:rPr>
                <w:rFonts w:hint="eastAsia" w:ascii="宋体" w:hAnsi="宋体"/>
                <w:color w:val="auto"/>
                <w:sz w:val="24"/>
                <w:szCs w:val="24"/>
                <w:highlight w:val="none"/>
              </w:rPr>
            </w:pPr>
          </w:p>
        </w:tc>
        <w:tc>
          <w:tcPr>
            <w:tcW w:w="1441" w:type="dxa"/>
            <w:vAlign w:val="center"/>
          </w:tcPr>
          <w:p w14:paraId="015BF87A">
            <w:pPr>
              <w:tabs>
                <w:tab w:val="left" w:pos="720"/>
              </w:tabs>
              <w:spacing w:line="360" w:lineRule="auto"/>
              <w:jc w:val="center"/>
              <w:rPr>
                <w:rFonts w:hint="eastAsia" w:ascii="宋体" w:hAnsi="宋体"/>
                <w:color w:val="auto"/>
                <w:sz w:val="24"/>
                <w:szCs w:val="24"/>
                <w:highlight w:val="none"/>
              </w:rPr>
            </w:pPr>
          </w:p>
        </w:tc>
        <w:tc>
          <w:tcPr>
            <w:tcW w:w="2461" w:type="dxa"/>
            <w:vAlign w:val="center"/>
          </w:tcPr>
          <w:p w14:paraId="4058002A">
            <w:pPr>
              <w:tabs>
                <w:tab w:val="left" w:pos="720"/>
              </w:tabs>
              <w:spacing w:line="360" w:lineRule="auto"/>
              <w:jc w:val="center"/>
              <w:rPr>
                <w:rFonts w:hint="eastAsia" w:ascii="宋体" w:hAnsi="宋体"/>
                <w:color w:val="auto"/>
                <w:sz w:val="24"/>
                <w:szCs w:val="24"/>
                <w:highlight w:val="none"/>
              </w:rPr>
            </w:pPr>
          </w:p>
        </w:tc>
        <w:tc>
          <w:tcPr>
            <w:tcW w:w="2359" w:type="dxa"/>
            <w:vAlign w:val="center"/>
          </w:tcPr>
          <w:p w14:paraId="0B0B2CAB">
            <w:pPr>
              <w:tabs>
                <w:tab w:val="left" w:pos="720"/>
              </w:tabs>
              <w:spacing w:line="360" w:lineRule="auto"/>
              <w:jc w:val="center"/>
              <w:rPr>
                <w:rFonts w:hint="eastAsia" w:ascii="宋体" w:hAnsi="宋体"/>
                <w:color w:val="auto"/>
                <w:sz w:val="24"/>
                <w:szCs w:val="24"/>
                <w:highlight w:val="none"/>
              </w:rPr>
            </w:pPr>
          </w:p>
        </w:tc>
        <w:tc>
          <w:tcPr>
            <w:tcW w:w="2389" w:type="dxa"/>
            <w:vAlign w:val="center"/>
          </w:tcPr>
          <w:p w14:paraId="46BD6028">
            <w:pPr>
              <w:tabs>
                <w:tab w:val="left" w:pos="720"/>
              </w:tabs>
              <w:spacing w:line="360" w:lineRule="auto"/>
              <w:jc w:val="center"/>
              <w:rPr>
                <w:rFonts w:hint="eastAsia" w:ascii="宋体" w:hAnsi="宋体"/>
                <w:color w:val="auto"/>
                <w:sz w:val="24"/>
                <w:szCs w:val="24"/>
                <w:highlight w:val="none"/>
              </w:rPr>
            </w:pPr>
          </w:p>
        </w:tc>
      </w:tr>
      <w:tr w14:paraId="2D10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372C6AD7">
            <w:pPr>
              <w:tabs>
                <w:tab w:val="left" w:pos="720"/>
              </w:tabs>
              <w:spacing w:line="360" w:lineRule="auto"/>
              <w:jc w:val="center"/>
              <w:rPr>
                <w:rFonts w:hint="eastAsia" w:ascii="宋体" w:hAnsi="宋体"/>
                <w:color w:val="auto"/>
                <w:sz w:val="24"/>
                <w:szCs w:val="24"/>
                <w:highlight w:val="none"/>
              </w:rPr>
            </w:pPr>
          </w:p>
        </w:tc>
        <w:tc>
          <w:tcPr>
            <w:tcW w:w="1441" w:type="dxa"/>
            <w:vAlign w:val="center"/>
          </w:tcPr>
          <w:p w14:paraId="3E0B8E66">
            <w:pPr>
              <w:tabs>
                <w:tab w:val="left" w:pos="720"/>
              </w:tabs>
              <w:spacing w:line="360" w:lineRule="auto"/>
              <w:jc w:val="center"/>
              <w:rPr>
                <w:rFonts w:hint="eastAsia" w:ascii="宋体" w:hAnsi="宋体"/>
                <w:color w:val="auto"/>
                <w:sz w:val="24"/>
                <w:szCs w:val="24"/>
                <w:highlight w:val="none"/>
              </w:rPr>
            </w:pPr>
          </w:p>
        </w:tc>
        <w:tc>
          <w:tcPr>
            <w:tcW w:w="2461" w:type="dxa"/>
            <w:vAlign w:val="center"/>
          </w:tcPr>
          <w:p w14:paraId="5C62C628">
            <w:pPr>
              <w:tabs>
                <w:tab w:val="left" w:pos="720"/>
              </w:tabs>
              <w:spacing w:line="360" w:lineRule="auto"/>
              <w:jc w:val="center"/>
              <w:rPr>
                <w:rFonts w:hint="eastAsia" w:ascii="宋体" w:hAnsi="宋体"/>
                <w:color w:val="auto"/>
                <w:sz w:val="24"/>
                <w:szCs w:val="24"/>
                <w:highlight w:val="none"/>
              </w:rPr>
            </w:pPr>
          </w:p>
        </w:tc>
        <w:tc>
          <w:tcPr>
            <w:tcW w:w="2359" w:type="dxa"/>
            <w:vAlign w:val="center"/>
          </w:tcPr>
          <w:p w14:paraId="5458C3F9">
            <w:pPr>
              <w:tabs>
                <w:tab w:val="left" w:pos="720"/>
              </w:tabs>
              <w:spacing w:line="360" w:lineRule="auto"/>
              <w:jc w:val="center"/>
              <w:rPr>
                <w:rFonts w:hint="eastAsia" w:ascii="宋体" w:hAnsi="宋体"/>
                <w:color w:val="auto"/>
                <w:sz w:val="24"/>
                <w:szCs w:val="24"/>
                <w:highlight w:val="none"/>
              </w:rPr>
            </w:pPr>
          </w:p>
        </w:tc>
        <w:tc>
          <w:tcPr>
            <w:tcW w:w="2389" w:type="dxa"/>
            <w:vAlign w:val="center"/>
          </w:tcPr>
          <w:p w14:paraId="6C630052">
            <w:pPr>
              <w:tabs>
                <w:tab w:val="left" w:pos="720"/>
              </w:tabs>
              <w:spacing w:line="360" w:lineRule="auto"/>
              <w:jc w:val="center"/>
              <w:rPr>
                <w:rFonts w:hint="eastAsia" w:ascii="宋体" w:hAnsi="宋体"/>
                <w:color w:val="auto"/>
                <w:sz w:val="24"/>
                <w:szCs w:val="24"/>
                <w:highlight w:val="none"/>
              </w:rPr>
            </w:pPr>
          </w:p>
        </w:tc>
      </w:tr>
      <w:tr w14:paraId="1615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61A64D0A">
            <w:pPr>
              <w:tabs>
                <w:tab w:val="left" w:pos="720"/>
              </w:tabs>
              <w:spacing w:line="360" w:lineRule="auto"/>
              <w:jc w:val="center"/>
              <w:rPr>
                <w:rFonts w:hint="eastAsia" w:ascii="宋体" w:hAnsi="宋体"/>
                <w:color w:val="auto"/>
                <w:sz w:val="24"/>
                <w:szCs w:val="24"/>
                <w:highlight w:val="none"/>
              </w:rPr>
            </w:pPr>
          </w:p>
        </w:tc>
        <w:tc>
          <w:tcPr>
            <w:tcW w:w="1441" w:type="dxa"/>
            <w:vAlign w:val="center"/>
          </w:tcPr>
          <w:p w14:paraId="43E66F52">
            <w:pPr>
              <w:tabs>
                <w:tab w:val="left" w:pos="720"/>
              </w:tabs>
              <w:spacing w:line="360" w:lineRule="auto"/>
              <w:jc w:val="center"/>
              <w:rPr>
                <w:rFonts w:hint="eastAsia" w:ascii="宋体" w:hAnsi="宋体"/>
                <w:color w:val="auto"/>
                <w:sz w:val="24"/>
                <w:szCs w:val="24"/>
                <w:highlight w:val="none"/>
              </w:rPr>
            </w:pPr>
          </w:p>
        </w:tc>
        <w:tc>
          <w:tcPr>
            <w:tcW w:w="2461" w:type="dxa"/>
            <w:vAlign w:val="center"/>
          </w:tcPr>
          <w:p w14:paraId="7A496BD6">
            <w:pPr>
              <w:tabs>
                <w:tab w:val="left" w:pos="720"/>
              </w:tabs>
              <w:spacing w:line="360" w:lineRule="auto"/>
              <w:jc w:val="center"/>
              <w:rPr>
                <w:rFonts w:hint="eastAsia" w:ascii="宋体" w:hAnsi="宋体"/>
                <w:color w:val="auto"/>
                <w:sz w:val="24"/>
                <w:szCs w:val="24"/>
                <w:highlight w:val="none"/>
              </w:rPr>
            </w:pPr>
          </w:p>
        </w:tc>
        <w:tc>
          <w:tcPr>
            <w:tcW w:w="2359" w:type="dxa"/>
            <w:vAlign w:val="center"/>
          </w:tcPr>
          <w:p w14:paraId="6DBAE2C8">
            <w:pPr>
              <w:tabs>
                <w:tab w:val="left" w:pos="720"/>
              </w:tabs>
              <w:spacing w:line="360" w:lineRule="auto"/>
              <w:jc w:val="center"/>
              <w:rPr>
                <w:rFonts w:hint="eastAsia" w:ascii="宋体" w:hAnsi="宋体"/>
                <w:color w:val="auto"/>
                <w:sz w:val="24"/>
                <w:szCs w:val="24"/>
                <w:highlight w:val="none"/>
              </w:rPr>
            </w:pPr>
          </w:p>
        </w:tc>
        <w:tc>
          <w:tcPr>
            <w:tcW w:w="2389" w:type="dxa"/>
            <w:vAlign w:val="center"/>
          </w:tcPr>
          <w:p w14:paraId="359AFE2E">
            <w:pPr>
              <w:tabs>
                <w:tab w:val="left" w:pos="720"/>
              </w:tabs>
              <w:spacing w:line="360" w:lineRule="auto"/>
              <w:jc w:val="center"/>
              <w:rPr>
                <w:rFonts w:hint="eastAsia" w:ascii="宋体" w:hAnsi="宋体"/>
                <w:color w:val="auto"/>
                <w:sz w:val="24"/>
                <w:szCs w:val="24"/>
                <w:highlight w:val="none"/>
              </w:rPr>
            </w:pPr>
          </w:p>
        </w:tc>
      </w:tr>
      <w:tr w14:paraId="52A8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9" w:type="dxa"/>
            <w:vAlign w:val="center"/>
          </w:tcPr>
          <w:p w14:paraId="63BF7DA7">
            <w:pPr>
              <w:tabs>
                <w:tab w:val="left" w:pos="720"/>
              </w:tabs>
              <w:spacing w:line="360" w:lineRule="auto"/>
              <w:jc w:val="center"/>
              <w:rPr>
                <w:rFonts w:hint="eastAsia" w:ascii="宋体" w:hAnsi="宋体"/>
                <w:color w:val="auto"/>
                <w:sz w:val="24"/>
                <w:szCs w:val="24"/>
                <w:highlight w:val="none"/>
              </w:rPr>
            </w:pPr>
          </w:p>
        </w:tc>
        <w:tc>
          <w:tcPr>
            <w:tcW w:w="1441" w:type="dxa"/>
            <w:vAlign w:val="center"/>
          </w:tcPr>
          <w:p w14:paraId="44446BD3">
            <w:pPr>
              <w:tabs>
                <w:tab w:val="left" w:pos="720"/>
              </w:tabs>
              <w:spacing w:line="360" w:lineRule="auto"/>
              <w:jc w:val="center"/>
              <w:rPr>
                <w:rFonts w:hint="eastAsia" w:ascii="宋体" w:hAnsi="宋体"/>
                <w:color w:val="auto"/>
                <w:sz w:val="24"/>
                <w:szCs w:val="24"/>
                <w:highlight w:val="none"/>
              </w:rPr>
            </w:pPr>
          </w:p>
        </w:tc>
        <w:tc>
          <w:tcPr>
            <w:tcW w:w="2461" w:type="dxa"/>
            <w:vAlign w:val="center"/>
          </w:tcPr>
          <w:p w14:paraId="0FE956AC">
            <w:pPr>
              <w:tabs>
                <w:tab w:val="left" w:pos="720"/>
              </w:tabs>
              <w:spacing w:line="360" w:lineRule="auto"/>
              <w:jc w:val="center"/>
              <w:rPr>
                <w:rFonts w:hint="eastAsia" w:ascii="宋体" w:hAnsi="宋体"/>
                <w:color w:val="auto"/>
                <w:sz w:val="24"/>
                <w:szCs w:val="24"/>
                <w:highlight w:val="none"/>
              </w:rPr>
            </w:pPr>
          </w:p>
        </w:tc>
        <w:tc>
          <w:tcPr>
            <w:tcW w:w="2359" w:type="dxa"/>
            <w:vAlign w:val="center"/>
          </w:tcPr>
          <w:p w14:paraId="05AEAFDF">
            <w:pPr>
              <w:tabs>
                <w:tab w:val="left" w:pos="720"/>
              </w:tabs>
              <w:spacing w:line="360" w:lineRule="auto"/>
              <w:jc w:val="center"/>
              <w:rPr>
                <w:rFonts w:hint="eastAsia" w:ascii="宋体" w:hAnsi="宋体"/>
                <w:color w:val="auto"/>
                <w:sz w:val="24"/>
                <w:szCs w:val="24"/>
                <w:highlight w:val="none"/>
              </w:rPr>
            </w:pPr>
          </w:p>
        </w:tc>
        <w:tc>
          <w:tcPr>
            <w:tcW w:w="2389" w:type="dxa"/>
            <w:vAlign w:val="center"/>
          </w:tcPr>
          <w:p w14:paraId="199DB802">
            <w:pPr>
              <w:tabs>
                <w:tab w:val="left" w:pos="720"/>
              </w:tabs>
              <w:spacing w:line="360" w:lineRule="auto"/>
              <w:jc w:val="center"/>
              <w:rPr>
                <w:rFonts w:hint="eastAsia" w:ascii="宋体" w:hAnsi="宋体"/>
                <w:color w:val="auto"/>
                <w:sz w:val="24"/>
                <w:szCs w:val="24"/>
                <w:highlight w:val="none"/>
              </w:rPr>
            </w:pPr>
          </w:p>
        </w:tc>
      </w:tr>
      <w:tr w14:paraId="6379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9" w:type="dxa"/>
            <w:vAlign w:val="center"/>
          </w:tcPr>
          <w:p w14:paraId="35DF2D82">
            <w:pPr>
              <w:tabs>
                <w:tab w:val="left" w:pos="720"/>
              </w:tabs>
              <w:spacing w:line="360" w:lineRule="auto"/>
              <w:jc w:val="center"/>
              <w:rPr>
                <w:rFonts w:hint="eastAsia" w:ascii="宋体" w:hAnsi="宋体"/>
                <w:color w:val="auto"/>
                <w:sz w:val="24"/>
                <w:szCs w:val="24"/>
                <w:highlight w:val="none"/>
              </w:rPr>
            </w:pPr>
          </w:p>
        </w:tc>
        <w:tc>
          <w:tcPr>
            <w:tcW w:w="1441" w:type="dxa"/>
            <w:vAlign w:val="center"/>
          </w:tcPr>
          <w:p w14:paraId="4DE19CAF">
            <w:pPr>
              <w:tabs>
                <w:tab w:val="left" w:pos="720"/>
              </w:tabs>
              <w:spacing w:line="360" w:lineRule="auto"/>
              <w:jc w:val="center"/>
              <w:rPr>
                <w:rFonts w:hint="eastAsia" w:ascii="宋体" w:hAnsi="宋体"/>
                <w:color w:val="auto"/>
                <w:sz w:val="24"/>
                <w:szCs w:val="24"/>
                <w:highlight w:val="none"/>
              </w:rPr>
            </w:pPr>
          </w:p>
        </w:tc>
        <w:tc>
          <w:tcPr>
            <w:tcW w:w="2461" w:type="dxa"/>
            <w:vAlign w:val="center"/>
          </w:tcPr>
          <w:p w14:paraId="6344B1D9">
            <w:pPr>
              <w:tabs>
                <w:tab w:val="left" w:pos="720"/>
              </w:tabs>
              <w:spacing w:line="360" w:lineRule="auto"/>
              <w:jc w:val="center"/>
              <w:rPr>
                <w:rFonts w:hint="eastAsia" w:ascii="宋体" w:hAnsi="宋体"/>
                <w:color w:val="auto"/>
                <w:sz w:val="24"/>
                <w:szCs w:val="24"/>
                <w:highlight w:val="none"/>
              </w:rPr>
            </w:pPr>
          </w:p>
        </w:tc>
        <w:tc>
          <w:tcPr>
            <w:tcW w:w="2359" w:type="dxa"/>
            <w:vAlign w:val="center"/>
          </w:tcPr>
          <w:p w14:paraId="5D67CE96">
            <w:pPr>
              <w:tabs>
                <w:tab w:val="left" w:pos="720"/>
              </w:tabs>
              <w:spacing w:line="360" w:lineRule="auto"/>
              <w:jc w:val="center"/>
              <w:rPr>
                <w:rFonts w:hint="eastAsia" w:ascii="宋体" w:hAnsi="宋体"/>
                <w:color w:val="auto"/>
                <w:sz w:val="24"/>
                <w:szCs w:val="24"/>
                <w:highlight w:val="none"/>
              </w:rPr>
            </w:pPr>
          </w:p>
        </w:tc>
        <w:tc>
          <w:tcPr>
            <w:tcW w:w="2389" w:type="dxa"/>
            <w:vAlign w:val="center"/>
          </w:tcPr>
          <w:p w14:paraId="726D3AE3">
            <w:pPr>
              <w:tabs>
                <w:tab w:val="left" w:pos="720"/>
              </w:tabs>
              <w:spacing w:line="360" w:lineRule="auto"/>
              <w:jc w:val="center"/>
              <w:rPr>
                <w:rFonts w:hint="eastAsia" w:ascii="宋体" w:hAnsi="宋体"/>
                <w:color w:val="auto"/>
                <w:sz w:val="24"/>
                <w:szCs w:val="24"/>
                <w:highlight w:val="none"/>
              </w:rPr>
            </w:pPr>
          </w:p>
        </w:tc>
      </w:tr>
    </w:tbl>
    <w:p w14:paraId="36FFF486">
      <w:pPr>
        <w:rPr>
          <w:rFonts w:hint="eastAsia" w:ascii="宋体" w:hAnsi="宋体"/>
          <w:color w:val="auto"/>
          <w:highlight w:val="none"/>
        </w:rPr>
      </w:pPr>
      <w:r>
        <w:rPr>
          <w:rFonts w:hint="eastAsia" w:ascii="宋体" w:hAnsi="宋体"/>
          <w:color w:val="auto"/>
          <w:spacing w:val="4"/>
          <w:kern w:val="0"/>
          <w:sz w:val="24"/>
          <w:szCs w:val="24"/>
          <w:highlight w:val="none"/>
        </w:rPr>
        <w:t>注：参与编制经济标书所有人员名单应包括如编制各种专业工程量清单投标报价、负责清样校对、负责打印及复印等所有人员在内的人员名单。</w:t>
      </w:r>
    </w:p>
    <w:p w14:paraId="145493F2">
      <w:pPr>
        <w:widowControl/>
        <w:jc w:val="left"/>
        <w:rPr>
          <w:rFonts w:hint="eastAsia" w:ascii="宋体" w:hAnsi="宋体" w:cs="宋体"/>
          <w:b/>
          <w:color w:val="auto"/>
          <w:kern w:val="0"/>
          <w:sz w:val="24"/>
          <w:szCs w:val="24"/>
          <w:highlight w:val="none"/>
        </w:rPr>
      </w:pPr>
      <w:r>
        <w:rPr>
          <w:rFonts w:ascii="宋体" w:hAnsi="宋体"/>
          <w:color w:val="auto"/>
          <w:highlight w:val="none"/>
        </w:rPr>
        <w:br w:type="page"/>
      </w:r>
    </w:p>
    <w:p w14:paraId="0BBC6789">
      <w:pPr>
        <w:pStyle w:val="8"/>
        <w:rPr>
          <w:rFonts w:hint="eastAsia"/>
          <w:color w:val="auto"/>
          <w:highlight w:val="none"/>
        </w:rPr>
      </w:pPr>
      <w:bookmarkStart w:id="116" w:name="_Toc60070635"/>
      <w:bookmarkStart w:id="117" w:name="_Toc194440104"/>
      <w:bookmarkStart w:id="118" w:name="_Toc184468527"/>
      <w:r>
        <w:rPr>
          <w:rFonts w:hint="eastAsia"/>
          <w:color w:val="auto"/>
          <w:highlight w:val="none"/>
        </w:rPr>
        <w:t>格式三</w:t>
      </w:r>
      <w:r>
        <w:rPr>
          <w:rFonts w:hint="eastAsia"/>
          <w:color w:val="auto"/>
          <w:kern w:val="2"/>
          <w:highlight w:val="none"/>
        </w:rPr>
        <w:t>：</w:t>
      </w:r>
      <w:bookmarkEnd w:id="116"/>
      <w:bookmarkEnd w:id="117"/>
      <w:bookmarkEnd w:id="118"/>
    </w:p>
    <w:p w14:paraId="55DCA439">
      <w:pPr>
        <w:pStyle w:val="4"/>
        <w:ind w:firstLine="309"/>
        <w:rPr>
          <w:rFonts w:hint="eastAsia" w:ascii="宋体" w:hAnsi="宋体"/>
          <w:color w:val="auto"/>
          <w:highlight w:val="none"/>
        </w:rPr>
      </w:pPr>
      <w:r>
        <w:rPr>
          <w:rFonts w:hint="eastAsia" w:ascii="宋体" w:hAnsi="宋体"/>
          <w:color w:val="auto"/>
          <w:highlight w:val="none"/>
        </w:rPr>
        <w:t>对投标文件编制的承诺</w:t>
      </w:r>
    </w:p>
    <w:p w14:paraId="0C94F40E">
      <w:pPr>
        <w:pStyle w:val="4"/>
        <w:ind w:firstLine="309"/>
        <w:rPr>
          <w:rFonts w:hint="eastAsia" w:ascii="宋体" w:hAnsi="宋体"/>
          <w:color w:val="auto"/>
          <w:highlight w:val="none"/>
        </w:rPr>
      </w:pPr>
      <w:r>
        <w:rPr>
          <w:rFonts w:hint="eastAsia" w:ascii="宋体" w:hAnsi="宋体"/>
          <w:color w:val="auto"/>
          <w:highlight w:val="none"/>
        </w:rPr>
        <w:t>本公司授权</w:t>
      </w:r>
      <w:r>
        <w:rPr>
          <w:rFonts w:ascii="宋体" w:hAnsi="宋体"/>
          <w:color w:val="auto"/>
          <w:highlight w:val="none"/>
        </w:rPr>
        <w:t xml:space="preserve">         （身份证号：               ）</w:t>
      </w:r>
      <w:r>
        <w:rPr>
          <w:rFonts w:hint="eastAsia" w:ascii="宋体" w:hAnsi="宋体"/>
          <w:color w:val="auto"/>
          <w:highlight w:val="none"/>
        </w:rPr>
        <w:t>负责对投标文件的编制及内容进行解释、说明，并承诺以下事项：</w:t>
      </w:r>
    </w:p>
    <w:p w14:paraId="49636C4A">
      <w:pPr>
        <w:pStyle w:val="4"/>
        <w:ind w:firstLine="309"/>
        <w:rPr>
          <w:rFonts w:hint="eastAsia" w:ascii="宋体" w:hAnsi="宋体"/>
          <w:color w:val="auto"/>
          <w:highlight w:val="none"/>
        </w:rPr>
      </w:pPr>
      <w:r>
        <w:rPr>
          <w:rFonts w:ascii="宋体" w:hAnsi="宋体"/>
          <w:color w:val="auto"/>
          <w:highlight w:val="none"/>
        </w:rPr>
        <w:t>1.被授权人清楚投标文件编制的具体情况，包括</w:t>
      </w:r>
      <w:r>
        <w:rPr>
          <w:rFonts w:hint="eastAsia" w:ascii="宋体" w:hAnsi="宋体"/>
          <w:color w:val="auto"/>
          <w:highlight w:val="none"/>
        </w:rPr>
        <w:t>技术方案文件、工程量清单、以及投标文件的加密打包的理解；</w:t>
      </w:r>
    </w:p>
    <w:p w14:paraId="063E3D5C">
      <w:pPr>
        <w:pStyle w:val="4"/>
        <w:ind w:firstLine="309"/>
        <w:rPr>
          <w:rFonts w:hint="eastAsia" w:ascii="宋体" w:hAnsi="宋体"/>
          <w:color w:val="auto"/>
          <w:highlight w:val="none"/>
        </w:rPr>
      </w:pPr>
      <w:r>
        <w:rPr>
          <w:rFonts w:ascii="宋体" w:hAnsi="宋体"/>
          <w:color w:val="auto"/>
          <w:highlight w:val="none"/>
        </w:rPr>
        <w:t>2.在本项目开标至评标结束前，努力确保被授权人在项目评标所在地附近；</w:t>
      </w:r>
    </w:p>
    <w:p w14:paraId="1CC4AA2C">
      <w:pPr>
        <w:pStyle w:val="4"/>
        <w:ind w:firstLine="309"/>
        <w:rPr>
          <w:rFonts w:hint="eastAsia" w:ascii="宋体" w:hAnsi="宋体"/>
          <w:color w:val="auto"/>
          <w:highlight w:val="none"/>
        </w:rPr>
      </w:pPr>
      <w:r>
        <w:rPr>
          <w:rFonts w:ascii="宋体" w:hAnsi="宋体"/>
          <w:color w:val="auto"/>
          <w:highlight w:val="none"/>
        </w:rPr>
        <w:t>3.从评标委员会要求澄清起二小时内，被授权人应如实地书面澄清。</w:t>
      </w:r>
    </w:p>
    <w:p w14:paraId="3FC112DB">
      <w:pPr>
        <w:pStyle w:val="4"/>
        <w:ind w:firstLine="309"/>
        <w:rPr>
          <w:rFonts w:hint="eastAsia" w:ascii="宋体" w:hAnsi="宋体"/>
          <w:color w:val="auto"/>
          <w:highlight w:val="none"/>
        </w:rPr>
      </w:pPr>
      <w:r>
        <w:rPr>
          <w:rFonts w:hint="eastAsia" w:ascii="宋体" w:hAnsi="宋体"/>
          <w:color w:val="auto"/>
          <w:highlight w:val="none"/>
        </w:rPr>
        <w:t>如由于未遵守上述承诺内容之一导致无法进行澄清的，我公司认可和接受评标委员会作出的评审结论。</w:t>
      </w:r>
      <w:r>
        <w:rPr>
          <w:rFonts w:ascii="宋体" w:hAnsi="宋体"/>
          <w:color w:val="auto"/>
          <w:highlight w:val="none"/>
        </w:rPr>
        <w:t xml:space="preserve">                                 </w:t>
      </w:r>
    </w:p>
    <w:p w14:paraId="6CFD303A">
      <w:pPr>
        <w:pStyle w:val="4"/>
        <w:ind w:firstLine="309"/>
        <w:rPr>
          <w:rFonts w:hint="eastAsia" w:ascii="宋体" w:hAnsi="宋体"/>
          <w:color w:val="auto"/>
          <w:highlight w:val="none"/>
        </w:rPr>
      </w:pPr>
    </w:p>
    <w:p w14:paraId="483004A6">
      <w:pPr>
        <w:pStyle w:val="4"/>
        <w:ind w:firstLine="309"/>
        <w:rPr>
          <w:rFonts w:hint="eastAsia" w:ascii="宋体" w:hAnsi="宋体"/>
          <w:color w:val="auto"/>
          <w:highlight w:val="none"/>
        </w:rPr>
      </w:pPr>
      <w:r>
        <w:rPr>
          <w:rFonts w:hint="eastAsia" w:ascii="宋体" w:hAnsi="宋体"/>
          <w:color w:val="auto"/>
          <w:highlight w:val="none"/>
        </w:rPr>
        <w:t>附件：《投标文件编制情况》</w:t>
      </w:r>
    </w:p>
    <w:p w14:paraId="5693E3C7">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p>
    <w:p w14:paraId="076681E6">
      <w:pPr>
        <w:topLinePunct/>
        <w:adjustRightInd w:val="0"/>
        <w:snapToGrid w:val="0"/>
        <w:spacing w:line="360" w:lineRule="auto"/>
        <w:ind w:firstLine="5386" w:firstLineChars="2172"/>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标</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人：（盖章）</w:t>
      </w:r>
    </w:p>
    <w:p w14:paraId="0291FCA5">
      <w:pPr>
        <w:spacing w:line="360" w:lineRule="auto"/>
        <w:ind w:firstLine="5386" w:firstLineChars="2172"/>
        <w:jc w:val="left"/>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期：</w:t>
      </w:r>
    </w:p>
    <w:p w14:paraId="0A8A13C0">
      <w:pPr>
        <w:pStyle w:val="5"/>
        <w:rPr>
          <w:rFonts w:hint="eastAsia"/>
          <w:color w:val="auto"/>
          <w:highlight w:val="none"/>
        </w:rPr>
      </w:pPr>
    </w:p>
    <w:p w14:paraId="680D9417">
      <w:pPr>
        <w:pStyle w:val="4"/>
        <w:ind w:firstLine="309"/>
        <w:rPr>
          <w:rFonts w:hint="eastAsia" w:ascii="宋体" w:hAnsi="宋体"/>
          <w:color w:val="auto"/>
          <w:highlight w:val="none"/>
        </w:rPr>
      </w:pPr>
      <w:r>
        <w:rPr>
          <w:rFonts w:hint="eastAsia" w:ascii="宋体" w:hAnsi="宋体"/>
          <w:color w:val="auto"/>
          <w:highlight w:val="none"/>
        </w:rPr>
        <w:t>投标文件编制情况</w:t>
      </w:r>
    </w:p>
    <w:p w14:paraId="6BF72BEA">
      <w:pPr>
        <w:pStyle w:val="4"/>
        <w:ind w:firstLine="309"/>
        <w:rPr>
          <w:rFonts w:hint="eastAsia" w:ascii="宋体" w:hAnsi="宋体"/>
          <w:color w:val="auto"/>
          <w:highlight w:val="none"/>
        </w:rPr>
      </w:pPr>
      <w:r>
        <w:rPr>
          <w:rFonts w:ascii="宋体" w:hAnsi="宋体"/>
          <w:color w:val="auto"/>
          <w:highlight w:val="none"/>
        </w:rPr>
        <w:t xml:space="preserve">1.投标文件报价编制方式: </w:t>
      </w:r>
      <w:r>
        <w:rPr>
          <w:rFonts w:hint="eastAsia" w:ascii="宋体" w:hAnsi="宋体"/>
          <w:color w:val="auto"/>
          <w:highlight w:val="none"/>
        </w:rPr>
        <w:t>□自行编制的，编制的负责人：</w:t>
      </w:r>
      <w:r>
        <w:rPr>
          <w:rFonts w:ascii="宋体" w:hAnsi="宋体"/>
          <w:color w:val="auto"/>
          <w:highlight w:val="none"/>
        </w:rPr>
        <w:t xml:space="preserve"> （盖造价工程师执业专用章或全国建设工程造价员章，执业单位应与投标人一致） </w:t>
      </w:r>
      <w:r>
        <w:rPr>
          <w:rFonts w:hint="eastAsia" w:ascii="宋体" w:hAnsi="宋体"/>
          <w:color w:val="auto"/>
          <w:highlight w:val="none"/>
        </w:rPr>
        <w:t>。□委托编制的，受委托单位，编制的负责人：</w:t>
      </w:r>
      <w:r>
        <w:rPr>
          <w:rFonts w:ascii="宋体" w:hAnsi="宋体"/>
          <w:color w:val="auto"/>
          <w:highlight w:val="none"/>
        </w:rPr>
        <w:t xml:space="preserve"> （盖造价工程师执业专用章或全国建设工程造价员章，执业单位应与受委托单位一致） </w:t>
      </w:r>
      <w:r>
        <w:rPr>
          <w:rFonts w:hint="eastAsia" w:ascii="宋体" w:hAnsi="宋体"/>
          <w:color w:val="auto"/>
          <w:highlight w:val="none"/>
        </w:rPr>
        <w:t>。</w:t>
      </w:r>
    </w:p>
    <w:p w14:paraId="045CAFFD">
      <w:pPr>
        <w:pStyle w:val="4"/>
        <w:ind w:firstLine="309"/>
        <w:rPr>
          <w:rFonts w:hint="eastAsia" w:ascii="宋体" w:hAnsi="宋体"/>
          <w:color w:val="auto"/>
          <w:highlight w:val="none"/>
        </w:rPr>
      </w:pPr>
      <w:r>
        <w:rPr>
          <w:rFonts w:ascii="宋体" w:hAnsi="宋体"/>
          <w:color w:val="auto"/>
          <w:highlight w:val="none"/>
        </w:rPr>
        <w:t>2.投标文件加密打包的电脑情况</w:t>
      </w:r>
    </w:p>
    <w:tbl>
      <w:tblPr>
        <w:tblStyle w:val="49"/>
        <w:tblW w:w="0" w:type="auto"/>
        <w:tblInd w:w="0" w:type="dxa"/>
        <w:tblLayout w:type="fixed"/>
        <w:tblCellMar>
          <w:top w:w="0" w:type="dxa"/>
          <w:left w:w="108" w:type="dxa"/>
          <w:bottom w:w="0" w:type="dxa"/>
          <w:right w:w="108" w:type="dxa"/>
        </w:tblCellMar>
      </w:tblPr>
      <w:tblGrid>
        <w:gridCol w:w="8522"/>
      </w:tblGrid>
      <w:tr w14:paraId="76A3A9ED">
        <w:tblPrEx>
          <w:tblCellMar>
            <w:top w:w="0" w:type="dxa"/>
            <w:left w:w="108" w:type="dxa"/>
            <w:bottom w:w="0" w:type="dxa"/>
            <w:right w:w="108" w:type="dxa"/>
          </w:tblCellMar>
        </w:tblPrEx>
        <w:trPr>
          <w:trHeight w:val="2819" w:hRule="atLeast"/>
        </w:trPr>
        <w:tc>
          <w:tcPr>
            <w:tcW w:w="8522" w:type="dxa"/>
          </w:tcPr>
          <w:p w14:paraId="72D839AD">
            <w:pPr>
              <w:pStyle w:val="4"/>
              <w:ind w:firstLine="309"/>
              <w:rPr>
                <w:rFonts w:hint="eastAsia" w:ascii="宋体" w:hAnsi="宋体"/>
                <w:color w:val="auto"/>
                <w:highlight w:val="none"/>
              </w:rPr>
            </w:pPr>
            <w:r>
              <w:rPr>
                <w:rFonts w:hint="eastAsia" w:ascii="宋体" w:hAnsi="宋体"/>
                <w:color w:val="auto"/>
                <w:highlight w:val="none"/>
              </w:rPr>
              <w:t>投标文件加密打包的电脑</w:t>
            </w:r>
            <w:r>
              <w:rPr>
                <w:rFonts w:ascii="宋体" w:hAnsi="宋体"/>
                <w:color w:val="auto"/>
                <w:highlight w:val="none"/>
              </w:rPr>
              <w:t xml:space="preserve">  </w:t>
            </w:r>
            <w:r>
              <w:rPr>
                <w:rFonts w:hint="eastAsia" w:ascii="宋体" w:hAnsi="宋体"/>
                <w:color w:val="auto"/>
                <w:highlight w:val="none"/>
              </w:rPr>
              <w:t>自有</w:t>
            </w:r>
            <w:r>
              <w:rPr>
                <w:rFonts w:ascii="宋体" w:hAnsi="宋体"/>
                <w:color w:val="auto"/>
                <w:highlight w:val="none"/>
              </w:rPr>
              <w:t xml:space="preserve">    </w:t>
            </w:r>
            <w:r>
              <w:rPr>
                <w:rFonts w:hint="eastAsia" w:ascii="宋体" w:hAnsi="宋体"/>
                <w:color w:val="auto"/>
                <w:highlight w:val="none"/>
              </w:rPr>
              <w:t>□</w:t>
            </w:r>
            <w:r>
              <w:rPr>
                <w:rFonts w:ascii="宋体" w:hAnsi="宋体"/>
                <w:color w:val="auto"/>
                <w:highlight w:val="none"/>
              </w:rPr>
              <w:t xml:space="preserve">      </w:t>
            </w:r>
            <w:r>
              <w:rPr>
                <w:rFonts w:hint="eastAsia" w:ascii="宋体" w:hAnsi="宋体"/>
                <w:color w:val="auto"/>
                <w:highlight w:val="none"/>
              </w:rPr>
              <w:t>外包</w:t>
            </w:r>
            <w:r>
              <w:rPr>
                <w:rFonts w:ascii="宋体" w:hAnsi="宋体"/>
                <w:color w:val="auto"/>
                <w:highlight w:val="none"/>
              </w:rPr>
              <w:t xml:space="preserve">    </w:t>
            </w:r>
            <w:r>
              <w:rPr>
                <w:rFonts w:hint="eastAsia" w:ascii="宋体" w:hAnsi="宋体"/>
                <w:color w:val="auto"/>
                <w:highlight w:val="none"/>
              </w:rPr>
              <w:t>□</w:t>
            </w:r>
            <w:r>
              <w:rPr>
                <w:rFonts w:ascii="宋体" w:hAnsi="宋体"/>
                <w:color w:val="auto"/>
                <w:highlight w:val="none"/>
              </w:rPr>
              <w:t xml:space="preserve">   </w:t>
            </w:r>
            <w:r>
              <w:rPr>
                <w:rFonts w:hint="eastAsia" w:ascii="宋体" w:hAnsi="宋体"/>
                <w:color w:val="auto"/>
                <w:highlight w:val="none"/>
              </w:rPr>
              <w:t>其他</w:t>
            </w:r>
            <w:r>
              <w:rPr>
                <w:rFonts w:ascii="宋体" w:hAnsi="宋体"/>
                <w:color w:val="auto"/>
                <w:highlight w:val="none"/>
              </w:rPr>
              <w:t xml:space="preserve">    </w:t>
            </w:r>
            <w:r>
              <w:rPr>
                <w:rFonts w:hint="eastAsia" w:ascii="宋体" w:hAnsi="宋体"/>
                <w:color w:val="auto"/>
                <w:highlight w:val="none"/>
              </w:rPr>
              <w:t>□</w:t>
            </w:r>
          </w:p>
          <w:p w14:paraId="6C298799">
            <w:pPr>
              <w:pStyle w:val="4"/>
              <w:ind w:firstLine="309"/>
              <w:rPr>
                <w:rFonts w:hint="eastAsia" w:ascii="宋体" w:hAnsi="宋体"/>
                <w:color w:val="auto"/>
                <w:highlight w:val="none"/>
              </w:rPr>
            </w:pPr>
            <w:r>
              <w:rPr>
                <w:rFonts w:hint="eastAsia" w:ascii="宋体" w:hAnsi="宋体"/>
                <w:color w:val="auto"/>
                <w:highlight w:val="none"/>
              </w:rPr>
              <w:t>电脑类型</w:t>
            </w:r>
          </w:p>
          <w:p w14:paraId="1043EC33">
            <w:pPr>
              <w:pStyle w:val="4"/>
              <w:ind w:firstLine="309"/>
              <w:rPr>
                <w:rFonts w:hint="eastAsia" w:ascii="宋体" w:hAnsi="宋体"/>
                <w:color w:val="auto"/>
                <w:highlight w:val="none"/>
              </w:rPr>
            </w:pPr>
            <w:r>
              <w:rPr>
                <w:rFonts w:hint="eastAsia" w:ascii="宋体" w:hAnsi="宋体"/>
                <w:color w:val="auto"/>
                <w:highlight w:val="none"/>
              </w:rPr>
              <w:t>电脑所属单位</w:t>
            </w:r>
          </w:p>
          <w:p w14:paraId="1A83F710">
            <w:pPr>
              <w:pStyle w:val="4"/>
              <w:ind w:firstLine="309"/>
              <w:rPr>
                <w:rFonts w:hint="eastAsia" w:ascii="宋体" w:hAnsi="宋体"/>
                <w:color w:val="auto"/>
                <w:highlight w:val="none"/>
              </w:rPr>
            </w:pPr>
            <w:r>
              <w:rPr>
                <w:rFonts w:hint="eastAsia" w:ascii="宋体" w:hAnsi="宋体"/>
                <w:color w:val="auto"/>
                <w:highlight w:val="none"/>
              </w:rPr>
              <w:t>电脑所在地址</w:t>
            </w:r>
            <w:r>
              <w:rPr>
                <w:rFonts w:ascii="宋体" w:hAnsi="宋体"/>
                <w:color w:val="auto"/>
                <w:highlight w:val="none"/>
              </w:rPr>
              <w:t xml:space="preserve">        </w:t>
            </w:r>
            <w:r>
              <w:rPr>
                <w:rFonts w:hint="eastAsia" w:ascii="宋体" w:hAnsi="宋体"/>
                <w:color w:val="auto"/>
                <w:highlight w:val="none"/>
              </w:rPr>
              <w:t>（如××市××区</w:t>
            </w:r>
            <w:r>
              <w:rPr>
                <w:rFonts w:ascii="宋体" w:hAnsi="宋体"/>
                <w:color w:val="auto"/>
                <w:highlight w:val="none"/>
              </w:rPr>
              <w:t xml:space="preserve">(县) </w:t>
            </w:r>
            <w:r>
              <w:rPr>
                <w:rFonts w:hint="eastAsia" w:ascii="宋体" w:hAnsi="宋体"/>
                <w:color w:val="auto"/>
                <w:highlight w:val="none"/>
              </w:rPr>
              <w:t>××街（路）××号××大厦××房）</w:t>
            </w:r>
          </w:p>
          <w:p w14:paraId="18C91E7F">
            <w:pPr>
              <w:pStyle w:val="4"/>
              <w:ind w:firstLine="309"/>
              <w:rPr>
                <w:rFonts w:hint="eastAsia" w:ascii="宋体" w:hAnsi="宋体"/>
                <w:color w:val="auto"/>
                <w:highlight w:val="none"/>
              </w:rPr>
            </w:pPr>
          </w:p>
        </w:tc>
      </w:tr>
    </w:tbl>
    <w:p w14:paraId="52843C50">
      <w:pPr>
        <w:pStyle w:val="5"/>
        <w:rPr>
          <w:rFonts w:hint="eastAsia"/>
          <w:color w:val="auto"/>
          <w:kern w:val="44"/>
          <w:sz w:val="28"/>
          <w:szCs w:val="28"/>
          <w:highlight w:val="none"/>
        </w:rPr>
      </w:pPr>
      <w:bookmarkStart w:id="119" w:name="_Toc2272568"/>
      <w:bookmarkStart w:id="120" w:name="_Toc184468528"/>
      <w:bookmarkStart w:id="121" w:name="_Toc194440105"/>
      <w:r>
        <w:rPr>
          <w:color w:val="auto"/>
          <w:highlight w:val="none"/>
        </w:rPr>
        <w:br w:type="page"/>
      </w:r>
    </w:p>
    <w:p w14:paraId="7FBAE759">
      <w:pPr>
        <w:pStyle w:val="2"/>
        <w:rPr>
          <w:rStyle w:val="93"/>
          <w:rFonts w:hint="eastAsia" w:ascii="宋体" w:hAnsi="宋体"/>
          <w:b w:val="0"/>
          <w:color w:val="auto"/>
          <w:highlight w:val="none"/>
        </w:rPr>
      </w:pPr>
      <w:r>
        <w:rPr>
          <w:rFonts w:hint="eastAsia" w:ascii="宋体" w:hAnsi="宋体"/>
          <w:color w:val="auto"/>
          <w:highlight w:val="none"/>
        </w:rPr>
        <w:t>第五章 技术条件（工程建设标准）</w:t>
      </w:r>
      <w:bookmarkEnd w:id="119"/>
      <w:bookmarkEnd w:id="120"/>
      <w:bookmarkEnd w:id="121"/>
    </w:p>
    <w:p w14:paraId="404A4415">
      <w:pPr>
        <w:pStyle w:val="6"/>
        <w:spacing w:before="0" w:after="0" w:line="240" w:lineRule="auto"/>
        <w:jc w:val="left"/>
        <w:rPr>
          <w:rFonts w:hint="eastAsia" w:ascii="宋体" w:hAnsi="宋体" w:cs="宋体"/>
          <w:color w:val="auto"/>
          <w:sz w:val="21"/>
          <w:szCs w:val="21"/>
          <w:highlight w:val="none"/>
        </w:rPr>
      </w:pPr>
      <w:bookmarkStart w:id="122" w:name="_Toc60070637"/>
      <w:bookmarkStart w:id="123" w:name="_Toc161237412"/>
      <w:bookmarkStart w:id="124" w:name="_Toc184468529"/>
      <w:bookmarkStart w:id="125" w:name="_Toc194440106"/>
      <w:r>
        <w:rPr>
          <w:rFonts w:hint="eastAsia" w:ascii="宋体" w:hAnsi="宋体" w:cs="宋体"/>
          <w:color w:val="auto"/>
          <w:sz w:val="21"/>
          <w:szCs w:val="21"/>
          <w:highlight w:val="none"/>
        </w:rPr>
        <w:t>一、标准</w:t>
      </w:r>
      <w:bookmarkEnd w:id="122"/>
      <w:bookmarkEnd w:id="123"/>
      <w:bookmarkEnd w:id="124"/>
      <w:bookmarkEnd w:id="125"/>
    </w:p>
    <w:p w14:paraId="7C22B21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以现行的中华人民共和国及有关部委颁布的标准、规范、和规程。若施工时期建设主管部门颁布新的规范、标准，则按照新的规范、标准执行。</w:t>
      </w:r>
    </w:p>
    <w:p w14:paraId="5A181698">
      <w:pPr>
        <w:pStyle w:val="6"/>
        <w:spacing w:before="0" w:after="0" w:line="240" w:lineRule="auto"/>
        <w:jc w:val="left"/>
        <w:rPr>
          <w:rFonts w:hint="eastAsia" w:ascii="宋体" w:hAnsi="宋体" w:cs="宋体"/>
          <w:color w:val="auto"/>
          <w:sz w:val="21"/>
          <w:szCs w:val="21"/>
          <w:highlight w:val="none"/>
        </w:rPr>
      </w:pPr>
      <w:bookmarkStart w:id="126" w:name="_Toc184468530"/>
      <w:bookmarkStart w:id="127" w:name="_Toc161237413"/>
      <w:bookmarkStart w:id="128" w:name="_Toc194440107"/>
      <w:r>
        <w:rPr>
          <w:rFonts w:hint="eastAsia" w:ascii="宋体" w:hAnsi="宋体" w:cs="宋体"/>
          <w:color w:val="auto"/>
          <w:sz w:val="21"/>
          <w:szCs w:val="21"/>
          <w:highlight w:val="none"/>
        </w:rPr>
        <w:t>二、施工现场建筑垃圾源头减量的具体要求和建筑垃圾综合利用产品的使用要求</w:t>
      </w:r>
      <w:bookmarkEnd w:id="126"/>
      <w:bookmarkEnd w:id="127"/>
      <w:bookmarkEnd w:id="128"/>
    </w:p>
    <w:p w14:paraId="69279C0F">
      <w:pPr>
        <w:ind w:firstLine="420" w:firstLineChars="200"/>
        <w:rPr>
          <w:rFonts w:hint="eastAsia" w:ascii="宋体" w:hAnsi="宋体" w:cs="宋体"/>
          <w:color w:val="auto"/>
          <w:szCs w:val="21"/>
          <w:highlight w:val="none"/>
        </w:rPr>
      </w:pPr>
      <w:r>
        <w:rPr>
          <w:rFonts w:ascii="宋体" w:hAnsi="宋体" w:cs="宋体"/>
          <w:color w:val="auto"/>
          <w:szCs w:val="21"/>
          <w:highlight w:val="none"/>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14:paraId="2F9AD94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1）工程概况和施工单位基本信息；</w:t>
      </w:r>
    </w:p>
    <w:p w14:paraId="628EF70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2）建筑垃圾产生量与种类；</w:t>
      </w:r>
    </w:p>
    <w:p w14:paraId="21A786C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3）建筑垃圾源头减量、分类收集、综合利用、污染防治的措施和目标；</w:t>
      </w:r>
    </w:p>
    <w:p w14:paraId="32EA8C2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4）需要外运的建筑垃圾种类、数量与运输的时间、路线、方式和运输单位；</w:t>
      </w:r>
    </w:p>
    <w:p w14:paraId="6B10C5A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5）建筑垃圾回填、消纳、综合利用场所名称；</w:t>
      </w:r>
    </w:p>
    <w:p w14:paraId="7D7ABA8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6）法律、法规规定的其他内容。</w:t>
      </w:r>
    </w:p>
    <w:p w14:paraId="6852D5C9">
      <w:pPr>
        <w:ind w:firstLine="420" w:firstLineChars="200"/>
        <w:rPr>
          <w:rFonts w:hint="eastAsia" w:ascii="宋体" w:hAnsi="宋体" w:cs="宋体"/>
          <w:color w:val="auto"/>
          <w:szCs w:val="21"/>
          <w:highlight w:val="none"/>
        </w:rPr>
      </w:pPr>
      <w:r>
        <w:rPr>
          <w:rFonts w:ascii="宋体" w:hAnsi="宋体" w:cs="宋体"/>
          <w:color w:val="auto"/>
          <w:szCs w:val="21"/>
          <w:highlight w:val="none"/>
        </w:rPr>
        <w:t>2、建筑垃圾应当按照国家有关规定进行分类，实行分类收集、分类贮存、分类运输、分类处置。</w:t>
      </w:r>
    </w:p>
    <w:p w14:paraId="4CE06CE4">
      <w:pPr>
        <w:ind w:firstLine="420" w:firstLineChars="200"/>
        <w:rPr>
          <w:rFonts w:hint="eastAsia" w:ascii="宋体" w:hAnsi="宋体" w:cs="宋体"/>
          <w:color w:val="auto"/>
          <w:szCs w:val="21"/>
          <w:highlight w:val="none"/>
        </w:rPr>
      </w:pPr>
      <w:r>
        <w:rPr>
          <w:rFonts w:ascii="宋体" w:hAnsi="宋体" w:cs="宋体"/>
          <w:color w:val="auto"/>
          <w:szCs w:val="21"/>
          <w:highlight w:val="none"/>
        </w:rPr>
        <w:t>3、建设单位应当建立建筑垃圾分类收集、贮存以及台账管理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58BE3DBE">
      <w:pPr>
        <w:ind w:firstLine="420" w:firstLineChars="200"/>
        <w:rPr>
          <w:rFonts w:hint="eastAsia" w:ascii="宋体" w:hAnsi="宋体" w:cs="宋体"/>
          <w:color w:val="auto"/>
          <w:szCs w:val="21"/>
          <w:highlight w:val="none"/>
        </w:rPr>
      </w:pPr>
      <w:r>
        <w:rPr>
          <w:rFonts w:ascii="宋体" w:hAnsi="宋体" w:cs="宋体"/>
          <w:color w:val="auto"/>
          <w:szCs w:val="21"/>
          <w:highlight w:val="none"/>
        </w:rPr>
        <w:t>4、运输建筑垃圾应当遵守下列规定：</w:t>
      </w:r>
    </w:p>
    <w:p w14:paraId="155396D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1）建立建筑垃圾运输管理台账；</w:t>
      </w:r>
    </w:p>
    <w:p w14:paraId="42CE706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2）不得将工程渣土、工程泥浆与其他建筑垃圾混合运输；</w:t>
      </w:r>
    </w:p>
    <w:p w14:paraId="04BADF0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3）保持运输车辆、船舶等运输工具的行驶记录、卫星定位等电子装置正常使用；</w:t>
      </w:r>
    </w:p>
    <w:p w14:paraId="100B17E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4）运输过程中保持运输工具整洁，采取密闭或者其他有效措施防止遗撒建筑垃圾，不得擅自倾倒、抛撒建筑垃圾；</w:t>
      </w:r>
    </w:p>
    <w:p w14:paraId="14A135F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5）按照建筑垃圾处理方案确定的时间、路线、方式、场所进行运输。建筑垃圾运输车辆、船舶应当符合相应的载运技术条件。建筑垃圾处置场所为陆域的，不得采用开底式船舶运输建筑垃圾。</w:t>
      </w:r>
    </w:p>
    <w:p w14:paraId="07A002ED">
      <w:pPr>
        <w:ind w:firstLine="420" w:firstLineChars="200"/>
        <w:rPr>
          <w:rFonts w:hint="eastAsia" w:ascii="宋体" w:hAnsi="宋体" w:cs="宋体"/>
          <w:color w:val="auto"/>
          <w:szCs w:val="21"/>
          <w:highlight w:val="none"/>
        </w:rPr>
      </w:pPr>
      <w:r>
        <w:rPr>
          <w:rFonts w:ascii="宋体" w:hAnsi="宋体" w:cs="宋体"/>
          <w:color w:val="auto"/>
          <w:szCs w:val="21"/>
          <w:highlight w:val="none"/>
        </w:rPr>
        <w:t>5、工程泥浆应当在施工现场进行脱水固化处理。施工现场不具备条件的，应当采用罐装器具密闭运输至依法设置的建筑垃圾处置场所进行处置。水上工程中依法无需经脱水处理的除外。</w:t>
      </w:r>
    </w:p>
    <w:p w14:paraId="209CE86F">
      <w:pPr>
        <w:ind w:firstLine="420" w:firstLineChars="200"/>
        <w:rPr>
          <w:rFonts w:hint="eastAsia" w:ascii="宋体" w:hAnsi="宋体" w:cs="宋体"/>
          <w:color w:val="auto"/>
          <w:szCs w:val="21"/>
          <w:highlight w:val="none"/>
        </w:rPr>
      </w:pPr>
      <w:r>
        <w:rPr>
          <w:rFonts w:ascii="宋体" w:hAnsi="宋体" w:cs="宋体"/>
          <w:color w:val="auto"/>
          <w:szCs w:val="21"/>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6BAA7568">
      <w:pPr>
        <w:ind w:firstLine="420" w:firstLineChars="200"/>
        <w:rPr>
          <w:rFonts w:hint="eastAsia" w:ascii="宋体" w:hAnsi="宋体" w:cs="宋体"/>
          <w:color w:val="auto"/>
          <w:szCs w:val="21"/>
          <w:highlight w:val="none"/>
        </w:rPr>
      </w:pPr>
      <w:r>
        <w:rPr>
          <w:rFonts w:ascii="宋体" w:hAnsi="宋体" w:cs="宋体"/>
          <w:color w:val="auto"/>
          <w:szCs w:val="21"/>
          <w:highlight w:val="none"/>
        </w:rPr>
        <w:t>7、建设单位和施工单位严格遵守并执行《广东省建筑垃圾管理条例》。</w:t>
      </w:r>
    </w:p>
    <w:p w14:paraId="24444788">
      <w:pPr>
        <w:pStyle w:val="6"/>
        <w:spacing w:before="0" w:after="0"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三、“百千万工程”要求：按照《关于引导建筑业企业落实参与“百县千镇万村高质量发展工程”建设的意见》有关规定及要求执行，做好建筑业企业结对帮扶工作。</w:t>
      </w:r>
    </w:p>
    <w:p w14:paraId="0C98F3A7">
      <w:pPr>
        <w:pStyle w:val="6"/>
        <w:spacing w:before="0" w:after="0" w:line="240" w:lineRule="auto"/>
        <w:jc w:val="left"/>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四、项目范围内涉及地铁3号线、9号线保护方案，在施工前需开展安全技术评价，并将详细施工方案、安全评价报告报送相关管理单位，施工过程中严格落实各项安全管理措施要求。同时配合地铁保护监控、监测等相关工作。</w:t>
      </w:r>
    </w:p>
    <w:p w14:paraId="2E07333A">
      <w:pPr>
        <w:pStyle w:val="6"/>
        <w:spacing w:before="0" w:after="0" w:line="240" w:lineRule="auto"/>
        <w:jc w:val="left"/>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val="en-US" w:eastAsia="zh-CN"/>
        </w:rPr>
        <w:t>五、</w:t>
      </w:r>
      <w:r>
        <w:rPr>
          <w:rFonts w:hint="eastAsia" w:ascii="宋体" w:hAnsi="宋体" w:cs="宋体"/>
          <w:b/>
          <w:bCs w:val="0"/>
          <w:color w:val="auto"/>
          <w:sz w:val="21"/>
          <w:szCs w:val="21"/>
          <w:highlight w:val="none"/>
          <w:lang w:eastAsia="zh-CN"/>
        </w:rPr>
        <w:t>项目范围内涉及机场专用高压电力管道，在施工前需将详细施工方案报送相关管理单位，并与管理单位签订安全风险告知书及协议，并按相关要求缴纳施工保证金。</w:t>
      </w:r>
    </w:p>
    <w:p w14:paraId="1C43E387">
      <w:pPr>
        <w:pStyle w:val="6"/>
        <w:spacing w:before="0" w:after="0" w:line="240" w:lineRule="auto"/>
        <w:jc w:val="left"/>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val="en-US" w:eastAsia="zh-CN"/>
        </w:rPr>
        <w:t>六、</w:t>
      </w:r>
      <w:r>
        <w:rPr>
          <w:rFonts w:hint="eastAsia" w:ascii="宋体" w:hAnsi="宋体" w:cs="宋体"/>
          <w:b/>
          <w:bCs w:val="0"/>
          <w:color w:val="auto"/>
          <w:sz w:val="21"/>
          <w:szCs w:val="21"/>
          <w:highlight w:val="none"/>
          <w:lang w:eastAsia="zh-CN"/>
        </w:rPr>
        <w:t>项目范围内涉及的部分管线沿线无检修井，物探数据可能存在误差，施工前所有管线须进行全面复核，并征得权属部门同意后方可施工。</w:t>
      </w:r>
    </w:p>
    <w:p w14:paraId="03B1E9FB">
      <w:pPr>
        <w:pStyle w:val="6"/>
        <w:spacing w:before="0" w:after="0" w:line="240" w:lineRule="auto"/>
        <w:jc w:val="left"/>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val="en-US" w:eastAsia="zh-CN"/>
        </w:rPr>
        <w:t>七、</w:t>
      </w:r>
      <w:r>
        <w:rPr>
          <w:rFonts w:hint="eastAsia" w:ascii="宋体" w:hAnsi="宋体" w:cs="宋体"/>
          <w:b/>
          <w:bCs w:val="0"/>
          <w:color w:val="auto"/>
          <w:sz w:val="21"/>
          <w:szCs w:val="21"/>
          <w:highlight w:val="none"/>
          <w:lang w:eastAsia="zh-CN"/>
        </w:rPr>
        <w:t>绿化设计范围及路口的可视范围内，需严格按照图纸做好绿化施工，绿化施工注意植被种植密不露土，养护期内保证植被长势良好、及时修剪；植被施工需保证乔、灌、草搭配有序，造型走线流畅。绿地地形处理除满足景观要求外，还应考虑将地面水最终汇集至市政管网排走。</w:t>
      </w:r>
    </w:p>
    <w:p w14:paraId="7672A181">
      <w:pPr>
        <w:pStyle w:val="6"/>
        <w:spacing w:before="0" w:after="0" w:line="240" w:lineRule="auto"/>
        <w:jc w:val="left"/>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八、项目范围内涉及地铁保护、高压电力管道安全风险防范、管线保护及迁改、隧道改造、交通疏解、雨季排水等重难点内容，需在施工前上报详细施工方案，并配合相关管理单位工作。</w:t>
      </w:r>
    </w:p>
    <w:p w14:paraId="3AB8B0BF">
      <w:pPr>
        <w:pStyle w:val="6"/>
        <w:spacing w:before="0" w:after="0" w:line="240" w:lineRule="auto"/>
        <w:jc w:val="left"/>
        <w:rPr>
          <w:rFonts w:hint="default" w:ascii="宋体" w:hAnsi="宋体" w:eastAsia="宋体" w:cs="宋体"/>
          <w:b/>
          <w:bCs w:val="0"/>
          <w:color w:val="auto"/>
          <w:sz w:val="21"/>
          <w:szCs w:val="21"/>
          <w:highlight w:val="none"/>
          <w:lang w:eastAsia="zh-CN"/>
        </w:rPr>
      </w:pPr>
      <w:r>
        <w:rPr>
          <w:rFonts w:hint="eastAsia" w:ascii="宋体" w:hAnsi="宋体" w:cs="宋体"/>
          <w:b/>
          <w:bCs w:val="0"/>
          <w:color w:val="auto"/>
          <w:sz w:val="21"/>
          <w:szCs w:val="21"/>
          <w:highlight w:val="none"/>
          <w:lang w:val="en-US" w:eastAsia="zh-CN"/>
        </w:rPr>
        <w:t>九、项目采用专项债，需设立项目监管账号，专款专用，监管账号需设置空港、白云、花都范围。</w:t>
      </w:r>
    </w:p>
    <w:p w14:paraId="5D8649A1">
      <w:pPr>
        <w:pStyle w:val="2"/>
        <w:rPr>
          <w:rFonts w:hint="eastAsia" w:ascii="宋体" w:hAnsi="宋体"/>
          <w:color w:val="auto"/>
          <w:highlight w:val="none"/>
        </w:rPr>
      </w:pPr>
      <w:r>
        <w:rPr>
          <w:rFonts w:ascii="宋体" w:hAnsi="宋体"/>
          <w:color w:val="auto"/>
          <w:sz w:val="24"/>
          <w:szCs w:val="24"/>
          <w:highlight w:val="none"/>
        </w:rPr>
        <w:br w:type="page"/>
      </w:r>
      <w:bookmarkStart w:id="129" w:name="_Toc2272569"/>
      <w:bookmarkStart w:id="130" w:name="_Toc194440108"/>
      <w:r>
        <w:rPr>
          <w:rFonts w:hint="eastAsia" w:ascii="宋体" w:hAnsi="宋体"/>
          <w:color w:val="auto"/>
          <w:highlight w:val="none"/>
        </w:rPr>
        <w:t>第六章</w:t>
      </w:r>
      <w:r>
        <w:rPr>
          <w:rFonts w:ascii="宋体" w:hAnsi="宋体"/>
          <w:color w:val="auto"/>
          <w:highlight w:val="none"/>
        </w:rPr>
        <w:t xml:space="preserve"> </w:t>
      </w:r>
      <w:r>
        <w:rPr>
          <w:rFonts w:hint="eastAsia" w:ascii="宋体" w:hAnsi="宋体"/>
          <w:color w:val="auto"/>
          <w:highlight w:val="none"/>
        </w:rPr>
        <w:t>图纸及勘察资料</w:t>
      </w:r>
      <w:bookmarkEnd w:id="129"/>
      <w:bookmarkEnd w:id="130"/>
    </w:p>
    <w:p w14:paraId="03C392BD">
      <w:pPr>
        <w:rPr>
          <w:rFonts w:hint="eastAsia" w:ascii="宋体" w:hAnsi="宋体" w:cs="宋体"/>
          <w:b/>
          <w:color w:val="auto"/>
          <w:sz w:val="24"/>
          <w:szCs w:val="24"/>
          <w:highlight w:val="none"/>
          <w:u w:val="single"/>
        </w:rPr>
      </w:pPr>
      <w:r>
        <w:rPr>
          <w:rFonts w:hint="eastAsia" w:ascii="宋体" w:hAnsi="宋体" w:cs="宋体"/>
          <w:color w:val="auto"/>
          <w:sz w:val="24"/>
          <w:szCs w:val="24"/>
          <w:highlight w:val="none"/>
          <w:u w:val="single"/>
        </w:rPr>
        <w:t>另册。</w:t>
      </w:r>
    </w:p>
    <w:p w14:paraId="00E109B2">
      <w:pPr>
        <w:pStyle w:val="2"/>
        <w:rPr>
          <w:rFonts w:hint="eastAsia" w:ascii="宋体" w:hAnsi="宋体"/>
          <w:color w:val="auto"/>
          <w:highlight w:val="none"/>
        </w:rPr>
      </w:pPr>
      <w:r>
        <w:rPr>
          <w:rFonts w:ascii="宋体" w:hAnsi="宋体"/>
          <w:color w:val="auto"/>
          <w:sz w:val="24"/>
          <w:szCs w:val="24"/>
          <w:highlight w:val="none"/>
        </w:rPr>
        <w:br w:type="page"/>
      </w:r>
      <w:bookmarkStart w:id="131" w:name="_Toc194440109"/>
      <w:bookmarkStart w:id="132" w:name="_Toc2272570"/>
      <w:r>
        <w:rPr>
          <w:rFonts w:hint="eastAsia" w:ascii="宋体" w:hAnsi="宋体"/>
          <w:color w:val="auto"/>
          <w:highlight w:val="none"/>
        </w:rPr>
        <w:t>第七章</w:t>
      </w:r>
      <w:r>
        <w:rPr>
          <w:rFonts w:ascii="宋体" w:hAnsi="宋体"/>
          <w:color w:val="auto"/>
          <w:highlight w:val="none"/>
        </w:rPr>
        <w:t xml:space="preserve"> </w:t>
      </w:r>
      <w:r>
        <w:rPr>
          <w:rFonts w:hint="eastAsia" w:ascii="宋体" w:hAnsi="宋体"/>
          <w:color w:val="auto"/>
          <w:highlight w:val="none"/>
        </w:rPr>
        <w:t>工程量清单</w:t>
      </w:r>
      <w:bookmarkEnd w:id="131"/>
      <w:bookmarkEnd w:id="132"/>
    </w:p>
    <w:p w14:paraId="543DAB82">
      <w:pPr>
        <w:rPr>
          <w:rFonts w:hint="eastAsia" w:ascii="宋体" w:hAnsi="宋体"/>
          <w:color w:val="auto"/>
          <w:highlight w:val="none"/>
          <w:u w:val="single"/>
        </w:rPr>
      </w:pPr>
      <w:r>
        <w:rPr>
          <w:rFonts w:hint="eastAsia" w:ascii="宋体" w:hAnsi="宋体" w:cs="宋体"/>
          <w:color w:val="auto"/>
          <w:sz w:val="24"/>
          <w:szCs w:val="24"/>
          <w:highlight w:val="none"/>
          <w:u w:val="single"/>
        </w:rPr>
        <w:t>另册。</w:t>
      </w:r>
    </w:p>
    <w:p w14:paraId="5CE97CC2">
      <w:pPr>
        <w:pStyle w:val="2"/>
        <w:rPr>
          <w:rFonts w:hint="eastAsia" w:ascii="宋体" w:hAnsi="宋体"/>
          <w:color w:val="auto"/>
          <w:highlight w:val="none"/>
        </w:rPr>
      </w:pPr>
      <w:r>
        <w:rPr>
          <w:rFonts w:ascii="宋体" w:hAnsi="宋体"/>
          <w:color w:val="auto"/>
          <w:sz w:val="24"/>
          <w:szCs w:val="24"/>
          <w:highlight w:val="none"/>
        </w:rPr>
        <w:br w:type="page"/>
      </w:r>
      <w:bookmarkStart w:id="133" w:name="_Toc194440110"/>
      <w:bookmarkStart w:id="134" w:name="_Toc2272571"/>
      <w:r>
        <w:rPr>
          <w:rFonts w:hint="eastAsia" w:ascii="宋体" w:hAnsi="宋体"/>
          <w:color w:val="auto"/>
          <w:highlight w:val="none"/>
        </w:rPr>
        <w:t>第八章</w:t>
      </w:r>
      <w:r>
        <w:rPr>
          <w:rFonts w:ascii="宋体" w:hAnsi="宋体"/>
          <w:color w:val="auto"/>
          <w:highlight w:val="none"/>
        </w:rPr>
        <w:t xml:space="preserve"> </w:t>
      </w:r>
      <w:r>
        <w:rPr>
          <w:rFonts w:hint="eastAsia" w:ascii="宋体" w:hAnsi="宋体"/>
          <w:color w:val="auto"/>
          <w:highlight w:val="none"/>
        </w:rPr>
        <w:t>最高投标限价</w:t>
      </w:r>
      <w:bookmarkEnd w:id="133"/>
      <w:bookmarkEnd w:id="134"/>
    </w:p>
    <w:p w14:paraId="0B2002C1">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另册。</w:t>
      </w:r>
    </w:p>
    <w:p w14:paraId="661668B9">
      <w:pPr>
        <w:rPr>
          <w:rFonts w:hint="eastAsia" w:ascii="宋体" w:hAnsi="宋体"/>
          <w:color w:val="auto"/>
          <w:highlight w:val="none"/>
        </w:rPr>
      </w:pPr>
    </w:p>
    <w:p w14:paraId="24D7E535">
      <w:pPr>
        <w:rPr>
          <w:color w:val="auto"/>
          <w:highlight w:val="none"/>
        </w:rPr>
      </w:pPr>
    </w:p>
    <w:p w14:paraId="728D6849">
      <w:pPr>
        <w:rPr>
          <w:color w:val="auto"/>
          <w:highlight w:val="none"/>
        </w:rPr>
      </w:pPr>
    </w:p>
    <w:bookmarkEnd w:id="135"/>
    <w:sectPr>
      <w:footerReference r:id="rId19" w:type="first"/>
      <w:headerReference r:id="rId17" w:type="even"/>
      <w:footerReference r:id="rId18" w:type="even"/>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roxy 9">
    <w:altName w:val="Segoe Print"/>
    <w:panose1 w:val="000000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DejaVu Sans">
    <w:altName w:val="Times New Roman"/>
    <w:panose1 w:val="00000000000000000000"/>
    <w:charset w:val="00"/>
    <w:family w:val="swiss"/>
    <w:pitch w:val="default"/>
    <w:sig w:usb0="00000000" w:usb1="00000000" w:usb2="0A246029" w:usb3="00000000" w:csb0="000001FF" w:csb1="00000000"/>
  </w:font>
  <w:font w:name="Helvetica Neue">
    <w:altName w:val="宋体"/>
    <w:panose1 w:val="00000000000000000000"/>
    <w:charset w:val="86"/>
    <w:family w:val="roman"/>
    <w:pitch w:val="default"/>
    <w:sig w:usb0="00000000" w:usb1="00000000" w:usb2="00000000" w:usb3="00000000" w:csb0="00000000"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rPr>
      <w:id w:val="2094814378"/>
      <w:docPartObj>
        <w:docPartGallery w:val="autotext"/>
      </w:docPartObj>
    </w:sdtPr>
    <w:sdtEndPr>
      <w:rPr>
        <w:rFonts w:ascii="宋体" w:hAnsi="宋体"/>
      </w:rPr>
    </w:sdtEndPr>
    <w:sdtContent>
      <w:p w14:paraId="70EA5853">
        <w:pPr>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rPr>
          <w:t>9</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A2EC8">
    <w:pPr>
      <w:pStyle w:val="32"/>
      <w:ind w:firstLine="392"/>
      <w:rPr>
        <w:rStyle w:val="54"/>
      </w:rPr>
    </w:pPr>
    <w:r>
      <w:fldChar w:fldCharType="begin"/>
    </w:r>
    <w:r>
      <w:rPr>
        <w:rStyle w:val="54"/>
      </w:rPr>
      <w:instrText xml:space="preserve">PAGE  </w:instrText>
    </w:r>
    <w:r>
      <w:fldChar w:fldCharType="separate"/>
    </w:r>
    <w:r>
      <w:rPr>
        <w:rStyle w:val="54"/>
        <w:rFonts w:hint="eastAsia"/>
      </w:rPr>
      <w:t>一</w:t>
    </w:r>
    <w:r>
      <w:rPr>
        <w:rStyle w:val="54"/>
      </w:rPr>
      <w:t>–2</w:t>
    </w:r>
    <w:r>
      <w:fldChar w:fldCharType="end"/>
    </w:r>
  </w:p>
  <w:p w14:paraId="0BB1A499">
    <w:pPr>
      <w:pStyle w:val="32"/>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F645">
    <w:pPr>
      <w:pStyle w:val="32"/>
      <w:ind w:firstLine="392"/>
      <w:rPr>
        <w:rStyle w:val="54"/>
      </w:rPr>
    </w:pPr>
    <w:r>
      <w:fldChar w:fldCharType="begin"/>
    </w:r>
    <w:r>
      <w:rPr>
        <w:rStyle w:val="54"/>
      </w:rPr>
      <w:instrText xml:space="preserve">PAGE  </w:instrText>
    </w:r>
    <w:r>
      <w:fldChar w:fldCharType="separate"/>
    </w:r>
    <w:r>
      <w:rPr>
        <w:rStyle w:val="54"/>
        <w:rFonts w:hint="eastAsia"/>
      </w:rPr>
      <w:t>一</w:t>
    </w:r>
    <w:r>
      <w:rPr>
        <w:rStyle w:val="54"/>
      </w:rPr>
      <w:t>–2</w:t>
    </w:r>
    <w:r>
      <w:fldChar w:fldCharType="end"/>
    </w:r>
  </w:p>
  <w:p w14:paraId="1C8BAF80">
    <w:pPr>
      <w:pStyle w:val="32"/>
      <w:ind w:firstLine="392"/>
    </w:pP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5585929"/>
      <w:docPartObj>
        <w:docPartGallery w:val="autotext"/>
      </w:docPartObj>
    </w:sdtPr>
    <w:sdtContent>
      <w:p w14:paraId="50ACB736">
        <w:pPr>
          <w:pStyle w:val="32"/>
          <w:tabs>
            <w:tab w:val="clear" w:pos="4153"/>
            <w:tab w:val="clear" w:pos="8306"/>
          </w:tabs>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rPr>
          <w:t>62</w:t>
        </w:r>
        <w:r>
          <w:rPr>
            <w:rFonts w:ascii="宋体" w:hAnsi="宋体"/>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FA88">
    <w:pPr>
      <w:pStyle w:val="32"/>
      <w:framePr w:wrap="around" w:vAnchor="text" w:hAnchor="margin" w:xAlign="outside" w:y="1"/>
      <w:rPr>
        <w:rStyle w:val="54"/>
      </w:rPr>
    </w:pPr>
    <w:r>
      <w:fldChar w:fldCharType="begin"/>
    </w:r>
    <w:r>
      <w:rPr>
        <w:rStyle w:val="54"/>
      </w:rPr>
      <w:instrText xml:space="preserve">PAGE  </w:instrText>
    </w:r>
    <w:r>
      <w:fldChar w:fldCharType="separate"/>
    </w:r>
    <w:r>
      <w:rPr>
        <w:rStyle w:val="54"/>
        <w:rFonts w:hint="eastAsia"/>
      </w:rPr>
      <w:t>一</w:t>
    </w:r>
    <w:r>
      <w:rPr>
        <w:rStyle w:val="54"/>
      </w:rPr>
      <w:t>–2</w:t>
    </w:r>
    <w:r>
      <w:fldChar w:fldCharType="end"/>
    </w:r>
  </w:p>
  <w:p w14:paraId="7942304F">
    <w:pPr>
      <w:pStyle w:val="32"/>
      <w:ind w:right="360" w:firstLine="360"/>
      <w:jc w:val="center"/>
    </w:pPr>
    <w:r>
      <w:rP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A21F">
    <w:pPr>
      <w:pStyle w:val="32"/>
      <w:framePr w:wrap="around" w:vAnchor="text" w:hAnchor="margin" w:xAlign="outside" w:y="1"/>
      <w:rPr>
        <w:rStyle w:val="54"/>
      </w:rPr>
    </w:pPr>
    <w:r>
      <w:fldChar w:fldCharType="begin"/>
    </w:r>
    <w:r>
      <w:rPr>
        <w:rStyle w:val="54"/>
      </w:rPr>
      <w:instrText xml:space="preserve">PAGE  </w:instrText>
    </w:r>
    <w:r>
      <w:fldChar w:fldCharType="separate"/>
    </w:r>
    <w:r>
      <w:rPr>
        <w:rStyle w:val="54"/>
        <w:rFonts w:hint="eastAsia"/>
      </w:rPr>
      <w:t>一</w:t>
    </w:r>
    <w:r>
      <w:rPr>
        <w:rStyle w:val="54"/>
      </w:rPr>
      <w:t>–2</w:t>
    </w:r>
    <w:r>
      <w:fldChar w:fldCharType="end"/>
    </w:r>
  </w:p>
  <w:p w14:paraId="17976A90">
    <w:pPr>
      <w:pStyle w:val="32"/>
      <w:ind w:right="360" w:firstLine="360"/>
      <w:jc w:val="center"/>
    </w:pPr>
    <w:r>
      <w:rPr>
        <w:sz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B29A9">
    <w:pPr>
      <w:pStyle w:val="32"/>
      <w:framePr w:wrap="around" w:vAnchor="text" w:hAnchor="margin" w:xAlign="outside" w:y="1"/>
      <w:rPr>
        <w:rStyle w:val="54"/>
      </w:rPr>
    </w:pPr>
    <w:r>
      <w:rPr>
        <w:rStyle w:val="54"/>
      </w:rPr>
      <w:fldChar w:fldCharType="begin"/>
    </w:r>
    <w:r>
      <w:rPr>
        <w:rStyle w:val="54"/>
      </w:rPr>
      <w:instrText xml:space="preserve">PAGE  </w:instrText>
    </w:r>
    <w:r>
      <w:rPr>
        <w:rStyle w:val="54"/>
      </w:rPr>
      <w:fldChar w:fldCharType="separate"/>
    </w:r>
    <w:r>
      <w:rPr>
        <w:rStyle w:val="54"/>
        <w:rFonts w:hint="eastAsia"/>
      </w:rPr>
      <w:t>一</w:t>
    </w:r>
    <w:r>
      <w:rPr>
        <w:rStyle w:val="54"/>
      </w:rPr>
      <w:t>–2</w:t>
    </w:r>
    <w:r>
      <w:rPr>
        <w:rStyle w:val="54"/>
      </w:rPr>
      <w:fldChar w:fldCharType="end"/>
    </w:r>
  </w:p>
  <w:p w14:paraId="096A35D4">
    <w:pPr>
      <w:pStyle w:val="32"/>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DA40C">
    <w:pPr>
      <w:pStyle w:val="32"/>
      <w:jc w:val="center"/>
    </w:pPr>
    <w:r>
      <w:rPr>
        <w:rStyle w:val="54"/>
      </w:rPr>
      <w:fldChar w:fldCharType="begin"/>
    </w:r>
    <w:r>
      <w:rPr>
        <w:rStyle w:val="54"/>
      </w:rPr>
      <w:instrText xml:space="preserve"> PAGE </w:instrText>
    </w:r>
    <w:r>
      <w:rPr>
        <w:rStyle w:val="54"/>
      </w:rPr>
      <w:fldChar w:fldCharType="separate"/>
    </w:r>
    <w:r>
      <w:rPr>
        <w:rStyle w:val="54"/>
      </w:rPr>
      <w:t>66</w:t>
    </w:r>
    <w:r>
      <w:rPr>
        <w:rStyle w:val="5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4572">
    <w:pPr>
      <w:pStyle w:val="33"/>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3F33D">
    <w:pPr>
      <w:pStyle w:val="33"/>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DC38">
    <w:pPr>
      <w:pStyle w:val="33"/>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0080">
    <w:pPr>
      <w:pStyle w:val="33"/>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5EB1E">
    <w:pPr>
      <w:pStyle w:val="33"/>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785FB">
    <w:pPr>
      <w:pStyle w:val="33"/>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9E805">
    <w:pPr>
      <w:pStyle w:val="33"/>
      <w:jc w:val="right"/>
      <w:rPr>
        <w:i/>
        <w:iCs/>
      </w:rPr>
    </w:pPr>
    <w:r>
      <w:rPr>
        <w:rFonts w:hint="eastAsia"/>
        <w:i/>
        <w:iCs/>
      </w:rPr>
      <w:t>横枝岗路道路排水改造工程招标文件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14CF">
    <w:pPr>
      <w:pStyle w:val="33"/>
      <w:pBdr>
        <w:bottom w:val="none" w:color="auto" w:sz="0" w:space="0"/>
      </w:pBdr>
      <w:jc w:val="right"/>
      <w:rPr>
        <w:i/>
        <w:i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187F9">
    <w:pPr>
      <w:pStyle w:val="33"/>
      <w:jc w:val="right"/>
      <w:rPr>
        <w:i/>
        <w:iCs/>
      </w:rPr>
    </w:pPr>
    <w:r>
      <w:rPr>
        <w:rFonts w:hint="eastAsia"/>
        <w:i/>
        <w:iCs/>
      </w:rPr>
      <w:t>横枝岗路道路排水改造工程招标文件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1222" w:hanging="720"/>
      </w:pPr>
      <w:rPr>
        <w:rFonts w:hint="default"/>
        <w:color w:val="000000"/>
      </w:rPr>
    </w:lvl>
    <w:lvl w:ilvl="1" w:tentative="0">
      <w:start w:val="1"/>
      <w:numFmt w:val="lowerLetter"/>
      <w:lvlText w:val="%2)"/>
      <w:lvlJc w:val="left"/>
      <w:pPr>
        <w:ind w:left="1342" w:hanging="420"/>
      </w:pPr>
    </w:lvl>
    <w:lvl w:ilvl="2" w:tentative="0">
      <w:start w:val="1"/>
      <w:numFmt w:val="lowerRoman"/>
      <w:lvlText w:val="%3."/>
      <w:lvlJc w:val="right"/>
      <w:pPr>
        <w:ind w:left="1762" w:hanging="420"/>
      </w:pPr>
    </w:lvl>
    <w:lvl w:ilvl="3" w:tentative="0">
      <w:start w:val="1"/>
      <w:numFmt w:val="decimal"/>
      <w:lvlText w:val="%4."/>
      <w:lvlJc w:val="left"/>
      <w:pPr>
        <w:ind w:left="2182" w:hanging="420"/>
      </w:pPr>
    </w:lvl>
    <w:lvl w:ilvl="4" w:tentative="0">
      <w:start w:val="1"/>
      <w:numFmt w:val="lowerLetter"/>
      <w:lvlText w:val="%5)"/>
      <w:lvlJc w:val="left"/>
      <w:pPr>
        <w:ind w:left="2602" w:hanging="420"/>
      </w:pPr>
    </w:lvl>
    <w:lvl w:ilvl="5" w:tentative="0">
      <w:start w:val="1"/>
      <w:numFmt w:val="lowerRoman"/>
      <w:lvlText w:val="%6."/>
      <w:lvlJc w:val="right"/>
      <w:pPr>
        <w:ind w:left="3022" w:hanging="420"/>
      </w:pPr>
    </w:lvl>
    <w:lvl w:ilvl="6" w:tentative="0">
      <w:start w:val="1"/>
      <w:numFmt w:val="decimal"/>
      <w:lvlText w:val="%7."/>
      <w:lvlJc w:val="left"/>
      <w:pPr>
        <w:ind w:left="3442" w:hanging="420"/>
      </w:pPr>
    </w:lvl>
    <w:lvl w:ilvl="7" w:tentative="0">
      <w:start w:val="1"/>
      <w:numFmt w:val="lowerLetter"/>
      <w:lvlText w:val="%8)"/>
      <w:lvlJc w:val="left"/>
      <w:pPr>
        <w:ind w:left="3862" w:hanging="420"/>
      </w:pPr>
    </w:lvl>
    <w:lvl w:ilvl="8" w:tentative="0">
      <w:start w:val="1"/>
      <w:numFmt w:val="lowerRoman"/>
      <w:lvlText w:val="%9."/>
      <w:lvlJc w:val="right"/>
      <w:pPr>
        <w:ind w:left="4282" w:hanging="420"/>
      </w:pPr>
    </w:lvl>
  </w:abstractNum>
  <w:abstractNum w:abstractNumId="1">
    <w:nsid w:val="259905B5"/>
    <w:multiLevelType w:val="multilevel"/>
    <w:tmpl w:val="259905B5"/>
    <w:lvl w:ilvl="0" w:tentative="0">
      <w:start w:val="1"/>
      <w:numFmt w:val="chineseCountingThousand"/>
      <w:pStyle w:val="116"/>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2">
    <w:nsid w:val="3AD5465A"/>
    <w:multiLevelType w:val="multilevel"/>
    <w:tmpl w:val="3AD546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TBlYjE3ZDljZDNjYmVlZDVlMDU0MzVlODA4ODIifQ=="/>
  </w:docVars>
  <w:rsids>
    <w:rsidRoot w:val="00106A70"/>
    <w:rsid w:val="0000355C"/>
    <w:rsid w:val="000058F3"/>
    <w:rsid w:val="00005EC1"/>
    <w:rsid w:val="00007B2E"/>
    <w:rsid w:val="0001065C"/>
    <w:rsid w:val="0001104C"/>
    <w:rsid w:val="000116E4"/>
    <w:rsid w:val="000130FD"/>
    <w:rsid w:val="00013C32"/>
    <w:rsid w:val="0001585A"/>
    <w:rsid w:val="00016880"/>
    <w:rsid w:val="0002445C"/>
    <w:rsid w:val="0002476E"/>
    <w:rsid w:val="000267AF"/>
    <w:rsid w:val="000302FE"/>
    <w:rsid w:val="00035A78"/>
    <w:rsid w:val="00036C63"/>
    <w:rsid w:val="00037BAD"/>
    <w:rsid w:val="00041FFE"/>
    <w:rsid w:val="00042CD3"/>
    <w:rsid w:val="00046D30"/>
    <w:rsid w:val="0005039F"/>
    <w:rsid w:val="00055B67"/>
    <w:rsid w:val="00056771"/>
    <w:rsid w:val="00057014"/>
    <w:rsid w:val="00057A5D"/>
    <w:rsid w:val="00057D95"/>
    <w:rsid w:val="00063D8C"/>
    <w:rsid w:val="000656C9"/>
    <w:rsid w:val="0006621E"/>
    <w:rsid w:val="000664F2"/>
    <w:rsid w:val="0006736E"/>
    <w:rsid w:val="00072402"/>
    <w:rsid w:val="000733AF"/>
    <w:rsid w:val="00074E48"/>
    <w:rsid w:val="000756C3"/>
    <w:rsid w:val="000769A2"/>
    <w:rsid w:val="000774AD"/>
    <w:rsid w:val="00077B9B"/>
    <w:rsid w:val="00077F9A"/>
    <w:rsid w:val="00082698"/>
    <w:rsid w:val="000858CA"/>
    <w:rsid w:val="00085AD5"/>
    <w:rsid w:val="00085C07"/>
    <w:rsid w:val="000876AE"/>
    <w:rsid w:val="00093140"/>
    <w:rsid w:val="00093E55"/>
    <w:rsid w:val="000945C9"/>
    <w:rsid w:val="00094967"/>
    <w:rsid w:val="00094D92"/>
    <w:rsid w:val="00095BA9"/>
    <w:rsid w:val="00097A92"/>
    <w:rsid w:val="000A1872"/>
    <w:rsid w:val="000A260F"/>
    <w:rsid w:val="000A3148"/>
    <w:rsid w:val="000A3B88"/>
    <w:rsid w:val="000A4D50"/>
    <w:rsid w:val="000B00A0"/>
    <w:rsid w:val="000B38DB"/>
    <w:rsid w:val="000B3951"/>
    <w:rsid w:val="000C0ABC"/>
    <w:rsid w:val="000C2957"/>
    <w:rsid w:val="000C3682"/>
    <w:rsid w:val="000C4195"/>
    <w:rsid w:val="000C7F93"/>
    <w:rsid w:val="000D0395"/>
    <w:rsid w:val="000D37BA"/>
    <w:rsid w:val="000D428F"/>
    <w:rsid w:val="000D44B5"/>
    <w:rsid w:val="000D4F60"/>
    <w:rsid w:val="000E41C3"/>
    <w:rsid w:val="000E54A4"/>
    <w:rsid w:val="000E69C7"/>
    <w:rsid w:val="000E7631"/>
    <w:rsid w:val="000F1AB2"/>
    <w:rsid w:val="000F2B4D"/>
    <w:rsid w:val="000F30AA"/>
    <w:rsid w:val="000F4412"/>
    <w:rsid w:val="000F5231"/>
    <w:rsid w:val="000F6464"/>
    <w:rsid w:val="000F7EA9"/>
    <w:rsid w:val="0010098B"/>
    <w:rsid w:val="00103A04"/>
    <w:rsid w:val="00105BC8"/>
    <w:rsid w:val="001063AE"/>
    <w:rsid w:val="00106A70"/>
    <w:rsid w:val="00113C7E"/>
    <w:rsid w:val="00115643"/>
    <w:rsid w:val="0011627C"/>
    <w:rsid w:val="00121851"/>
    <w:rsid w:val="00122C17"/>
    <w:rsid w:val="00127E99"/>
    <w:rsid w:val="00132BB6"/>
    <w:rsid w:val="00132DC9"/>
    <w:rsid w:val="00135D7D"/>
    <w:rsid w:val="00137831"/>
    <w:rsid w:val="0014090E"/>
    <w:rsid w:val="0014194A"/>
    <w:rsid w:val="0014236F"/>
    <w:rsid w:val="00143F4A"/>
    <w:rsid w:val="00147AAD"/>
    <w:rsid w:val="0015031E"/>
    <w:rsid w:val="001523D5"/>
    <w:rsid w:val="00156F51"/>
    <w:rsid w:val="00162DF8"/>
    <w:rsid w:val="0016483F"/>
    <w:rsid w:val="00165388"/>
    <w:rsid w:val="001724F3"/>
    <w:rsid w:val="001733DF"/>
    <w:rsid w:val="00175E13"/>
    <w:rsid w:val="00176FE7"/>
    <w:rsid w:val="00182042"/>
    <w:rsid w:val="001828B4"/>
    <w:rsid w:val="00184104"/>
    <w:rsid w:val="00184C5B"/>
    <w:rsid w:val="00190C73"/>
    <w:rsid w:val="00193459"/>
    <w:rsid w:val="00193687"/>
    <w:rsid w:val="00197300"/>
    <w:rsid w:val="001A24E2"/>
    <w:rsid w:val="001A351C"/>
    <w:rsid w:val="001B1354"/>
    <w:rsid w:val="001B3441"/>
    <w:rsid w:val="001B4D28"/>
    <w:rsid w:val="001B725A"/>
    <w:rsid w:val="001C0484"/>
    <w:rsid w:val="001C1E25"/>
    <w:rsid w:val="001C2748"/>
    <w:rsid w:val="001C4CBE"/>
    <w:rsid w:val="001D0B19"/>
    <w:rsid w:val="001D5BB7"/>
    <w:rsid w:val="001D62FD"/>
    <w:rsid w:val="001D6DA3"/>
    <w:rsid w:val="001E483C"/>
    <w:rsid w:val="001E501C"/>
    <w:rsid w:val="001E53A7"/>
    <w:rsid w:val="001F0428"/>
    <w:rsid w:val="001F455B"/>
    <w:rsid w:val="001F5E00"/>
    <w:rsid w:val="00202074"/>
    <w:rsid w:val="002104CB"/>
    <w:rsid w:val="00210AAD"/>
    <w:rsid w:val="0021164B"/>
    <w:rsid w:val="00212D7D"/>
    <w:rsid w:val="00213850"/>
    <w:rsid w:val="002139B9"/>
    <w:rsid w:val="002148C3"/>
    <w:rsid w:val="00216EF5"/>
    <w:rsid w:val="002171C1"/>
    <w:rsid w:val="00217817"/>
    <w:rsid w:val="00220786"/>
    <w:rsid w:val="0022100E"/>
    <w:rsid w:val="00226C3F"/>
    <w:rsid w:val="00226C45"/>
    <w:rsid w:val="00227243"/>
    <w:rsid w:val="0022747F"/>
    <w:rsid w:val="002307A7"/>
    <w:rsid w:val="00230BE3"/>
    <w:rsid w:val="00231FE8"/>
    <w:rsid w:val="0023270D"/>
    <w:rsid w:val="002351A3"/>
    <w:rsid w:val="002369AF"/>
    <w:rsid w:val="00237FD8"/>
    <w:rsid w:val="0024196E"/>
    <w:rsid w:val="002426CF"/>
    <w:rsid w:val="00242D35"/>
    <w:rsid w:val="00242F25"/>
    <w:rsid w:val="002502D1"/>
    <w:rsid w:val="00250B82"/>
    <w:rsid w:val="00252964"/>
    <w:rsid w:val="002535F1"/>
    <w:rsid w:val="00253FFB"/>
    <w:rsid w:val="002549CD"/>
    <w:rsid w:val="0025608B"/>
    <w:rsid w:val="0025694A"/>
    <w:rsid w:val="00256FC7"/>
    <w:rsid w:val="00261913"/>
    <w:rsid w:val="0026494B"/>
    <w:rsid w:val="0026505D"/>
    <w:rsid w:val="002667CA"/>
    <w:rsid w:val="002679BA"/>
    <w:rsid w:val="00270468"/>
    <w:rsid w:val="0027491B"/>
    <w:rsid w:val="00282AAE"/>
    <w:rsid w:val="00282D58"/>
    <w:rsid w:val="00283D3A"/>
    <w:rsid w:val="00284615"/>
    <w:rsid w:val="00285AC1"/>
    <w:rsid w:val="00287716"/>
    <w:rsid w:val="00291D2D"/>
    <w:rsid w:val="0029271A"/>
    <w:rsid w:val="00293492"/>
    <w:rsid w:val="00294E78"/>
    <w:rsid w:val="002A6CC8"/>
    <w:rsid w:val="002B038D"/>
    <w:rsid w:val="002B1E93"/>
    <w:rsid w:val="002B59E2"/>
    <w:rsid w:val="002B6073"/>
    <w:rsid w:val="002C0842"/>
    <w:rsid w:val="002C0DEE"/>
    <w:rsid w:val="002C25DD"/>
    <w:rsid w:val="002C393E"/>
    <w:rsid w:val="002C54A6"/>
    <w:rsid w:val="002C7DEE"/>
    <w:rsid w:val="002D2E09"/>
    <w:rsid w:val="002D52A5"/>
    <w:rsid w:val="002D7DA3"/>
    <w:rsid w:val="002E1201"/>
    <w:rsid w:val="002E190C"/>
    <w:rsid w:val="002E1E64"/>
    <w:rsid w:val="002E294A"/>
    <w:rsid w:val="002E3BC1"/>
    <w:rsid w:val="002E52B8"/>
    <w:rsid w:val="002E60EC"/>
    <w:rsid w:val="002F1E7D"/>
    <w:rsid w:val="002F5409"/>
    <w:rsid w:val="002F7B98"/>
    <w:rsid w:val="002F7CBD"/>
    <w:rsid w:val="002F7CC1"/>
    <w:rsid w:val="003028C3"/>
    <w:rsid w:val="00303074"/>
    <w:rsid w:val="003037E2"/>
    <w:rsid w:val="003040E3"/>
    <w:rsid w:val="00304652"/>
    <w:rsid w:val="00304BCB"/>
    <w:rsid w:val="0031116A"/>
    <w:rsid w:val="00311F4C"/>
    <w:rsid w:val="00321CCF"/>
    <w:rsid w:val="00321D16"/>
    <w:rsid w:val="00323F2F"/>
    <w:rsid w:val="00325E96"/>
    <w:rsid w:val="00325F61"/>
    <w:rsid w:val="00326005"/>
    <w:rsid w:val="003264C4"/>
    <w:rsid w:val="00326996"/>
    <w:rsid w:val="00327E1F"/>
    <w:rsid w:val="00330677"/>
    <w:rsid w:val="00332002"/>
    <w:rsid w:val="00335BD3"/>
    <w:rsid w:val="003364DC"/>
    <w:rsid w:val="00344E0F"/>
    <w:rsid w:val="00345C0B"/>
    <w:rsid w:val="00347DEA"/>
    <w:rsid w:val="00350488"/>
    <w:rsid w:val="003522CF"/>
    <w:rsid w:val="003522F9"/>
    <w:rsid w:val="003529BA"/>
    <w:rsid w:val="00353094"/>
    <w:rsid w:val="0035585B"/>
    <w:rsid w:val="003562FE"/>
    <w:rsid w:val="003613A2"/>
    <w:rsid w:val="00361F58"/>
    <w:rsid w:val="00362826"/>
    <w:rsid w:val="00363936"/>
    <w:rsid w:val="00364BA6"/>
    <w:rsid w:val="0036510A"/>
    <w:rsid w:val="00365935"/>
    <w:rsid w:val="003668ED"/>
    <w:rsid w:val="00367513"/>
    <w:rsid w:val="003717D2"/>
    <w:rsid w:val="00376258"/>
    <w:rsid w:val="003765C6"/>
    <w:rsid w:val="00376C23"/>
    <w:rsid w:val="00376EBA"/>
    <w:rsid w:val="00377E73"/>
    <w:rsid w:val="0038005A"/>
    <w:rsid w:val="00380206"/>
    <w:rsid w:val="003809F4"/>
    <w:rsid w:val="00380DAA"/>
    <w:rsid w:val="00382E48"/>
    <w:rsid w:val="00383CEB"/>
    <w:rsid w:val="00385235"/>
    <w:rsid w:val="0038573E"/>
    <w:rsid w:val="0039180D"/>
    <w:rsid w:val="00392E43"/>
    <w:rsid w:val="003944DB"/>
    <w:rsid w:val="00394EB1"/>
    <w:rsid w:val="0039552F"/>
    <w:rsid w:val="003975F2"/>
    <w:rsid w:val="003A03DA"/>
    <w:rsid w:val="003A4671"/>
    <w:rsid w:val="003B0476"/>
    <w:rsid w:val="003B0EEF"/>
    <w:rsid w:val="003B1FCC"/>
    <w:rsid w:val="003B7254"/>
    <w:rsid w:val="003B7E11"/>
    <w:rsid w:val="003C02F9"/>
    <w:rsid w:val="003C340C"/>
    <w:rsid w:val="003C4AD5"/>
    <w:rsid w:val="003C56A6"/>
    <w:rsid w:val="003C56BA"/>
    <w:rsid w:val="003C5D72"/>
    <w:rsid w:val="003C6152"/>
    <w:rsid w:val="003C6EF8"/>
    <w:rsid w:val="003C70C4"/>
    <w:rsid w:val="003D0A3B"/>
    <w:rsid w:val="003D2F81"/>
    <w:rsid w:val="003D7C78"/>
    <w:rsid w:val="003E413E"/>
    <w:rsid w:val="003E4D04"/>
    <w:rsid w:val="003E5586"/>
    <w:rsid w:val="003E7068"/>
    <w:rsid w:val="003F0247"/>
    <w:rsid w:val="003F0F11"/>
    <w:rsid w:val="003F1D6D"/>
    <w:rsid w:val="003F60AC"/>
    <w:rsid w:val="003F67B6"/>
    <w:rsid w:val="003F7938"/>
    <w:rsid w:val="00401958"/>
    <w:rsid w:val="00403F91"/>
    <w:rsid w:val="004049CF"/>
    <w:rsid w:val="00404C47"/>
    <w:rsid w:val="00416968"/>
    <w:rsid w:val="00422EF1"/>
    <w:rsid w:val="0042474B"/>
    <w:rsid w:val="00425B08"/>
    <w:rsid w:val="004260CD"/>
    <w:rsid w:val="0042707F"/>
    <w:rsid w:val="004305AC"/>
    <w:rsid w:val="00430CA3"/>
    <w:rsid w:val="00431FC8"/>
    <w:rsid w:val="00432751"/>
    <w:rsid w:val="0043337D"/>
    <w:rsid w:val="00434275"/>
    <w:rsid w:val="00434A7E"/>
    <w:rsid w:val="00435596"/>
    <w:rsid w:val="004355D3"/>
    <w:rsid w:val="00435609"/>
    <w:rsid w:val="004368E1"/>
    <w:rsid w:val="00436C8F"/>
    <w:rsid w:val="00440848"/>
    <w:rsid w:val="00442E25"/>
    <w:rsid w:val="0044327B"/>
    <w:rsid w:val="004435E8"/>
    <w:rsid w:val="00444152"/>
    <w:rsid w:val="004455B2"/>
    <w:rsid w:val="004461E6"/>
    <w:rsid w:val="00446819"/>
    <w:rsid w:val="004504B2"/>
    <w:rsid w:val="00451A04"/>
    <w:rsid w:val="00457EEB"/>
    <w:rsid w:val="00461850"/>
    <w:rsid w:val="00462C6E"/>
    <w:rsid w:val="00463240"/>
    <w:rsid w:val="00463ADC"/>
    <w:rsid w:val="00465D12"/>
    <w:rsid w:val="004675B7"/>
    <w:rsid w:val="00467D6C"/>
    <w:rsid w:val="004734F2"/>
    <w:rsid w:val="00484211"/>
    <w:rsid w:val="0048515C"/>
    <w:rsid w:val="00485BB5"/>
    <w:rsid w:val="004931DB"/>
    <w:rsid w:val="004951E0"/>
    <w:rsid w:val="004977D2"/>
    <w:rsid w:val="004A11B7"/>
    <w:rsid w:val="004A11EF"/>
    <w:rsid w:val="004A1B15"/>
    <w:rsid w:val="004A419A"/>
    <w:rsid w:val="004A4751"/>
    <w:rsid w:val="004A777A"/>
    <w:rsid w:val="004A77F3"/>
    <w:rsid w:val="004B315E"/>
    <w:rsid w:val="004C41DD"/>
    <w:rsid w:val="004D00B2"/>
    <w:rsid w:val="004D1483"/>
    <w:rsid w:val="004D2111"/>
    <w:rsid w:val="004D30CF"/>
    <w:rsid w:val="004D33F6"/>
    <w:rsid w:val="004D3F56"/>
    <w:rsid w:val="004D7108"/>
    <w:rsid w:val="004E0AC0"/>
    <w:rsid w:val="004E1169"/>
    <w:rsid w:val="004E11F3"/>
    <w:rsid w:val="004E2C62"/>
    <w:rsid w:val="004E4A78"/>
    <w:rsid w:val="004F006D"/>
    <w:rsid w:val="004F39F4"/>
    <w:rsid w:val="004F4834"/>
    <w:rsid w:val="004F4B21"/>
    <w:rsid w:val="004F578D"/>
    <w:rsid w:val="004F6D38"/>
    <w:rsid w:val="004F6DC0"/>
    <w:rsid w:val="005026F4"/>
    <w:rsid w:val="00503826"/>
    <w:rsid w:val="00503C03"/>
    <w:rsid w:val="00506CCB"/>
    <w:rsid w:val="005104B7"/>
    <w:rsid w:val="00510DF0"/>
    <w:rsid w:val="0051170F"/>
    <w:rsid w:val="00512152"/>
    <w:rsid w:val="005122D5"/>
    <w:rsid w:val="00514EA1"/>
    <w:rsid w:val="00517066"/>
    <w:rsid w:val="005179EB"/>
    <w:rsid w:val="00520358"/>
    <w:rsid w:val="00520F6D"/>
    <w:rsid w:val="00522562"/>
    <w:rsid w:val="005247BE"/>
    <w:rsid w:val="00526219"/>
    <w:rsid w:val="00526F07"/>
    <w:rsid w:val="00530C24"/>
    <w:rsid w:val="00531CB0"/>
    <w:rsid w:val="00532B47"/>
    <w:rsid w:val="005336D7"/>
    <w:rsid w:val="00534563"/>
    <w:rsid w:val="00535C83"/>
    <w:rsid w:val="00535DC2"/>
    <w:rsid w:val="00540587"/>
    <w:rsid w:val="00551FF5"/>
    <w:rsid w:val="005526F9"/>
    <w:rsid w:val="0055283C"/>
    <w:rsid w:val="00552AEF"/>
    <w:rsid w:val="00554B43"/>
    <w:rsid w:val="00554EAD"/>
    <w:rsid w:val="00557949"/>
    <w:rsid w:val="00560027"/>
    <w:rsid w:val="0056080C"/>
    <w:rsid w:val="00562905"/>
    <w:rsid w:val="005632A5"/>
    <w:rsid w:val="00563E59"/>
    <w:rsid w:val="00564D16"/>
    <w:rsid w:val="00565576"/>
    <w:rsid w:val="00570815"/>
    <w:rsid w:val="00570A3F"/>
    <w:rsid w:val="00572B75"/>
    <w:rsid w:val="00574B48"/>
    <w:rsid w:val="00575273"/>
    <w:rsid w:val="00577054"/>
    <w:rsid w:val="00577E15"/>
    <w:rsid w:val="0058063D"/>
    <w:rsid w:val="00584859"/>
    <w:rsid w:val="00584E90"/>
    <w:rsid w:val="005854A5"/>
    <w:rsid w:val="00585880"/>
    <w:rsid w:val="00593560"/>
    <w:rsid w:val="00593A82"/>
    <w:rsid w:val="005940F2"/>
    <w:rsid w:val="00594508"/>
    <w:rsid w:val="005959F6"/>
    <w:rsid w:val="00595B37"/>
    <w:rsid w:val="00596C55"/>
    <w:rsid w:val="00597BE7"/>
    <w:rsid w:val="005A1CB9"/>
    <w:rsid w:val="005A1DFE"/>
    <w:rsid w:val="005A25FC"/>
    <w:rsid w:val="005A3ABF"/>
    <w:rsid w:val="005A3AD3"/>
    <w:rsid w:val="005A6782"/>
    <w:rsid w:val="005B1C4A"/>
    <w:rsid w:val="005B2CFF"/>
    <w:rsid w:val="005B497B"/>
    <w:rsid w:val="005B51FC"/>
    <w:rsid w:val="005B59C0"/>
    <w:rsid w:val="005B6AA3"/>
    <w:rsid w:val="005B6D5E"/>
    <w:rsid w:val="005C1670"/>
    <w:rsid w:val="005C1AEF"/>
    <w:rsid w:val="005C4AAC"/>
    <w:rsid w:val="005C5FC2"/>
    <w:rsid w:val="005C6375"/>
    <w:rsid w:val="005D3B14"/>
    <w:rsid w:val="005D3B63"/>
    <w:rsid w:val="005D7D75"/>
    <w:rsid w:val="005E2CAF"/>
    <w:rsid w:val="005E398D"/>
    <w:rsid w:val="005E4246"/>
    <w:rsid w:val="005E790A"/>
    <w:rsid w:val="005F1002"/>
    <w:rsid w:val="005F168D"/>
    <w:rsid w:val="005F1FD9"/>
    <w:rsid w:val="005F2589"/>
    <w:rsid w:val="005F5758"/>
    <w:rsid w:val="005F7583"/>
    <w:rsid w:val="00600098"/>
    <w:rsid w:val="00602352"/>
    <w:rsid w:val="00602CC5"/>
    <w:rsid w:val="006057AA"/>
    <w:rsid w:val="00605E54"/>
    <w:rsid w:val="00607CE0"/>
    <w:rsid w:val="00611B96"/>
    <w:rsid w:val="00614095"/>
    <w:rsid w:val="00617F97"/>
    <w:rsid w:val="00621553"/>
    <w:rsid w:val="00621FC4"/>
    <w:rsid w:val="00622E25"/>
    <w:rsid w:val="006231C4"/>
    <w:rsid w:val="006251D0"/>
    <w:rsid w:val="00625513"/>
    <w:rsid w:val="00625B4C"/>
    <w:rsid w:val="006267F1"/>
    <w:rsid w:val="006329FF"/>
    <w:rsid w:val="00633297"/>
    <w:rsid w:val="006361CD"/>
    <w:rsid w:val="0063686F"/>
    <w:rsid w:val="00636982"/>
    <w:rsid w:val="00636DAB"/>
    <w:rsid w:val="00637C22"/>
    <w:rsid w:val="00640084"/>
    <w:rsid w:val="006414CD"/>
    <w:rsid w:val="006448AD"/>
    <w:rsid w:val="00647827"/>
    <w:rsid w:val="00647BC3"/>
    <w:rsid w:val="00650AFB"/>
    <w:rsid w:val="00652A84"/>
    <w:rsid w:val="0065789A"/>
    <w:rsid w:val="00661E91"/>
    <w:rsid w:val="0066636C"/>
    <w:rsid w:val="0067344C"/>
    <w:rsid w:val="00673A0D"/>
    <w:rsid w:val="00673C90"/>
    <w:rsid w:val="006764EC"/>
    <w:rsid w:val="00676D5B"/>
    <w:rsid w:val="00684E23"/>
    <w:rsid w:val="0068538E"/>
    <w:rsid w:val="00685B74"/>
    <w:rsid w:val="00685C8D"/>
    <w:rsid w:val="00686120"/>
    <w:rsid w:val="006869D7"/>
    <w:rsid w:val="006907F1"/>
    <w:rsid w:val="00692CE2"/>
    <w:rsid w:val="006954AE"/>
    <w:rsid w:val="006955EE"/>
    <w:rsid w:val="00695F79"/>
    <w:rsid w:val="00696B13"/>
    <w:rsid w:val="00697490"/>
    <w:rsid w:val="006A04FF"/>
    <w:rsid w:val="006A0FD1"/>
    <w:rsid w:val="006A20B8"/>
    <w:rsid w:val="006A2A0F"/>
    <w:rsid w:val="006A38FE"/>
    <w:rsid w:val="006A7C54"/>
    <w:rsid w:val="006B20B8"/>
    <w:rsid w:val="006B323F"/>
    <w:rsid w:val="006B4572"/>
    <w:rsid w:val="006B68E8"/>
    <w:rsid w:val="006B6E58"/>
    <w:rsid w:val="006C09FF"/>
    <w:rsid w:val="006C106A"/>
    <w:rsid w:val="006C38F7"/>
    <w:rsid w:val="006C5562"/>
    <w:rsid w:val="006C7559"/>
    <w:rsid w:val="006C7826"/>
    <w:rsid w:val="006D3218"/>
    <w:rsid w:val="006D4104"/>
    <w:rsid w:val="006D5831"/>
    <w:rsid w:val="006D69A2"/>
    <w:rsid w:val="006D7850"/>
    <w:rsid w:val="006E0CE0"/>
    <w:rsid w:val="006E3962"/>
    <w:rsid w:val="006E3AFD"/>
    <w:rsid w:val="006E7DA7"/>
    <w:rsid w:val="006F1427"/>
    <w:rsid w:val="006F27F9"/>
    <w:rsid w:val="007004CC"/>
    <w:rsid w:val="007023C3"/>
    <w:rsid w:val="00704F47"/>
    <w:rsid w:val="00707ADA"/>
    <w:rsid w:val="007130F2"/>
    <w:rsid w:val="007235C2"/>
    <w:rsid w:val="00724A3E"/>
    <w:rsid w:val="00726AC2"/>
    <w:rsid w:val="00730B59"/>
    <w:rsid w:val="00731B2A"/>
    <w:rsid w:val="007354C3"/>
    <w:rsid w:val="007358DE"/>
    <w:rsid w:val="00735E0E"/>
    <w:rsid w:val="00737DC1"/>
    <w:rsid w:val="007404C1"/>
    <w:rsid w:val="007404DB"/>
    <w:rsid w:val="00740CA2"/>
    <w:rsid w:val="00744B3D"/>
    <w:rsid w:val="0075441C"/>
    <w:rsid w:val="007620A9"/>
    <w:rsid w:val="0076400A"/>
    <w:rsid w:val="00764188"/>
    <w:rsid w:val="00764A70"/>
    <w:rsid w:val="0076712F"/>
    <w:rsid w:val="007719B7"/>
    <w:rsid w:val="00772656"/>
    <w:rsid w:val="00772846"/>
    <w:rsid w:val="00773A2A"/>
    <w:rsid w:val="0077455D"/>
    <w:rsid w:val="0077478A"/>
    <w:rsid w:val="00776DFE"/>
    <w:rsid w:val="007772BC"/>
    <w:rsid w:val="007800A2"/>
    <w:rsid w:val="0078049B"/>
    <w:rsid w:val="007816EB"/>
    <w:rsid w:val="00781B57"/>
    <w:rsid w:val="00781CE6"/>
    <w:rsid w:val="007828DD"/>
    <w:rsid w:val="00787372"/>
    <w:rsid w:val="007908DF"/>
    <w:rsid w:val="00791962"/>
    <w:rsid w:val="00792022"/>
    <w:rsid w:val="007950CB"/>
    <w:rsid w:val="007953B0"/>
    <w:rsid w:val="00796534"/>
    <w:rsid w:val="007A52FD"/>
    <w:rsid w:val="007A5427"/>
    <w:rsid w:val="007A73E6"/>
    <w:rsid w:val="007B0ECA"/>
    <w:rsid w:val="007B4878"/>
    <w:rsid w:val="007C1425"/>
    <w:rsid w:val="007C1FED"/>
    <w:rsid w:val="007C442B"/>
    <w:rsid w:val="007C49C8"/>
    <w:rsid w:val="007C4CC1"/>
    <w:rsid w:val="007D1328"/>
    <w:rsid w:val="007D4842"/>
    <w:rsid w:val="007D5A65"/>
    <w:rsid w:val="007D5D86"/>
    <w:rsid w:val="007E4F48"/>
    <w:rsid w:val="007E5797"/>
    <w:rsid w:val="007F0C98"/>
    <w:rsid w:val="007F40FD"/>
    <w:rsid w:val="007F46B8"/>
    <w:rsid w:val="007F6AE1"/>
    <w:rsid w:val="00800CA6"/>
    <w:rsid w:val="00811BE8"/>
    <w:rsid w:val="00814CC4"/>
    <w:rsid w:val="00815E5D"/>
    <w:rsid w:val="008207C6"/>
    <w:rsid w:val="00822016"/>
    <w:rsid w:val="00823776"/>
    <w:rsid w:val="008237FB"/>
    <w:rsid w:val="00823E34"/>
    <w:rsid w:val="008246B0"/>
    <w:rsid w:val="00826F3A"/>
    <w:rsid w:val="00830783"/>
    <w:rsid w:val="00833F97"/>
    <w:rsid w:val="008361C7"/>
    <w:rsid w:val="00836D3E"/>
    <w:rsid w:val="008372B0"/>
    <w:rsid w:val="00840575"/>
    <w:rsid w:val="00840ECB"/>
    <w:rsid w:val="00841BC3"/>
    <w:rsid w:val="00841E66"/>
    <w:rsid w:val="00841E8D"/>
    <w:rsid w:val="00842EF7"/>
    <w:rsid w:val="00845496"/>
    <w:rsid w:val="008464BE"/>
    <w:rsid w:val="00846B70"/>
    <w:rsid w:val="0084764A"/>
    <w:rsid w:val="00847C8A"/>
    <w:rsid w:val="00850F04"/>
    <w:rsid w:val="0085447F"/>
    <w:rsid w:val="0085697F"/>
    <w:rsid w:val="008576E0"/>
    <w:rsid w:val="008600EB"/>
    <w:rsid w:val="00865D80"/>
    <w:rsid w:val="008666D2"/>
    <w:rsid w:val="008668DC"/>
    <w:rsid w:val="00866A0D"/>
    <w:rsid w:val="00867361"/>
    <w:rsid w:val="008677F5"/>
    <w:rsid w:val="008733FC"/>
    <w:rsid w:val="00873AF2"/>
    <w:rsid w:val="00877BEB"/>
    <w:rsid w:val="0088323A"/>
    <w:rsid w:val="00885CB0"/>
    <w:rsid w:val="00887303"/>
    <w:rsid w:val="0088744F"/>
    <w:rsid w:val="0088794D"/>
    <w:rsid w:val="008904CF"/>
    <w:rsid w:val="00890940"/>
    <w:rsid w:val="00890AB2"/>
    <w:rsid w:val="0089198B"/>
    <w:rsid w:val="00891B89"/>
    <w:rsid w:val="00891CB0"/>
    <w:rsid w:val="00896A72"/>
    <w:rsid w:val="00896D7E"/>
    <w:rsid w:val="00896F9A"/>
    <w:rsid w:val="008A0767"/>
    <w:rsid w:val="008A2913"/>
    <w:rsid w:val="008A3862"/>
    <w:rsid w:val="008A65E7"/>
    <w:rsid w:val="008A7D7A"/>
    <w:rsid w:val="008B1128"/>
    <w:rsid w:val="008B16E6"/>
    <w:rsid w:val="008B2F44"/>
    <w:rsid w:val="008B352E"/>
    <w:rsid w:val="008B3F04"/>
    <w:rsid w:val="008B48BF"/>
    <w:rsid w:val="008B533D"/>
    <w:rsid w:val="008B575C"/>
    <w:rsid w:val="008B5F22"/>
    <w:rsid w:val="008C787C"/>
    <w:rsid w:val="008D0117"/>
    <w:rsid w:val="008D17D9"/>
    <w:rsid w:val="008D1D0C"/>
    <w:rsid w:val="008D2002"/>
    <w:rsid w:val="008D2887"/>
    <w:rsid w:val="008D2AE3"/>
    <w:rsid w:val="008D32CD"/>
    <w:rsid w:val="008E27F9"/>
    <w:rsid w:val="008E2E9C"/>
    <w:rsid w:val="008E5AA8"/>
    <w:rsid w:val="008E6B20"/>
    <w:rsid w:val="008E73CE"/>
    <w:rsid w:val="008F0FB8"/>
    <w:rsid w:val="008F0FFE"/>
    <w:rsid w:val="008F240A"/>
    <w:rsid w:val="008F269F"/>
    <w:rsid w:val="008F5456"/>
    <w:rsid w:val="009022CC"/>
    <w:rsid w:val="0090240D"/>
    <w:rsid w:val="00902BB8"/>
    <w:rsid w:val="00903085"/>
    <w:rsid w:val="0090553D"/>
    <w:rsid w:val="00906F1A"/>
    <w:rsid w:val="009100E7"/>
    <w:rsid w:val="00911565"/>
    <w:rsid w:val="009121B4"/>
    <w:rsid w:val="00917485"/>
    <w:rsid w:val="00930CD1"/>
    <w:rsid w:val="00936484"/>
    <w:rsid w:val="009373F0"/>
    <w:rsid w:val="00940B32"/>
    <w:rsid w:val="0094120B"/>
    <w:rsid w:val="009442B1"/>
    <w:rsid w:val="009445E2"/>
    <w:rsid w:val="0094559F"/>
    <w:rsid w:val="00945BD0"/>
    <w:rsid w:val="009469AC"/>
    <w:rsid w:val="00947048"/>
    <w:rsid w:val="0095035F"/>
    <w:rsid w:val="0095185A"/>
    <w:rsid w:val="00951A6D"/>
    <w:rsid w:val="0095351F"/>
    <w:rsid w:val="00954ABC"/>
    <w:rsid w:val="00955FD7"/>
    <w:rsid w:val="00957BE8"/>
    <w:rsid w:val="009603A3"/>
    <w:rsid w:val="009612B5"/>
    <w:rsid w:val="00962484"/>
    <w:rsid w:val="00963230"/>
    <w:rsid w:val="0096393C"/>
    <w:rsid w:val="0096489E"/>
    <w:rsid w:val="0096765A"/>
    <w:rsid w:val="00970571"/>
    <w:rsid w:val="00980D98"/>
    <w:rsid w:val="009819FD"/>
    <w:rsid w:val="00982A11"/>
    <w:rsid w:val="0098349F"/>
    <w:rsid w:val="009858CA"/>
    <w:rsid w:val="00985B4F"/>
    <w:rsid w:val="009871B7"/>
    <w:rsid w:val="00987981"/>
    <w:rsid w:val="00991C56"/>
    <w:rsid w:val="009965DC"/>
    <w:rsid w:val="0099743A"/>
    <w:rsid w:val="009A14B7"/>
    <w:rsid w:val="009A66E9"/>
    <w:rsid w:val="009A7480"/>
    <w:rsid w:val="009A79CA"/>
    <w:rsid w:val="009B0198"/>
    <w:rsid w:val="009B2945"/>
    <w:rsid w:val="009B29DE"/>
    <w:rsid w:val="009B3FAF"/>
    <w:rsid w:val="009B63BA"/>
    <w:rsid w:val="009C288A"/>
    <w:rsid w:val="009C4132"/>
    <w:rsid w:val="009C712C"/>
    <w:rsid w:val="009C773B"/>
    <w:rsid w:val="009D2D5C"/>
    <w:rsid w:val="009D4F9C"/>
    <w:rsid w:val="009D7CB7"/>
    <w:rsid w:val="009E1F17"/>
    <w:rsid w:val="009E5795"/>
    <w:rsid w:val="009E776F"/>
    <w:rsid w:val="009F4861"/>
    <w:rsid w:val="009F50F2"/>
    <w:rsid w:val="009F6C16"/>
    <w:rsid w:val="00A01031"/>
    <w:rsid w:val="00A01CB6"/>
    <w:rsid w:val="00A026D3"/>
    <w:rsid w:val="00A03694"/>
    <w:rsid w:val="00A054B4"/>
    <w:rsid w:val="00A108B6"/>
    <w:rsid w:val="00A12D8D"/>
    <w:rsid w:val="00A1544D"/>
    <w:rsid w:val="00A15D52"/>
    <w:rsid w:val="00A16CCE"/>
    <w:rsid w:val="00A2122F"/>
    <w:rsid w:val="00A26CAC"/>
    <w:rsid w:val="00A2741B"/>
    <w:rsid w:val="00A30FEF"/>
    <w:rsid w:val="00A3151A"/>
    <w:rsid w:val="00A31AD4"/>
    <w:rsid w:val="00A34247"/>
    <w:rsid w:val="00A3438B"/>
    <w:rsid w:val="00A35AC1"/>
    <w:rsid w:val="00A35EA4"/>
    <w:rsid w:val="00A413A4"/>
    <w:rsid w:val="00A415DD"/>
    <w:rsid w:val="00A436D2"/>
    <w:rsid w:val="00A4385E"/>
    <w:rsid w:val="00A44B01"/>
    <w:rsid w:val="00A46C9B"/>
    <w:rsid w:val="00A4712A"/>
    <w:rsid w:val="00A47F8A"/>
    <w:rsid w:val="00A5040A"/>
    <w:rsid w:val="00A51CFB"/>
    <w:rsid w:val="00A523EA"/>
    <w:rsid w:val="00A53F93"/>
    <w:rsid w:val="00A54824"/>
    <w:rsid w:val="00A54BCC"/>
    <w:rsid w:val="00A551D1"/>
    <w:rsid w:val="00A62BF5"/>
    <w:rsid w:val="00A630D5"/>
    <w:rsid w:val="00A71A73"/>
    <w:rsid w:val="00A735DB"/>
    <w:rsid w:val="00A8350B"/>
    <w:rsid w:val="00A8389D"/>
    <w:rsid w:val="00A87024"/>
    <w:rsid w:val="00A935DB"/>
    <w:rsid w:val="00A94BBC"/>
    <w:rsid w:val="00A9745E"/>
    <w:rsid w:val="00A97C52"/>
    <w:rsid w:val="00AA158C"/>
    <w:rsid w:val="00AA2EDD"/>
    <w:rsid w:val="00AA5BEE"/>
    <w:rsid w:val="00AB2508"/>
    <w:rsid w:val="00AB72A8"/>
    <w:rsid w:val="00AC0553"/>
    <w:rsid w:val="00AC313D"/>
    <w:rsid w:val="00AC6FE9"/>
    <w:rsid w:val="00AD0D6F"/>
    <w:rsid w:val="00AD24A0"/>
    <w:rsid w:val="00AD2715"/>
    <w:rsid w:val="00AD40DB"/>
    <w:rsid w:val="00AD4556"/>
    <w:rsid w:val="00AD57A9"/>
    <w:rsid w:val="00AD5CED"/>
    <w:rsid w:val="00AD6DF9"/>
    <w:rsid w:val="00AD7BFC"/>
    <w:rsid w:val="00AD7C22"/>
    <w:rsid w:val="00AE0F0F"/>
    <w:rsid w:val="00AE4C82"/>
    <w:rsid w:val="00AE58B5"/>
    <w:rsid w:val="00AE7F1A"/>
    <w:rsid w:val="00AF1D54"/>
    <w:rsid w:val="00AF1E8C"/>
    <w:rsid w:val="00AF3139"/>
    <w:rsid w:val="00AF3251"/>
    <w:rsid w:val="00AF496D"/>
    <w:rsid w:val="00AF6EE5"/>
    <w:rsid w:val="00B0528B"/>
    <w:rsid w:val="00B13CA7"/>
    <w:rsid w:val="00B163B8"/>
    <w:rsid w:val="00B17D06"/>
    <w:rsid w:val="00B21054"/>
    <w:rsid w:val="00B24461"/>
    <w:rsid w:val="00B25DEF"/>
    <w:rsid w:val="00B25EAF"/>
    <w:rsid w:val="00B32FE3"/>
    <w:rsid w:val="00B33F14"/>
    <w:rsid w:val="00B350EE"/>
    <w:rsid w:val="00B35B0D"/>
    <w:rsid w:val="00B37471"/>
    <w:rsid w:val="00B37912"/>
    <w:rsid w:val="00B37BF5"/>
    <w:rsid w:val="00B37CC4"/>
    <w:rsid w:val="00B42974"/>
    <w:rsid w:val="00B43657"/>
    <w:rsid w:val="00B46A92"/>
    <w:rsid w:val="00B52958"/>
    <w:rsid w:val="00B53670"/>
    <w:rsid w:val="00B54150"/>
    <w:rsid w:val="00B5445D"/>
    <w:rsid w:val="00B55A4B"/>
    <w:rsid w:val="00B55CDD"/>
    <w:rsid w:val="00B6049D"/>
    <w:rsid w:val="00B609C9"/>
    <w:rsid w:val="00B61BDC"/>
    <w:rsid w:val="00B63D6F"/>
    <w:rsid w:val="00B700DC"/>
    <w:rsid w:val="00B74187"/>
    <w:rsid w:val="00B7430B"/>
    <w:rsid w:val="00B74465"/>
    <w:rsid w:val="00B74471"/>
    <w:rsid w:val="00B75CBC"/>
    <w:rsid w:val="00B773CB"/>
    <w:rsid w:val="00B83387"/>
    <w:rsid w:val="00B9414A"/>
    <w:rsid w:val="00B944E4"/>
    <w:rsid w:val="00B96051"/>
    <w:rsid w:val="00B9694C"/>
    <w:rsid w:val="00B975D6"/>
    <w:rsid w:val="00BA0A7F"/>
    <w:rsid w:val="00BA1454"/>
    <w:rsid w:val="00BB0C3E"/>
    <w:rsid w:val="00BB10CB"/>
    <w:rsid w:val="00BB41B0"/>
    <w:rsid w:val="00BB4B04"/>
    <w:rsid w:val="00BB4B85"/>
    <w:rsid w:val="00BB5CBA"/>
    <w:rsid w:val="00BC29EC"/>
    <w:rsid w:val="00BC46E6"/>
    <w:rsid w:val="00BC4B44"/>
    <w:rsid w:val="00BC5386"/>
    <w:rsid w:val="00BD217B"/>
    <w:rsid w:val="00BD3DF5"/>
    <w:rsid w:val="00BE0720"/>
    <w:rsid w:val="00BE3141"/>
    <w:rsid w:val="00BE3301"/>
    <w:rsid w:val="00BE3C4C"/>
    <w:rsid w:val="00BE509E"/>
    <w:rsid w:val="00BF20F7"/>
    <w:rsid w:val="00BF4CA8"/>
    <w:rsid w:val="00BF502C"/>
    <w:rsid w:val="00BF5BAE"/>
    <w:rsid w:val="00BF63E4"/>
    <w:rsid w:val="00BF73A7"/>
    <w:rsid w:val="00C02214"/>
    <w:rsid w:val="00C02588"/>
    <w:rsid w:val="00C04142"/>
    <w:rsid w:val="00C07410"/>
    <w:rsid w:val="00C15D4E"/>
    <w:rsid w:val="00C210DB"/>
    <w:rsid w:val="00C23426"/>
    <w:rsid w:val="00C2570B"/>
    <w:rsid w:val="00C31260"/>
    <w:rsid w:val="00C35903"/>
    <w:rsid w:val="00C3663E"/>
    <w:rsid w:val="00C36E23"/>
    <w:rsid w:val="00C40561"/>
    <w:rsid w:val="00C45782"/>
    <w:rsid w:val="00C460B7"/>
    <w:rsid w:val="00C5223C"/>
    <w:rsid w:val="00C54FA5"/>
    <w:rsid w:val="00C57421"/>
    <w:rsid w:val="00C57A8B"/>
    <w:rsid w:val="00C60C68"/>
    <w:rsid w:val="00C60D1A"/>
    <w:rsid w:val="00C62E17"/>
    <w:rsid w:val="00C63041"/>
    <w:rsid w:val="00C63CD8"/>
    <w:rsid w:val="00C63D1F"/>
    <w:rsid w:val="00C65999"/>
    <w:rsid w:val="00C65BF9"/>
    <w:rsid w:val="00C67582"/>
    <w:rsid w:val="00C73B52"/>
    <w:rsid w:val="00C743D2"/>
    <w:rsid w:val="00C75459"/>
    <w:rsid w:val="00C81FEB"/>
    <w:rsid w:val="00C8299D"/>
    <w:rsid w:val="00C83F4A"/>
    <w:rsid w:val="00C85295"/>
    <w:rsid w:val="00C86A4D"/>
    <w:rsid w:val="00C91BFD"/>
    <w:rsid w:val="00C92AB2"/>
    <w:rsid w:val="00C97F7A"/>
    <w:rsid w:val="00CA0B07"/>
    <w:rsid w:val="00CA0F9A"/>
    <w:rsid w:val="00CA28BC"/>
    <w:rsid w:val="00CA51EC"/>
    <w:rsid w:val="00CA5A32"/>
    <w:rsid w:val="00CA67B4"/>
    <w:rsid w:val="00CA7F1E"/>
    <w:rsid w:val="00CA7FCD"/>
    <w:rsid w:val="00CB039D"/>
    <w:rsid w:val="00CB3173"/>
    <w:rsid w:val="00CB4B2C"/>
    <w:rsid w:val="00CB7E79"/>
    <w:rsid w:val="00CC0B81"/>
    <w:rsid w:val="00CC15BD"/>
    <w:rsid w:val="00CC392E"/>
    <w:rsid w:val="00CC4A2C"/>
    <w:rsid w:val="00CC4A3B"/>
    <w:rsid w:val="00CC5452"/>
    <w:rsid w:val="00CC5E23"/>
    <w:rsid w:val="00CC5F4C"/>
    <w:rsid w:val="00CC67FA"/>
    <w:rsid w:val="00CD0FF9"/>
    <w:rsid w:val="00CD15B5"/>
    <w:rsid w:val="00CD7079"/>
    <w:rsid w:val="00CE1D83"/>
    <w:rsid w:val="00CE3727"/>
    <w:rsid w:val="00CE38B8"/>
    <w:rsid w:val="00CE50ED"/>
    <w:rsid w:val="00CE6725"/>
    <w:rsid w:val="00CF3531"/>
    <w:rsid w:val="00CF3678"/>
    <w:rsid w:val="00CF4D46"/>
    <w:rsid w:val="00CF7316"/>
    <w:rsid w:val="00D038D3"/>
    <w:rsid w:val="00D076BF"/>
    <w:rsid w:val="00D07DE8"/>
    <w:rsid w:val="00D107D0"/>
    <w:rsid w:val="00D12933"/>
    <w:rsid w:val="00D13DB8"/>
    <w:rsid w:val="00D15A32"/>
    <w:rsid w:val="00D239B6"/>
    <w:rsid w:val="00D24257"/>
    <w:rsid w:val="00D25123"/>
    <w:rsid w:val="00D30EAB"/>
    <w:rsid w:val="00D317C3"/>
    <w:rsid w:val="00D34C79"/>
    <w:rsid w:val="00D3549A"/>
    <w:rsid w:val="00D36AF6"/>
    <w:rsid w:val="00D36B85"/>
    <w:rsid w:val="00D36C02"/>
    <w:rsid w:val="00D36ED5"/>
    <w:rsid w:val="00D36EED"/>
    <w:rsid w:val="00D36FC7"/>
    <w:rsid w:val="00D37880"/>
    <w:rsid w:val="00D37894"/>
    <w:rsid w:val="00D41537"/>
    <w:rsid w:val="00D423FC"/>
    <w:rsid w:val="00D432CC"/>
    <w:rsid w:val="00D43BBF"/>
    <w:rsid w:val="00D47554"/>
    <w:rsid w:val="00D51E20"/>
    <w:rsid w:val="00D53095"/>
    <w:rsid w:val="00D5493E"/>
    <w:rsid w:val="00D573B0"/>
    <w:rsid w:val="00D61045"/>
    <w:rsid w:val="00D6454F"/>
    <w:rsid w:val="00D664D5"/>
    <w:rsid w:val="00D66E45"/>
    <w:rsid w:val="00D67C2A"/>
    <w:rsid w:val="00D67D08"/>
    <w:rsid w:val="00D71EED"/>
    <w:rsid w:val="00D7286A"/>
    <w:rsid w:val="00D740EA"/>
    <w:rsid w:val="00D75199"/>
    <w:rsid w:val="00D76CC2"/>
    <w:rsid w:val="00D76FEB"/>
    <w:rsid w:val="00D80EEC"/>
    <w:rsid w:val="00D816DA"/>
    <w:rsid w:val="00D83CAA"/>
    <w:rsid w:val="00D84A2F"/>
    <w:rsid w:val="00D91311"/>
    <w:rsid w:val="00D923A3"/>
    <w:rsid w:val="00D97731"/>
    <w:rsid w:val="00DA0259"/>
    <w:rsid w:val="00DA3E42"/>
    <w:rsid w:val="00DA4E8D"/>
    <w:rsid w:val="00DA6131"/>
    <w:rsid w:val="00DA6191"/>
    <w:rsid w:val="00DB0E13"/>
    <w:rsid w:val="00DB204E"/>
    <w:rsid w:val="00DB736B"/>
    <w:rsid w:val="00DB760F"/>
    <w:rsid w:val="00DB7882"/>
    <w:rsid w:val="00DC048E"/>
    <w:rsid w:val="00DC1240"/>
    <w:rsid w:val="00DC13B9"/>
    <w:rsid w:val="00DC18A7"/>
    <w:rsid w:val="00DC466F"/>
    <w:rsid w:val="00DC695C"/>
    <w:rsid w:val="00DD09CF"/>
    <w:rsid w:val="00DD17AE"/>
    <w:rsid w:val="00DD61EB"/>
    <w:rsid w:val="00DD6B87"/>
    <w:rsid w:val="00DD6BC6"/>
    <w:rsid w:val="00DD7892"/>
    <w:rsid w:val="00DE113C"/>
    <w:rsid w:val="00DE3F2D"/>
    <w:rsid w:val="00DE60BB"/>
    <w:rsid w:val="00DE6639"/>
    <w:rsid w:val="00DE6EAE"/>
    <w:rsid w:val="00DF10AA"/>
    <w:rsid w:val="00DF2C8E"/>
    <w:rsid w:val="00DF329F"/>
    <w:rsid w:val="00DF4F3F"/>
    <w:rsid w:val="00DF5260"/>
    <w:rsid w:val="00DF5A28"/>
    <w:rsid w:val="00DF5A60"/>
    <w:rsid w:val="00E00E2E"/>
    <w:rsid w:val="00E01DC0"/>
    <w:rsid w:val="00E01E10"/>
    <w:rsid w:val="00E04B5C"/>
    <w:rsid w:val="00E071EA"/>
    <w:rsid w:val="00E13662"/>
    <w:rsid w:val="00E142A5"/>
    <w:rsid w:val="00E16892"/>
    <w:rsid w:val="00E23C3F"/>
    <w:rsid w:val="00E268A9"/>
    <w:rsid w:val="00E42E7B"/>
    <w:rsid w:val="00E4477D"/>
    <w:rsid w:val="00E4629A"/>
    <w:rsid w:val="00E50307"/>
    <w:rsid w:val="00E5181F"/>
    <w:rsid w:val="00E5226E"/>
    <w:rsid w:val="00E5329A"/>
    <w:rsid w:val="00E54D05"/>
    <w:rsid w:val="00E60F71"/>
    <w:rsid w:val="00E624E2"/>
    <w:rsid w:val="00E67171"/>
    <w:rsid w:val="00E6765B"/>
    <w:rsid w:val="00E67802"/>
    <w:rsid w:val="00E67EFE"/>
    <w:rsid w:val="00E70742"/>
    <w:rsid w:val="00E72A81"/>
    <w:rsid w:val="00E74425"/>
    <w:rsid w:val="00E7572B"/>
    <w:rsid w:val="00E811BA"/>
    <w:rsid w:val="00E816F0"/>
    <w:rsid w:val="00E82233"/>
    <w:rsid w:val="00E8371F"/>
    <w:rsid w:val="00E840FC"/>
    <w:rsid w:val="00E847BA"/>
    <w:rsid w:val="00E84FC5"/>
    <w:rsid w:val="00E860BD"/>
    <w:rsid w:val="00E87961"/>
    <w:rsid w:val="00E9080F"/>
    <w:rsid w:val="00E9353C"/>
    <w:rsid w:val="00E93C13"/>
    <w:rsid w:val="00EA256C"/>
    <w:rsid w:val="00EA3F8A"/>
    <w:rsid w:val="00EA5633"/>
    <w:rsid w:val="00EA77AD"/>
    <w:rsid w:val="00EB3FF4"/>
    <w:rsid w:val="00EB50F6"/>
    <w:rsid w:val="00EB689D"/>
    <w:rsid w:val="00EB7975"/>
    <w:rsid w:val="00EC0EB6"/>
    <w:rsid w:val="00EC219B"/>
    <w:rsid w:val="00EC2737"/>
    <w:rsid w:val="00EC3CF1"/>
    <w:rsid w:val="00EC3D07"/>
    <w:rsid w:val="00EC4BF0"/>
    <w:rsid w:val="00EC6E54"/>
    <w:rsid w:val="00EC7224"/>
    <w:rsid w:val="00ED114A"/>
    <w:rsid w:val="00ED1B44"/>
    <w:rsid w:val="00ED2EE9"/>
    <w:rsid w:val="00ED63AD"/>
    <w:rsid w:val="00ED6D0B"/>
    <w:rsid w:val="00EE0DE9"/>
    <w:rsid w:val="00EE12F0"/>
    <w:rsid w:val="00EE1A16"/>
    <w:rsid w:val="00EE3245"/>
    <w:rsid w:val="00EE431A"/>
    <w:rsid w:val="00EE7EEF"/>
    <w:rsid w:val="00EF057D"/>
    <w:rsid w:val="00EF0A8B"/>
    <w:rsid w:val="00EF0AEE"/>
    <w:rsid w:val="00EF19F2"/>
    <w:rsid w:val="00EF22A2"/>
    <w:rsid w:val="00EF22B4"/>
    <w:rsid w:val="00EF4F2C"/>
    <w:rsid w:val="00EF7B93"/>
    <w:rsid w:val="00F026E3"/>
    <w:rsid w:val="00F03595"/>
    <w:rsid w:val="00F12A58"/>
    <w:rsid w:val="00F131BC"/>
    <w:rsid w:val="00F137A1"/>
    <w:rsid w:val="00F13910"/>
    <w:rsid w:val="00F14007"/>
    <w:rsid w:val="00F15F6B"/>
    <w:rsid w:val="00F174C5"/>
    <w:rsid w:val="00F22EB7"/>
    <w:rsid w:val="00F237E1"/>
    <w:rsid w:val="00F2482E"/>
    <w:rsid w:val="00F24F96"/>
    <w:rsid w:val="00F267DD"/>
    <w:rsid w:val="00F30890"/>
    <w:rsid w:val="00F30EA2"/>
    <w:rsid w:val="00F3394C"/>
    <w:rsid w:val="00F33A56"/>
    <w:rsid w:val="00F37FFE"/>
    <w:rsid w:val="00F40DB9"/>
    <w:rsid w:val="00F440E7"/>
    <w:rsid w:val="00F44C10"/>
    <w:rsid w:val="00F45E47"/>
    <w:rsid w:val="00F469A3"/>
    <w:rsid w:val="00F51016"/>
    <w:rsid w:val="00F5326A"/>
    <w:rsid w:val="00F5347B"/>
    <w:rsid w:val="00F54A39"/>
    <w:rsid w:val="00F55B08"/>
    <w:rsid w:val="00F55CAD"/>
    <w:rsid w:val="00F60067"/>
    <w:rsid w:val="00F638CD"/>
    <w:rsid w:val="00F64455"/>
    <w:rsid w:val="00F65217"/>
    <w:rsid w:val="00F6639E"/>
    <w:rsid w:val="00F6676E"/>
    <w:rsid w:val="00F67217"/>
    <w:rsid w:val="00F7396C"/>
    <w:rsid w:val="00F742E0"/>
    <w:rsid w:val="00F75197"/>
    <w:rsid w:val="00F767DF"/>
    <w:rsid w:val="00F870C9"/>
    <w:rsid w:val="00F911F1"/>
    <w:rsid w:val="00F91D87"/>
    <w:rsid w:val="00F93EAC"/>
    <w:rsid w:val="00F95132"/>
    <w:rsid w:val="00F96433"/>
    <w:rsid w:val="00FA04E9"/>
    <w:rsid w:val="00FA0A3A"/>
    <w:rsid w:val="00FA4083"/>
    <w:rsid w:val="00FA67AB"/>
    <w:rsid w:val="00FA71CA"/>
    <w:rsid w:val="00FA72FC"/>
    <w:rsid w:val="00FB05AB"/>
    <w:rsid w:val="00FB260E"/>
    <w:rsid w:val="00FB49CB"/>
    <w:rsid w:val="00FC4AB3"/>
    <w:rsid w:val="00FC4ACA"/>
    <w:rsid w:val="00FC4E30"/>
    <w:rsid w:val="00FC5496"/>
    <w:rsid w:val="00FC59DF"/>
    <w:rsid w:val="00FD5EF9"/>
    <w:rsid w:val="00FD6327"/>
    <w:rsid w:val="00FD7D45"/>
    <w:rsid w:val="00FE1EEA"/>
    <w:rsid w:val="00FE4330"/>
    <w:rsid w:val="00FE522B"/>
    <w:rsid w:val="00FE5E80"/>
    <w:rsid w:val="00FF39F9"/>
    <w:rsid w:val="00FF504B"/>
    <w:rsid w:val="00FF6724"/>
    <w:rsid w:val="00FF7350"/>
    <w:rsid w:val="015D12C1"/>
    <w:rsid w:val="032F0358"/>
    <w:rsid w:val="03FA2FE0"/>
    <w:rsid w:val="04484CBB"/>
    <w:rsid w:val="055C337C"/>
    <w:rsid w:val="063C686D"/>
    <w:rsid w:val="08B76732"/>
    <w:rsid w:val="09887802"/>
    <w:rsid w:val="0B602F7F"/>
    <w:rsid w:val="0D690CBB"/>
    <w:rsid w:val="0FFA1E6E"/>
    <w:rsid w:val="107D490A"/>
    <w:rsid w:val="12135530"/>
    <w:rsid w:val="1247798E"/>
    <w:rsid w:val="12532AC2"/>
    <w:rsid w:val="12614CB8"/>
    <w:rsid w:val="13DE66E5"/>
    <w:rsid w:val="14F72A32"/>
    <w:rsid w:val="159B5224"/>
    <w:rsid w:val="17D520FA"/>
    <w:rsid w:val="19013D4C"/>
    <w:rsid w:val="1A05270E"/>
    <w:rsid w:val="1B0529FC"/>
    <w:rsid w:val="1B3A2E7F"/>
    <w:rsid w:val="1B892766"/>
    <w:rsid w:val="1C0B6273"/>
    <w:rsid w:val="1C310255"/>
    <w:rsid w:val="1C344E91"/>
    <w:rsid w:val="1E5D6E2E"/>
    <w:rsid w:val="1E83221E"/>
    <w:rsid w:val="1ED86124"/>
    <w:rsid w:val="25773AFA"/>
    <w:rsid w:val="266E348B"/>
    <w:rsid w:val="27FB68CB"/>
    <w:rsid w:val="2B790CDB"/>
    <w:rsid w:val="2BAE2D45"/>
    <w:rsid w:val="2BC81D59"/>
    <w:rsid w:val="2C785D1F"/>
    <w:rsid w:val="2D846D33"/>
    <w:rsid w:val="2E2D12D9"/>
    <w:rsid w:val="2F770726"/>
    <w:rsid w:val="302E37D9"/>
    <w:rsid w:val="30E06184"/>
    <w:rsid w:val="32DC4202"/>
    <w:rsid w:val="335F23F1"/>
    <w:rsid w:val="33F0415F"/>
    <w:rsid w:val="34AB256E"/>
    <w:rsid w:val="34B2305D"/>
    <w:rsid w:val="35B700D7"/>
    <w:rsid w:val="35E3024F"/>
    <w:rsid w:val="3701022C"/>
    <w:rsid w:val="38C42D9D"/>
    <w:rsid w:val="392811FF"/>
    <w:rsid w:val="39D80FB6"/>
    <w:rsid w:val="3A670C5D"/>
    <w:rsid w:val="3A8D1562"/>
    <w:rsid w:val="3ABA2EE7"/>
    <w:rsid w:val="3ABF1866"/>
    <w:rsid w:val="3B787957"/>
    <w:rsid w:val="3BE2529B"/>
    <w:rsid w:val="3DBC7E49"/>
    <w:rsid w:val="3DFA038A"/>
    <w:rsid w:val="413913F4"/>
    <w:rsid w:val="42524824"/>
    <w:rsid w:val="42812CA3"/>
    <w:rsid w:val="42C0713D"/>
    <w:rsid w:val="42E44134"/>
    <w:rsid w:val="434C1AE5"/>
    <w:rsid w:val="43BF160F"/>
    <w:rsid w:val="46B172AA"/>
    <w:rsid w:val="47451382"/>
    <w:rsid w:val="48AA61D4"/>
    <w:rsid w:val="48D03389"/>
    <w:rsid w:val="4A6D2101"/>
    <w:rsid w:val="4AC5484B"/>
    <w:rsid w:val="4BE92C3F"/>
    <w:rsid w:val="4D391FEB"/>
    <w:rsid w:val="4D5D192E"/>
    <w:rsid w:val="4D7E78B2"/>
    <w:rsid w:val="4D9469B2"/>
    <w:rsid w:val="528878F7"/>
    <w:rsid w:val="54577F1E"/>
    <w:rsid w:val="54B41297"/>
    <w:rsid w:val="55732F37"/>
    <w:rsid w:val="55CE4ED0"/>
    <w:rsid w:val="55F04E72"/>
    <w:rsid w:val="56737ECA"/>
    <w:rsid w:val="58323F7E"/>
    <w:rsid w:val="5B2462D4"/>
    <w:rsid w:val="5B8D4C40"/>
    <w:rsid w:val="5BDB7BBE"/>
    <w:rsid w:val="5DB073BD"/>
    <w:rsid w:val="5E0A6219"/>
    <w:rsid w:val="5EA06022"/>
    <w:rsid w:val="60A7424B"/>
    <w:rsid w:val="60D51636"/>
    <w:rsid w:val="62DB0C58"/>
    <w:rsid w:val="640C206E"/>
    <w:rsid w:val="66BD0E60"/>
    <w:rsid w:val="69F6645B"/>
    <w:rsid w:val="6CB00C08"/>
    <w:rsid w:val="6D524E25"/>
    <w:rsid w:val="6E3A1789"/>
    <w:rsid w:val="6F65570F"/>
    <w:rsid w:val="70A01C8E"/>
    <w:rsid w:val="70EA7ECF"/>
    <w:rsid w:val="726D11D6"/>
    <w:rsid w:val="73352067"/>
    <w:rsid w:val="75195A7E"/>
    <w:rsid w:val="760140DA"/>
    <w:rsid w:val="764969CD"/>
    <w:rsid w:val="783F4B1F"/>
    <w:rsid w:val="789B427D"/>
    <w:rsid w:val="792639E5"/>
    <w:rsid w:val="7A2378D2"/>
    <w:rsid w:val="7C81280C"/>
    <w:rsid w:val="7CBE24FC"/>
    <w:rsid w:val="7E9C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93"/>
    <w:qFormat/>
    <w:uiPriority w:val="0"/>
    <w:pPr>
      <w:keepNext/>
      <w:keepLines/>
      <w:spacing w:after="120" w:line="360" w:lineRule="auto"/>
      <w:outlineLvl w:val="0"/>
    </w:pPr>
    <w:rPr>
      <w:kern w:val="44"/>
      <w:sz w:val="28"/>
      <w:szCs w:val="28"/>
    </w:rPr>
  </w:style>
  <w:style w:type="paragraph" w:styleId="6">
    <w:name w:val="heading 2"/>
    <w:basedOn w:val="1"/>
    <w:next w:val="7"/>
    <w:link w:val="94"/>
    <w:qFormat/>
    <w:uiPriority w:val="0"/>
    <w:pPr>
      <w:keepNext/>
      <w:keepLines/>
      <w:spacing w:before="120" w:after="120" w:line="415" w:lineRule="auto"/>
      <w:jc w:val="center"/>
      <w:outlineLvl w:val="1"/>
    </w:pPr>
    <w:rPr>
      <w:rFonts w:ascii="Arial" w:hAnsi="Arial"/>
      <w:b/>
      <w:color w:val="000000"/>
      <w:sz w:val="24"/>
      <w:szCs w:val="24"/>
    </w:rPr>
  </w:style>
  <w:style w:type="paragraph" w:styleId="8">
    <w:name w:val="heading 3"/>
    <w:basedOn w:val="1"/>
    <w:next w:val="1"/>
    <w:link w:val="90"/>
    <w:qFormat/>
    <w:uiPriority w:val="0"/>
    <w:pPr>
      <w:widowControl/>
      <w:spacing w:line="360" w:lineRule="auto"/>
      <w:jc w:val="left"/>
      <w:outlineLvl w:val="2"/>
    </w:pPr>
    <w:rPr>
      <w:rFonts w:ascii="宋体" w:hAnsi="宋体" w:cs="宋体"/>
      <w:kern w:val="0"/>
      <w:sz w:val="24"/>
      <w:szCs w:val="24"/>
    </w:rPr>
  </w:style>
  <w:style w:type="paragraph" w:styleId="9">
    <w:name w:val="heading 4"/>
    <w:basedOn w:val="8"/>
    <w:next w:val="7"/>
    <w:link w:val="95"/>
    <w:qFormat/>
    <w:uiPriority w:val="0"/>
    <w:pPr>
      <w:keepNext/>
      <w:keepLines/>
      <w:widowControl w:val="0"/>
      <w:numPr>
        <w:ilvl w:val="3"/>
        <w:numId w:val="1"/>
      </w:numPr>
      <w:spacing w:beforeLines="50" w:afterLines="50"/>
      <w:outlineLvl w:val="3"/>
    </w:pPr>
    <w:rPr>
      <w:rFonts w:ascii="Arial" w:hAnsi="Arial" w:cs="Times New Roman"/>
      <w:color w:val="000000"/>
      <w:kern w:val="2"/>
      <w:sz w:val="21"/>
      <w:szCs w:val="21"/>
    </w:rPr>
  </w:style>
  <w:style w:type="paragraph" w:styleId="10">
    <w:name w:val="heading 5"/>
    <w:basedOn w:val="9"/>
    <w:next w:val="7"/>
    <w:link w:val="96"/>
    <w:qFormat/>
    <w:uiPriority w:val="0"/>
    <w:pPr>
      <w:numPr>
        <w:ilvl w:val="4"/>
      </w:numPr>
      <w:spacing w:line="240" w:lineRule="exact"/>
      <w:outlineLvl w:val="4"/>
    </w:pPr>
  </w:style>
  <w:style w:type="paragraph" w:styleId="11">
    <w:name w:val="heading 6"/>
    <w:basedOn w:val="1"/>
    <w:next w:val="1"/>
    <w:link w:val="97"/>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7"/>
    <w:link w:val="98"/>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7"/>
    <w:link w:val="99"/>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7"/>
    <w:link w:val="100"/>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101"/>
    <w:autoRedefine/>
    <w:qFormat/>
    <w:uiPriority w:val="0"/>
    <w:pPr>
      <w:spacing w:before="120" w:after="60"/>
      <w:jc w:val="center"/>
    </w:pPr>
    <w:rPr>
      <w:rFonts w:ascii="Arial" w:hAnsi="Arial"/>
      <w:b/>
      <w:sz w:val="44"/>
      <w:szCs w:val="20"/>
    </w:rPr>
  </w:style>
  <w:style w:type="paragraph" w:styleId="4">
    <w:name w:val="Body Text First Indent"/>
    <w:basedOn w:val="5"/>
    <w:link w:val="103"/>
    <w:qFormat/>
    <w:uiPriority w:val="0"/>
    <w:pPr>
      <w:ind w:firstLine="420"/>
    </w:pPr>
    <w:rPr>
      <w:rFonts w:ascii="Times New Roman" w:hAnsi="Times New Roman"/>
      <w:szCs w:val="20"/>
    </w:rPr>
  </w:style>
  <w:style w:type="paragraph" w:styleId="5">
    <w:name w:val="Body Text"/>
    <w:basedOn w:val="1"/>
    <w:next w:val="1"/>
    <w:link w:val="75"/>
    <w:autoRedefine/>
    <w:unhideWhenUsed/>
    <w:qFormat/>
    <w:uiPriority w:val="0"/>
    <w:pPr>
      <w:spacing w:line="276" w:lineRule="auto"/>
      <w:ind w:firstLine="309" w:firstLineChars="147"/>
    </w:pPr>
    <w:rPr>
      <w:rFonts w:ascii="宋体" w:hAnsi="宋体"/>
    </w:rPr>
  </w:style>
  <w:style w:type="paragraph" w:styleId="7">
    <w:name w:val="Normal Indent"/>
    <w:basedOn w:val="1"/>
    <w:link w:val="133"/>
    <w:autoRedefine/>
    <w:qFormat/>
    <w:uiPriority w:val="0"/>
    <w:pPr>
      <w:ind w:firstLine="420"/>
    </w:pPr>
    <w:rPr>
      <w:rFonts w:ascii="Times New Roman" w:hAnsi="Times New Roman"/>
      <w:szCs w:val="20"/>
    </w:rPr>
  </w:style>
  <w:style w:type="paragraph" w:styleId="15">
    <w:name w:val="toc 7"/>
    <w:basedOn w:val="1"/>
    <w:next w:val="1"/>
    <w:autoRedefine/>
    <w:qFormat/>
    <w:uiPriority w:val="0"/>
    <w:pPr>
      <w:ind w:left="1200" w:leftChars="1200"/>
    </w:pPr>
    <w:rPr>
      <w:rFonts w:ascii="Times New Roman" w:hAnsi="Times New Roman"/>
    </w:rPr>
  </w:style>
  <w:style w:type="paragraph" w:styleId="16">
    <w:name w:val="caption"/>
    <w:basedOn w:val="1"/>
    <w:next w:val="1"/>
    <w:autoRedefine/>
    <w:qFormat/>
    <w:uiPriority w:val="0"/>
    <w:rPr>
      <w:rFonts w:ascii="Arial" w:hAnsi="Arial" w:eastAsia="黑体" w:cs="Arial"/>
      <w:sz w:val="20"/>
      <w:szCs w:val="20"/>
    </w:rPr>
  </w:style>
  <w:style w:type="paragraph" w:styleId="17">
    <w:name w:val="List Bullet"/>
    <w:basedOn w:val="1"/>
    <w:autoRedefine/>
    <w:qFormat/>
    <w:uiPriority w:val="0"/>
    <w:pPr>
      <w:tabs>
        <w:tab w:val="left" w:pos="360"/>
      </w:tabs>
      <w:ind w:left="360" w:hanging="360"/>
    </w:pPr>
    <w:rPr>
      <w:rFonts w:ascii="Times New Roman" w:hAnsi="Times New Roman"/>
      <w:szCs w:val="24"/>
    </w:rPr>
  </w:style>
  <w:style w:type="paragraph" w:styleId="18">
    <w:name w:val="Document Map"/>
    <w:basedOn w:val="1"/>
    <w:link w:val="106"/>
    <w:autoRedefine/>
    <w:qFormat/>
    <w:uiPriority w:val="0"/>
    <w:pPr>
      <w:shd w:val="clear" w:color="auto" w:fill="000080"/>
    </w:pPr>
    <w:rPr>
      <w:rFonts w:ascii="Times New Roman" w:hAnsi="Times New Roman"/>
      <w:szCs w:val="20"/>
    </w:rPr>
  </w:style>
  <w:style w:type="paragraph" w:styleId="19">
    <w:name w:val="annotation text"/>
    <w:basedOn w:val="1"/>
    <w:link w:val="125"/>
    <w:qFormat/>
    <w:uiPriority w:val="0"/>
    <w:pPr>
      <w:spacing w:line="360" w:lineRule="auto"/>
      <w:ind w:firstLine="523" w:firstLineChars="218"/>
      <w:jc w:val="left"/>
    </w:pPr>
    <w:rPr>
      <w:rFonts w:ascii="宋体" w:hAnsi="宋体"/>
      <w:sz w:val="24"/>
      <w:szCs w:val="24"/>
    </w:rPr>
  </w:style>
  <w:style w:type="paragraph" w:styleId="20">
    <w:name w:val="Body Text 3"/>
    <w:basedOn w:val="1"/>
    <w:link w:val="144"/>
    <w:autoRedefine/>
    <w:qFormat/>
    <w:uiPriority w:val="0"/>
    <w:rPr>
      <w:rFonts w:ascii="宋体" w:hAnsi="宋体"/>
      <w:sz w:val="24"/>
      <w:szCs w:val="20"/>
    </w:rPr>
  </w:style>
  <w:style w:type="paragraph" w:styleId="21">
    <w:name w:val="Body Text Indent"/>
    <w:basedOn w:val="1"/>
    <w:link w:val="105"/>
    <w:autoRedefine/>
    <w:qFormat/>
    <w:uiPriority w:val="0"/>
    <w:pPr>
      <w:ind w:firstLine="570"/>
    </w:pPr>
    <w:rPr>
      <w:rFonts w:ascii="Times New Roman" w:hAnsi="Times New Roman"/>
      <w:sz w:val="28"/>
      <w:szCs w:val="20"/>
    </w:rPr>
  </w:style>
  <w:style w:type="paragraph" w:styleId="22">
    <w:name w:val="List 2"/>
    <w:basedOn w:val="1"/>
    <w:autoRedefine/>
    <w:qFormat/>
    <w:uiPriority w:val="0"/>
    <w:pPr>
      <w:ind w:left="200" w:leftChars="200" w:hanging="200" w:hangingChars="200"/>
    </w:pPr>
    <w:rPr>
      <w:rFonts w:ascii="Times New Roman" w:hAnsi="Times New Roman" w:eastAsia="楷体_GB2312"/>
      <w:szCs w:val="20"/>
    </w:rPr>
  </w:style>
  <w:style w:type="paragraph" w:styleId="23">
    <w:name w:val="List Bullet 2"/>
    <w:basedOn w:val="17"/>
    <w:autoRedefine/>
    <w:qFormat/>
    <w:uiPriority w:val="0"/>
    <w:pPr>
      <w:widowControl/>
      <w:tabs>
        <w:tab w:val="left" w:pos="432"/>
        <w:tab w:val="clear" w:pos="360"/>
      </w:tabs>
      <w:spacing w:after="220" w:line="220" w:lineRule="atLeast"/>
      <w:ind w:left="2160" w:right="720" w:hanging="432"/>
      <w:jc w:val="left"/>
    </w:pPr>
    <w:rPr>
      <w:kern w:val="0"/>
      <w:szCs w:val="20"/>
    </w:rPr>
  </w:style>
  <w:style w:type="paragraph" w:styleId="24">
    <w:name w:val="toc 5"/>
    <w:basedOn w:val="1"/>
    <w:next w:val="1"/>
    <w:autoRedefine/>
    <w:qFormat/>
    <w:uiPriority w:val="0"/>
    <w:pPr>
      <w:ind w:left="800" w:leftChars="800"/>
    </w:pPr>
    <w:rPr>
      <w:rFonts w:ascii="Times New Roman" w:hAnsi="Times New Roman"/>
    </w:rPr>
  </w:style>
  <w:style w:type="paragraph" w:styleId="25">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26">
    <w:name w:val="Plain Text"/>
    <w:basedOn w:val="1"/>
    <w:link w:val="107"/>
    <w:autoRedefine/>
    <w:qFormat/>
    <w:uiPriority w:val="0"/>
    <w:rPr>
      <w:rFonts w:ascii="宋体" w:hAnsi="Courier New"/>
      <w:szCs w:val="20"/>
    </w:rPr>
  </w:style>
  <w:style w:type="paragraph" w:styleId="27">
    <w:name w:val="toc 8"/>
    <w:basedOn w:val="1"/>
    <w:next w:val="1"/>
    <w:autoRedefine/>
    <w:qFormat/>
    <w:uiPriority w:val="0"/>
    <w:pPr>
      <w:ind w:left="1400" w:leftChars="1400"/>
    </w:pPr>
    <w:rPr>
      <w:rFonts w:ascii="Times New Roman" w:hAnsi="Times New Roman"/>
    </w:rPr>
  </w:style>
  <w:style w:type="paragraph" w:styleId="28">
    <w:name w:val="Date"/>
    <w:basedOn w:val="1"/>
    <w:next w:val="1"/>
    <w:link w:val="104"/>
    <w:autoRedefine/>
    <w:qFormat/>
    <w:uiPriority w:val="0"/>
    <w:rPr>
      <w:rFonts w:ascii="Times New Roman" w:hAnsi="Times New Roman"/>
      <w:szCs w:val="20"/>
    </w:rPr>
  </w:style>
  <w:style w:type="paragraph" w:styleId="29">
    <w:name w:val="Body Text Indent 2"/>
    <w:basedOn w:val="1"/>
    <w:link w:val="108"/>
    <w:autoRedefine/>
    <w:qFormat/>
    <w:uiPriority w:val="0"/>
    <w:pPr>
      <w:spacing w:line="400" w:lineRule="exact"/>
      <w:ind w:left="425"/>
    </w:pPr>
    <w:rPr>
      <w:rFonts w:ascii="Times New Roman" w:hAnsi="Times New Roman"/>
      <w:color w:val="000000"/>
      <w:sz w:val="24"/>
      <w:szCs w:val="20"/>
    </w:rPr>
  </w:style>
  <w:style w:type="paragraph" w:styleId="30">
    <w:name w:val="endnote text"/>
    <w:basedOn w:val="1"/>
    <w:link w:val="114"/>
    <w:autoRedefine/>
    <w:qFormat/>
    <w:uiPriority w:val="0"/>
    <w:pPr>
      <w:snapToGrid w:val="0"/>
      <w:jc w:val="left"/>
    </w:pPr>
    <w:rPr>
      <w:rFonts w:ascii="Times New Roman" w:hAnsi="Times New Roman"/>
      <w:szCs w:val="20"/>
    </w:rPr>
  </w:style>
  <w:style w:type="paragraph" w:styleId="31">
    <w:name w:val="Balloon Text"/>
    <w:basedOn w:val="1"/>
    <w:link w:val="123"/>
    <w:autoRedefine/>
    <w:qFormat/>
    <w:uiPriority w:val="0"/>
    <w:rPr>
      <w:rFonts w:ascii="Times New Roman" w:hAnsi="Times New Roman"/>
      <w:sz w:val="18"/>
      <w:szCs w:val="18"/>
    </w:rPr>
  </w:style>
  <w:style w:type="paragraph" w:styleId="32">
    <w:name w:val="footer"/>
    <w:basedOn w:val="1"/>
    <w:link w:val="92"/>
    <w:autoRedefine/>
    <w:unhideWhenUsed/>
    <w:qFormat/>
    <w:uiPriority w:val="99"/>
    <w:pPr>
      <w:tabs>
        <w:tab w:val="center" w:pos="4153"/>
        <w:tab w:val="right" w:pos="8306"/>
      </w:tabs>
      <w:snapToGrid w:val="0"/>
      <w:jc w:val="left"/>
    </w:pPr>
    <w:rPr>
      <w:sz w:val="18"/>
      <w:szCs w:val="18"/>
    </w:rPr>
  </w:style>
  <w:style w:type="paragraph" w:styleId="33">
    <w:name w:val="header"/>
    <w:basedOn w:val="1"/>
    <w:link w:val="9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right" w:leader="dot" w:pos="9072"/>
      </w:tabs>
      <w:adjustRightInd w:val="0"/>
      <w:snapToGrid w:val="0"/>
      <w:jc w:val="left"/>
      <w:textAlignment w:val="baseline"/>
    </w:pPr>
    <w:rPr>
      <w:rFonts w:ascii="宋体" w:hAnsi="宋体"/>
      <w:caps/>
      <w:kern w:val="0"/>
      <w:sz w:val="24"/>
      <w:szCs w:val="32"/>
    </w:rPr>
  </w:style>
  <w:style w:type="paragraph" w:styleId="35">
    <w:name w:val="toc 4"/>
    <w:basedOn w:val="1"/>
    <w:next w:val="1"/>
    <w:autoRedefine/>
    <w:qFormat/>
    <w:uiPriority w:val="0"/>
    <w:pPr>
      <w:ind w:left="600" w:leftChars="600"/>
    </w:pPr>
    <w:rPr>
      <w:rFonts w:ascii="Times New Roman" w:hAnsi="Times New Roman"/>
    </w:rPr>
  </w:style>
  <w:style w:type="paragraph" w:styleId="36">
    <w:name w:val="Subtitle"/>
    <w:basedOn w:val="1"/>
    <w:next w:val="1"/>
    <w:link w:val="154"/>
    <w:autoRedefine/>
    <w:qFormat/>
    <w:uiPriority w:val="0"/>
    <w:pPr>
      <w:widowControl/>
      <w:spacing w:after="60"/>
      <w:jc w:val="center"/>
      <w:outlineLvl w:val="1"/>
    </w:pPr>
    <w:rPr>
      <w:rFonts w:ascii="Arial" w:hAnsi="Arial" w:eastAsia="黑体"/>
      <w:b/>
      <w:bCs/>
      <w:sz w:val="32"/>
      <w:szCs w:val="32"/>
    </w:rPr>
  </w:style>
  <w:style w:type="paragraph" w:styleId="37">
    <w:name w:val="List"/>
    <w:basedOn w:val="5"/>
    <w:autoRedefine/>
    <w:qFormat/>
    <w:uiPriority w:val="0"/>
    <w:pPr>
      <w:suppressAutoHyphens/>
    </w:pPr>
    <w:rPr>
      <w:rFonts w:ascii="Times New Roman" w:eastAsia="黑体"/>
      <w:kern w:val="0"/>
      <w:sz w:val="24"/>
      <w:szCs w:val="20"/>
      <w:lang w:eastAsia="ar-SA"/>
    </w:rPr>
  </w:style>
  <w:style w:type="paragraph" w:styleId="38">
    <w:name w:val="footnote text"/>
    <w:basedOn w:val="1"/>
    <w:link w:val="126"/>
    <w:qFormat/>
    <w:uiPriority w:val="0"/>
    <w:pPr>
      <w:snapToGrid w:val="0"/>
      <w:spacing w:line="360" w:lineRule="auto"/>
      <w:ind w:firstLine="523" w:firstLineChars="218"/>
      <w:jc w:val="left"/>
    </w:pPr>
    <w:rPr>
      <w:rFonts w:ascii="宋体" w:hAnsi="宋体"/>
      <w:sz w:val="18"/>
      <w:szCs w:val="18"/>
    </w:rPr>
  </w:style>
  <w:style w:type="paragraph" w:styleId="39">
    <w:name w:val="toc 6"/>
    <w:basedOn w:val="1"/>
    <w:next w:val="1"/>
    <w:autoRedefine/>
    <w:qFormat/>
    <w:uiPriority w:val="0"/>
    <w:pPr>
      <w:ind w:left="1000" w:leftChars="1000"/>
    </w:pPr>
    <w:rPr>
      <w:rFonts w:ascii="Times New Roman" w:hAnsi="Times New Roman"/>
    </w:rPr>
  </w:style>
  <w:style w:type="paragraph" w:styleId="40">
    <w:name w:val="Body Text Indent 3"/>
    <w:basedOn w:val="1"/>
    <w:link w:val="109"/>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41">
    <w:name w:val="table of figures"/>
    <w:basedOn w:val="1"/>
    <w:next w:val="1"/>
    <w:autoRedefine/>
    <w:qFormat/>
    <w:uiPriority w:val="0"/>
    <w:pPr>
      <w:ind w:left="200" w:leftChars="200" w:hanging="200" w:hangingChars="200"/>
    </w:pPr>
    <w:rPr>
      <w:rFonts w:ascii="Times New Roman" w:hAnsi="Times New Roman"/>
    </w:rPr>
  </w:style>
  <w:style w:type="paragraph" w:styleId="42">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43">
    <w:name w:val="toc 9"/>
    <w:basedOn w:val="1"/>
    <w:next w:val="1"/>
    <w:qFormat/>
    <w:uiPriority w:val="0"/>
    <w:pPr>
      <w:ind w:left="1600" w:leftChars="1600"/>
    </w:pPr>
    <w:rPr>
      <w:rFonts w:ascii="Times New Roman" w:hAnsi="Times New Roman"/>
    </w:rPr>
  </w:style>
  <w:style w:type="paragraph" w:styleId="44">
    <w:name w:val="Body Text 2"/>
    <w:basedOn w:val="1"/>
    <w:link w:val="112"/>
    <w:autoRedefine/>
    <w:qFormat/>
    <w:uiPriority w:val="0"/>
    <w:rPr>
      <w:rFonts w:ascii="宋体" w:hAnsi="宋体"/>
      <w:szCs w:val="24"/>
      <w:u w:val="single"/>
    </w:rPr>
  </w:style>
  <w:style w:type="paragraph" w:styleId="4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46">
    <w:name w:val="index 1"/>
    <w:basedOn w:val="1"/>
    <w:next w:val="1"/>
    <w:autoRedefine/>
    <w:qFormat/>
    <w:uiPriority w:val="0"/>
    <w:rPr>
      <w:rFonts w:ascii="Times New Roman" w:hAnsi="Times New Roman" w:eastAsia="仿宋_GB2312"/>
      <w:sz w:val="28"/>
      <w:szCs w:val="20"/>
    </w:rPr>
  </w:style>
  <w:style w:type="paragraph" w:styleId="47">
    <w:name w:val="annotation subject"/>
    <w:basedOn w:val="19"/>
    <w:next w:val="19"/>
    <w:link w:val="127"/>
    <w:autoRedefine/>
    <w:qFormat/>
    <w:uiPriority w:val="0"/>
    <w:rPr>
      <w:b/>
      <w:bCs/>
    </w:rPr>
  </w:style>
  <w:style w:type="paragraph" w:styleId="48">
    <w:name w:val="Body Text First Indent 2"/>
    <w:basedOn w:val="21"/>
    <w:link w:val="466"/>
    <w:semiHidden/>
    <w:unhideWhenUsed/>
    <w:qFormat/>
    <w:uiPriority w:val="99"/>
    <w:pPr>
      <w:spacing w:after="120"/>
      <w:ind w:left="420" w:leftChars="200" w:firstLine="420" w:firstLineChars="200"/>
    </w:pPr>
    <w:rPr>
      <w:rFonts w:ascii="Calibri" w:hAnsi="Calibri"/>
      <w:sz w:val="21"/>
      <w:szCs w:val="22"/>
    </w:r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autoRedefine/>
    <w:qFormat/>
    <w:uiPriority w:val="0"/>
    <w:rPr>
      <w:b/>
    </w:rPr>
  </w:style>
  <w:style w:type="character" w:styleId="53">
    <w:name w:val="endnote reference"/>
    <w:autoRedefine/>
    <w:qFormat/>
    <w:uiPriority w:val="0"/>
    <w:rPr>
      <w:vertAlign w:val="superscript"/>
    </w:rPr>
  </w:style>
  <w:style w:type="character" w:styleId="54">
    <w:name w:val="page number"/>
    <w:autoRedefine/>
    <w:qFormat/>
    <w:uiPriority w:val="0"/>
    <w:rPr>
      <w:rFonts w:cs="Times New Roman"/>
    </w:rPr>
  </w:style>
  <w:style w:type="character" w:styleId="55">
    <w:name w:val="FollowedHyperlink"/>
    <w:autoRedefine/>
    <w:unhideWhenUsed/>
    <w:qFormat/>
    <w:uiPriority w:val="0"/>
    <w:rPr>
      <w:color w:val="954F72"/>
      <w:u w:val="single"/>
    </w:rPr>
  </w:style>
  <w:style w:type="character" w:styleId="56">
    <w:name w:val="Emphasis"/>
    <w:autoRedefine/>
    <w:qFormat/>
    <w:uiPriority w:val="0"/>
    <w:rPr>
      <w:color w:val="CC0000"/>
    </w:rPr>
  </w:style>
  <w:style w:type="character" w:styleId="57">
    <w:name w:val="HTML Definition"/>
    <w:autoRedefine/>
    <w:unhideWhenUsed/>
    <w:qFormat/>
    <w:uiPriority w:val="99"/>
    <w:rPr>
      <w:i/>
      <w:iCs/>
    </w:rPr>
  </w:style>
  <w:style w:type="character" w:styleId="58">
    <w:name w:val="Hyperlink"/>
    <w:autoRedefine/>
    <w:qFormat/>
    <w:uiPriority w:val="99"/>
    <w:rPr>
      <w:color w:val="0000FF"/>
      <w:u w:val="single"/>
    </w:rPr>
  </w:style>
  <w:style w:type="character" w:styleId="59">
    <w:name w:val="HTML Code"/>
    <w:autoRedefine/>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60">
    <w:name w:val="annotation reference"/>
    <w:autoRedefine/>
    <w:qFormat/>
    <w:uiPriority w:val="99"/>
    <w:rPr>
      <w:sz w:val="21"/>
      <w:szCs w:val="21"/>
    </w:rPr>
  </w:style>
  <w:style w:type="character" w:styleId="61">
    <w:name w:val="footnote reference"/>
    <w:qFormat/>
    <w:uiPriority w:val="0"/>
    <w:rPr>
      <w:vertAlign w:val="superscript"/>
    </w:rPr>
  </w:style>
  <w:style w:type="character" w:styleId="62">
    <w:name w:val="HTML Keyboard"/>
    <w:unhideWhenUsed/>
    <w:qFormat/>
    <w:uiPriority w:val="99"/>
    <w:rPr>
      <w:rFonts w:hint="default" w:ascii="Consolas" w:hAnsi="Consolas" w:eastAsia="Consolas" w:cs="Consolas"/>
      <w:color w:val="FFFFFF"/>
      <w:sz w:val="21"/>
      <w:szCs w:val="21"/>
      <w:shd w:val="clear" w:color="auto" w:fill="333333"/>
    </w:rPr>
  </w:style>
  <w:style w:type="character" w:styleId="63">
    <w:name w:val="HTML Sample"/>
    <w:autoRedefine/>
    <w:unhideWhenUsed/>
    <w:qFormat/>
    <w:uiPriority w:val="99"/>
    <w:rPr>
      <w:rFonts w:ascii="Consolas" w:hAnsi="Consolas" w:eastAsia="Consolas" w:cs="Consolas"/>
      <w:sz w:val="21"/>
      <w:szCs w:val="21"/>
    </w:rPr>
  </w:style>
  <w:style w:type="character" w:customStyle="1" w:styleId="64">
    <w:name w:val="标题 1 字符"/>
    <w:basedOn w:val="51"/>
    <w:autoRedefine/>
    <w:qFormat/>
    <w:uiPriority w:val="9"/>
    <w:rPr>
      <w:rFonts w:ascii="Calibri" w:hAnsi="Calibri" w:eastAsia="宋体" w:cs="Times New Roman"/>
      <w:b/>
      <w:bCs/>
      <w:kern w:val="44"/>
      <w:sz w:val="44"/>
      <w:szCs w:val="44"/>
    </w:rPr>
  </w:style>
  <w:style w:type="character" w:customStyle="1" w:styleId="65">
    <w:name w:val="标题 2 字符"/>
    <w:basedOn w:val="51"/>
    <w:autoRedefine/>
    <w:qFormat/>
    <w:uiPriority w:val="9"/>
    <w:rPr>
      <w:rFonts w:asciiTheme="majorHAnsi" w:hAnsiTheme="majorHAnsi" w:eastAsiaTheme="majorEastAsia" w:cstheme="majorBidi"/>
      <w:b/>
      <w:bCs/>
      <w:sz w:val="32"/>
      <w:szCs w:val="32"/>
    </w:rPr>
  </w:style>
  <w:style w:type="character" w:customStyle="1" w:styleId="66">
    <w:name w:val="标题 3 字符"/>
    <w:basedOn w:val="51"/>
    <w:autoRedefine/>
    <w:qFormat/>
    <w:uiPriority w:val="9"/>
    <w:rPr>
      <w:rFonts w:ascii="Calibri" w:hAnsi="Calibri" w:eastAsia="宋体" w:cs="Times New Roman"/>
      <w:b/>
      <w:bCs/>
      <w:sz w:val="32"/>
      <w:szCs w:val="32"/>
    </w:rPr>
  </w:style>
  <w:style w:type="character" w:customStyle="1" w:styleId="67">
    <w:name w:val="标题 4 字符"/>
    <w:basedOn w:val="51"/>
    <w:autoRedefine/>
    <w:qFormat/>
    <w:uiPriority w:val="9"/>
    <w:rPr>
      <w:rFonts w:asciiTheme="majorHAnsi" w:hAnsiTheme="majorHAnsi" w:eastAsiaTheme="majorEastAsia" w:cstheme="majorBidi"/>
      <w:b/>
      <w:bCs/>
      <w:sz w:val="28"/>
      <w:szCs w:val="28"/>
    </w:rPr>
  </w:style>
  <w:style w:type="character" w:customStyle="1" w:styleId="68">
    <w:name w:val="标题 5 字符"/>
    <w:basedOn w:val="51"/>
    <w:qFormat/>
    <w:uiPriority w:val="9"/>
    <w:rPr>
      <w:rFonts w:ascii="Calibri" w:hAnsi="Calibri" w:eastAsia="宋体" w:cs="Times New Roman"/>
      <w:b/>
      <w:bCs/>
      <w:sz w:val="28"/>
      <w:szCs w:val="28"/>
    </w:rPr>
  </w:style>
  <w:style w:type="character" w:customStyle="1" w:styleId="69">
    <w:name w:val="标题 6 字符"/>
    <w:basedOn w:val="51"/>
    <w:autoRedefine/>
    <w:qFormat/>
    <w:uiPriority w:val="9"/>
    <w:rPr>
      <w:rFonts w:asciiTheme="majorHAnsi" w:hAnsiTheme="majorHAnsi" w:eastAsiaTheme="majorEastAsia" w:cstheme="majorBidi"/>
      <w:b/>
      <w:bCs/>
      <w:sz w:val="24"/>
      <w:szCs w:val="24"/>
    </w:rPr>
  </w:style>
  <w:style w:type="character" w:customStyle="1" w:styleId="70">
    <w:name w:val="标题 7 字符"/>
    <w:basedOn w:val="51"/>
    <w:autoRedefine/>
    <w:qFormat/>
    <w:uiPriority w:val="9"/>
    <w:rPr>
      <w:rFonts w:ascii="Calibri" w:hAnsi="Calibri" w:eastAsia="宋体" w:cs="Times New Roman"/>
      <w:b/>
      <w:bCs/>
      <w:sz w:val="24"/>
      <w:szCs w:val="24"/>
    </w:rPr>
  </w:style>
  <w:style w:type="character" w:customStyle="1" w:styleId="71">
    <w:name w:val="标题 8 字符"/>
    <w:basedOn w:val="51"/>
    <w:autoRedefine/>
    <w:qFormat/>
    <w:uiPriority w:val="9"/>
    <w:rPr>
      <w:rFonts w:asciiTheme="majorHAnsi" w:hAnsiTheme="majorHAnsi" w:eastAsiaTheme="majorEastAsia" w:cstheme="majorBidi"/>
      <w:sz w:val="24"/>
      <w:szCs w:val="24"/>
    </w:rPr>
  </w:style>
  <w:style w:type="character" w:customStyle="1" w:styleId="72">
    <w:name w:val="标题 9 字符"/>
    <w:basedOn w:val="51"/>
    <w:autoRedefine/>
    <w:qFormat/>
    <w:uiPriority w:val="9"/>
    <w:rPr>
      <w:rFonts w:asciiTheme="majorHAnsi" w:hAnsiTheme="majorHAnsi" w:eastAsiaTheme="majorEastAsia" w:cstheme="majorBidi"/>
      <w:szCs w:val="21"/>
    </w:rPr>
  </w:style>
  <w:style w:type="character" w:customStyle="1" w:styleId="73">
    <w:name w:val="纯文本 字符"/>
    <w:basedOn w:val="51"/>
    <w:autoRedefine/>
    <w:qFormat/>
    <w:uiPriority w:val="99"/>
    <w:rPr>
      <w:rFonts w:hAnsi="Courier New" w:cs="Courier New" w:asciiTheme="minorEastAsia"/>
    </w:rPr>
  </w:style>
  <w:style w:type="character" w:customStyle="1" w:styleId="74">
    <w:name w:val="标题 字符"/>
    <w:basedOn w:val="51"/>
    <w:autoRedefine/>
    <w:qFormat/>
    <w:uiPriority w:val="10"/>
    <w:rPr>
      <w:rFonts w:asciiTheme="majorHAnsi" w:hAnsiTheme="majorHAnsi" w:eastAsiaTheme="majorEastAsia" w:cstheme="majorBidi"/>
      <w:b/>
      <w:bCs/>
      <w:sz w:val="32"/>
      <w:szCs w:val="32"/>
    </w:rPr>
  </w:style>
  <w:style w:type="character" w:customStyle="1" w:styleId="75">
    <w:name w:val="正文文本 字符"/>
    <w:basedOn w:val="51"/>
    <w:link w:val="5"/>
    <w:autoRedefine/>
    <w:qFormat/>
    <w:uiPriority w:val="0"/>
    <w:rPr>
      <w:rFonts w:ascii="宋体" w:hAnsi="宋体"/>
      <w:kern w:val="2"/>
      <w:sz w:val="21"/>
      <w:szCs w:val="22"/>
    </w:rPr>
  </w:style>
  <w:style w:type="character" w:customStyle="1" w:styleId="76">
    <w:name w:val="正文首行缩进 字符"/>
    <w:basedOn w:val="75"/>
    <w:autoRedefine/>
    <w:qFormat/>
    <w:uiPriority w:val="99"/>
    <w:rPr>
      <w:rFonts w:ascii="Calibri" w:hAnsi="Calibri" w:eastAsia="宋体" w:cs="Times New Roman"/>
      <w:kern w:val="2"/>
      <w:sz w:val="21"/>
      <w:szCs w:val="22"/>
    </w:rPr>
  </w:style>
  <w:style w:type="character" w:customStyle="1" w:styleId="77">
    <w:name w:val="文档结构图 字符"/>
    <w:basedOn w:val="51"/>
    <w:autoRedefine/>
    <w:qFormat/>
    <w:uiPriority w:val="99"/>
    <w:rPr>
      <w:rFonts w:ascii="Microsoft YaHei UI" w:hAnsi="Calibri" w:eastAsia="Microsoft YaHei UI" w:cs="Times New Roman"/>
      <w:sz w:val="18"/>
      <w:szCs w:val="18"/>
    </w:rPr>
  </w:style>
  <w:style w:type="character" w:customStyle="1" w:styleId="78">
    <w:name w:val="批注文字 字符"/>
    <w:basedOn w:val="51"/>
    <w:autoRedefine/>
    <w:qFormat/>
    <w:uiPriority w:val="99"/>
    <w:rPr>
      <w:rFonts w:ascii="Calibri" w:hAnsi="Calibri" w:eastAsia="宋体" w:cs="Times New Roman"/>
    </w:rPr>
  </w:style>
  <w:style w:type="character" w:customStyle="1" w:styleId="79">
    <w:name w:val="正文文本缩进 字符"/>
    <w:basedOn w:val="51"/>
    <w:qFormat/>
    <w:uiPriority w:val="99"/>
    <w:rPr>
      <w:rFonts w:ascii="Calibri" w:hAnsi="Calibri" w:eastAsia="宋体" w:cs="Times New Roman"/>
    </w:rPr>
  </w:style>
  <w:style w:type="character" w:customStyle="1" w:styleId="80">
    <w:name w:val="日期 字符"/>
    <w:basedOn w:val="51"/>
    <w:autoRedefine/>
    <w:qFormat/>
    <w:uiPriority w:val="99"/>
    <w:rPr>
      <w:rFonts w:ascii="Calibri" w:hAnsi="Calibri" w:eastAsia="宋体" w:cs="Times New Roman"/>
    </w:rPr>
  </w:style>
  <w:style w:type="character" w:customStyle="1" w:styleId="81">
    <w:name w:val="正文文本缩进 2 字符"/>
    <w:basedOn w:val="51"/>
    <w:qFormat/>
    <w:uiPriority w:val="99"/>
    <w:rPr>
      <w:rFonts w:ascii="Calibri" w:hAnsi="Calibri" w:eastAsia="宋体" w:cs="Times New Roman"/>
    </w:rPr>
  </w:style>
  <w:style w:type="character" w:customStyle="1" w:styleId="82">
    <w:name w:val="尾注文本 字符"/>
    <w:basedOn w:val="51"/>
    <w:autoRedefine/>
    <w:qFormat/>
    <w:uiPriority w:val="99"/>
    <w:rPr>
      <w:rFonts w:ascii="Calibri" w:hAnsi="Calibri" w:eastAsia="宋体" w:cs="Times New Roman"/>
    </w:rPr>
  </w:style>
  <w:style w:type="character" w:customStyle="1" w:styleId="83">
    <w:name w:val="批注框文本 字符"/>
    <w:basedOn w:val="51"/>
    <w:autoRedefine/>
    <w:qFormat/>
    <w:uiPriority w:val="99"/>
    <w:rPr>
      <w:rFonts w:ascii="Calibri" w:hAnsi="Calibri" w:eastAsia="宋体" w:cs="Times New Roman"/>
      <w:sz w:val="18"/>
      <w:szCs w:val="18"/>
    </w:rPr>
  </w:style>
  <w:style w:type="character" w:customStyle="1" w:styleId="84">
    <w:name w:val="页脚 字符"/>
    <w:basedOn w:val="51"/>
    <w:autoRedefine/>
    <w:qFormat/>
    <w:uiPriority w:val="99"/>
    <w:rPr>
      <w:rFonts w:ascii="Calibri" w:hAnsi="Calibri" w:eastAsia="宋体" w:cs="Times New Roman"/>
      <w:sz w:val="18"/>
      <w:szCs w:val="18"/>
    </w:rPr>
  </w:style>
  <w:style w:type="character" w:customStyle="1" w:styleId="85">
    <w:name w:val="页眉 字符"/>
    <w:basedOn w:val="51"/>
    <w:autoRedefine/>
    <w:qFormat/>
    <w:uiPriority w:val="99"/>
    <w:rPr>
      <w:rFonts w:ascii="Calibri" w:hAnsi="Calibri" w:eastAsia="宋体" w:cs="Times New Roman"/>
      <w:sz w:val="18"/>
      <w:szCs w:val="18"/>
    </w:rPr>
  </w:style>
  <w:style w:type="character" w:customStyle="1" w:styleId="86">
    <w:name w:val="脚注文本 字符"/>
    <w:basedOn w:val="51"/>
    <w:autoRedefine/>
    <w:qFormat/>
    <w:uiPriority w:val="99"/>
    <w:rPr>
      <w:rFonts w:ascii="Calibri" w:hAnsi="Calibri" w:eastAsia="宋体" w:cs="Times New Roman"/>
      <w:sz w:val="18"/>
      <w:szCs w:val="18"/>
    </w:rPr>
  </w:style>
  <w:style w:type="character" w:customStyle="1" w:styleId="87">
    <w:name w:val="正文文本缩进 3 字符"/>
    <w:basedOn w:val="51"/>
    <w:autoRedefine/>
    <w:qFormat/>
    <w:uiPriority w:val="99"/>
    <w:rPr>
      <w:rFonts w:ascii="Calibri" w:hAnsi="Calibri" w:eastAsia="宋体" w:cs="Times New Roman"/>
      <w:sz w:val="16"/>
      <w:szCs w:val="16"/>
    </w:rPr>
  </w:style>
  <w:style w:type="character" w:customStyle="1" w:styleId="88">
    <w:name w:val="正文文本 2 字符"/>
    <w:basedOn w:val="51"/>
    <w:autoRedefine/>
    <w:qFormat/>
    <w:uiPriority w:val="99"/>
    <w:rPr>
      <w:rFonts w:ascii="Calibri" w:hAnsi="Calibri" w:eastAsia="宋体" w:cs="Times New Roman"/>
    </w:rPr>
  </w:style>
  <w:style w:type="character" w:customStyle="1" w:styleId="89">
    <w:name w:val="批注主题 字符"/>
    <w:basedOn w:val="78"/>
    <w:qFormat/>
    <w:uiPriority w:val="99"/>
    <w:rPr>
      <w:rFonts w:ascii="Calibri" w:hAnsi="Calibri" w:eastAsia="宋体" w:cs="Times New Roman"/>
      <w:b/>
      <w:bCs/>
    </w:rPr>
  </w:style>
  <w:style w:type="character" w:customStyle="1" w:styleId="90">
    <w:name w:val="标题 3 字符1"/>
    <w:link w:val="8"/>
    <w:autoRedefine/>
    <w:qFormat/>
    <w:uiPriority w:val="0"/>
    <w:rPr>
      <w:rFonts w:ascii="宋体" w:hAnsi="宋体" w:eastAsia="宋体" w:cs="宋体"/>
      <w:kern w:val="0"/>
      <w:sz w:val="24"/>
      <w:szCs w:val="24"/>
    </w:rPr>
  </w:style>
  <w:style w:type="character" w:customStyle="1" w:styleId="91">
    <w:name w:val="页眉 字符1"/>
    <w:link w:val="33"/>
    <w:autoRedefine/>
    <w:qFormat/>
    <w:uiPriority w:val="0"/>
    <w:rPr>
      <w:rFonts w:ascii="Calibri" w:hAnsi="Calibri" w:eastAsia="宋体" w:cs="Times New Roman"/>
      <w:sz w:val="18"/>
      <w:szCs w:val="18"/>
    </w:rPr>
  </w:style>
  <w:style w:type="character" w:customStyle="1" w:styleId="92">
    <w:name w:val="页脚 字符1"/>
    <w:link w:val="32"/>
    <w:autoRedefine/>
    <w:qFormat/>
    <w:uiPriority w:val="0"/>
    <w:rPr>
      <w:rFonts w:ascii="Calibri" w:hAnsi="Calibri" w:eastAsia="宋体" w:cs="Times New Roman"/>
      <w:sz w:val="18"/>
      <w:szCs w:val="18"/>
    </w:rPr>
  </w:style>
  <w:style w:type="character" w:customStyle="1" w:styleId="93">
    <w:name w:val="标题 1 字符1"/>
    <w:link w:val="2"/>
    <w:autoRedefine/>
    <w:qFormat/>
    <w:uiPriority w:val="0"/>
    <w:rPr>
      <w:rFonts w:ascii="Arial" w:hAnsi="Arial" w:eastAsia="宋体" w:cs="Times New Roman"/>
      <w:b/>
      <w:kern w:val="44"/>
      <w:sz w:val="28"/>
      <w:szCs w:val="28"/>
    </w:rPr>
  </w:style>
  <w:style w:type="character" w:customStyle="1" w:styleId="94">
    <w:name w:val="标题 2 字符1"/>
    <w:link w:val="6"/>
    <w:autoRedefine/>
    <w:qFormat/>
    <w:uiPriority w:val="0"/>
    <w:rPr>
      <w:rFonts w:ascii="Arial" w:hAnsi="Arial" w:eastAsia="宋体" w:cs="Times New Roman"/>
      <w:b/>
      <w:color w:val="000000"/>
      <w:sz w:val="24"/>
      <w:szCs w:val="24"/>
    </w:rPr>
  </w:style>
  <w:style w:type="character" w:customStyle="1" w:styleId="95">
    <w:name w:val="标题 4 字符1"/>
    <w:link w:val="9"/>
    <w:autoRedefine/>
    <w:qFormat/>
    <w:uiPriority w:val="0"/>
    <w:rPr>
      <w:rFonts w:ascii="Arial" w:hAnsi="Arial" w:eastAsia="宋体" w:cs="Times New Roman"/>
      <w:color w:val="000000"/>
      <w:szCs w:val="21"/>
    </w:rPr>
  </w:style>
  <w:style w:type="character" w:customStyle="1" w:styleId="96">
    <w:name w:val="标题 5 字符1"/>
    <w:link w:val="10"/>
    <w:autoRedefine/>
    <w:qFormat/>
    <w:uiPriority w:val="0"/>
    <w:rPr>
      <w:rFonts w:ascii="Arial" w:hAnsi="Arial" w:eastAsia="宋体" w:cs="Times New Roman"/>
      <w:color w:val="000000"/>
      <w:szCs w:val="21"/>
    </w:rPr>
  </w:style>
  <w:style w:type="character" w:customStyle="1" w:styleId="97">
    <w:name w:val="标题 6 字符1"/>
    <w:link w:val="11"/>
    <w:qFormat/>
    <w:uiPriority w:val="0"/>
    <w:rPr>
      <w:rFonts w:ascii="Arial" w:hAnsi="Arial" w:eastAsia="黑体" w:cs="Times New Roman"/>
      <w:b/>
      <w:bCs/>
      <w:sz w:val="24"/>
      <w:szCs w:val="24"/>
    </w:rPr>
  </w:style>
  <w:style w:type="character" w:customStyle="1" w:styleId="98">
    <w:name w:val="标题 7 字符1"/>
    <w:link w:val="12"/>
    <w:autoRedefine/>
    <w:qFormat/>
    <w:uiPriority w:val="0"/>
    <w:rPr>
      <w:rFonts w:ascii="Times New Roman" w:hAnsi="Times New Roman" w:eastAsia="宋体" w:cs="Times New Roman"/>
      <w:b/>
      <w:sz w:val="24"/>
      <w:szCs w:val="20"/>
    </w:rPr>
  </w:style>
  <w:style w:type="character" w:customStyle="1" w:styleId="99">
    <w:name w:val="标题 8 字符1"/>
    <w:link w:val="13"/>
    <w:qFormat/>
    <w:uiPriority w:val="0"/>
    <w:rPr>
      <w:rFonts w:ascii="Arial" w:hAnsi="Arial" w:eastAsia="黑体" w:cs="Times New Roman"/>
      <w:sz w:val="24"/>
      <w:szCs w:val="20"/>
    </w:rPr>
  </w:style>
  <w:style w:type="character" w:customStyle="1" w:styleId="100">
    <w:name w:val="标题 9 字符1"/>
    <w:link w:val="14"/>
    <w:autoRedefine/>
    <w:qFormat/>
    <w:uiPriority w:val="0"/>
    <w:rPr>
      <w:rFonts w:ascii="Arial" w:hAnsi="Arial" w:eastAsia="黑体" w:cs="Times New Roman"/>
      <w:szCs w:val="20"/>
    </w:rPr>
  </w:style>
  <w:style w:type="character" w:customStyle="1" w:styleId="101">
    <w:name w:val="标题 字符1"/>
    <w:link w:val="3"/>
    <w:autoRedefine/>
    <w:qFormat/>
    <w:uiPriority w:val="0"/>
    <w:rPr>
      <w:rFonts w:ascii="Arial" w:hAnsi="Arial" w:eastAsia="宋体" w:cs="Times New Roman"/>
      <w:b/>
      <w:sz w:val="44"/>
      <w:szCs w:val="20"/>
    </w:rPr>
  </w:style>
  <w:style w:type="character" w:customStyle="1" w:styleId="102">
    <w:name w:val="正文文本 字符1"/>
    <w:autoRedefine/>
    <w:qFormat/>
    <w:uiPriority w:val="0"/>
    <w:rPr>
      <w:rFonts w:ascii="Times New Roman" w:hAnsi="Times New Roman" w:eastAsia="宋体" w:cs="Times New Roman"/>
      <w:szCs w:val="20"/>
    </w:rPr>
  </w:style>
  <w:style w:type="character" w:customStyle="1" w:styleId="103">
    <w:name w:val="正文文本首行缩进 字符1"/>
    <w:link w:val="4"/>
    <w:autoRedefine/>
    <w:qFormat/>
    <w:uiPriority w:val="0"/>
    <w:rPr>
      <w:rFonts w:ascii="Times New Roman" w:hAnsi="Times New Roman" w:eastAsia="宋体" w:cs="Times New Roman"/>
      <w:szCs w:val="20"/>
    </w:rPr>
  </w:style>
  <w:style w:type="character" w:customStyle="1" w:styleId="104">
    <w:name w:val="日期 字符1"/>
    <w:link w:val="28"/>
    <w:autoRedefine/>
    <w:qFormat/>
    <w:uiPriority w:val="0"/>
    <w:rPr>
      <w:rFonts w:ascii="Times New Roman" w:hAnsi="Times New Roman" w:eastAsia="宋体" w:cs="Times New Roman"/>
      <w:szCs w:val="20"/>
    </w:rPr>
  </w:style>
  <w:style w:type="character" w:customStyle="1" w:styleId="105">
    <w:name w:val="正文文本缩进 字符1"/>
    <w:link w:val="21"/>
    <w:qFormat/>
    <w:uiPriority w:val="0"/>
    <w:rPr>
      <w:rFonts w:ascii="Times New Roman" w:hAnsi="Times New Roman" w:eastAsia="宋体" w:cs="Times New Roman"/>
      <w:sz w:val="28"/>
      <w:szCs w:val="20"/>
    </w:rPr>
  </w:style>
  <w:style w:type="character" w:customStyle="1" w:styleId="106">
    <w:name w:val="文档结构图 字符1"/>
    <w:link w:val="18"/>
    <w:autoRedefine/>
    <w:qFormat/>
    <w:uiPriority w:val="0"/>
    <w:rPr>
      <w:rFonts w:ascii="Times New Roman" w:hAnsi="Times New Roman" w:eastAsia="宋体" w:cs="Times New Roman"/>
      <w:szCs w:val="20"/>
      <w:shd w:val="clear" w:color="auto" w:fill="000080"/>
    </w:rPr>
  </w:style>
  <w:style w:type="character" w:customStyle="1" w:styleId="107">
    <w:name w:val="纯文本 字符1"/>
    <w:link w:val="26"/>
    <w:autoRedefine/>
    <w:qFormat/>
    <w:uiPriority w:val="0"/>
    <w:rPr>
      <w:rFonts w:ascii="宋体" w:hAnsi="Courier New" w:eastAsia="宋体" w:cs="Times New Roman"/>
      <w:szCs w:val="20"/>
    </w:rPr>
  </w:style>
  <w:style w:type="character" w:customStyle="1" w:styleId="108">
    <w:name w:val="正文文本缩进 2 字符1"/>
    <w:link w:val="29"/>
    <w:qFormat/>
    <w:uiPriority w:val="0"/>
    <w:rPr>
      <w:rFonts w:ascii="Times New Roman" w:hAnsi="Times New Roman" w:eastAsia="宋体" w:cs="Times New Roman"/>
      <w:color w:val="000000"/>
      <w:sz w:val="24"/>
      <w:szCs w:val="20"/>
    </w:rPr>
  </w:style>
  <w:style w:type="character" w:customStyle="1" w:styleId="109">
    <w:name w:val="正文文本缩进 3 字符1"/>
    <w:link w:val="40"/>
    <w:autoRedefine/>
    <w:qFormat/>
    <w:uiPriority w:val="0"/>
    <w:rPr>
      <w:rFonts w:ascii="Times New Roman" w:hAnsi="Times New Roman" w:eastAsia="宋体" w:cs="Times New Roman"/>
      <w:color w:val="000000"/>
      <w:sz w:val="24"/>
      <w:szCs w:val="20"/>
    </w:rPr>
  </w:style>
  <w:style w:type="paragraph" w:customStyle="1" w:styleId="110">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11">
    <w:name w:val="_Style 69"/>
    <w:autoRedefine/>
    <w:qFormat/>
    <w:uiPriority w:val="0"/>
    <w:rPr>
      <w:rFonts w:ascii="等线" w:hAnsi="等线" w:eastAsia="等线" w:cs="Times New Roman"/>
      <w:lang w:val="en-US" w:eastAsia="zh-CN" w:bidi="ar-SA"/>
    </w:rPr>
  </w:style>
  <w:style w:type="character" w:customStyle="1" w:styleId="112">
    <w:name w:val="正文文本 2 字符1"/>
    <w:link w:val="44"/>
    <w:autoRedefine/>
    <w:qFormat/>
    <w:uiPriority w:val="0"/>
    <w:rPr>
      <w:rFonts w:ascii="宋体" w:hAnsi="宋体" w:eastAsia="宋体" w:cs="Times New Roman"/>
      <w:szCs w:val="24"/>
      <w:u w:val="single"/>
    </w:rPr>
  </w:style>
  <w:style w:type="paragraph" w:customStyle="1" w:styleId="113">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114">
    <w:name w:val="尾注文本 字符1"/>
    <w:link w:val="30"/>
    <w:autoRedefine/>
    <w:qFormat/>
    <w:uiPriority w:val="0"/>
    <w:rPr>
      <w:rFonts w:ascii="Times New Roman" w:hAnsi="Times New Roman" w:eastAsia="宋体" w:cs="Times New Roman"/>
      <w:szCs w:val="20"/>
    </w:rPr>
  </w:style>
  <w:style w:type="paragraph" w:customStyle="1" w:styleId="115">
    <w:name w:val="Char"/>
    <w:basedOn w:val="1"/>
    <w:link w:val="203"/>
    <w:autoRedefine/>
    <w:qFormat/>
    <w:uiPriority w:val="0"/>
    <w:rPr>
      <w:rFonts w:ascii="Tahoma" w:hAnsi="Tahoma"/>
      <w:sz w:val="24"/>
      <w:szCs w:val="20"/>
    </w:rPr>
  </w:style>
  <w:style w:type="paragraph" w:customStyle="1" w:styleId="116">
    <w:name w:val="Char1"/>
    <w:basedOn w:val="1"/>
    <w:autoRedefine/>
    <w:qFormat/>
    <w:uiPriority w:val="0"/>
    <w:pPr>
      <w:numPr>
        <w:ilvl w:val="0"/>
        <w:numId w:val="1"/>
      </w:numPr>
    </w:pPr>
    <w:rPr>
      <w:rFonts w:ascii="Times New Roman" w:hAnsi="Times New Roman"/>
      <w:sz w:val="24"/>
      <w:szCs w:val="24"/>
    </w:rPr>
  </w:style>
  <w:style w:type="paragraph" w:customStyle="1" w:styleId="117">
    <w:name w:val="公文抬头"/>
    <w:basedOn w:val="7"/>
    <w:autoRedefine/>
    <w:qFormat/>
    <w:uiPriority w:val="0"/>
    <w:pPr>
      <w:ind w:firstLine="0"/>
    </w:pPr>
    <w:rPr>
      <w:rFonts w:ascii="仿宋_GB2312" w:eastAsia="仿宋_GB2312"/>
      <w:sz w:val="30"/>
      <w:szCs w:val="24"/>
    </w:rPr>
  </w:style>
  <w:style w:type="paragraph" w:customStyle="1" w:styleId="118">
    <w:name w:val="Char Char Char1 Char"/>
    <w:basedOn w:val="18"/>
    <w:autoRedefine/>
    <w:qFormat/>
    <w:uiPriority w:val="0"/>
    <w:rPr>
      <w:rFonts w:ascii="Tahoma" w:hAnsi="Tahoma"/>
      <w:sz w:val="24"/>
      <w:szCs w:val="24"/>
    </w:rPr>
  </w:style>
  <w:style w:type="paragraph" w:customStyle="1" w:styleId="11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0">
    <w:name w:val="公文标题"/>
    <w:basedOn w:val="8"/>
    <w:autoRedefine/>
    <w:qFormat/>
    <w:uiPriority w:val="0"/>
    <w:pPr>
      <w:keepNext/>
      <w:keepLines/>
      <w:widowControl w:val="0"/>
      <w:ind w:left="1469" w:right="1542"/>
    </w:pPr>
    <w:rPr>
      <w:rFonts w:hAnsi="Times New Roman" w:cs="Times New Roman"/>
      <w:b/>
      <w:kern w:val="2"/>
      <w:sz w:val="44"/>
      <w:szCs w:val="21"/>
    </w:rPr>
  </w:style>
  <w:style w:type="paragraph" w:customStyle="1" w:styleId="121">
    <w:name w:val="发文落款"/>
    <w:basedOn w:val="119"/>
    <w:autoRedefine/>
    <w:qFormat/>
    <w:uiPriority w:val="0"/>
    <w:pPr>
      <w:ind w:left="4094" w:right="607" w:firstLine="0"/>
      <w:jc w:val="center"/>
    </w:pPr>
  </w:style>
  <w:style w:type="paragraph" w:customStyle="1" w:styleId="122">
    <w:name w:val="Char Char Char Char"/>
    <w:basedOn w:val="1"/>
    <w:autoRedefine/>
    <w:qFormat/>
    <w:uiPriority w:val="0"/>
    <w:rPr>
      <w:rFonts w:ascii="Times New Roman" w:hAnsi="Times New Roman"/>
      <w:sz w:val="30"/>
      <w:szCs w:val="24"/>
    </w:rPr>
  </w:style>
  <w:style w:type="character" w:customStyle="1" w:styleId="123">
    <w:name w:val="批注框文本 字符1"/>
    <w:link w:val="31"/>
    <w:autoRedefine/>
    <w:qFormat/>
    <w:uiPriority w:val="0"/>
    <w:rPr>
      <w:rFonts w:ascii="Times New Roman" w:hAnsi="Times New Roman" w:eastAsia="宋体" w:cs="Times New Roman"/>
      <w:sz w:val="18"/>
      <w:szCs w:val="18"/>
    </w:rPr>
  </w:style>
  <w:style w:type="paragraph" w:customStyle="1" w:styleId="124">
    <w:name w:val="TOC 标题1"/>
    <w:basedOn w:val="2"/>
    <w:next w:val="1"/>
    <w:autoRedefine/>
    <w:semiHidden/>
    <w:unhideWhenUsed/>
    <w:qFormat/>
    <w:uiPriority w:val="39"/>
    <w:pPr>
      <w:widowControl/>
      <w:spacing w:before="480" w:after="0" w:line="276" w:lineRule="auto"/>
      <w:outlineLvl w:val="9"/>
    </w:pPr>
    <w:rPr>
      <w:rFonts w:ascii="Cambria" w:hAnsi="Cambria"/>
      <w:color w:val="365F91"/>
      <w:kern w:val="0"/>
    </w:rPr>
  </w:style>
  <w:style w:type="character" w:customStyle="1" w:styleId="125">
    <w:name w:val="批注文字 字符1"/>
    <w:link w:val="19"/>
    <w:autoRedefine/>
    <w:qFormat/>
    <w:uiPriority w:val="0"/>
    <w:rPr>
      <w:rFonts w:ascii="宋体" w:hAnsi="宋体" w:eastAsia="宋体" w:cs="Times New Roman"/>
      <w:sz w:val="24"/>
      <w:szCs w:val="24"/>
    </w:rPr>
  </w:style>
  <w:style w:type="character" w:customStyle="1" w:styleId="126">
    <w:name w:val="脚注文本 字符1"/>
    <w:link w:val="38"/>
    <w:autoRedefine/>
    <w:qFormat/>
    <w:uiPriority w:val="0"/>
    <w:rPr>
      <w:rFonts w:ascii="宋体" w:hAnsi="宋体" w:eastAsia="宋体" w:cs="Times New Roman"/>
      <w:sz w:val="18"/>
      <w:szCs w:val="18"/>
    </w:rPr>
  </w:style>
  <w:style w:type="character" w:customStyle="1" w:styleId="127">
    <w:name w:val="批注主题 字符1"/>
    <w:link w:val="47"/>
    <w:autoRedefine/>
    <w:qFormat/>
    <w:uiPriority w:val="0"/>
    <w:rPr>
      <w:rFonts w:ascii="宋体" w:hAnsi="宋体" w:eastAsia="宋体" w:cs="Times New Roman"/>
      <w:b/>
      <w:bCs/>
      <w:sz w:val="24"/>
      <w:szCs w:val="24"/>
    </w:rPr>
  </w:style>
  <w:style w:type="paragraph" w:styleId="128">
    <w:name w:val="List Paragraph"/>
    <w:basedOn w:val="1"/>
    <w:autoRedefine/>
    <w:qFormat/>
    <w:uiPriority w:val="34"/>
    <w:pPr>
      <w:ind w:firstLine="420" w:firstLineChars="200"/>
    </w:pPr>
    <w:rPr>
      <w:rFonts w:ascii="Times New Roman" w:hAnsi="Times New Roman"/>
      <w:szCs w:val="20"/>
    </w:rPr>
  </w:style>
  <w:style w:type="paragraph" w:customStyle="1" w:styleId="129">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30">
    <w:name w:val="纯文本 Char"/>
    <w:autoRedefine/>
    <w:qFormat/>
    <w:uiPriority w:val="0"/>
    <w:rPr>
      <w:rFonts w:ascii="宋体" w:hAnsi="Courier New" w:eastAsia="宋体" w:cs="Times New Roman"/>
      <w:szCs w:val="20"/>
    </w:rPr>
  </w:style>
  <w:style w:type="character" w:customStyle="1" w:styleId="131">
    <w:name w:val="标题 1 Char"/>
    <w:autoRedefine/>
    <w:qFormat/>
    <w:uiPriority w:val="0"/>
    <w:rPr>
      <w:rFonts w:ascii="Arial" w:hAnsi="Arial" w:eastAsia="宋体" w:cs="Times New Roman"/>
      <w:b/>
      <w:kern w:val="44"/>
      <w:sz w:val="28"/>
      <w:szCs w:val="28"/>
    </w:rPr>
  </w:style>
  <w:style w:type="character" w:customStyle="1" w:styleId="132">
    <w:name w:val="标题 2 Char"/>
    <w:autoRedefine/>
    <w:qFormat/>
    <w:uiPriority w:val="0"/>
    <w:rPr>
      <w:rFonts w:ascii="Arial" w:hAnsi="Arial" w:eastAsia="宋体" w:cs="Times New Roman"/>
      <w:b/>
      <w:color w:val="000000"/>
      <w:sz w:val="24"/>
      <w:szCs w:val="24"/>
    </w:rPr>
  </w:style>
  <w:style w:type="character" w:customStyle="1" w:styleId="133">
    <w:name w:val="正文缩进 字符"/>
    <w:link w:val="7"/>
    <w:autoRedefine/>
    <w:qFormat/>
    <w:uiPriority w:val="0"/>
    <w:rPr>
      <w:rFonts w:ascii="Times New Roman" w:hAnsi="Times New Roman" w:eastAsia="宋体" w:cs="Times New Roman"/>
      <w:szCs w:val="20"/>
    </w:rPr>
  </w:style>
  <w:style w:type="character" w:customStyle="1" w:styleId="134">
    <w:name w:val="标题 3 Char"/>
    <w:autoRedefine/>
    <w:qFormat/>
    <w:uiPriority w:val="0"/>
    <w:rPr>
      <w:rFonts w:ascii="宋体" w:hAnsi="宋体" w:eastAsia="宋体" w:cs="宋体"/>
      <w:kern w:val="0"/>
      <w:sz w:val="27"/>
      <w:szCs w:val="27"/>
    </w:rPr>
  </w:style>
  <w:style w:type="character" w:customStyle="1" w:styleId="135">
    <w:name w:val="标题 4 Char"/>
    <w:autoRedefine/>
    <w:qFormat/>
    <w:uiPriority w:val="0"/>
    <w:rPr>
      <w:rFonts w:ascii="Arial" w:hAnsi="Arial" w:eastAsia="宋体" w:cs="Times New Roman"/>
      <w:color w:val="000000"/>
      <w:szCs w:val="21"/>
    </w:rPr>
  </w:style>
  <w:style w:type="character" w:customStyle="1" w:styleId="136">
    <w:name w:val="标题 5 Char"/>
    <w:autoRedefine/>
    <w:qFormat/>
    <w:uiPriority w:val="0"/>
    <w:rPr>
      <w:rFonts w:ascii="Arial" w:hAnsi="Arial" w:eastAsia="宋体" w:cs="Times New Roman"/>
      <w:color w:val="000000"/>
      <w:szCs w:val="21"/>
    </w:rPr>
  </w:style>
  <w:style w:type="character" w:customStyle="1" w:styleId="137">
    <w:name w:val="标题 6 Char"/>
    <w:autoRedefine/>
    <w:qFormat/>
    <w:uiPriority w:val="0"/>
    <w:rPr>
      <w:rFonts w:ascii="Arial" w:hAnsi="Arial" w:eastAsia="黑体" w:cs="Times New Roman"/>
      <w:b/>
      <w:bCs/>
      <w:sz w:val="24"/>
      <w:szCs w:val="24"/>
    </w:rPr>
  </w:style>
  <w:style w:type="character" w:customStyle="1" w:styleId="138">
    <w:name w:val="标题 7 Char"/>
    <w:autoRedefine/>
    <w:qFormat/>
    <w:uiPriority w:val="0"/>
    <w:rPr>
      <w:rFonts w:ascii="Times New Roman" w:hAnsi="Times New Roman" w:eastAsia="宋体" w:cs="Times New Roman"/>
      <w:b/>
      <w:sz w:val="24"/>
      <w:szCs w:val="20"/>
    </w:rPr>
  </w:style>
  <w:style w:type="character" w:customStyle="1" w:styleId="139">
    <w:name w:val="标题 8 Char"/>
    <w:autoRedefine/>
    <w:qFormat/>
    <w:uiPriority w:val="0"/>
    <w:rPr>
      <w:rFonts w:ascii="Arial" w:hAnsi="Arial" w:eastAsia="黑体" w:cs="Times New Roman"/>
      <w:sz w:val="24"/>
      <w:szCs w:val="20"/>
    </w:rPr>
  </w:style>
  <w:style w:type="character" w:customStyle="1" w:styleId="140">
    <w:name w:val="标题 9 Char"/>
    <w:autoRedefine/>
    <w:qFormat/>
    <w:uiPriority w:val="0"/>
    <w:rPr>
      <w:rFonts w:ascii="Arial" w:hAnsi="Arial" w:eastAsia="黑体" w:cs="Times New Roman"/>
      <w:szCs w:val="20"/>
    </w:rPr>
  </w:style>
  <w:style w:type="character" w:customStyle="1" w:styleId="141">
    <w:name w:val="文档结构图 Char"/>
    <w:autoRedefine/>
    <w:qFormat/>
    <w:uiPriority w:val="0"/>
    <w:rPr>
      <w:rFonts w:ascii="Times New Roman" w:hAnsi="Times New Roman" w:eastAsia="宋体" w:cs="Times New Roman"/>
      <w:szCs w:val="20"/>
      <w:shd w:val="clear" w:color="auto" w:fill="000080"/>
    </w:rPr>
  </w:style>
  <w:style w:type="character" w:customStyle="1" w:styleId="142">
    <w:name w:val="批注文字 Char"/>
    <w:autoRedefine/>
    <w:qFormat/>
    <w:uiPriority w:val="0"/>
    <w:rPr>
      <w:rFonts w:ascii="宋体" w:hAnsi="宋体" w:eastAsia="宋体" w:cs="Times New Roman"/>
      <w:sz w:val="24"/>
      <w:szCs w:val="24"/>
    </w:rPr>
  </w:style>
  <w:style w:type="character" w:customStyle="1" w:styleId="143">
    <w:name w:val="正文文本 3 字符"/>
    <w:basedOn w:val="51"/>
    <w:autoRedefine/>
    <w:qFormat/>
    <w:uiPriority w:val="99"/>
    <w:rPr>
      <w:rFonts w:ascii="Calibri" w:hAnsi="Calibri" w:eastAsia="宋体" w:cs="Times New Roman"/>
      <w:sz w:val="16"/>
      <w:szCs w:val="16"/>
    </w:rPr>
  </w:style>
  <w:style w:type="character" w:customStyle="1" w:styleId="144">
    <w:name w:val="正文文本 3 字符1"/>
    <w:link w:val="20"/>
    <w:autoRedefine/>
    <w:qFormat/>
    <w:uiPriority w:val="0"/>
    <w:rPr>
      <w:rFonts w:ascii="宋体" w:hAnsi="宋体" w:eastAsia="宋体" w:cs="Times New Roman"/>
      <w:sz w:val="24"/>
      <w:szCs w:val="20"/>
    </w:rPr>
  </w:style>
  <w:style w:type="character" w:customStyle="1" w:styleId="145">
    <w:name w:val="正文文本 Char"/>
    <w:autoRedefine/>
    <w:qFormat/>
    <w:uiPriority w:val="0"/>
    <w:rPr>
      <w:rFonts w:ascii="Times New Roman" w:hAnsi="Times New Roman" w:eastAsia="宋体" w:cs="Times New Roman"/>
      <w:szCs w:val="20"/>
    </w:rPr>
  </w:style>
  <w:style w:type="character" w:customStyle="1" w:styleId="146">
    <w:name w:val="正文文本缩进 Char"/>
    <w:autoRedefine/>
    <w:qFormat/>
    <w:uiPriority w:val="0"/>
    <w:rPr>
      <w:rFonts w:ascii="Times New Roman" w:hAnsi="Times New Roman" w:eastAsia="宋体" w:cs="Times New Roman"/>
      <w:sz w:val="28"/>
      <w:szCs w:val="20"/>
    </w:rPr>
  </w:style>
  <w:style w:type="character" w:customStyle="1" w:styleId="147">
    <w:name w:val="日期 Char"/>
    <w:autoRedefine/>
    <w:qFormat/>
    <w:uiPriority w:val="0"/>
    <w:rPr>
      <w:rFonts w:ascii="Times New Roman" w:hAnsi="Times New Roman" w:eastAsia="宋体" w:cs="Times New Roman"/>
      <w:szCs w:val="20"/>
    </w:rPr>
  </w:style>
  <w:style w:type="character" w:customStyle="1" w:styleId="148">
    <w:name w:val="正文文本缩进 2 Char"/>
    <w:autoRedefine/>
    <w:qFormat/>
    <w:uiPriority w:val="0"/>
    <w:rPr>
      <w:rFonts w:ascii="Times New Roman" w:hAnsi="Times New Roman" w:eastAsia="宋体" w:cs="Times New Roman"/>
      <w:color w:val="000000"/>
      <w:sz w:val="24"/>
      <w:szCs w:val="20"/>
    </w:rPr>
  </w:style>
  <w:style w:type="character" w:customStyle="1" w:styleId="149">
    <w:name w:val="尾注文本 Char"/>
    <w:autoRedefine/>
    <w:qFormat/>
    <w:uiPriority w:val="0"/>
    <w:rPr>
      <w:rFonts w:ascii="Times New Roman" w:hAnsi="Times New Roman" w:eastAsia="宋体" w:cs="Times New Roman"/>
      <w:szCs w:val="20"/>
    </w:rPr>
  </w:style>
  <w:style w:type="character" w:customStyle="1" w:styleId="150">
    <w:name w:val="批注框文本 Char"/>
    <w:autoRedefine/>
    <w:qFormat/>
    <w:uiPriority w:val="0"/>
    <w:rPr>
      <w:rFonts w:ascii="Times New Roman" w:hAnsi="Times New Roman" w:eastAsia="宋体" w:cs="Times New Roman"/>
      <w:sz w:val="18"/>
      <w:szCs w:val="18"/>
    </w:rPr>
  </w:style>
  <w:style w:type="character" w:customStyle="1" w:styleId="151">
    <w:name w:val="页脚 Char"/>
    <w:autoRedefine/>
    <w:qFormat/>
    <w:uiPriority w:val="99"/>
    <w:rPr>
      <w:rFonts w:ascii="Calibri" w:hAnsi="Calibri" w:eastAsia="宋体" w:cs="Times New Roman"/>
      <w:sz w:val="18"/>
      <w:szCs w:val="18"/>
    </w:rPr>
  </w:style>
  <w:style w:type="character" w:customStyle="1" w:styleId="152">
    <w:name w:val="页眉 Char"/>
    <w:autoRedefine/>
    <w:qFormat/>
    <w:uiPriority w:val="0"/>
    <w:rPr>
      <w:rFonts w:ascii="Calibri" w:hAnsi="Calibri" w:eastAsia="宋体" w:cs="Times New Roman"/>
      <w:sz w:val="18"/>
      <w:szCs w:val="18"/>
    </w:rPr>
  </w:style>
  <w:style w:type="character" w:customStyle="1" w:styleId="153">
    <w:name w:val="副标题 字符"/>
    <w:basedOn w:val="51"/>
    <w:autoRedefine/>
    <w:qFormat/>
    <w:uiPriority w:val="11"/>
    <w:rPr>
      <w:b/>
      <w:bCs/>
      <w:kern w:val="28"/>
      <w:sz w:val="32"/>
      <w:szCs w:val="32"/>
    </w:rPr>
  </w:style>
  <w:style w:type="character" w:customStyle="1" w:styleId="154">
    <w:name w:val="副标题 字符1"/>
    <w:link w:val="36"/>
    <w:autoRedefine/>
    <w:qFormat/>
    <w:uiPriority w:val="0"/>
    <w:rPr>
      <w:rFonts w:ascii="Arial" w:hAnsi="Arial" w:eastAsia="黑体" w:cs="Times New Roman"/>
      <w:b/>
      <w:bCs/>
      <w:sz w:val="32"/>
      <w:szCs w:val="32"/>
    </w:rPr>
  </w:style>
  <w:style w:type="character" w:customStyle="1" w:styleId="155">
    <w:name w:val="脚注文本 Char"/>
    <w:autoRedefine/>
    <w:qFormat/>
    <w:uiPriority w:val="0"/>
    <w:rPr>
      <w:rFonts w:ascii="宋体" w:hAnsi="宋体" w:eastAsia="宋体" w:cs="Times New Roman"/>
      <w:sz w:val="18"/>
      <w:szCs w:val="18"/>
    </w:rPr>
  </w:style>
  <w:style w:type="character" w:customStyle="1" w:styleId="156">
    <w:name w:val="正文文本缩进 3 Char"/>
    <w:autoRedefine/>
    <w:qFormat/>
    <w:uiPriority w:val="0"/>
    <w:rPr>
      <w:rFonts w:ascii="Times New Roman" w:hAnsi="Times New Roman" w:eastAsia="宋体" w:cs="Times New Roman"/>
      <w:color w:val="000000"/>
      <w:sz w:val="24"/>
      <w:szCs w:val="20"/>
    </w:rPr>
  </w:style>
  <w:style w:type="character" w:customStyle="1" w:styleId="157">
    <w:name w:val="正文文本 2 Char"/>
    <w:autoRedefine/>
    <w:qFormat/>
    <w:uiPriority w:val="0"/>
    <w:rPr>
      <w:rFonts w:ascii="宋体" w:hAnsi="宋体" w:eastAsia="宋体" w:cs="Times New Roman"/>
      <w:szCs w:val="24"/>
      <w:u w:val="single"/>
    </w:rPr>
  </w:style>
  <w:style w:type="character" w:customStyle="1" w:styleId="158">
    <w:name w:val="标题 Char"/>
    <w:autoRedefine/>
    <w:qFormat/>
    <w:uiPriority w:val="0"/>
    <w:rPr>
      <w:rFonts w:ascii="Arial" w:hAnsi="Arial" w:eastAsia="宋体" w:cs="Times New Roman"/>
      <w:b/>
      <w:sz w:val="44"/>
      <w:szCs w:val="20"/>
    </w:rPr>
  </w:style>
  <w:style w:type="character" w:customStyle="1" w:styleId="159">
    <w:name w:val="批注主题 Char"/>
    <w:autoRedefine/>
    <w:qFormat/>
    <w:uiPriority w:val="0"/>
    <w:rPr>
      <w:rFonts w:ascii="宋体" w:hAnsi="宋体" w:eastAsia="宋体" w:cs="Times New Roman"/>
      <w:b/>
      <w:bCs/>
      <w:sz w:val="24"/>
      <w:szCs w:val="24"/>
    </w:rPr>
  </w:style>
  <w:style w:type="character" w:customStyle="1" w:styleId="160">
    <w:name w:val="正文首行缩进 Char"/>
    <w:autoRedefine/>
    <w:qFormat/>
    <w:uiPriority w:val="0"/>
  </w:style>
  <w:style w:type="character" w:customStyle="1" w:styleId="161">
    <w:name w:val="username"/>
    <w:autoRedefine/>
    <w:qFormat/>
    <w:uiPriority w:val="0"/>
  </w:style>
  <w:style w:type="character" w:customStyle="1" w:styleId="162">
    <w:name w:val="title2"/>
    <w:autoRedefine/>
    <w:qFormat/>
    <w:uiPriority w:val="0"/>
  </w:style>
  <w:style w:type="character" w:customStyle="1" w:styleId="163">
    <w:name w:val="msointensereference"/>
    <w:autoRedefine/>
    <w:qFormat/>
    <w:uiPriority w:val="0"/>
    <w:rPr>
      <w:b/>
      <w:sz w:val="24"/>
      <w:u w:val="single"/>
    </w:rPr>
  </w:style>
  <w:style w:type="character" w:customStyle="1" w:styleId="164">
    <w:name w:val="font6"/>
    <w:autoRedefine/>
    <w:qFormat/>
    <w:uiPriority w:val="0"/>
  </w:style>
  <w:style w:type="character" w:customStyle="1" w:styleId="165">
    <w:name w:val="Char Char10"/>
    <w:autoRedefine/>
    <w:qFormat/>
    <w:uiPriority w:val="0"/>
    <w:rPr>
      <w:rFonts w:hint="default" w:ascii="Cambria" w:hAnsi="Cambria" w:eastAsia="宋体"/>
      <w:b/>
      <w:bCs/>
      <w:i/>
      <w:iCs/>
      <w:sz w:val="28"/>
      <w:szCs w:val="28"/>
    </w:rPr>
  </w:style>
  <w:style w:type="character" w:customStyle="1" w:styleId="166">
    <w:name w:val="Char Char16"/>
    <w:autoRedefine/>
    <w:qFormat/>
    <w:uiPriority w:val="0"/>
    <w:rPr>
      <w:rFonts w:hint="default" w:ascii="Arial" w:hAnsi="Arial" w:eastAsia="黑体" w:cs="Arial"/>
      <w:b/>
      <w:bCs/>
      <w:sz w:val="24"/>
      <w:szCs w:val="24"/>
      <w:lang w:val="en-US" w:eastAsia="zh-CN" w:bidi="ar-SA"/>
    </w:rPr>
  </w:style>
  <w:style w:type="character" w:customStyle="1" w:styleId="167">
    <w:name w:val="WW8Num9z0"/>
    <w:autoRedefine/>
    <w:qFormat/>
    <w:uiPriority w:val="0"/>
    <w:rPr>
      <w:rFonts w:hint="default" w:ascii="Wingdings" w:hAnsi="Wingdings"/>
    </w:rPr>
  </w:style>
  <w:style w:type="character" w:customStyle="1" w:styleId="168">
    <w:name w:val="副标题 Char3"/>
    <w:autoRedefine/>
    <w:qFormat/>
    <w:uiPriority w:val="11"/>
    <w:rPr>
      <w:rFonts w:ascii="Cambria" w:hAnsi="Cambria" w:cs="Times New Roman"/>
      <w:b/>
      <w:bCs/>
      <w:kern w:val="28"/>
      <w:sz w:val="32"/>
      <w:szCs w:val="32"/>
    </w:rPr>
  </w:style>
  <w:style w:type="character" w:customStyle="1" w:styleId="169">
    <w:name w:val="明显引用 Char1"/>
    <w:autoRedefine/>
    <w:qFormat/>
    <w:uiPriority w:val="0"/>
    <w:rPr>
      <w:rFonts w:hint="eastAsia" w:ascii="仿宋_GB2312" w:eastAsia="仿宋_GB2312"/>
      <w:b/>
      <w:bCs/>
      <w:i/>
      <w:iCs/>
      <w:color w:val="4F81BD"/>
      <w:kern w:val="2"/>
      <w:sz w:val="21"/>
      <w:szCs w:val="32"/>
    </w:rPr>
  </w:style>
  <w:style w:type="character" w:customStyle="1" w:styleId="170">
    <w:name w:val="正文首行缩进 Char Char"/>
    <w:autoRedefine/>
    <w:qFormat/>
    <w:uiPriority w:val="0"/>
    <w:rPr>
      <w:rFonts w:ascii="宋体" w:eastAsia="宋体"/>
      <w:kern w:val="2"/>
      <w:sz w:val="34"/>
      <w:lang w:val="en-US" w:eastAsia="zh-CN" w:bidi="ar-SA"/>
    </w:rPr>
  </w:style>
  <w:style w:type="character" w:customStyle="1" w:styleId="171">
    <w:name w:val="批注框文本 Char Char"/>
    <w:autoRedefine/>
    <w:qFormat/>
    <w:uiPriority w:val="0"/>
    <w:rPr>
      <w:kern w:val="2"/>
      <w:sz w:val="18"/>
      <w:szCs w:val="18"/>
    </w:rPr>
  </w:style>
  <w:style w:type="character" w:customStyle="1" w:styleId="172">
    <w:name w:val="font41"/>
    <w:autoRedefine/>
    <w:qFormat/>
    <w:uiPriority w:val="0"/>
    <w:rPr>
      <w:rFonts w:hint="eastAsia" w:ascii="宋体" w:hAnsi="宋体" w:eastAsia="宋体"/>
      <w:strike/>
      <w:color w:val="000000"/>
      <w:sz w:val="24"/>
      <w:szCs w:val="24"/>
    </w:rPr>
  </w:style>
  <w:style w:type="character" w:customStyle="1" w:styleId="173">
    <w:name w:val="msosubtleemphasis"/>
    <w:autoRedefine/>
    <w:qFormat/>
    <w:uiPriority w:val="0"/>
    <w:rPr>
      <w:i/>
      <w:color w:val="5A5A5A"/>
    </w:rPr>
  </w:style>
  <w:style w:type="character" w:customStyle="1" w:styleId="174">
    <w:name w:val="引用 Char1"/>
    <w:autoRedefine/>
    <w:qFormat/>
    <w:uiPriority w:val="0"/>
    <w:rPr>
      <w:rFonts w:hint="eastAsia" w:ascii="仿宋_GB2312" w:eastAsia="仿宋_GB2312"/>
      <w:i/>
      <w:iCs/>
      <w:color w:val="000000"/>
      <w:kern w:val="2"/>
      <w:sz w:val="21"/>
      <w:szCs w:val="32"/>
    </w:rPr>
  </w:style>
  <w:style w:type="character" w:customStyle="1" w:styleId="175">
    <w:name w:val="标题 5 Char Char"/>
    <w:autoRedefine/>
    <w:qFormat/>
    <w:uiPriority w:val="0"/>
    <w:rPr>
      <w:rFonts w:hint="eastAsia" w:ascii="仿宋_GB2312" w:eastAsia="仿宋_GB2312"/>
      <w:b/>
      <w:bCs/>
      <w:kern w:val="2"/>
      <w:sz w:val="28"/>
      <w:szCs w:val="28"/>
    </w:rPr>
  </w:style>
  <w:style w:type="character" w:customStyle="1" w:styleId="176">
    <w:name w:val="textcontents1"/>
    <w:autoRedefine/>
    <w:qFormat/>
    <w:uiPriority w:val="0"/>
    <w:rPr>
      <w:color w:val="000000"/>
      <w:sz w:val="22"/>
      <w:szCs w:val="22"/>
    </w:rPr>
  </w:style>
  <w:style w:type="character" w:customStyle="1" w:styleId="177">
    <w:name w:val="标题 9 Char Char"/>
    <w:autoRedefine/>
    <w:qFormat/>
    <w:uiPriority w:val="0"/>
    <w:rPr>
      <w:rFonts w:hint="default" w:ascii="Cambria" w:hAnsi="Cambria" w:eastAsia="宋体" w:cs="Times New Roman"/>
      <w:kern w:val="2"/>
      <w:sz w:val="21"/>
      <w:szCs w:val="21"/>
    </w:rPr>
  </w:style>
  <w:style w:type="character" w:customStyle="1" w:styleId="178">
    <w:name w:val="副标题 Char2"/>
    <w:autoRedefine/>
    <w:qFormat/>
    <w:uiPriority w:val="0"/>
    <w:rPr>
      <w:rFonts w:hint="default" w:ascii="Cambria" w:hAnsi="Cambria" w:cs="Times New Roman"/>
      <w:b/>
      <w:bCs/>
      <w:kern w:val="28"/>
      <w:sz w:val="32"/>
      <w:szCs w:val="32"/>
    </w:rPr>
  </w:style>
  <w:style w:type="character" w:customStyle="1" w:styleId="179">
    <w:name w:val="Char Char23"/>
    <w:autoRedefine/>
    <w:qFormat/>
    <w:uiPriority w:val="0"/>
    <w:rPr>
      <w:rFonts w:hint="default" w:ascii="Times New Roman" w:hAnsi="Times New Roman" w:cs="Times New Roman"/>
      <w:b/>
      <w:color w:val="000000"/>
      <w:kern w:val="2"/>
      <w:sz w:val="24"/>
      <w:szCs w:val="24"/>
    </w:rPr>
  </w:style>
  <w:style w:type="character" w:customStyle="1" w:styleId="180">
    <w:name w:val="文一 Char Char"/>
    <w:link w:val="181"/>
    <w:autoRedefine/>
    <w:qFormat/>
    <w:uiPriority w:val="0"/>
    <w:rPr>
      <w:rFonts w:ascii="宋体" w:hAnsi="宋体"/>
      <w:spacing w:val="4"/>
      <w:sz w:val="24"/>
      <w:szCs w:val="24"/>
    </w:rPr>
  </w:style>
  <w:style w:type="paragraph" w:customStyle="1" w:styleId="181">
    <w:name w:val="文一"/>
    <w:basedOn w:val="1"/>
    <w:link w:val="180"/>
    <w:autoRedefine/>
    <w:qFormat/>
    <w:uiPriority w:val="0"/>
    <w:pPr>
      <w:topLinePunct/>
      <w:adjustRightInd w:val="0"/>
      <w:snapToGrid w:val="0"/>
      <w:spacing w:line="360" w:lineRule="auto"/>
      <w:ind w:firstLine="200" w:firstLineChars="200"/>
    </w:pPr>
    <w:rPr>
      <w:rFonts w:ascii="宋体" w:hAnsi="宋体" w:eastAsiaTheme="minorEastAsia" w:cstheme="minorBidi"/>
      <w:spacing w:val="4"/>
      <w:sz w:val="24"/>
      <w:szCs w:val="24"/>
    </w:rPr>
  </w:style>
  <w:style w:type="character" w:customStyle="1" w:styleId="182">
    <w:name w:val="页脚 Char Char"/>
    <w:autoRedefine/>
    <w:qFormat/>
    <w:uiPriority w:val="0"/>
    <w:rPr>
      <w:sz w:val="18"/>
      <w:szCs w:val="18"/>
    </w:rPr>
  </w:style>
  <w:style w:type="character" w:customStyle="1" w:styleId="183">
    <w:name w:val="正文文本缩进 3 Char Char"/>
    <w:autoRedefine/>
    <w:qFormat/>
    <w:uiPriority w:val="0"/>
    <w:rPr>
      <w:kern w:val="2"/>
      <w:sz w:val="16"/>
      <w:szCs w:val="16"/>
    </w:rPr>
  </w:style>
  <w:style w:type="character" w:customStyle="1" w:styleId="184">
    <w:name w:val="样式 Char Char"/>
    <w:link w:val="185"/>
    <w:autoRedefine/>
    <w:qFormat/>
    <w:uiPriority w:val="0"/>
  </w:style>
  <w:style w:type="paragraph" w:customStyle="1" w:styleId="185">
    <w:name w:val="样式"/>
    <w:basedOn w:val="186"/>
    <w:link w:val="184"/>
    <w:autoRedefine/>
    <w:qFormat/>
    <w:uiPriority w:val="0"/>
    <w:pPr>
      <w:tabs>
        <w:tab w:val="left" w:pos="2310"/>
        <w:tab w:val="left" w:pos="2730"/>
      </w:tabs>
      <w:outlineLvl w:val="9"/>
    </w:pPr>
    <w:rPr>
      <w:rFonts w:asciiTheme="minorHAnsi" w:hAnsiTheme="minorHAnsi" w:eastAsiaTheme="minorEastAsia" w:cstheme="minorBidi"/>
      <w:bCs w:val="0"/>
      <w:sz w:val="21"/>
      <w:szCs w:val="22"/>
    </w:rPr>
  </w:style>
  <w:style w:type="paragraph" w:customStyle="1" w:styleId="186">
    <w:name w:val="标题5"/>
    <w:basedOn w:val="10"/>
    <w:link w:val="187"/>
    <w:autoRedefine/>
    <w:qFormat/>
    <w:uiPriority w:val="0"/>
    <w:pPr>
      <w:keepNext w:val="0"/>
      <w:keepLines w:val="0"/>
      <w:widowControl/>
      <w:numPr>
        <w:ilvl w:val="0"/>
        <w:numId w:val="0"/>
      </w:numPr>
      <w:tabs>
        <w:tab w:val="left" w:pos="2310"/>
      </w:tabs>
      <w:spacing w:before="240" w:after="60" w:line="240" w:lineRule="auto"/>
      <w:jc w:val="center"/>
    </w:pPr>
    <w:rPr>
      <w:rFonts w:eastAsia="黑体"/>
      <w:bCs/>
      <w:color w:val="auto"/>
      <w:sz w:val="24"/>
      <w:szCs w:val="32"/>
    </w:rPr>
  </w:style>
  <w:style w:type="character" w:customStyle="1" w:styleId="187">
    <w:name w:val="标题5 Char Char"/>
    <w:link w:val="186"/>
    <w:autoRedefine/>
    <w:qFormat/>
    <w:uiPriority w:val="0"/>
    <w:rPr>
      <w:rFonts w:ascii="Arial" w:hAnsi="Arial" w:eastAsia="黑体" w:cs="Times New Roman"/>
      <w:bCs/>
      <w:sz w:val="24"/>
      <w:szCs w:val="32"/>
    </w:rPr>
  </w:style>
  <w:style w:type="character" w:customStyle="1" w:styleId="188">
    <w:name w:val="title24"/>
    <w:autoRedefine/>
    <w:qFormat/>
    <w:uiPriority w:val="0"/>
  </w:style>
  <w:style w:type="character" w:customStyle="1" w:styleId="189">
    <w:name w:val="正文文本缩进 2 Char Char"/>
    <w:autoRedefine/>
    <w:qFormat/>
    <w:uiPriority w:val="0"/>
    <w:rPr>
      <w:rFonts w:hint="default" w:ascii="Times New Roman" w:hAnsi="Times New Roman" w:cs="Times New Roman"/>
      <w:color w:val="000000"/>
      <w:sz w:val="24"/>
    </w:rPr>
  </w:style>
  <w:style w:type="character" w:customStyle="1" w:styleId="190">
    <w:name w:val="!我的正文 Ctr+Q Char Char"/>
    <w:link w:val="191"/>
    <w:autoRedefine/>
    <w:qFormat/>
    <w:uiPriority w:val="0"/>
    <w:rPr>
      <w:rFonts w:ascii="Arial" w:hAnsi="Arial"/>
      <w:sz w:val="24"/>
      <w:szCs w:val="21"/>
    </w:rPr>
  </w:style>
  <w:style w:type="paragraph" w:customStyle="1" w:styleId="191">
    <w:name w:val="!我的正文 Ctr+Q"/>
    <w:basedOn w:val="1"/>
    <w:link w:val="190"/>
    <w:autoRedefine/>
    <w:qFormat/>
    <w:uiPriority w:val="0"/>
    <w:pPr>
      <w:adjustRightInd w:val="0"/>
      <w:snapToGrid w:val="0"/>
      <w:spacing w:line="360" w:lineRule="auto"/>
      <w:ind w:firstLine="480" w:firstLineChars="200"/>
    </w:pPr>
    <w:rPr>
      <w:rFonts w:ascii="Arial" w:hAnsi="Arial" w:eastAsiaTheme="minorEastAsia" w:cstheme="minorBidi"/>
      <w:sz w:val="24"/>
      <w:szCs w:val="21"/>
    </w:rPr>
  </w:style>
  <w:style w:type="character" w:customStyle="1" w:styleId="192">
    <w:name w:val="rightspan"/>
    <w:autoRedefine/>
    <w:qFormat/>
    <w:uiPriority w:val="0"/>
  </w:style>
  <w:style w:type="character" w:customStyle="1" w:styleId="193">
    <w:name w:val="WW8Num4z0"/>
    <w:autoRedefine/>
    <w:qFormat/>
    <w:uiPriority w:val="0"/>
    <w:rPr>
      <w:rFonts w:hint="default" w:ascii="Courier New" w:hAnsi="Courier New" w:cs="Courier New"/>
      <w:sz w:val="22"/>
    </w:rPr>
  </w:style>
  <w:style w:type="character" w:customStyle="1" w:styleId="194">
    <w:name w:val="样式 正文缩进正文（首行缩进两字）特点ALT+Z表正文正文非缩进四号段1Normal Indent Char2... Char Char"/>
    <w:autoRedefine/>
    <w:qFormat/>
    <w:uiPriority w:val="0"/>
    <w:rPr>
      <w:rFonts w:hint="eastAsia" w:ascii="宋体" w:hAnsi="宋体" w:eastAsia="黑体"/>
      <w:b/>
      <w:sz w:val="32"/>
      <w:lang w:val="en-US" w:eastAsia="zh-CN"/>
    </w:rPr>
  </w:style>
  <w:style w:type="character" w:customStyle="1" w:styleId="195">
    <w:name w:val="Char Char15"/>
    <w:autoRedefine/>
    <w:qFormat/>
    <w:uiPriority w:val="0"/>
  </w:style>
  <w:style w:type="character" w:customStyle="1" w:styleId="196">
    <w:name w:val="引用 字符1"/>
    <w:link w:val="197"/>
    <w:autoRedefine/>
    <w:qFormat/>
    <w:uiPriority w:val="0"/>
    <w:rPr>
      <w:i/>
      <w:sz w:val="24"/>
    </w:rPr>
  </w:style>
  <w:style w:type="paragraph" w:styleId="197">
    <w:name w:val="Quote"/>
    <w:basedOn w:val="1"/>
    <w:link w:val="196"/>
    <w:autoRedefine/>
    <w:qFormat/>
    <w:uiPriority w:val="0"/>
    <w:rPr>
      <w:rFonts w:asciiTheme="minorHAnsi" w:hAnsiTheme="minorHAnsi" w:eastAsiaTheme="minorEastAsia" w:cstheme="minorBidi"/>
      <w:i/>
      <w:sz w:val="24"/>
    </w:rPr>
  </w:style>
  <w:style w:type="character" w:customStyle="1" w:styleId="198">
    <w:name w:val="引用 字符"/>
    <w:basedOn w:val="51"/>
    <w:autoRedefine/>
    <w:qFormat/>
    <w:uiPriority w:val="29"/>
    <w:rPr>
      <w:rFonts w:ascii="Calibri" w:hAnsi="Calibri" w:eastAsia="宋体" w:cs="Times New Roman"/>
      <w:i/>
      <w:iCs/>
      <w:color w:val="404040" w:themeColor="text1" w:themeTint="BF"/>
      <w14:textFill>
        <w14:solidFill>
          <w14:schemeClr w14:val="tx1">
            <w14:lumMod w14:val="75000"/>
            <w14:lumOff w14:val="25000"/>
          </w14:schemeClr>
        </w14:solidFill>
      </w14:textFill>
    </w:rPr>
  </w:style>
  <w:style w:type="character" w:customStyle="1" w:styleId="199">
    <w:name w:val="标题 Char3"/>
    <w:autoRedefine/>
    <w:qFormat/>
    <w:uiPriority w:val="0"/>
    <w:rPr>
      <w:rFonts w:hint="default" w:ascii="Cambria" w:hAnsi="Cambria" w:cs="Times New Roman"/>
      <w:b/>
      <w:bCs/>
      <w:kern w:val="2"/>
      <w:sz w:val="32"/>
      <w:szCs w:val="32"/>
    </w:rPr>
  </w:style>
  <w:style w:type="character" w:customStyle="1" w:styleId="200">
    <w:name w:val="明显引用 字符1"/>
    <w:link w:val="201"/>
    <w:autoRedefine/>
    <w:qFormat/>
    <w:uiPriority w:val="0"/>
    <w:rPr>
      <w:b/>
      <w:i/>
      <w:sz w:val="24"/>
    </w:rPr>
  </w:style>
  <w:style w:type="paragraph" w:styleId="201">
    <w:name w:val="Intense Quote"/>
    <w:basedOn w:val="1"/>
    <w:link w:val="200"/>
    <w:autoRedefine/>
    <w:qFormat/>
    <w:uiPriority w:val="0"/>
    <w:rPr>
      <w:rFonts w:asciiTheme="minorHAnsi" w:hAnsiTheme="minorHAnsi" w:eastAsiaTheme="minorEastAsia" w:cstheme="minorBidi"/>
      <w:b/>
      <w:i/>
      <w:sz w:val="24"/>
    </w:rPr>
  </w:style>
  <w:style w:type="character" w:customStyle="1" w:styleId="202">
    <w:name w:val="明显引用 字符"/>
    <w:basedOn w:val="51"/>
    <w:autoRedefine/>
    <w:qFormat/>
    <w:uiPriority w:val="30"/>
    <w:rPr>
      <w:rFonts w:ascii="Calibri" w:hAnsi="Calibri" w:eastAsia="宋体" w:cs="Times New Roman"/>
      <w:i/>
      <w:iCs/>
      <w:color w:val="5B9BD5" w:themeColor="accent1"/>
      <w14:textFill>
        <w14:solidFill>
          <w14:schemeClr w14:val="accent1"/>
        </w14:solidFill>
      </w14:textFill>
    </w:rPr>
  </w:style>
  <w:style w:type="character" w:customStyle="1" w:styleId="203">
    <w:name w:val="Char Char4"/>
    <w:link w:val="115"/>
    <w:autoRedefine/>
    <w:qFormat/>
    <w:uiPriority w:val="0"/>
    <w:rPr>
      <w:rFonts w:ascii="Tahoma" w:hAnsi="Tahoma" w:eastAsia="宋体" w:cs="Times New Roman"/>
      <w:sz w:val="24"/>
      <w:szCs w:val="20"/>
    </w:rPr>
  </w:style>
  <w:style w:type="character" w:customStyle="1" w:styleId="204">
    <w:name w:val="Char Char8"/>
    <w:autoRedefine/>
    <w:qFormat/>
    <w:uiPriority w:val="0"/>
    <w:rPr>
      <w:rFonts w:hint="default" w:ascii="Arial" w:hAnsi="Arial" w:eastAsia="黑体" w:cs="Arial"/>
      <w:b/>
      <w:bCs/>
      <w:kern w:val="2"/>
      <w:sz w:val="32"/>
      <w:szCs w:val="32"/>
      <w:lang w:val="en-US" w:eastAsia="zh-CN" w:bidi="ar-SA"/>
    </w:rPr>
  </w:style>
  <w:style w:type="character" w:customStyle="1" w:styleId="205">
    <w:name w:val="明显引用 Char2"/>
    <w:autoRedefine/>
    <w:qFormat/>
    <w:uiPriority w:val="99"/>
    <w:rPr>
      <w:b/>
      <w:bCs/>
      <w:i/>
      <w:iCs/>
      <w:color w:val="4F81BD"/>
      <w:kern w:val="2"/>
      <w:sz w:val="21"/>
      <w:szCs w:val="22"/>
    </w:rPr>
  </w:style>
  <w:style w:type="character" w:customStyle="1" w:styleId="206">
    <w:name w:val="副标题 Char1"/>
    <w:autoRedefine/>
    <w:qFormat/>
    <w:uiPriority w:val="0"/>
    <w:rPr>
      <w:rFonts w:hint="default" w:ascii="Cambria" w:hAnsi="Cambria" w:cs="Times New Roman"/>
      <w:b/>
      <w:bCs/>
      <w:kern w:val="28"/>
      <w:sz w:val="32"/>
      <w:szCs w:val="32"/>
    </w:rPr>
  </w:style>
  <w:style w:type="character" w:customStyle="1" w:styleId="207">
    <w:name w:val="正文文本 3 Char1"/>
    <w:autoRedefine/>
    <w:semiHidden/>
    <w:qFormat/>
    <w:uiPriority w:val="99"/>
    <w:rPr>
      <w:kern w:val="2"/>
      <w:sz w:val="16"/>
      <w:szCs w:val="16"/>
    </w:rPr>
  </w:style>
  <w:style w:type="character" w:customStyle="1" w:styleId="208">
    <w:name w:val="font31"/>
    <w:autoRedefine/>
    <w:qFormat/>
    <w:uiPriority w:val="0"/>
    <w:rPr>
      <w:rFonts w:hint="eastAsia" w:ascii="宋体" w:hAnsi="宋体" w:eastAsia="宋体"/>
      <w:color w:val="000000"/>
      <w:sz w:val="24"/>
      <w:szCs w:val="24"/>
      <w:u w:val="single"/>
    </w:rPr>
  </w:style>
  <w:style w:type="character" w:customStyle="1" w:styleId="209">
    <w:name w:val="标题6 Char Char"/>
    <w:link w:val="210"/>
    <w:autoRedefine/>
    <w:qFormat/>
    <w:uiPriority w:val="0"/>
    <w:rPr>
      <w:rFonts w:ascii="宋体" w:hAnsi="宋体" w:eastAsia="黑体"/>
      <w:sz w:val="32"/>
      <w:szCs w:val="32"/>
    </w:rPr>
  </w:style>
  <w:style w:type="paragraph" w:customStyle="1" w:styleId="210">
    <w:name w:val="标题6"/>
    <w:basedOn w:val="1"/>
    <w:link w:val="209"/>
    <w:autoRedefine/>
    <w:qFormat/>
    <w:uiPriority w:val="0"/>
    <w:pPr>
      <w:keepNext/>
      <w:keepLines/>
      <w:spacing w:line="400" w:lineRule="exact"/>
      <w:jc w:val="center"/>
      <w:outlineLvl w:val="2"/>
    </w:pPr>
    <w:rPr>
      <w:rFonts w:ascii="宋体" w:hAnsi="宋体" w:eastAsia="黑体" w:cstheme="minorBidi"/>
      <w:sz w:val="32"/>
      <w:szCs w:val="32"/>
    </w:rPr>
  </w:style>
  <w:style w:type="character" w:customStyle="1" w:styleId="211">
    <w:name w:val="纯文本 Char Char"/>
    <w:autoRedefine/>
    <w:qFormat/>
    <w:uiPriority w:val="0"/>
    <w:rPr>
      <w:rFonts w:ascii="宋体" w:hAnsi="Courier New"/>
      <w:kern w:val="2"/>
      <w:sz w:val="24"/>
    </w:rPr>
  </w:style>
  <w:style w:type="character" w:customStyle="1" w:styleId="212">
    <w:name w:val="正文缩进2格 Char Char"/>
    <w:link w:val="213"/>
    <w:autoRedefine/>
    <w:qFormat/>
    <w:uiPriority w:val="0"/>
    <w:rPr>
      <w:rFonts w:ascii="仿宋_GB2312" w:hAnsi="宋体" w:eastAsia="仿宋_GB2312"/>
      <w:sz w:val="31"/>
      <w:szCs w:val="31"/>
    </w:rPr>
  </w:style>
  <w:style w:type="paragraph" w:customStyle="1" w:styleId="213">
    <w:name w:val="正文缩进2格"/>
    <w:basedOn w:val="1"/>
    <w:link w:val="212"/>
    <w:autoRedefine/>
    <w:qFormat/>
    <w:uiPriority w:val="0"/>
    <w:pPr>
      <w:widowControl/>
      <w:spacing w:line="600" w:lineRule="exact"/>
      <w:ind w:firstLine="639" w:firstLineChars="206"/>
      <w:jc w:val="left"/>
    </w:pPr>
    <w:rPr>
      <w:rFonts w:ascii="仿宋_GB2312" w:hAnsi="宋体" w:eastAsia="仿宋_GB2312" w:cstheme="minorBidi"/>
      <w:sz w:val="31"/>
      <w:szCs w:val="31"/>
    </w:rPr>
  </w:style>
  <w:style w:type="character" w:customStyle="1" w:styleId="214">
    <w:name w:val="文一 Char"/>
    <w:autoRedefine/>
    <w:qFormat/>
    <w:uiPriority w:val="0"/>
    <w:rPr>
      <w:spacing w:val="4"/>
      <w:sz w:val="24"/>
      <w:szCs w:val="24"/>
    </w:rPr>
  </w:style>
  <w:style w:type="character" w:customStyle="1" w:styleId="215">
    <w:name w:val="msosubtlereference"/>
    <w:autoRedefine/>
    <w:qFormat/>
    <w:uiPriority w:val="0"/>
    <w:rPr>
      <w:sz w:val="30"/>
      <w:szCs w:val="24"/>
      <w:u w:val="none"/>
    </w:rPr>
  </w:style>
  <w:style w:type="character" w:customStyle="1" w:styleId="216">
    <w:name w:val="默认段落字体1"/>
    <w:autoRedefine/>
    <w:qFormat/>
    <w:uiPriority w:val="0"/>
  </w:style>
  <w:style w:type="character" w:customStyle="1" w:styleId="217">
    <w:name w:val="页眉 Char Char"/>
    <w:autoRedefine/>
    <w:qFormat/>
    <w:uiPriority w:val="0"/>
    <w:rPr>
      <w:sz w:val="18"/>
      <w:szCs w:val="18"/>
    </w:rPr>
  </w:style>
  <w:style w:type="character" w:customStyle="1" w:styleId="218">
    <w:name w:val="引用 Char2"/>
    <w:autoRedefine/>
    <w:qFormat/>
    <w:uiPriority w:val="99"/>
    <w:rPr>
      <w:i/>
      <w:iCs/>
      <w:color w:val="000000"/>
      <w:kern w:val="2"/>
      <w:sz w:val="21"/>
      <w:szCs w:val="22"/>
    </w:rPr>
  </w:style>
  <w:style w:type="character" w:customStyle="1" w:styleId="219">
    <w:name w:val="样式 标题 3h3section:3Level 3 HeadH3level_3PIM 33rd level3H... Char Char"/>
    <w:link w:val="220"/>
    <w:autoRedefine/>
    <w:qFormat/>
    <w:uiPriority w:val="0"/>
    <w:rPr>
      <w:rFonts w:ascii="Arial" w:hAnsi="Arial"/>
      <w:b/>
      <w:sz w:val="24"/>
      <w:szCs w:val="28"/>
    </w:rPr>
  </w:style>
  <w:style w:type="paragraph" w:customStyle="1" w:styleId="220">
    <w:name w:val="样式 标题 3h3section:3Level 3 HeadH3level_3PIM 33rd level3H..."/>
    <w:basedOn w:val="8"/>
    <w:link w:val="219"/>
    <w:autoRedefine/>
    <w:qFormat/>
    <w:uiPriority w:val="0"/>
    <w:pPr>
      <w:keepNext/>
      <w:tabs>
        <w:tab w:val="left" w:pos="1680"/>
        <w:tab w:val="left" w:pos="2310"/>
      </w:tabs>
      <w:adjustRightInd w:val="0"/>
      <w:spacing w:before="240" w:after="60" w:line="416" w:lineRule="atLeast"/>
      <w:ind w:left="2310" w:hanging="420"/>
    </w:pPr>
    <w:rPr>
      <w:rFonts w:ascii="Arial" w:hAnsi="Arial" w:eastAsiaTheme="minorEastAsia" w:cstheme="minorBidi"/>
      <w:b/>
      <w:kern w:val="2"/>
      <w:szCs w:val="28"/>
    </w:rPr>
  </w:style>
  <w:style w:type="character" w:customStyle="1" w:styleId="221">
    <w:name w:val="正文文本 (3)_"/>
    <w:link w:val="222"/>
    <w:autoRedefine/>
    <w:qFormat/>
    <w:uiPriority w:val="0"/>
    <w:rPr>
      <w:rFonts w:ascii="Arial Unicode MS" w:hAnsi="Arial Unicode MS" w:eastAsia="Arial Unicode MS"/>
      <w:spacing w:val="10"/>
      <w:sz w:val="17"/>
      <w:szCs w:val="17"/>
      <w:shd w:val="clear" w:color="auto" w:fill="FFFFFF"/>
    </w:rPr>
  </w:style>
  <w:style w:type="paragraph" w:customStyle="1" w:styleId="222">
    <w:name w:val="正文文本 (3)"/>
    <w:basedOn w:val="1"/>
    <w:link w:val="221"/>
    <w:autoRedefine/>
    <w:qFormat/>
    <w:uiPriority w:val="0"/>
    <w:pPr>
      <w:shd w:val="clear" w:color="auto" w:fill="FFFFFF"/>
      <w:spacing w:after="60" w:line="0" w:lineRule="atLeast"/>
      <w:ind w:hanging="940"/>
      <w:jc w:val="left"/>
    </w:pPr>
    <w:rPr>
      <w:rFonts w:ascii="Arial Unicode MS" w:hAnsi="Arial Unicode MS" w:eastAsia="Arial Unicode MS" w:cstheme="minorBidi"/>
      <w:spacing w:val="10"/>
      <w:sz w:val="17"/>
      <w:szCs w:val="17"/>
      <w:shd w:val="clear" w:color="auto" w:fill="FFFFFF"/>
    </w:rPr>
  </w:style>
  <w:style w:type="character" w:customStyle="1" w:styleId="223">
    <w:name w:val="Char Char Char"/>
    <w:autoRedefine/>
    <w:qFormat/>
    <w:uiPriority w:val="0"/>
    <w:rPr>
      <w:rFonts w:hint="eastAsia" w:ascii="楷体_GB2312" w:eastAsia="楷体_GB2312"/>
      <w:b/>
      <w:kern w:val="2"/>
      <w:sz w:val="21"/>
    </w:rPr>
  </w:style>
  <w:style w:type="character" w:customStyle="1" w:styleId="224">
    <w:name w:val="标题 2 Char1"/>
    <w:autoRedefine/>
    <w:qFormat/>
    <w:uiPriority w:val="0"/>
    <w:rPr>
      <w:rFonts w:hint="default" w:ascii="Arial" w:hAnsi="Arial" w:eastAsia="黑体" w:cs="Arial"/>
      <w:b/>
      <w:bCs/>
      <w:sz w:val="32"/>
      <w:szCs w:val="32"/>
    </w:rPr>
  </w:style>
  <w:style w:type="character" w:customStyle="1" w:styleId="225">
    <w:name w:val="正文文本 Char1"/>
    <w:autoRedefine/>
    <w:qFormat/>
    <w:uiPriority w:val="0"/>
    <w:rPr>
      <w:rFonts w:hint="eastAsia" w:ascii="仿宋_GB2312" w:eastAsia="宋体"/>
      <w:kern w:val="2"/>
      <w:sz w:val="21"/>
      <w:szCs w:val="32"/>
      <w:lang w:val="en-US" w:eastAsia="zh-CN" w:bidi="ar-SA"/>
    </w:rPr>
  </w:style>
  <w:style w:type="character" w:customStyle="1" w:styleId="226">
    <w:name w:val="正文文本_"/>
    <w:link w:val="227"/>
    <w:autoRedefine/>
    <w:qFormat/>
    <w:uiPriority w:val="0"/>
    <w:rPr>
      <w:rFonts w:ascii="MingLiU" w:hAnsi="MingLiU" w:eastAsia="MingLiU"/>
      <w:spacing w:val="20"/>
      <w:shd w:val="clear" w:color="auto" w:fill="FFFFFF"/>
    </w:rPr>
  </w:style>
  <w:style w:type="paragraph" w:customStyle="1" w:styleId="227">
    <w:name w:val="正文文本1"/>
    <w:basedOn w:val="1"/>
    <w:link w:val="226"/>
    <w:autoRedefine/>
    <w:qFormat/>
    <w:uiPriority w:val="0"/>
    <w:pPr>
      <w:shd w:val="clear" w:color="auto" w:fill="FFFFFF"/>
      <w:spacing w:before="300" w:line="0" w:lineRule="atLeast"/>
      <w:ind w:hanging="580"/>
      <w:jc w:val="left"/>
    </w:pPr>
    <w:rPr>
      <w:rFonts w:ascii="MingLiU" w:hAnsi="MingLiU" w:eastAsia="MingLiU" w:cstheme="minorBidi"/>
      <w:spacing w:val="20"/>
      <w:shd w:val="clear" w:color="auto" w:fill="FFFFFF"/>
    </w:rPr>
  </w:style>
  <w:style w:type="character" w:customStyle="1" w:styleId="228">
    <w:name w:val="Char Char24"/>
    <w:autoRedefine/>
    <w:qFormat/>
    <w:uiPriority w:val="0"/>
    <w:rPr>
      <w:rFonts w:hint="default" w:ascii="Arial" w:hAnsi="Arial" w:cs="Times New Roman"/>
      <w:b/>
      <w:color w:val="000000"/>
      <w:kern w:val="2"/>
      <w:sz w:val="24"/>
      <w:szCs w:val="24"/>
    </w:rPr>
  </w:style>
  <w:style w:type="character" w:customStyle="1" w:styleId="229">
    <w:name w:val="普通文字 Char Char"/>
    <w:autoRedefine/>
    <w:qFormat/>
    <w:uiPriority w:val="0"/>
    <w:rPr>
      <w:rFonts w:hint="default" w:ascii="Courier New" w:hAnsi="Courier New" w:eastAsia="宋体" w:cs="Proxy 9"/>
      <w:kern w:val="2"/>
      <w:sz w:val="21"/>
      <w:lang w:val="en-US" w:eastAsia="zh-CN" w:bidi="ar-SA"/>
    </w:rPr>
  </w:style>
  <w:style w:type="character" w:customStyle="1" w:styleId="230">
    <w:name w:val="标题 3 Char Char"/>
    <w:autoRedefine/>
    <w:qFormat/>
    <w:uiPriority w:val="0"/>
    <w:rPr>
      <w:rFonts w:ascii="宋体" w:hAnsi="宋体" w:eastAsia="宋体"/>
      <w:b/>
      <w:bCs/>
      <w:color w:val="FF0000"/>
      <w:kern w:val="2"/>
      <w:sz w:val="24"/>
      <w:szCs w:val="24"/>
      <w:lang w:val="zh-CN" w:eastAsia="zh-CN" w:bidi="ar-SA"/>
    </w:rPr>
  </w:style>
  <w:style w:type="character" w:customStyle="1" w:styleId="231">
    <w:name w:val="Char Char11"/>
    <w:autoRedefine/>
    <w:qFormat/>
    <w:uiPriority w:val="0"/>
    <w:rPr>
      <w:rFonts w:hint="default" w:ascii="Cambria" w:hAnsi="Cambria" w:eastAsia="宋体"/>
      <w:b/>
      <w:bCs/>
      <w:kern w:val="32"/>
      <w:sz w:val="32"/>
      <w:szCs w:val="32"/>
    </w:rPr>
  </w:style>
  <w:style w:type="character" w:customStyle="1" w:styleId="232">
    <w:name w:val="WW8Num1z0"/>
    <w:autoRedefine/>
    <w:qFormat/>
    <w:uiPriority w:val="0"/>
    <w:rPr>
      <w:sz w:val="24"/>
    </w:rPr>
  </w:style>
  <w:style w:type="character" w:customStyle="1" w:styleId="233">
    <w:name w:val="font21"/>
    <w:autoRedefine/>
    <w:qFormat/>
    <w:uiPriority w:val="0"/>
    <w:rPr>
      <w:rFonts w:hint="eastAsia" w:ascii="宋体" w:hAnsi="宋体" w:eastAsia="宋体"/>
      <w:color w:val="000000"/>
      <w:sz w:val="24"/>
      <w:szCs w:val="24"/>
      <w:u w:val="none"/>
    </w:rPr>
  </w:style>
  <w:style w:type="character" w:customStyle="1" w:styleId="234">
    <w:name w:val="textcontents"/>
    <w:autoRedefine/>
    <w:qFormat/>
    <w:uiPriority w:val="0"/>
  </w:style>
  <w:style w:type="character" w:customStyle="1" w:styleId="235">
    <w:name w:val="font11"/>
    <w:autoRedefine/>
    <w:qFormat/>
    <w:uiPriority w:val="0"/>
    <w:rPr>
      <w:rFonts w:hint="eastAsia" w:ascii="宋体" w:hAnsi="宋体" w:eastAsia="宋体"/>
      <w:color w:val="000000"/>
      <w:sz w:val="24"/>
      <w:szCs w:val="24"/>
      <w:u w:val="single"/>
    </w:rPr>
  </w:style>
  <w:style w:type="character" w:customStyle="1" w:styleId="236">
    <w:name w:val="style6"/>
    <w:autoRedefine/>
    <w:qFormat/>
    <w:uiPriority w:val="0"/>
  </w:style>
  <w:style w:type="character" w:customStyle="1" w:styleId="237">
    <w:name w:val="Endnote Text Char"/>
    <w:autoRedefine/>
    <w:qFormat/>
    <w:uiPriority w:val="0"/>
    <w:rPr>
      <w:rFonts w:hint="default" w:ascii="Times New Roman" w:hAnsi="Times New Roman" w:cs="Times New Roman"/>
      <w:kern w:val="2"/>
      <w:sz w:val="21"/>
    </w:rPr>
  </w:style>
  <w:style w:type="character" w:customStyle="1" w:styleId="238">
    <w:name w:val="Variable"/>
    <w:autoRedefine/>
    <w:qFormat/>
    <w:uiPriority w:val="0"/>
    <w:rPr>
      <w:i/>
    </w:rPr>
  </w:style>
  <w:style w:type="character" w:customStyle="1" w:styleId="239">
    <w:name w:val="Char Char2"/>
    <w:autoRedefine/>
    <w:qFormat/>
    <w:uiPriority w:val="0"/>
    <w:rPr>
      <w:rFonts w:hint="eastAsia" w:ascii="宋体" w:hAnsi="宋体" w:eastAsia="宋体"/>
      <w:kern w:val="2"/>
      <w:sz w:val="21"/>
      <w:szCs w:val="24"/>
      <w:lang w:val="en-US" w:eastAsia="zh-CN" w:bidi="ar-SA"/>
    </w:rPr>
  </w:style>
  <w:style w:type="character" w:customStyle="1" w:styleId="240">
    <w:name w:val="标题 1 Char_0"/>
    <w:autoRedefine/>
    <w:qFormat/>
    <w:uiPriority w:val="0"/>
    <w:rPr>
      <w:rFonts w:ascii="仿宋_GB2312" w:hAnsi="宋体" w:eastAsia="仿宋_GB2312" w:cs="宋体"/>
      <w:b/>
      <w:bCs/>
      <w:kern w:val="2"/>
      <w:sz w:val="30"/>
      <w:szCs w:val="30"/>
      <w:lang w:val="en-US" w:eastAsia="zh-CN" w:bidi="ar-SA"/>
    </w:rPr>
  </w:style>
  <w:style w:type="character" w:customStyle="1" w:styleId="241">
    <w:name w:val="批注主题 Char Char"/>
    <w:autoRedefine/>
    <w:qFormat/>
    <w:uiPriority w:val="0"/>
    <w:rPr>
      <w:rFonts w:hint="default" w:ascii="Times New Roman" w:hAnsi="Times New Roman" w:cs="Times New Roman"/>
      <w:b/>
      <w:bCs/>
      <w:kern w:val="2"/>
      <w:sz w:val="21"/>
      <w:szCs w:val="24"/>
    </w:rPr>
  </w:style>
  <w:style w:type="character" w:customStyle="1" w:styleId="242">
    <w:name w:val="标题 Char Char Char"/>
    <w:autoRedefine/>
    <w:qFormat/>
    <w:uiPriority w:val="0"/>
    <w:rPr>
      <w:rFonts w:hint="default" w:ascii="Arial" w:hAnsi="Arial" w:cs="Arial"/>
      <w:b/>
      <w:sz w:val="32"/>
    </w:rPr>
  </w:style>
  <w:style w:type="character" w:customStyle="1" w:styleId="243">
    <w:name w:val="纯文本 Char1"/>
    <w:autoRedefine/>
    <w:qFormat/>
    <w:uiPriority w:val="0"/>
    <w:rPr>
      <w:rFonts w:ascii="宋体" w:hAnsi="Courier New" w:eastAsia="宋体"/>
      <w:kern w:val="2"/>
      <w:sz w:val="21"/>
      <w:lang w:bidi="ar-SA"/>
    </w:rPr>
  </w:style>
  <w:style w:type="character" w:customStyle="1" w:styleId="244">
    <w:name w:val="font51"/>
    <w:autoRedefine/>
    <w:qFormat/>
    <w:uiPriority w:val="0"/>
    <w:rPr>
      <w:rFonts w:hint="eastAsia" w:ascii="宋体" w:hAnsi="宋体" w:eastAsia="宋体"/>
      <w:color w:val="000000"/>
      <w:sz w:val="24"/>
      <w:szCs w:val="24"/>
      <w:u w:val="none"/>
    </w:rPr>
  </w:style>
  <w:style w:type="character" w:customStyle="1" w:styleId="245">
    <w:name w:val="WW8Num8z0"/>
    <w:autoRedefine/>
    <w:qFormat/>
    <w:uiPriority w:val="0"/>
    <w:rPr>
      <w:sz w:val="24"/>
    </w:rPr>
  </w:style>
  <w:style w:type="character" w:customStyle="1" w:styleId="246">
    <w:name w:val="尾注文本 Char Char Char"/>
    <w:autoRedefine/>
    <w:qFormat/>
    <w:uiPriority w:val="0"/>
    <w:rPr>
      <w:kern w:val="2"/>
      <w:sz w:val="21"/>
      <w:szCs w:val="24"/>
    </w:rPr>
  </w:style>
  <w:style w:type="character" w:customStyle="1" w:styleId="247">
    <w:name w:val="WW8Num15z1"/>
    <w:autoRedefine/>
    <w:qFormat/>
    <w:uiPriority w:val="0"/>
    <w:rPr>
      <w:rFonts w:hint="default" w:ascii="Times New Roman" w:hAnsi="Times New Roman" w:cs="Times New Roman"/>
      <w:color w:val="auto"/>
    </w:rPr>
  </w:style>
  <w:style w:type="character" w:customStyle="1" w:styleId="248">
    <w:name w:val="msobooktitle"/>
    <w:autoRedefine/>
    <w:qFormat/>
    <w:uiPriority w:val="0"/>
    <w:rPr>
      <w:rFonts w:hint="default" w:ascii="Cambria" w:hAnsi="Cambria" w:eastAsia="宋体"/>
      <w:b/>
      <w:i/>
      <w:sz w:val="24"/>
      <w:szCs w:val="24"/>
    </w:rPr>
  </w:style>
  <w:style w:type="character" w:customStyle="1" w:styleId="249">
    <w:name w:val="页码1"/>
    <w:autoRedefine/>
    <w:qFormat/>
    <w:uiPriority w:val="0"/>
  </w:style>
  <w:style w:type="character" w:customStyle="1" w:styleId="250">
    <w:name w:val="WW8Num3z0"/>
    <w:autoRedefine/>
    <w:qFormat/>
    <w:uiPriority w:val="0"/>
    <w:rPr>
      <w:sz w:val="24"/>
      <w:szCs w:val="24"/>
    </w:rPr>
  </w:style>
  <w:style w:type="character" w:customStyle="1" w:styleId="251">
    <w:name w:val="font7"/>
    <w:autoRedefine/>
    <w:qFormat/>
    <w:uiPriority w:val="0"/>
  </w:style>
  <w:style w:type="character" w:customStyle="1" w:styleId="252">
    <w:name w:val="font161"/>
    <w:autoRedefine/>
    <w:qFormat/>
    <w:uiPriority w:val="0"/>
    <w:rPr>
      <w:b/>
      <w:bCs/>
      <w:sz w:val="32"/>
      <w:szCs w:val="32"/>
    </w:rPr>
  </w:style>
  <w:style w:type="character" w:customStyle="1" w:styleId="253">
    <w:name w:val="日期 Char Char"/>
    <w:autoRedefine/>
    <w:qFormat/>
    <w:uiPriority w:val="0"/>
    <w:rPr>
      <w:kern w:val="2"/>
      <w:sz w:val="24"/>
    </w:rPr>
  </w:style>
  <w:style w:type="character" w:customStyle="1" w:styleId="254">
    <w:name w:val="标提1 Char Char"/>
    <w:link w:val="255"/>
    <w:autoRedefine/>
    <w:qFormat/>
    <w:uiPriority w:val="0"/>
    <w:rPr>
      <w:rFonts w:ascii="黑体" w:hAnsi="黑体" w:eastAsia="黑体"/>
      <w:b/>
      <w:kern w:val="44"/>
      <w:sz w:val="24"/>
      <w:szCs w:val="24"/>
    </w:rPr>
  </w:style>
  <w:style w:type="paragraph" w:customStyle="1" w:styleId="255">
    <w:name w:val="标提1"/>
    <w:basedOn w:val="2"/>
    <w:next w:val="1"/>
    <w:link w:val="254"/>
    <w:autoRedefine/>
    <w:qFormat/>
    <w:uiPriority w:val="0"/>
    <w:pPr>
      <w:spacing w:before="0" w:after="0" w:line="240" w:lineRule="auto"/>
      <w:jc w:val="both"/>
    </w:pPr>
    <w:rPr>
      <w:rFonts w:ascii="黑体" w:hAnsi="黑体" w:eastAsia="黑体" w:cstheme="minorBidi"/>
      <w:sz w:val="24"/>
      <w:szCs w:val="24"/>
    </w:rPr>
  </w:style>
  <w:style w:type="character" w:customStyle="1" w:styleId="256">
    <w:name w:val="标题 Char Char"/>
    <w:autoRedefine/>
    <w:qFormat/>
    <w:uiPriority w:val="0"/>
    <w:rPr>
      <w:rFonts w:hint="default" w:ascii="Arial" w:hAnsi="Arial" w:eastAsia="楷体_GB2312" w:cs="Arial"/>
      <w:b/>
      <w:kern w:val="2"/>
      <w:sz w:val="44"/>
      <w:szCs w:val="24"/>
      <w:lang w:val="en-US" w:eastAsia="zh-CN" w:bidi="ar-SA"/>
    </w:rPr>
  </w:style>
  <w:style w:type="character" w:customStyle="1" w:styleId="257">
    <w:name w:val="标题 Char1"/>
    <w:autoRedefine/>
    <w:qFormat/>
    <w:uiPriority w:val="0"/>
    <w:rPr>
      <w:rFonts w:hint="default" w:ascii="Arial" w:hAnsi="Arial" w:cs="Arial"/>
      <w:b/>
      <w:sz w:val="44"/>
    </w:rPr>
  </w:style>
  <w:style w:type="character" w:customStyle="1" w:styleId="258">
    <w:name w:val="msointenseemphasis"/>
    <w:autoRedefine/>
    <w:qFormat/>
    <w:uiPriority w:val="0"/>
    <w:rPr>
      <w:b/>
      <w:i/>
      <w:sz w:val="24"/>
      <w:szCs w:val="24"/>
      <w:u w:val="single"/>
    </w:rPr>
  </w:style>
  <w:style w:type="character" w:customStyle="1" w:styleId="259">
    <w:name w:val="无间隔 字符"/>
    <w:link w:val="260"/>
    <w:autoRedefine/>
    <w:qFormat/>
    <w:uiPriority w:val="0"/>
    <w:rPr>
      <w:sz w:val="22"/>
    </w:rPr>
  </w:style>
  <w:style w:type="paragraph" w:styleId="260">
    <w:name w:val="No Spacing"/>
    <w:basedOn w:val="1"/>
    <w:link w:val="259"/>
    <w:autoRedefine/>
    <w:qFormat/>
    <w:uiPriority w:val="0"/>
    <w:rPr>
      <w:rFonts w:asciiTheme="minorHAnsi" w:hAnsiTheme="minorHAnsi" w:eastAsiaTheme="minorEastAsia" w:cstheme="minorBidi"/>
      <w:sz w:val="22"/>
    </w:rPr>
  </w:style>
  <w:style w:type="character" w:customStyle="1" w:styleId="261">
    <w:name w:val="标题 1 Char Char"/>
    <w:autoRedefine/>
    <w:qFormat/>
    <w:uiPriority w:val="0"/>
    <w:rPr>
      <w:rFonts w:hint="eastAsia" w:ascii="仿宋_GB2312" w:eastAsia="仿宋_GB2312"/>
      <w:b/>
      <w:bCs/>
      <w:kern w:val="44"/>
      <w:sz w:val="44"/>
      <w:szCs w:val="44"/>
    </w:rPr>
  </w:style>
  <w:style w:type="character" w:customStyle="1" w:styleId="262">
    <w:name w:val="列出段落 Char"/>
    <w:link w:val="263"/>
    <w:autoRedefine/>
    <w:qFormat/>
    <w:uiPriority w:val="0"/>
  </w:style>
  <w:style w:type="paragraph" w:customStyle="1" w:styleId="263">
    <w:name w:val="列出段落1"/>
    <w:basedOn w:val="1"/>
    <w:link w:val="262"/>
    <w:autoRedefine/>
    <w:qFormat/>
    <w:uiPriority w:val="0"/>
    <w:pPr>
      <w:ind w:firstLine="420" w:firstLineChars="200"/>
    </w:pPr>
    <w:rPr>
      <w:rFonts w:asciiTheme="minorHAnsi" w:hAnsiTheme="minorHAnsi" w:eastAsiaTheme="minorEastAsia" w:cstheme="minorBidi"/>
    </w:rPr>
  </w:style>
  <w:style w:type="character" w:customStyle="1" w:styleId="264">
    <w:name w:val="Char Char25"/>
    <w:autoRedefine/>
    <w:qFormat/>
    <w:uiPriority w:val="0"/>
    <w:rPr>
      <w:rFonts w:hint="default" w:ascii="Arial" w:hAnsi="Arial" w:cs="Arial"/>
      <w:b/>
      <w:bCs/>
      <w:color w:val="000000"/>
      <w:kern w:val="44"/>
      <w:sz w:val="30"/>
      <w:szCs w:val="30"/>
    </w:rPr>
  </w:style>
  <w:style w:type="paragraph" w:customStyle="1" w:styleId="265">
    <w:name w:val="样式 正文缩进正文（首行缩进两字）特点ALT+Z表正文正文非缩进四号段1Normal Indent Char2..."/>
    <w:basedOn w:val="6"/>
    <w:next w:val="8"/>
    <w:autoRedefine/>
    <w:qFormat/>
    <w:uiPriority w:val="0"/>
    <w:pPr>
      <w:tabs>
        <w:tab w:val="left" w:pos="840"/>
      </w:tabs>
      <w:spacing w:before="240" w:line="400" w:lineRule="exact"/>
      <w:ind w:left="840" w:hanging="420"/>
    </w:pPr>
    <w:rPr>
      <w:rFonts w:hint="eastAsia" w:ascii="宋体" w:hAnsi="宋体" w:eastAsia="黑体"/>
      <w:b w:val="0"/>
      <w:color w:val="auto"/>
      <w:kern w:val="0"/>
      <w:szCs w:val="20"/>
    </w:rPr>
  </w:style>
  <w:style w:type="paragraph" w:customStyle="1" w:styleId="266">
    <w:name w:val="ÕýÎÄ"/>
    <w:autoRedefine/>
    <w:qFormat/>
    <w:uiPriority w:val="0"/>
    <w:pPr>
      <w:widowControl w:val="0"/>
      <w:overflowPunct w:val="0"/>
      <w:autoSpaceDE w:val="0"/>
      <w:autoSpaceDN w:val="0"/>
      <w:adjustRightInd w:val="0"/>
      <w:spacing w:line="357" w:lineRule="atLeast"/>
      <w:jc w:val="both"/>
    </w:pPr>
    <w:rPr>
      <w:rFonts w:ascii="Times New Roman" w:hAnsi="Times New Roman" w:eastAsia="宋体" w:cs="Times New Roman"/>
      <w:color w:val="000000"/>
      <w:sz w:val="21"/>
      <w:lang w:val="en-US" w:eastAsia="zh-CN" w:bidi="ar-SA"/>
    </w:rPr>
  </w:style>
  <w:style w:type="paragraph" w:customStyle="1" w:styleId="267">
    <w:name w:val="样式 正文缩进正文（首行缩进两字）特点ALT+Z表正文正文非缩进四号段1Normal Indent Char2...4"/>
    <w:basedOn w:val="21"/>
    <w:autoRedefine/>
    <w:qFormat/>
    <w:uiPriority w:val="0"/>
    <w:pPr>
      <w:tabs>
        <w:tab w:val="left" w:pos="510"/>
        <w:tab w:val="left" w:pos="2520"/>
      </w:tabs>
      <w:spacing w:line="300" w:lineRule="auto"/>
      <w:ind w:left="2520" w:hanging="420"/>
    </w:pPr>
    <w:rPr>
      <w:rFonts w:ascii="Calibri" w:hAnsi="宋体"/>
      <w:kern w:val="0"/>
      <w:sz w:val="24"/>
      <w:szCs w:val="22"/>
    </w:rPr>
  </w:style>
  <w:style w:type="paragraph" w:customStyle="1" w:styleId="268">
    <w:name w:val="纯文本1"/>
    <w:basedOn w:val="1"/>
    <w:autoRedefine/>
    <w:qFormat/>
    <w:uiPriority w:val="0"/>
    <w:pPr>
      <w:suppressAutoHyphens/>
    </w:pPr>
    <w:rPr>
      <w:rFonts w:ascii="宋体" w:hAnsi="宋体"/>
      <w:szCs w:val="20"/>
      <w:lang w:eastAsia="ar-SA"/>
    </w:rPr>
  </w:style>
  <w:style w:type="paragraph" w:customStyle="1" w:styleId="269">
    <w:name w:val="目录 1_0"/>
    <w:basedOn w:val="270"/>
    <w:next w:val="270"/>
    <w:autoRedefine/>
    <w:qFormat/>
    <w:uiPriority w:val="0"/>
    <w:pPr>
      <w:tabs>
        <w:tab w:val="right" w:leader="dot" w:pos="8493"/>
      </w:tabs>
      <w:adjustRightInd w:val="0"/>
      <w:spacing w:line="360" w:lineRule="auto"/>
      <w:jc w:val="left"/>
    </w:pPr>
    <w:rPr>
      <w:rFonts w:ascii="宋体" w:hAnsi="宋体"/>
      <w:b/>
      <w:caps/>
      <w:kern w:val="0"/>
      <w:sz w:val="24"/>
      <w:szCs w:val="32"/>
    </w:rPr>
  </w:style>
  <w:style w:type="paragraph" w:customStyle="1" w:styleId="270">
    <w:name w:val="正文_0"/>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71">
    <w:name w:val="Char Char Char Char Char Char1 Char"/>
    <w:basedOn w:val="1"/>
    <w:autoRedefine/>
    <w:qFormat/>
    <w:uiPriority w:val="0"/>
    <w:pPr>
      <w:widowControl/>
      <w:spacing w:after="160" w:line="240" w:lineRule="exact"/>
      <w:jc w:val="left"/>
    </w:pPr>
    <w:rPr>
      <w:rFonts w:ascii="Verdana" w:hAnsi="Verdana" w:eastAsia="仿宋_GB2312"/>
      <w:kern w:val="0"/>
      <w:sz w:val="24"/>
      <w:szCs w:val="32"/>
      <w:lang w:eastAsia="en-US"/>
    </w:rPr>
  </w:style>
  <w:style w:type="paragraph" w:customStyle="1" w:styleId="272">
    <w:name w:val="封一"/>
    <w:basedOn w:val="181"/>
    <w:next w:val="181"/>
    <w:autoRedefine/>
    <w:qFormat/>
    <w:uiPriority w:val="0"/>
    <w:pPr>
      <w:ind w:firstLine="0" w:firstLineChars="0"/>
      <w:jc w:val="center"/>
    </w:pPr>
    <w:rPr>
      <w:rFonts w:eastAsia="黑体"/>
      <w:b/>
      <w:sz w:val="84"/>
      <w:szCs w:val="84"/>
    </w:rPr>
  </w:style>
  <w:style w:type="paragraph" w:customStyle="1" w:styleId="273">
    <w:name w:val="正文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74">
    <w:name w:val="Char1 Char Char Char Char Char Char1"/>
    <w:basedOn w:val="275"/>
    <w:autoRedefine/>
    <w:qFormat/>
    <w:uiPriority w:val="0"/>
  </w:style>
  <w:style w:type="paragraph" w:customStyle="1" w:styleId="275">
    <w:name w:val="正文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276">
    <w:name w:val="正文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77">
    <w:name w:val="正文文本 21"/>
    <w:basedOn w:val="1"/>
    <w:autoRedefine/>
    <w:qFormat/>
    <w:uiPriority w:val="0"/>
    <w:pPr>
      <w:suppressAutoHyphens/>
    </w:pPr>
    <w:rPr>
      <w:rFonts w:ascii="Times New Roman" w:hAnsi="Times New Roman" w:eastAsia="楷体_GB2312"/>
      <w:b/>
      <w:szCs w:val="20"/>
      <w:lang w:eastAsia="ar-SA"/>
    </w:rPr>
  </w:style>
  <w:style w:type="paragraph" w:customStyle="1" w:styleId="278">
    <w:name w:val="msoquote"/>
    <w:basedOn w:val="1"/>
    <w:next w:val="1"/>
    <w:autoRedefine/>
    <w:qFormat/>
    <w:uiPriority w:val="0"/>
    <w:pPr>
      <w:widowControl/>
      <w:jc w:val="left"/>
    </w:pPr>
    <w:rPr>
      <w:rFonts w:ascii="Times New Roman" w:hAnsi="Times New Roman"/>
      <w:i/>
      <w:kern w:val="0"/>
      <w:sz w:val="24"/>
    </w:rPr>
  </w:style>
  <w:style w:type="paragraph" w:customStyle="1" w:styleId="279">
    <w:name w:val="_Style 72"/>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0">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81">
    <w:name w:val="Char5 Char Char"/>
    <w:basedOn w:val="1"/>
    <w:autoRedefine/>
    <w:qFormat/>
    <w:uiPriority w:val="0"/>
    <w:pPr>
      <w:ind w:left="567" w:hanging="279"/>
    </w:pPr>
    <w:rPr>
      <w:rFonts w:ascii="Times New Roman" w:hAnsi="Times New Roman"/>
      <w:sz w:val="24"/>
      <w:szCs w:val="24"/>
    </w:rPr>
  </w:style>
  <w:style w:type="paragraph" w:customStyle="1" w:styleId="282">
    <w:name w:val="正文首行缩进 New"/>
    <w:basedOn w:val="283"/>
    <w:autoRedefine/>
    <w:qFormat/>
    <w:uiPriority w:val="0"/>
    <w:pPr>
      <w:ind w:firstLine="420" w:firstLineChars="100"/>
    </w:pPr>
  </w:style>
  <w:style w:type="paragraph" w:customStyle="1" w:styleId="283">
    <w:name w:val="正文文本 New"/>
    <w:basedOn w:val="284"/>
    <w:autoRedefine/>
    <w:qFormat/>
    <w:uiPriority w:val="0"/>
    <w:pPr>
      <w:spacing w:after="120"/>
    </w:pPr>
    <w:rPr>
      <w:rFonts w:eastAsia="宋体"/>
      <w:kern w:val="2"/>
      <w:sz w:val="30"/>
      <w:szCs w:val="24"/>
    </w:rPr>
  </w:style>
  <w:style w:type="paragraph" w:customStyle="1" w:styleId="284">
    <w:name w:val="正文 New New"/>
    <w:autoRedefine/>
    <w:qFormat/>
    <w:uiPriority w:val="0"/>
    <w:pPr>
      <w:widowControl w:val="0"/>
      <w:jc w:val="both"/>
    </w:pPr>
    <w:rPr>
      <w:rFonts w:ascii="Times New Roman" w:hAnsi="Times New Roman" w:eastAsia="楷体_GB2312" w:cs="Times New Roman"/>
      <w:lang w:val="en-US" w:eastAsia="zh-CN" w:bidi="ar-SA"/>
    </w:rPr>
  </w:style>
  <w:style w:type="paragraph" w:customStyle="1" w:styleId="285">
    <w:name w:val="正文文本缩进 21"/>
    <w:basedOn w:val="1"/>
    <w:autoRedefine/>
    <w:qFormat/>
    <w:uiPriority w:val="0"/>
    <w:pPr>
      <w:suppressAutoHyphens/>
      <w:spacing w:after="120" w:line="480" w:lineRule="auto"/>
      <w:ind w:left="420"/>
    </w:pPr>
    <w:rPr>
      <w:rFonts w:ascii="Times New Roman" w:hAnsi="Times New Roman"/>
      <w:szCs w:val="20"/>
      <w:lang w:eastAsia="ar-SA"/>
    </w:rPr>
  </w:style>
  <w:style w:type="paragraph" w:customStyle="1" w:styleId="286">
    <w:name w:val="默认段落字体 Para Char"/>
    <w:basedOn w:val="1"/>
    <w:autoRedefine/>
    <w:qFormat/>
    <w:uiPriority w:val="0"/>
    <w:pPr>
      <w:spacing w:line="360" w:lineRule="auto"/>
      <w:jc w:val="left"/>
    </w:pPr>
    <w:rPr>
      <w:rFonts w:ascii="Times New Roman" w:hAnsi="Times New Roman" w:eastAsia="仿宋_GB2312"/>
      <w:b/>
      <w:sz w:val="32"/>
      <w:szCs w:val="24"/>
    </w:rPr>
  </w:style>
  <w:style w:type="paragraph" w:customStyle="1" w:styleId="287">
    <w:name w:val="纯文本2"/>
    <w:basedOn w:val="1"/>
    <w:autoRedefine/>
    <w:qFormat/>
    <w:uiPriority w:val="0"/>
    <w:rPr>
      <w:rFonts w:ascii="宋体" w:hAnsi="Courier New"/>
      <w:sz w:val="24"/>
      <w:szCs w:val="20"/>
    </w:rPr>
  </w:style>
  <w:style w:type="paragraph" w:customStyle="1" w:styleId="288">
    <w:name w:val="Char4 Char Char Char"/>
    <w:basedOn w:val="1"/>
    <w:autoRedefine/>
    <w:qFormat/>
    <w:uiPriority w:val="0"/>
    <w:pPr>
      <w:ind w:left="567" w:hanging="279"/>
    </w:pPr>
    <w:rPr>
      <w:rFonts w:ascii="Times New Roman" w:hAnsi="Times New Roman"/>
      <w:sz w:val="24"/>
      <w:szCs w:val="24"/>
    </w:rPr>
  </w:style>
  <w:style w:type="paragraph" w:customStyle="1" w:styleId="289">
    <w:name w:val="页眉 New"/>
    <w:basedOn w:val="290"/>
    <w:autoRedefine/>
    <w:qFormat/>
    <w:uiPriority w:val="0"/>
    <w:pPr>
      <w:pBdr>
        <w:bottom w:val="single" w:color="auto" w:sz="6" w:space="1"/>
      </w:pBdr>
      <w:tabs>
        <w:tab w:val="center" w:pos="4153"/>
        <w:tab w:val="right" w:pos="8306"/>
      </w:tabs>
      <w:snapToGrid w:val="0"/>
      <w:jc w:val="center"/>
    </w:pPr>
    <w:rPr>
      <w:sz w:val="18"/>
    </w:rPr>
  </w:style>
  <w:style w:type="paragraph" w:customStyle="1" w:styleId="290">
    <w:name w:val="正文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1">
    <w:name w:val="页眉 New New"/>
    <w:basedOn w:val="292"/>
    <w:autoRedefine/>
    <w:qFormat/>
    <w:uiPriority w:val="0"/>
    <w:pPr>
      <w:pBdr>
        <w:bottom w:val="single" w:color="auto" w:sz="6" w:space="1"/>
      </w:pBdr>
      <w:tabs>
        <w:tab w:val="center" w:pos="4153"/>
        <w:tab w:val="right" w:pos="8306"/>
      </w:tabs>
      <w:snapToGrid w:val="0"/>
      <w:jc w:val="center"/>
    </w:pPr>
    <w:rPr>
      <w:sz w:val="18"/>
    </w:rPr>
  </w:style>
  <w:style w:type="paragraph" w:customStyle="1" w:styleId="292">
    <w:name w:val="正文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3">
    <w:name w:val="表格"/>
    <w:basedOn w:val="1"/>
    <w:autoRedefine/>
    <w:qFormat/>
    <w:uiPriority w:val="0"/>
    <w:pPr>
      <w:jc w:val="center"/>
    </w:pPr>
    <w:rPr>
      <w:rFonts w:ascii="华文细黑" w:hAnsi="华文细黑"/>
      <w:kern w:val="0"/>
      <w:szCs w:val="20"/>
    </w:rPr>
  </w:style>
  <w:style w:type="paragraph" w:customStyle="1" w:styleId="294">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295">
    <w:name w:val="页脚 New New"/>
    <w:basedOn w:val="292"/>
    <w:autoRedefine/>
    <w:qFormat/>
    <w:uiPriority w:val="0"/>
    <w:pPr>
      <w:tabs>
        <w:tab w:val="center" w:pos="4153"/>
        <w:tab w:val="right" w:pos="8306"/>
      </w:tabs>
      <w:snapToGrid w:val="0"/>
      <w:jc w:val="left"/>
    </w:pPr>
    <w:rPr>
      <w:sz w:val="18"/>
    </w:rPr>
  </w:style>
  <w:style w:type="paragraph" w:customStyle="1" w:styleId="296">
    <w:name w:val="正文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297">
    <w:name w:val="2"/>
    <w:next w:val="298"/>
    <w:autoRedefine/>
    <w:qFormat/>
    <w:uiPriority w:val="0"/>
    <w:pPr>
      <w:widowControl w:val="0"/>
      <w:jc w:val="both"/>
    </w:pPr>
    <w:rPr>
      <w:rFonts w:ascii="仿宋_GB2312" w:hAnsi="Times New Roman" w:eastAsia="宋体" w:cs="Times New Roman"/>
      <w:kern w:val="2"/>
      <w:sz w:val="21"/>
      <w:szCs w:val="32"/>
      <w:lang w:val="en-US" w:eastAsia="zh-CN" w:bidi="ar-SA"/>
    </w:rPr>
  </w:style>
  <w:style w:type="paragraph" w:customStyle="1" w:styleId="298">
    <w:name w:val="访问过的超链接1"/>
    <w:basedOn w:val="1"/>
    <w:autoRedefine/>
    <w:qFormat/>
    <w:uiPriority w:val="0"/>
    <w:rPr>
      <w:rFonts w:ascii="仿宋_GB2312" w:hAnsi="Times New Roman"/>
      <w:szCs w:val="32"/>
    </w:rPr>
  </w:style>
  <w:style w:type="paragraph" w:customStyle="1" w:styleId="299">
    <w:name w:val="Address"/>
    <w:basedOn w:val="1"/>
    <w:next w:val="1"/>
    <w:autoRedefine/>
    <w:qFormat/>
    <w:uiPriority w:val="0"/>
    <w:pPr>
      <w:widowControl/>
      <w:autoSpaceDE w:val="0"/>
      <w:autoSpaceDN w:val="0"/>
      <w:adjustRightInd w:val="0"/>
      <w:jc w:val="left"/>
    </w:pPr>
    <w:rPr>
      <w:rFonts w:ascii="Times New Roman" w:hAnsi="Times New Roman"/>
      <w:i/>
      <w:kern w:val="0"/>
      <w:sz w:val="24"/>
      <w:szCs w:val="20"/>
    </w:rPr>
  </w:style>
  <w:style w:type="paragraph" w:customStyle="1" w:styleId="300">
    <w:name w:val="文提"/>
    <w:basedOn w:val="181"/>
    <w:autoRedefine/>
    <w:qFormat/>
    <w:uiPriority w:val="0"/>
    <w:pPr>
      <w:ind w:firstLine="0" w:firstLineChars="0"/>
    </w:pPr>
    <w:rPr>
      <w:rFonts w:eastAsia="黑体" w:cs="宋体"/>
      <w:b/>
    </w:rPr>
  </w:style>
  <w:style w:type="paragraph" w:customStyle="1" w:styleId="301">
    <w:name w:val="尾注文本 New"/>
    <w:basedOn w:val="302"/>
    <w:autoRedefine/>
    <w:qFormat/>
    <w:uiPriority w:val="0"/>
    <w:pPr>
      <w:snapToGrid w:val="0"/>
      <w:jc w:val="left"/>
    </w:pPr>
    <w:rPr>
      <w:rFonts w:ascii="宋体" w:hAnsi="宋体" w:eastAsia="宋体"/>
      <w:szCs w:val="24"/>
    </w:rPr>
  </w:style>
  <w:style w:type="paragraph" w:customStyle="1" w:styleId="302">
    <w:name w:val="正文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03">
    <w:name w:val="正文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04">
    <w:name w:val="正文 New New New New New New New New New New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305">
    <w:name w:val="标题1"/>
    <w:basedOn w:val="1"/>
    <w:next w:val="5"/>
    <w:autoRedefine/>
    <w:qFormat/>
    <w:uiPriority w:val="0"/>
    <w:pPr>
      <w:keepNext/>
      <w:suppressAutoHyphens/>
      <w:spacing w:before="240" w:after="120"/>
    </w:pPr>
    <w:rPr>
      <w:rFonts w:ascii="DejaVu Sans" w:hAnsi="DejaVu Sans" w:eastAsia="DejaVu Sans" w:cs="DejaVu Sans"/>
      <w:sz w:val="28"/>
      <w:szCs w:val="28"/>
      <w:lang w:eastAsia="ar-SA"/>
    </w:rPr>
  </w:style>
  <w:style w:type="paragraph" w:customStyle="1" w:styleId="306">
    <w:name w:val="普通(网站)1"/>
    <w:basedOn w:val="1"/>
    <w:autoRedefine/>
    <w:qFormat/>
    <w:uiPriority w:val="0"/>
    <w:pPr>
      <w:widowControl/>
      <w:suppressAutoHyphens/>
      <w:spacing w:before="284" w:after="280" w:line="360" w:lineRule="auto"/>
      <w:jc w:val="left"/>
    </w:pPr>
    <w:rPr>
      <w:rFonts w:ascii="宋体" w:hAnsi="宋体"/>
      <w:sz w:val="24"/>
      <w:szCs w:val="20"/>
      <w:lang w:eastAsia="ar-SA"/>
    </w:rPr>
  </w:style>
  <w:style w:type="paragraph" w:customStyle="1" w:styleId="307">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8">
    <w:name w:val="cjk"/>
    <w:basedOn w:val="1"/>
    <w:autoRedefine/>
    <w:qFormat/>
    <w:uiPriority w:val="0"/>
    <w:pPr>
      <w:widowControl/>
      <w:spacing w:before="284" w:after="100" w:afterAutospacing="1" w:line="360" w:lineRule="auto"/>
      <w:jc w:val="left"/>
    </w:pPr>
    <w:rPr>
      <w:rFonts w:ascii="宋体" w:hAnsi="宋体"/>
      <w:kern w:val="0"/>
      <w:sz w:val="22"/>
    </w:rPr>
  </w:style>
  <w:style w:type="paragraph" w:customStyle="1" w:styleId="309">
    <w:name w:val="正文文本缩进 New New"/>
    <w:basedOn w:val="1"/>
    <w:autoRedefine/>
    <w:qFormat/>
    <w:uiPriority w:val="0"/>
    <w:pPr>
      <w:spacing w:after="120"/>
      <w:ind w:left="420" w:leftChars="200"/>
    </w:pPr>
    <w:rPr>
      <w:rFonts w:ascii="Times New Roman" w:hAnsi="Times New Roman" w:eastAsia="楷体_GB2312"/>
      <w:szCs w:val="20"/>
    </w:rPr>
  </w:style>
  <w:style w:type="paragraph" w:customStyle="1" w:styleId="310">
    <w:name w:val="样式8"/>
    <w:basedOn w:val="1"/>
    <w:autoRedefine/>
    <w:qFormat/>
    <w:uiPriority w:val="0"/>
    <w:pPr>
      <w:keepNext/>
      <w:keepLines/>
      <w:widowControl/>
      <w:spacing w:before="260" w:after="260"/>
      <w:jc w:val="center"/>
      <w:outlineLvl w:val="1"/>
    </w:pPr>
    <w:rPr>
      <w:rFonts w:ascii="Arial" w:hAnsi="Arial" w:eastAsia="黑体"/>
      <w:b/>
      <w:bCs/>
      <w:kern w:val="0"/>
      <w:sz w:val="72"/>
      <w:szCs w:val="32"/>
    </w:rPr>
  </w:style>
  <w:style w:type="paragraph" w:customStyle="1" w:styleId="311">
    <w:name w:val="正文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12">
    <w:name w:val="正文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13">
    <w:name w:val="章节三"/>
    <w:basedOn w:val="181"/>
    <w:next w:val="181"/>
    <w:autoRedefine/>
    <w:qFormat/>
    <w:uiPriority w:val="0"/>
    <w:pPr>
      <w:spacing w:beforeLines="50" w:line="240" w:lineRule="auto"/>
      <w:ind w:firstLine="0" w:firstLineChars="0"/>
      <w:jc w:val="left"/>
      <w:outlineLvl w:val="2"/>
    </w:pPr>
    <w:rPr>
      <w:rFonts w:ascii="黑体" w:eastAsia="黑体"/>
      <w:b/>
    </w:rPr>
  </w:style>
  <w:style w:type="paragraph" w:customStyle="1" w:styleId="314">
    <w:name w:val="Char1 Char Char Char Char Char Char11"/>
    <w:basedOn w:val="1"/>
    <w:autoRedefine/>
    <w:qFormat/>
    <w:uiPriority w:val="0"/>
    <w:rPr>
      <w:rFonts w:ascii="Times New Roman" w:hAnsi="Times New Roman"/>
      <w:szCs w:val="20"/>
    </w:rPr>
  </w:style>
  <w:style w:type="paragraph" w:customStyle="1" w:styleId="315">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316">
    <w:name w:val="正文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7">
    <w:name w:val="1"/>
    <w:basedOn w:val="1"/>
    <w:next w:val="1"/>
    <w:autoRedefine/>
    <w:qFormat/>
    <w:uiPriority w:val="0"/>
    <w:rPr>
      <w:rFonts w:ascii="Times New Roman" w:hAnsi="Times New Roman"/>
    </w:rPr>
  </w:style>
  <w:style w:type="paragraph" w:customStyle="1" w:styleId="318">
    <w:name w:val="Char5 Char Char Char Char Char Char Char Char Char Char Char Char Char Char Char Char Char Char Char Char1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9">
    <w:name w:val="内容目录 10"/>
    <w:basedOn w:val="320"/>
    <w:autoRedefine/>
    <w:qFormat/>
    <w:uiPriority w:val="0"/>
    <w:pPr>
      <w:tabs>
        <w:tab w:val="right" w:leader="dot" w:pos="9637"/>
      </w:tabs>
      <w:ind w:left="2547"/>
    </w:pPr>
  </w:style>
  <w:style w:type="paragraph" w:customStyle="1" w:styleId="320">
    <w:name w:val="目录"/>
    <w:basedOn w:val="1"/>
    <w:autoRedefine/>
    <w:qFormat/>
    <w:uiPriority w:val="0"/>
    <w:pPr>
      <w:suppressLineNumbers/>
      <w:suppressAutoHyphens/>
    </w:pPr>
    <w:rPr>
      <w:rFonts w:ascii="Times New Roman" w:hAnsi="Times New Roman"/>
      <w:szCs w:val="20"/>
      <w:lang w:eastAsia="ar-SA"/>
    </w:rPr>
  </w:style>
  <w:style w:type="paragraph" w:customStyle="1" w:styleId="321">
    <w:name w:val="正文_1"/>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22">
    <w:name w:val="msonospacing"/>
    <w:autoRedefine/>
    <w:qFormat/>
    <w:uiPriority w:val="0"/>
    <w:rPr>
      <w:rFonts w:ascii="Times New Roman" w:hAnsi="Times New Roman" w:eastAsia="Times New Roman" w:cs="Times New Roman"/>
      <w:kern w:val="2"/>
      <w:sz w:val="22"/>
      <w:lang w:val="en-US" w:eastAsia="zh-CN" w:bidi="ar-SA"/>
    </w:rPr>
  </w:style>
  <w:style w:type="paragraph" w:customStyle="1" w:styleId="323">
    <w:name w:val="Char Char Char1 Char1"/>
    <w:basedOn w:val="1"/>
    <w:autoRedefine/>
    <w:qFormat/>
    <w:uiPriority w:val="0"/>
    <w:rPr>
      <w:rFonts w:ascii="宋体" w:hAnsi="Times New Roman"/>
      <w:kern w:val="0"/>
      <w:sz w:val="34"/>
      <w:szCs w:val="20"/>
    </w:rPr>
  </w:style>
  <w:style w:type="paragraph" w:customStyle="1" w:styleId="324">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325">
    <w:name w:val="样式 标题 1 + 宋体 居中 段前: 48 磅 段后: 12 磅 行距: 1.5 倍行距"/>
    <w:basedOn w:val="2"/>
    <w:autoRedefine/>
    <w:qFormat/>
    <w:uiPriority w:val="0"/>
    <w:pPr>
      <w:snapToGrid w:val="0"/>
      <w:spacing w:before="1560" w:after="240"/>
    </w:pPr>
    <w:rPr>
      <w:rFonts w:ascii="宋体" w:hAnsi="宋体"/>
      <w:bCs/>
      <w:kern w:val="2"/>
      <w:sz w:val="36"/>
      <w:szCs w:val="20"/>
    </w:rPr>
  </w:style>
  <w:style w:type="paragraph" w:customStyle="1" w:styleId="326">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327">
    <w:name w:val="Char2"/>
    <w:basedOn w:val="1"/>
    <w:autoRedefine/>
    <w:qFormat/>
    <w:uiPriority w:val="0"/>
    <w:pPr>
      <w:tabs>
        <w:tab w:val="left" w:pos="1500"/>
      </w:tabs>
      <w:ind w:left="567" w:hanging="279"/>
    </w:pPr>
    <w:rPr>
      <w:rFonts w:ascii="Times New Roman" w:hAnsi="Times New Roman"/>
      <w:sz w:val="24"/>
      <w:szCs w:val="24"/>
    </w:rPr>
  </w:style>
  <w:style w:type="paragraph" w:customStyle="1" w:styleId="328">
    <w:name w:val="正文首行缩进1"/>
    <w:basedOn w:val="5"/>
    <w:autoRedefine/>
    <w:qFormat/>
    <w:uiPriority w:val="0"/>
    <w:pPr>
      <w:ind w:firstLine="420" w:firstLineChars="100"/>
    </w:pPr>
    <w:rPr>
      <w:rFonts w:ascii="Times New Roman"/>
      <w:kern w:val="0"/>
      <w:sz w:val="30"/>
      <w:szCs w:val="24"/>
    </w:rPr>
  </w:style>
  <w:style w:type="paragraph" w:customStyle="1" w:styleId="329">
    <w:name w:val="样式1"/>
    <w:basedOn w:val="8"/>
    <w:autoRedefine/>
    <w:qFormat/>
    <w:uiPriority w:val="0"/>
    <w:pPr>
      <w:keepNext/>
      <w:keepLines/>
      <w:widowControl w:val="0"/>
      <w:spacing w:before="260" w:after="260" w:line="412" w:lineRule="auto"/>
      <w:jc w:val="both"/>
    </w:pPr>
    <w:rPr>
      <w:rFonts w:ascii="Calibri" w:hAnsi="Calibri" w:eastAsia="Arial" w:cs="Times New Roman"/>
      <w:b/>
      <w:kern w:val="2"/>
      <w:sz w:val="32"/>
      <w:szCs w:val="22"/>
    </w:rPr>
  </w:style>
  <w:style w:type="paragraph" w:customStyle="1" w:styleId="330">
    <w:name w:val="正文文本缩进1"/>
    <w:basedOn w:val="1"/>
    <w:autoRedefine/>
    <w:qFormat/>
    <w:uiPriority w:val="0"/>
    <w:pPr>
      <w:ind w:firstLine="480"/>
    </w:pPr>
    <w:rPr>
      <w:rFonts w:ascii="Times New Roman" w:hAnsi="Times New Roman"/>
      <w:sz w:val="24"/>
      <w:szCs w:val="20"/>
    </w:rPr>
  </w:style>
  <w:style w:type="paragraph" w:customStyle="1" w:styleId="331">
    <w:name w:val="样式3"/>
    <w:basedOn w:val="8"/>
    <w:autoRedefine/>
    <w:qFormat/>
    <w:uiPriority w:val="0"/>
    <w:pPr>
      <w:keepNext/>
      <w:keepLines/>
      <w:widowControl w:val="0"/>
      <w:spacing w:before="260" w:after="260" w:line="412" w:lineRule="auto"/>
      <w:jc w:val="both"/>
    </w:pPr>
    <w:rPr>
      <w:rFonts w:ascii="Calibri" w:hAnsi="Calibri" w:eastAsia="Arial" w:cs="Times New Roman"/>
      <w:b/>
      <w:kern w:val="2"/>
      <w:sz w:val="32"/>
      <w:szCs w:val="22"/>
    </w:rPr>
  </w:style>
  <w:style w:type="paragraph" w:customStyle="1" w:styleId="332">
    <w:name w:val="Char Char Char Char Char Char Char Char Char Char Char Char Char"/>
    <w:basedOn w:val="18"/>
    <w:autoRedefine/>
    <w:qFormat/>
    <w:uiPriority w:val="0"/>
    <w:rPr>
      <w:rFonts w:ascii="Tahoma" w:hAnsi="Tahoma"/>
      <w:kern w:val="0"/>
      <w:sz w:val="24"/>
      <w:szCs w:val="24"/>
      <w:shd w:val="clear" w:color="auto" w:fill="000080"/>
    </w:rPr>
  </w:style>
  <w:style w:type="paragraph" w:customStyle="1" w:styleId="3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4">
    <w:name w:val="Char2 Char Char Char"/>
    <w:basedOn w:val="1"/>
    <w:autoRedefine/>
    <w:qFormat/>
    <w:uiPriority w:val="0"/>
    <w:pPr>
      <w:tabs>
        <w:tab w:val="left" w:pos="1350"/>
      </w:tabs>
      <w:ind w:left="1350" w:hanging="720"/>
    </w:pPr>
    <w:rPr>
      <w:rFonts w:ascii="Times New Roman" w:hAnsi="Times New Roman"/>
      <w:sz w:val="24"/>
      <w:szCs w:val="24"/>
    </w:rPr>
  </w:style>
  <w:style w:type="paragraph" w:customStyle="1" w:styleId="335">
    <w:name w:val="封二"/>
    <w:basedOn w:val="181"/>
    <w:next w:val="181"/>
    <w:autoRedefine/>
    <w:qFormat/>
    <w:uiPriority w:val="0"/>
    <w:pPr>
      <w:ind w:firstLine="0" w:firstLineChars="0"/>
      <w:jc w:val="center"/>
    </w:pPr>
    <w:rPr>
      <w:rFonts w:eastAsia="黑体"/>
      <w:b/>
      <w:sz w:val="36"/>
      <w:szCs w:val="36"/>
    </w:rPr>
  </w:style>
  <w:style w:type="paragraph" w:customStyle="1" w:styleId="336">
    <w:name w:val="正文缩进_0"/>
    <w:basedOn w:val="270"/>
    <w:autoRedefine/>
    <w:qFormat/>
    <w:uiPriority w:val="0"/>
    <w:pPr>
      <w:ind w:firstLine="420"/>
    </w:pPr>
  </w:style>
  <w:style w:type="paragraph" w:customStyle="1" w:styleId="337">
    <w:name w:val="样式2"/>
    <w:basedOn w:val="8"/>
    <w:autoRedefine/>
    <w:qFormat/>
    <w:uiPriority w:val="0"/>
    <w:pPr>
      <w:keepNext/>
      <w:keepLines/>
      <w:widowControl w:val="0"/>
      <w:spacing w:before="260" w:after="260" w:line="412" w:lineRule="auto"/>
      <w:jc w:val="both"/>
    </w:pPr>
    <w:rPr>
      <w:rFonts w:ascii="Calibri" w:hAnsi="Calibri" w:cs="Times New Roman"/>
      <w:b/>
      <w:kern w:val="2"/>
      <w:sz w:val="32"/>
      <w:szCs w:val="22"/>
    </w:rPr>
  </w:style>
  <w:style w:type="paragraph" w:customStyle="1" w:styleId="338">
    <w:name w:val="标题 3_0"/>
    <w:basedOn w:val="270"/>
    <w:next w:val="336"/>
    <w:autoRedefine/>
    <w:qFormat/>
    <w:uiPriority w:val="0"/>
    <w:pPr>
      <w:keepNext/>
      <w:keepLines/>
      <w:spacing w:line="360" w:lineRule="auto"/>
      <w:jc w:val="center"/>
      <w:outlineLvl w:val="2"/>
    </w:pPr>
    <w:rPr>
      <w:rFonts w:ascii="仿宋_GB2312" w:hAnsi="宋体" w:eastAsia="仿宋_GB2312" w:cs="宋体"/>
      <w:b/>
      <w:sz w:val="30"/>
      <w:szCs w:val="30"/>
    </w:rPr>
  </w:style>
  <w:style w:type="paragraph" w:customStyle="1" w:styleId="339">
    <w:name w:val="正文文本缩进 31"/>
    <w:basedOn w:val="1"/>
    <w:autoRedefine/>
    <w:qFormat/>
    <w:uiPriority w:val="0"/>
    <w:pPr>
      <w:suppressAutoHyphens/>
      <w:spacing w:after="120"/>
      <w:ind w:left="420"/>
    </w:pPr>
    <w:rPr>
      <w:rFonts w:ascii="Times New Roman" w:hAnsi="Times New Roman"/>
      <w:sz w:val="16"/>
      <w:szCs w:val="20"/>
      <w:lang w:eastAsia="ar-SA"/>
    </w:rPr>
  </w:style>
  <w:style w:type="paragraph" w:customStyle="1" w:styleId="340">
    <w:name w:val="表格文字"/>
    <w:basedOn w:val="1"/>
    <w:autoRedefine/>
    <w:qFormat/>
    <w:uiPriority w:val="0"/>
    <w:pPr>
      <w:adjustRightInd w:val="0"/>
      <w:spacing w:line="420" w:lineRule="atLeast"/>
      <w:jc w:val="left"/>
    </w:pPr>
    <w:rPr>
      <w:rFonts w:ascii="Times New Roman" w:hAnsi="Times New Roman"/>
      <w:kern w:val="0"/>
      <w:szCs w:val="20"/>
    </w:rPr>
  </w:style>
  <w:style w:type="paragraph" w:customStyle="1" w:styleId="341">
    <w:name w:val="TOC 标题2"/>
    <w:basedOn w:val="2"/>
    <w:next w:val="1"/>
    <w:autoRedefine/>
    <w:qFormat/>
    <w:uiPriority w:val="0"/>
    <w:pPr>
      <w:widowControl/>
      <w:spacing w:before="480" w:after="0" w:line="276" w:lineRule="auto"/>
      <w:jc w:val="left"/>
      <w:outlineLvl w:val="9"/>
    </w:pPr>
    <w:rPr>
      <w:rFonts w:ascii="Cambria" w:hAnsi="Cambria"/>
      <w:b w:val="0"/>
      <w:color w:val="365F91"/>
      <w:kern w:val="0"/>
    </w:rPr>
  </w:style>
  <w:style w:type="paragraph" w:customStyle="1" w:styleId="342">
    <w:name w:val="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343">
    <w:name w:val="正文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4">
    <w:name w:val="正文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45">
    <w:name w:val="纯文本 New"/>
    <w:basedOn w:val="284"/>
    <w:autoRedefine/>
    <w:qFormat/>
    <w:uiPriority w:val="0"/>
    <w:rPr>
      <w:rFonts w:ascii="宋体" w:hAnsi="Courier New" w:eastAsia="宋体"/>
      <w:kern w:val="2"/>
      <w:sz w:val="24"/>
    </w:rPr>
  </w:style>
  <w:style w:type="paragraph" w:customStyle="1" w:styleId="346">
    <w:name w:val="xl4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47">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48">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9">
    <w:name w:val="封四"/>
    <w:basedOn w:val="181"/>
    <w:next w:val="181"/>
    <w:autoRedefine/>
    <w:qFormat/>
    <w:uiPriority w:val="0"/>
    <w:pPr>
      <w:jc w:val="left"/>
    </w:pPr>
    <w:rPr>
      <w:sz w:val="30"/>
      <w:szCs w:val="30"/>
    </w:rPr>
  </w:style>
  <w:style w:type="paragraph" w:customStyle="1" w:styleId="350">
    <w:name w:val="正文文本缩进 22"/>
    <w:basedOn w:val="1"/>
    <w:autoRedefine/>
    <w:qFormat/>
    <w:uiPriority w:val="0"/>
    <w:pPr>
      <w:spacing w:line="420" w:lineRule="exact"/>
      <w:ind w:firstLine="480"/>
    </w:pPr>
    <w:rPr>
      <w:rFonts w:ascii="Times New Roman" w:hAnsi="Times New Roman"/>
      <w:b/>
      <w:sz w:val="24"/>
      <w:szCs w:val="20"/>
    </w:rPr>
  </w:style>
  <w:style w:type="paragraph" w:customStyle="1" w:styleId="351">
    <w:name w:val="页脚 New"/>
    <w:basedOn w:val="290"/>
    <w:autoRedefine/>
    <w:qFormat/>
    <w:uiPriority w:val="0"/>
    <w:pPr>
      <w:tabs>
        <w:tab w:val="center" w:pos="4153"/>
        <w:tab w:val="right" w:pos="8306"/>
      </w:tabs>
      <w:snapToGrid w:val="0"/>
      <w:jc w:val="left"/>
    </w:pPr>
    <w:rPr>
      <w:sz w:val="18"/>
    </w:rPr>
  </w:style>
  <w:style w:type="paragraph" w:customStyle="1" w:styleId="352">
    <w:name w:val="msonormalcxspmidd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53">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354">
    <w:name w:val="Char14"/>
    <w:basedOn w:val="18"/>
    <w:autoRedefine/>
    <w:qFormat/>
    <w:uiPriority w:val="0"/>
    <w:rPr>
      <w:rFonts w:ascii="Tahoma" w:hAnsi="Tahoma"/>
      <w:kern w:val="0"/>
      <w:sz w:val="24"/>
      <w:szCs w:val="24"/>
      <w:shd w:val="clear" w:color="auto" w:fill="000080"/>
    </w:rPr>
  </w:style>
  <w:style w:type="paragraph" w:customStyle="1" w:styleId="355">
    <w:name w:val="正文 New New New New New New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56">
    <w:name w:val="Char1 Char Char Char Char Char Char1 Char Char Char"/>
    <w:basedOn w:val="1"/>
    <w:autoRedefine/>
    <w:qFormat/>
    <w:uiPriority w:val="0"/>
    <w:rPr>
      <w:rFonts w:ascii="Times New Roman" w:hAnsi="Times New Roman"/>
      <w:sz w:val="30"/>
      <w:szCs w:val="24"/>
    </w:rPr>
  </w:style>
  <w:style w:type="paragraph" w:customStyle="1" w:styleId="357">
    <w:name w:val="列表项目符号 21"/>
    <w:basedOn w:val="358"/>
    <w:autoRedefine/>
    <w:qFormat/>
    <w:uiPriority w:val="0"/>
    <w:pPr>
      <w:widowControl/>
      <w:tabs>
        <w:tab w:val="left" w:pos="360"/>
      </w:tabs>
      <w:spacing w:after="220" w:line="220" w:lineRule="atLeast"/>
      <w:ind w:left="360" w:right="720"/>
      <w:jc w:val="left"/>
    </w:pPr>
  </w:style>
  <w:style w:type="paragraph" w:customStyle="1" w:styleId="358">
    <w:name w:val="列表项目符号1"/>
    <w:basedOn w:val="1"/>
    <w:autoRedefine/>
    <w:qFormat/>
    <w:uiPriority w:val="0"/>
    <w:pPr>
      <w:tabs>
        <w:tab w:val="left" w:pos="360"/>
      </w:tabs>
      <w:suppressAutoHyphens/>
    </w:pPr>
    <w:rPr>
      <w:rFonts w:ascii="Times New Roman" w:hAnsi="Times New Roman"/>
      <w:szCs w:val="20"/>
      <w:lang w:eastAsia="ar-SA"/>
    </w:rPr>
  </w:style>
  <w:style w:type="paragraph" w:customStyle="1" w:styleId="359">
    <w:name w:val="样式 标题 1 + 黑体 三号 非加粗 居中 段前: 6 磅 段后: 6 磅 行距: 固定值 20 磅"/>
    <w:basedOn w:val="2"/>
    <w:autoRedefine/>
    <w:qFormat/>
    <w:uiPriority w:val="0"/>
    <w:pPr>
      <w:spacing w:before="0" w:line="400" w:lineRule="exact"/>
    </w:pPr>
    <w:rPr>
      <w:rFonts w:ascii="黑体" w:hAnsi="黑体" w:eastAsia="黑体"/>
      <w:bCs/>
      <w:sz w:val="32"/>
      <w:szCs w:val="20"/>
    </w:rPr>
  </w:style>
  <w:style w:type="paragraph" w:customStyle="1" w:styleId="360">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361">
    <w:name w:val="文档结构图1"/>
    <w:basedOn w:val="1"/>
    <w:autoRedefine/>
    <w:qFormat/>
    <w:uiPriority w:val="0"/>
    <w:pPr>
      <w:shd w:val="clear" w:color="auto" w:fill="000080"/>
      <w:suppressAutoHyphens/>
    </w:pPr>
    <w:rPr>
      <w:rFonts w:ascii="Times New Roman" w:hAnsi="Times New Roman"/>
      <w:szCs w:val="20"/>
      <w:lang w:eastAsia="ar-SA"/>
    </w:rPr>
  </w:style>
  <w:style w:type="paragraph" w:customStyle="1" w:styleId="362">
    <w:name w:val="方框图"/>
    <w:basedOn w:val="1"/>
    <w:autoRedefine/>
    <w:qFormat/>
    <w:uiPriority w:val="0"/>
    <w:pPr>
      <w:jc w:val="center"/>
    </w:pPr>
    <w:rPr>
      <w:rFonts w:ascii="Times New Roman" w:hAnsi="Times New Roman"/>
      <w:bCs/>
      <w:szCs w:val="24"/>
    </w:rPr>
  </w:style>
  <w:style w:type="paragraph" w:customStyle="1" w:styleId="363">
    <w:name w:val="6'"/>
    <w:basedOn w:val="1"/>
    <w:autoRedefine/>
    <w:qFormat/>
    <w:uiPriority w:val="0"/>
    <w:pPr>
      <w:autoSpaceDE w:val="0"/>
      <w:autoSpaceDN w:val="0"/>
      <w:adjustRightInd w:val="0"/>
      <w:snapToGrid w:val="0"/>
      <w:spacing w:line="320" w:lineRule="exact"/>
      <w:jc w:val="center"/>
    </w:pPr>
    <w:rPr>
      <w:rFonts w:ascii="Times New Roman" w:hAnsi="Times New Roman"/>
      <w:spacing w:val="20"/>
      <w:kern w:val="28"/>
      <w:szCs w:val="20"/>
    </w:rPr>
  </w:style>
  <w:style w:type="paragraph" w:customStyle="1" w:styleId="364">
    <w:name w:val="样式4"/>
    <w:basedOn w:val="8"/>
    <w:autoRedefine/>
    <w:qFormat/>
    <w:uiPriority w:val="0"/>
    <w:pPr>
      <w:keepNext/>
      <w:keepLines/>
      <w:widowControl w:val="0"/>
      <w:spacing w:before="260" w:after="260" w:line="412" w:lineRule="auto"/>
      <w:jc w:val="both"/>
    </w:pPr>
    <w:rPr>
      <w:rFonts w:ascii="Calibri" w:hAnsi="Calibri" w:eastAsia="Arial" w:cs="Times New Roman"/>
      <w:b/>
      <w:kern w:val="2"/>
      <w:sz w:val="32"/>
      <w:szCs w:val="22"/>
    </w:rPr>
  </w:style>
  <w:style w:type="paragraph" w:customStyle="1" w:styleId="365">
    <w:name w:val="Char13 Char Char Char Char Char"/>
    <w:basedOn w:val="1"/>
    <w:autoRedefine/>
    <w:qFormat/>
    <w:uiPriority w:val="0"/>
    <w:pPr>
      <w:ind w:left="567" w:hanging="279"/>
    </w:pPr>
    <w:rPr>
      <w:rFonts w:ascii="Times New Roman" w:hAnsi="Times New Roman"/>
      <w:kern w:val="0"/>
      <w:sz w:val="20"/>
      <w:szCs w:val="20"/>
    </w:rPr>
  </w:style>
  <w:style w:type="paragraph" w:customStyle="1" w:styleId="366">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样式 正文缩进正文（首行缩进两字）特点ALT+Z表正文正文非缩进四号段1Normal Indent Char2...1"/>
    <w:basedOn w:val="6"/>
    <w:autoRedefine/>
    <w:qFormat/>
    <w:uiPriority w:val="0"/>
    <w:pPr>
      <w:tabs>
        <w:tab w:val="left" w:pos="1260"/>
      </w:tabs>
      <w:spacing w:before="1320" w:after="240" w:line="300" w:lineRule="auto"/>
      <w:ind w:left="1260" w:hanging="420"/>
    </w:pPr>
    <w:rPr>
      <w:rFonts w:hint="eastAsia" w:ascii="黑体" w:hAnsi="黑体" w:eastAsia="黑体"/>
      <w:b w:val="0"/>
      <w:color w:val="auto"/>
      <w:kern w:val="0"/>
      <w:szCs w:val="20"/>
    </w:rPr>
  </w:style>
  <w:style w:type="paragraph" w:customStyle="1" w:styleId="368">
    <w:name w:val="正文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69">
    <w:name w:val="标题 2 New"/>
    <w:basedOn w:val="355"/>
    <w:next w:val="355"/>
    <w:autoRedefine/>
    <w:qFormat/>
    <w:uiPriority w:val="0"/>
    <w:pPr>
      <w:keepNext/>
      <w:keepLines/>
      <w:spacing w:before="260" w:after="260" w:line="416" w:lineRule="auto"/>
      <w:outlineLvl w:val="1"/>
    </w:pPr>
    <w:rPr>
      <w:rFonts w:ascii="Arial" w:hAnsi="Arial" w:eastAsia="仿宋_GB2312"/>
      <w:b/>
      <w:bCs/>
      <w:sz w:val="32"/>
    </w:rPr>
  </w:style>
  <w:style w:type="paragraph" w:customStyle="1" w:styleId="370">
    <w:name w:val="正文缩进 New"/>
    <w:basedOn w:val="355"/>
    <w:autoRedefine/>
    <w:qFormat/>
    <w:uiPriority w:val="0"/>
    <w:pPr>
      <w:ind w:firstLine="420"/>
    </w:pPr>
    <w:rPr>
      <w:rFonts w:ascii="Times New Roman" w:hAnsi="Times New Roman" w:cs="Times New Roman"/>
      <w:snapToGrid/>
      <w:kern w:val="2"/>
      <w:szCs w:val="20"/>
    </w:rPr>
  </w:style>
  <w:style w:type="paragraph" w:customStyle="1" w:styleId="371">
    <w:name w:val="批注文字1"/>
    <w:basedOn w:val="1"/>
    <w:autoRedefine/>
    <w:qFormat/>
    <w:uiPriority w:val="0"/>
    <w:pPr>
      <w:suppressAutoHyphens/>
      <w:jc w:val="left"/>
    </w:pPr>
    <w:rPr>
      <w:rFonts w:ascii="Times New Roman" w:hAnsi="Times New Roman"/>
      <w:szCs w:val="20"/>
      <w:lang w:eastAsia="ar-SA"/>
    </w:rPr>
  </w:style>
  <w:style w:type="paragraph" w:customStyle="1" w:styleId="372">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3">
    <w:name w:val="页脚 New New New"/>
    <w:basedOn w:val="372"/>
    <w:autoRedefine/>
    <w:qFormat/>
    <w:uiPriority w:val="0"/>
    <w:pPr>
      <w:tabs>
        <w:tab w:val="center" w:pos="4153"/>
        <w:tab w:val="right" w:pos="8306"/>
      </w:tabs>
      <w:snapToGrid w:val="0"/>
      <w:jc w:val="left"/>
    </w:pPr>
    <w:rPr>
      <w:sz w:val="18"/>
      <w:szCs w:val="18"/>
    </w:rPr>
  </w:style>
  <w:style w:type="paragraph" w:customStyle="1" w:styleId="374">
    <w:name w:val="msolistparagraph"/>
    <w:basedOn w:val="1"/>
    <w:autoRedefine/>
    <w:qFormat/>
    <w:uiPriority w:val="0"/>
    <w:pPr>
      <w:ind w:firstLine="420" w:firstLineChars="200"/>
    </w:pPr>
    <w:rPr>
      <w:rFonts w:ascii="Times New Roman" w:hAnsi="Times New Roman"/>
    </w:rPr>
  </w:style>
  <w:style w:type="paragraph" w:customStyle="1" w:styleId="375">
    <w:name w:val="正文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6">
    <w:name w:val="普通(网站)2"/>
    <w:basedOn w:val="1"/>
    <w:autoRedefine/>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37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78">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9">
    <w:name w:val="正文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0">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381">
    <w:name w:val="标签"/>
    <w:basedOn w:val="1"/>
    <w:autoRedefine/>
    <w:qFormat/>
    <w:uiPriority w:val="0"/>
    <w:pPr>
      <w:suppressLineNumbers/>
      <w:suppressAutoHyphens/>
      <w:spacing w:before="120" w:after="120"/>
    </w:pPr>
    <w:rPr>
      <w:rFonts w:ascii="Times New Roman" w:hAnsi="Times New Roman"/>
      <w:i/>
      <w:iCs/>
      <w:sz w:val="24"/>
      <w:szCs w:val="24"/>
      <w:lang w:eastAsia="ar-SA"/>
    </w:rPr>
  </w:style>
  <w:style w:type="paragraph" w:customStyle="1" w:styleId="382">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3">
    <w:name w:val="表格内容"/>
    <w:basedOn w:val="1"/>
    <w:autoRedefine/>
    <w:qFormat/>
    <w:uiPriority w:val="0"/>
    <w:pPr>
      <w:suppressLineNumbers/>
      <w:suppressAutoHyphens/>
    </w:pPr>
    <w:rPr>
      <w:rFonts w:ascii="Times New Roman" w:hAnsi="Times New Roman"/>
      <w:szCs w:val="20"/>
      <w:lang w:eastAsia="ar-SA"/>
    </w:rPr>
  </w:style>
  <w:style w:type="paragraph" w:customStyle="1" w:styleId="38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5">
    <w:name w:val="正题"/>
    <w:basedOn w:val="181"/>
    <w:next w:val="181"/>
    <w:autoRedefine/>
    <w:qFormat/>
    <w:uiPriority w:val="0"/>
    <w:pPr>
      <w:ind w:firstLine="0" w:firstLineChars="0"/>
      <w:jc w:val="center"/>
    </w:pPr>
    <w:rPr>
      <w:rFonts w:eastAsia="黑体"/>
      <w:b/>
      <w:sz w:val="36"/>
      <w:szCs w:val="36"/>
    </w:rPr>
  </w:style>
  <w:style w:type="paragraph" w:customStyle="1" w:styleId="386">
    <w:name w:val="font0"/>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87">
    <w:name w:val="样式 标题 3 + (中文) 黑体 小四 非加粗 段前: 7.8 磅 段后: 0 磅 行距: 固定值 20 磅"/>
    <w:basedOn w:val="8"/>
    <w:autoRedefine/>
    <w:qFormat/>
    <w:uiPriority w:val="0"/>
    <w:pPr>
      <w:keepNext/>
      <w:keepLines/>
      <w:widowControl w:val="0"/>
      <w:spacing w:beforeLines="50" w:line="400" w:lineRule="exact"/>
      <w:jc w:val="both"/>
    </w:pPr>
    <w:rPr>
      <w:rFonts w:ascii="Calibri" w:hAnsi="Calibri" w:eastAsia="黑体" w:cs="Times New Roman"/>
      <w:bCs/>
      <w:kern w:val="2"/>
      <w:szCs w:val="20"/>
    </w:rPr>
  </w:style>
  <w:style w:type="paragraph" w:customStyle="1" w:styleId="388">
    <w:name w:val="msointensequote"/>
    <w:basedOn w:val="1"/>
    <w:next w:val="1"/>
    <w:autoRedefine/>
    <w:qFormat/>
    <w:uiPriority w:val="0"/>
    <w:pPr>
      <w:widowControl/>
      <w:ind w:left="720" w:right="720"/>
      <w:jc w:val="left"/>
    </w:pPr>
    <w:rPr>
      <w:rFonts w:ascii="Times New Roman" w:hAnsi="Times New Roman"/>
      <w:b/>
      <w:i/>
      <w:kern w:val="0"/>
      <w:sz w:val="24"/>
    </w:rPr>
  </w:style>
  <w:style w:type="paragraph" w:customStyle="1" w:styleId="389">
    <w:name w:val="正文文本缩进 32"/>
    <w:basedOn w:val="1"/>
    <w:autoRedefine/>
    <w:qFormat/>
    <w:uiPriority w:val="0"/>
    <w:pPr>
      <w:snapToGrid w:val="0"/>
      <w:spacing w:line="360" w:lineRule="auto"/>
      <w:ind w:left="20" w:firstLine="529" w:firstLineChars="189"/>
    </w:pPr>
    <w:rPr>
      <w:rFonts w:ascii="仿宋_GB2312" w:hAnsi="Times New Roman" w:eastAsia="仿宋_GB2312"/>
      <w:sz w:val="28"/>
      <w:szCs w:val="24"/>
    </w:rPr>
  </w:style>
  <w:style w:type="paragraph" w:customStyle="1" w:styleId="390">
    <w:name w:val="样式 标题 2 + Times New Roman 四号 非加粗 段前: 5 磅 段后: 0 磅 行距: 固定值 20..."/>
    <w:basedOn w:val="6"/>
    <w:autoRedefine/>
    <w:qFormat/>
    <w:uiPriority w:val="0"/>
    <w:pPr>
      <w:spacing w:before="100" w:after="0" w:line="400" w:lineRule="exact"/>
      <w:jc w:val="both"/>
    </w:pPr>
    <w:rPr>
      <w:rFonts w:hint="eastAsia" w:ascii="Times New Roman" w:hAnsi="Times New Roman" w:eastAsia="黑体" w:cs="宋体"/>
      <w:color w:val="auto"/>
      <w:kern w:val="0"/>
      <w:sz w:val="28"/>
      <w:szCs w:val="20"/>
    </w:rPr>
  </w:style>
  <w:style w:type="paragraph" w:customStyle="1" w:styleId="391">
    <w:name w:val="正文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2">
    <w:name w:val="表格标题"/>
    <w:basedOn w:val="383"/>
    <w:autoRedefine/>
    <w:qFormat/>
    <w:uiPriority w:val="0"/>
    <w:pPr>
      <w:jc w:val="center"/>
    </w:pPr>
    <w:rPr>
      <w:b/>
      <w:bCs/>
    </w:rPr>
  </w:style>
  <w:style w:type="paragraph" w:customStyle="1" w:styleId="393">
    <w:name w:val="文二"/>
    <w:basedOn w:val="1"/>
    <w:autoRedefine/>
    <w:qFormat/>
    <w:uiPriority w:val="0"/>
    <w:pPr>
      <w:jc w:val="left"/>
    </w:pPr>
    <w:rPr>
      <w:rFonts w:ascii="宋体" w:hAnsi="宋体"/>
      <w:szCs w:val="21"/>
    </w:rPr>
  </w:style>
  <w:style w:type="paragraph" w:customStyle="1" w:styleId="394">
    <w:name w:val="文档结构图2"/>
    <w:basedOn w:val="1"/>
    <w:autoRedefine/>
    <w:qFormat/>
    <w:uiPriority w:val="0"/>
    <w:pPr>
      <w:shd w:val="clear" w:color="auto" w:fill="000080"/>
    </w:pPr>
    <w:rPr>
      <w:rFonts w:ascii="Times New Roman" w:hAnsi="Times New Roman"/>
      <w:sz w:val="30"/>
      <w:szCs w:val="24"/>
    </w:rPr>
  </w:style>
  <w:style w:type="paragraph" w:customStyle="1" w:styleId="395">
    <w:name w:val="修订2"/>
    <w:autoRedefine/>
    <w:qFormat/>
    <w:uiPriority w:val="0"/>
    <w:rPr>
      <w:rFonts w:ascii="Times New Roman" w:hAnsi="Times New Roman" w:eastAsia="宋体" w:cs="Times New Roman"/>
      <w:kern w:val="2"/>
      <w:sz w:val="21"/>
      <w:lang w:val="en-US" w:eastAsia="zh-CN" w:bidi="ar-SA"/>
    </w:rPr>
  </w:style>
  <w:style w:type="paragraph" w:customStyle="1" w:styleId="396">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7">
    <w:name w:val="msotocheading"/>
    <w:basedOn w:val="2"/>
    <w:next w:val="1"/>
    <w:autoRedefine/>
    <w:qFormat/>
    <w:uiPriority w:val="0"/>
    <w:pPr>
      <w:widowControl/>
      <w:spacing w:before="480" w:after="0" w:line="276" w:lineRule="auto"/>
      <w:jc w:val="left"/>
      <w:outlineLvl w:val="9"/>
    </w:pPr>
    <w:rPr>
      <w:rFonts w:ascii="Cambria" w:hAnsi="Cambria"/>
      <w:b w:val="0"/>
      <w:bCs/>
      <w:color w:val="365F91"/>
      <w:kern w:val="0"/>
    </w:rPr>
  </w:style>
  <w:style w:type="paragraph" w:customStyle="1" w:styleId="398">
    <w:name w:val="正文缩进1"/>
    <w:basedOn w:val="1"/>
    <w:autoRedefine/>
    <w:qFormat/>
    <w:uiPriority w:val="0"/>
    <w:pPr>
      <w:ind w:firstLine="420" w:firstLineChars="200"/>
    </w:pPr>
    <w:rPr>
      <w:rFonts w:ascii="Times New Roman" w:hAnsi="Times New Roman"/>
      <w:sz w:val="30"/>
      <w:szCs w:val="24"/>
    </w:rPr>
  </w:style>
  <w:style w:type="paragraph" w:customStyle="1" w:styleId="399">
    <w:name w:val="日期1"/>
    <w:basedOn w:val="1"/>
    <w:next w:val="1"/>
    <w:autoRedefine/>
    <w:qFormat/>
    <w:uiPriority w:val="0"/>
    <w:pPr>
      <w:suppressAutoHyphens/>
      <w:ind w:left="100"/>
    </w:pPr>
    <w:rPr>
      <w:rFonts w:ascii="Times New Roman" w:hAnsi="Times New Roman"/>
      <w:szCs w:val="20"/>
      <w:lang w:eastAsia="ar-SA"/>
    </w:rPr>
  </w:style>
  <w:style w:type="paragraph" w:customStyle="1" w:styleId="400">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样式 正文缩进正文（首行缩进两字）特点ALT+Z表正文正文非缩进四号段1Normal Indent Char2...2"/>
    <w:basedOn w:val="8"/>
    <w:autoRedefine/>
    <w:qFormat/>
    <w:uiPriority w:val="0"/>
    <w:pPr>
      <w:keepNext/>
      <w:keepLines/>
      <w:widowControl w:val="0"/>
      <w:tabs>
        <w:tab w:val="left" w:pos="1680"/>
      </w:tabs>
      <w:spacing w:before="360" w:after="120"/>
      <w:ind w:left="1680" w:hanging="420"/>
      <w:jc w:val="center"/>
    </w:pPr>
    <w:rPr>
      <w:rFonts w:cs="Times New Roman"/>
      <w:b/>
      <w:bCs/>
      <w:sz w:val="28"/>
      <w:szCs w:val="20"/>
    </w:rPr>
  </w:style>
  <w:style w:type="paragraph" w:customStyle="1" w:styleId="402">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03">
    <w:name w:val="_Style 25"/>
    <w:basedOn w:val="1"/>
    <w:next w:val="1"/>
    <w:autoRedefine/>
    <w:qFormat/>
    <w:uiPriority w:val="0"/>
    <w:rPr>
      <w:rFonts w:ascii="Times New Roman" w:hAnsi="Times New Roman"/>
    </w:rPr>
  </w:style>
  <w:style w:type="paragraph" w:customStyle="1" w:styleId="404">
    <w:name w:val="章节二"/>
    <w:basedOn w:val="181"/>
    <w:next w:val="181"/>
    <w:autoRedefine/>
    <w:qFormat/>
    <w:uiPriority w:val="0"/>
    <w:pPr>
      <w:spacing w:beforeLines="50" w:line="240" w:lineRule="auto"/>
      <w:ind w:firstLine="0" w:firstLineChars="0"/>
      <w:jc w:val="center"/>
      <w:outlineLvl w:val="1"/>
    </w:pPr>
    <w:rPr>
      <w:rFonts w:eastAsia="黑体"/>
      <w:b/>
      <w:sz w:val="30"/>
      <w:szCs w:val="30"/>
    </w:rPr>
  </w:style>
  <w:style w:type="character" w:customStyle="1" w:styleId="405">
    <w:name w:val="列出段落 Char Char"/>
    <w:autoRedefine/>
    <w:qFormat/>
    <w:uiPriority w:val="0"/>
  </w:style>
  <w:style w:type="character" w:customStyle="1" w:styleId="406">
    <w:name w:val="正文文本缩进 Char1"/>
    <w:basedOn w:val="51"/>
    <w:autoRedefine/>
    <w:semiHidden/>
    <w:qFormat/>
    <w:uiPriority w:val="99"/>
    <w:rPr>
      <w:rFonts w:ascii="Calibri" w:hAnsi="Calibri" w:eastAsia="宋体" w:cs="Times New Roman"/>
    </w:rPr>
  </w:style>
  <w:style w:type="character" w:customStyle="1" w:styleId="407">
    <w:name w:val="正文文本缩进 3 Char1"/>
    <w:basedOn w:val="51"/>
    <w:autoRedefine/>
    <w:semiHidden/>
    <w:qFormat/>
    <w:uiPriority w:val="99"/>
    <w:rPr>
      <w:rFonts w:ascii="Calibri" w:hAnsi="Calibri" w:eastAsia="宋体" w:cs="Times New Roman"/>
      <w:sz w:val="16"/>
      <w:szCs w:val="16"/>
    </w:rPr>
  </w:style>
  <w:style w:type="character" w:customStyle="1" w:styleId="408">
    <w:name w:val="日期 Char1"/>
    <w:basedOn w:val="51"/>
    <w:autoRedefine/>
    <w:semiHidden/>
    <w:qFormat/>
    <w:uiPriority w:val="99"/>
    <w:rPr>
      <w:rFonts w:ascii="Calibri" w:hAnsi="Calibri" w:eastAsia="宋体" w:cs="Times New Roman"/>
    </w:rPr>
  </w:style>
  <w:style w:type="character" w:customStyle="1" w:styleId="409">
    <w:name w:val="批注文字 Char1"/>
    <w:basedOn w:val="51"/>
    <w:autoRedefine/>
    <w:semiHidden/>
    <w:qFormat/>
    <w:uiPriority w:val="99"/>
    <w:rPr>
      <w:rFonts w:ascii="Calibri" w:hAnsi="Calibri" w:eastAsia="宋体" w:cs="Times New Roman"/>
    </w:rPr>
  </w:style>
  <w:style w:type="character" w:customStyle="1" w:styleId="410">
    <w:name w:val="文档结构图 Char1"/>
    <w:basedOn w:val="51"/>
    <w:autoRedefine/>
    <w:semiHidden/>
    <w:qFormat/>
    <w:uiPriority w:val="99"/>
    <w:rPr>
      <w:rFonts w:ascii="宋体" w:hAnsi="Calibri" w:eastAsia="宋体" w:cs="Times New Roman"/>
      <w:sz w:val="18"/>
      <w:szCs w:val="18"/>
    </w:rPr>
  </w:style>
  <w:style w:type="character" w:customStyle="1" w:styleId="411">
    <w:name w:val="尾注文本 Char1"/>
    <w:basedOn w:val="51"/>
    <w:autoRedefine/>
    <w:semiHidden/>
    <w:qFormat/>
    <w:uiPriority w:val="99"/>
    <w:rPr>
      <w:rFonts w:ascii="Calibri" w:hAnsi="Calibri" w:eastAsia="宋体" w:cs="Times New Roman"/>
    </w:rPr>
  </w:style>
  <w:style w:type="character" w:customStyle="1" w:styleId="412">
    <w:name w:val="正文首行缩进 Char1"/>
    <w:basedOn w:val="225"/>
    <w:autoRedefine/>
    <w:semiHidden/>
    <w:qFormat/>
    <w:uiPriority w:val="99"/>
    <w:rPr>
      <w:rFonts w:hint="eastAsia" w:ascii="Calibri" w:hAnsi="Calibri" w:eastAsia="宋体" w:cs="Times New Roman"/>
      <w:kern w:val="2"/>
      <w:sz w:val="21"/>
      <w:szCs w:val="32"/>
      <w:lang w:val="en-US" w:eastAsia="zh-CN" w:bidi="ar-SA"/>
    </w:rPr>
  </w:style>
  <w:style w:type="character" w:customStyle="1" w:styleId="413">
    <w:name w:val="脚注文本 Char1"/>
    <w:basedOn w:val="51"/>
    <w:autoRedefine/>
    <w:semiHidden/>
    <w:qFormat/>
    <w:uiPriority w:val="99"/>
    <w:rPr>
      <w:rFonts w:ascii="Calibri" w:hAnsi="Calibri" w:eastAsia="宋体" w:cs="Times New Roman"/>
      <w:sz w:val="18"/>
      <w:szCs w:val="18"/>
    </w:rPr>
  </w:style>
  <w:style w:type="character" w:customStyle="1" w:styleId="414">
    <w:name w:val="批注框文本 Char1"/>
    <w:basedOn w:val="51"/>
    <w:autoRedefine/>
    <w:semiHidden/>
    <w:qFormat/>
    <w:uiPriority w:val="99"/>
    <w:rPr>
      <w:rFonts w:ascii="Calibri" w:hAnsi="Calibri" w:eastAsia="宋体" w:cs="Times New Roman"/>
      <w:sz w:val="18"/>
      <w:szCs w:val="18"/>
    </w:rPr>
  </w:style>
  <w:style w:type="character" w:customStyle="1" w:styleId="415">
    <w:name w:val="批注主题 Char1"/>
    <w:basedOn w:val="409"/>
    <w:autoRedefine/>
    <w:semiHidden/>
    <w:qFormat/>
    <w:uiPriority w:val="99"/>
    <w:rPr>
      <w:rFonts w:ascii="Calibri" w:hAnsi="Calibri" w:eastAsia="宋体" w:cs="Times New Roman"/>
      <w:b/>
      <w:bCs/>
    </w:rPr>
  </w:style>
  <w:style w:type="character" w:customStyle="1" w:styleId="416">
    <w:name w:val="正文文本 2 Char1"/>
    <w:basedOn w:val="51"/>
    <w:autoRedefine/>
    <w:semiHidden/>
    <w:qFormat/>
    <w:uiPriority w:val="99"/>
    <w:rPr>
      <w:rFonts w:ascii="Calibri" w:hAnsi="Calibri" w:eastAsia="宋体" w:cs="Times New Roman"/>
    </w:rPr>
  </w:style>
  <w:style w:type="character" w:customStyle="1" w:styleId="417">
    <w:name w:val="正文文本缩进 2 Char1"/>
    <w:basedOn w:val="51"/>
    <w:autoRedefine/>
    <w:semiHidden/>
    <w:qFormat/>
    <w:uiPriority w:val="99"/>
    <w:rPr>
      <w:rFonts w:ascii="Calibri" w:hAnsi="Calibri" w:eastAsia="宋体" w:cs="Times New Roman"/>
    </w:rPr>
  </w:style>
  <w:style w:type="paragraph" w:customStyle="1" w:styleId="418">
    <w:name w:val="_Style 251"/>
    <w:basedOn w:val="1"/>
    <w:next w:val="1"/>
    <w:autoRedefine/>
    <w:qFormat/>
    <w:uiPriority w:val="0"/>
    <w:rPr>
      <w:rFonts w:ascii="Times New Roman" w:hAnsi="Times New Roman"/>
    </w:rPr>
  </w:style>
  <w:style w:type="paragraph" w:customStyle="1" w:styleId="419">
    <w:name w:val="p1"/>
    <w:basedOn w:val="1"/>
    <w:autoRedefine/>
    <w:qFormat/>
    <w:uiPriority w:val="0"/>
    <w:pPr>
      <w:spacing w:line="380" w:lineRule="atLeast"/>
      <w:jc w:val="left"/>
    </w:pPr>
    <w:rPr>
      <w:rFonts w:ascii="Helvetica Neue" w:hAnsi="Helvetica Neue" w:eastAsia="Helvetica Neue"/>
      <w:color w:val="000000"/>
      <w:kern w:val="0"/>
      <w:sz w:val="26"/>
      <w:szCs w:val="26"/>
    </w:rPr>
  </w:style>
  <w:style w:type="character" w:customStyle="1" w:styleId="420">
    <w:name w:val="正文文本首行缩进 字符"/>
    <w:autoRedefine/>
    <w:qFormat/>
    <w:locked/>
    <w:uiPriority w:val="0"/>
    <w:rPr>
      <w:rFonts w:ascii="Times New Roman" w:hAnsi="Times New Roman" w:eastAsia="宋体" w:cs="Times New Roman"/>
      <w:sz w:val="20"/>
    </w:rPr>
  </w:style>
  <w:style w:type="paragraph" w:customStyle="1" w:styleId="421">
    <w:name w:val="页脚 New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22">
    <w:name w:val="页脚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23">
    <w:name w:val="页脚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24">
    <w:name w:val="页脚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25">
    <w:name w:val="页脚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26">
    <w:name w:val="页脚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27">
    <w:name w:val="页脚 New New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28">
    <w:name w:val="页脚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29">
    <w:name w:val="页脚 New New New New New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30">
    <w:name w:val="页脚 New New New New New New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31">
    <w:name w:val="页脚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32">
    <w:name w:val="页脚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33">
    <w:name w:val="页脚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34">
    <w:name w:val="页脚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35">
    <w:name w:val="页脚 New New New New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36">
    <w:name w:val="页脚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37">
    <w:name w:val="页脚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38">
    <w:name w:val="页脚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39">
    <w:name w:val="页脚 New New New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440">
    <w:name w:val="文档结构图3"/>
    <w:basedOn w:val="1"/>
    <w:autoRedefine/>
    <w:qFormat/>
    <w:uiPriority w:val="0"/>
    <w:pPr>
      <w:shd w:val="clear" w:color="auto" w:fill="000080"/>
    </w:pPr>
    <w:rPr>
      <w:rFonts w:ascii="Times New Roman" w:hAnsi="Times New Roman"/>
      <w:sz w:val="30"/>
      <w:szCs w:val="24"/>
    </w:rPr>
  </w:style>
  <w:style w:type="paragraph" w:customStyle="1" w:styleId="441">
    <w:name w:val="正文文本缩进 33"/>
    <w:basedOn w:val="1"/>
    <w:autoRedefine/>
    <w:qFormat/>
    <w:uiPriority w:val="0"/>
    <w:pPr>
      <w:snapToGrid w:val="0"/>
      <w:spacing w:line="360" w:lineRule="auto"/>
      <w:ind w:left="20" w:firstLine="529" w:firstLineChars="189"/>
    </w:pPr>
    <w:rPr>
      <w:rFonts w:ascii="仿宋_GB2312" w:hAnsi="Times New Roman" w:eastAsia="仿宋_GB2312"/>
      <w:sz w:val="28"/>
      <w:szCs w:val="24"/>
    </w:rPr>
  </w:style>
  <w:style w:type="character" w:customStyle="1" w:styleId="442">
    <w:name w:val="页脚 Char1"/>
    <w:basedOn w:val="51"/>
    <w:autoRedefine/>
    <w:semiHidden/>
    <w:qFormat/>
    <w:uiPriority w:val="99"/>
    <w:rPr>
      <w:rFonts w:ascii="Calibri" w:hAnsi="Calibri"/>
      <w:kern w:val="2"/>
      <w:sz w:val="18"/>
      <w:szCs w:val="18"/>
    </w:rPr>
  </w:style>
  <w:style w:type="character" w:customStyle="1" w:styleId="443">
    <w:name w:val="页眉 Char1"/>
    <w:basedOn w:val="51"/>
    <w:autoRedefine/>
    <w:semiHidden/>
    <w:qFormat/>
    <w:uiPriority w:val="99"/>
    <w:rPr>
      <w:rFonts w:ascii="Calibri" w:hAnsi="Calibri"/>
      <w:kern w:val="2"/>
      <w:sz w:val="18"/>
      <w:szCs w:val="18"/>
    </w:rPr>
  </w:style>
  <w:style w:type="paragraph" w:customStyle="1" w:styleId="444">
    <w:name w:val="正文2"/>
    <w:autoRedefine/>
    <w:qFormat/>
    <w:uiPriority w:val="0"/>
    <w:rPr>
      <w:rFonts w:ascii="Times New Roman" w:hAnsi="Times New Roman" w:eastAsia="Times New Roman" w:cs="Times New Roman"/>
      <w:sz w:val="24"/>
      <w:szCs w:val="24"/>
      <w:lang w:val="en-US" w:eastAsia="zh-CN" w:bidi="ar-SA"/>
    </w:rPr>
  </w:style>
  <w:style w:type="paragraph" w:customStyle="1" w:styleId="445">
    <w:name w:val="正文文本缩进 23"/>
    <w:basedOn w:val="1"/>
    <w:autoRedefine/>
    <w:qFormat/>
    <w:uiPriority w:val="0"/>
    <w:pPr>
      <w:spacing w:line="420" w:lineRule="exact"/>
      <w:ind w:firstLine="480"/>
    </w:pPr>
    <w:rPr>
      <w:rFonts w:ascii="Times New Roman" w:hAnsi="Times New Roman"/>
      <w:b/>
      <w:sz w:val="24"/>
      <w:szCs w:val="20"/>
    </w:rPr>
  </w:style>
  <w:style w:type="paragraph" w:customStyle="1" w:styleId="446">
    <w:name w:val="纯文本3"/>
    <w:basedOn w:val="1"/>
    <w:autoRedefine/>
    <w:qFormat/>
    <w:uiPriority w:val="0"/>
    <w:rPr>
      <w:rFonts w:ascii="宋体" w:hAnsi="Courier New"/>
      <w:sz w:val="24"/>
      <w:szCs w:val="20"/>
    </w:rPr>
  </w:style>
  <w:style w:type="paragraph" w:customStyle="1" w:styleId="447">
    <w:name w:val="正文首行缩进2"/>
    <w:basedOn w:val="5"/>
    <w:autoRedefine/>
    <w:qFormat/>
    <w:uiPriority w:val="0"/>
    <w:pPr>
      <w:ind w:firstLine="420" w:firstLineChars="100"/>
    </w:pPr>
    <w:rPr>
      <w:rFonts w:ascii="Times New Roman"/>
      <w:kern w:val="0"/>
      <w:sz w:val="30"/>
      <w:szCs w:val="24"/>
    </w:rPr>
  </w:style>
  <w:style w:type="paragraph" w:customStyle="1" w:styleId="448">
    <w:name w:val="正文文本缩进2"/>
    <w:basedOn w:val="1"/>
    <w:autoRedefine/>
    <w:qFormat/>
    <w:uiPriority w:val="0"/>
    <w:pPr>
      <w:ind w:firstLine="480"/>
    </w:pPr>
    <w:rPr>
      <w:rFonts w:ascii="Times New Roman" w:hAnsi="Times New Roman"/>
      <w:sz w:val="24"/>
      <w:szCs w:val="20"/>
    </w:rPr>
  </w:style>
  <w:style w:type="paragraph" w:customStyle="1" w:styleId="449">
    <w:name w:val="正文缩进2"/>
    <w:basedOn w:val="1"/>
    <w:autoRedefine/>
    <w:qFormat/>
    <w:uiPriority w:val="0"/>
    <w:pPr>
      <w:ind w:firstLine="420" w:firstLineChars="200"/>
    </w:pPr>
    <w:rPr>
      <w:rFonts w:ascii="Times New Roman" w:hAnsi="Times New Roman"/>
      <w:sz w:val="30"/>
      <w:szCs w:val="24"/>
    </w:rPr>
  </w:style>
  <w:style w:type="paragraph" w:customStyle="1" w:styleId="450">
    <w:name w:val="表格文字缩进"/>
    <w:basedOn w:val="326"/>
    <w:autoRedefine/>
    <w:qFormat/>
    <w:uiPriority w:val="0"/>
    <w:pPr>
      <w:widowControl/>
      <w:tabs>
        <w:tab w:val="clear" w:pos="720"/>
        <w:tab w:val="clear" w:pos="900"/>
      </w:tabs>
      <w:adjustRightInd/>
      <w:snapToGrid/>
      <w:spacing w:beforeLines="0" w:afterLines="0" w:line="240" w:lineRule="atLeast"/>
      <w:ind w:firstLine="360" w:firstLineChars="200"/>
      <w:jc w:val="left"/>
    </w:pPr>
    <w:rPr>
      <w:rFonts w:ascii="Times New Roman" w:hAnsi="Times New Roman" w:cs="宋体"/>
      <w:color w:val="000000"/>
      <w:sz w:val="21"/>
      <w:szCs w:val="18"/>
    </w:rPr>
  </w:style>
  <w:style w:type="paragraph" w:customStyle="1" w:styleId="451">
    <w:name w:val="正文文本3"/>
    <w:basedOn w:val="1"/>
    <w:autoRedefine/>
    <w:qFormat/>
    <w:uiPriority w:val="0"/>
    <w:pPr>
      <w:shd w:val="clear" w:color="auto" w:fill="FFFFFF"/>
      <w:spacing w:line="0" w:lineRule="atLeast"/>
      <w:jc w:val="left"/>
    </w:pPr>
    <w:rPr>
      <w:rFonts w:ascii="宋体" w:hAnsi="宋体"/>
      <w:kern w:val="0"/>
      <w:sz w:val="19"/>
      <w:szCs w:val="19"/>
    </w:rPr>
  </w:style>
  <w:style w:type="paragraph" w:customStyle="1" w:styleId="452">
    <w:name w:val="正文缩进3"/>
    <w:basedOn w:val="1"/>
    <w:autoRedefine/>
    <w:qFormat/>
    <w:uiPriority w:val="0"/>
    <w:pPr>
      <w:ind w:firstLine="420" w:firstLineChars="200"/>
    </w:pPr>
    <w:rPr>
      <w:rFonts w:ascii="Times New Roman" w:hAnsi="Times New Roman"/>
      <w:sz w:val="30"/>
      <w:szCs w:val="24"/>
    </w:rPr>
  </w:style>
  <w:style w:type="character" w:customStyle="1" w:styleId="453">
    <w:name w:val="页码2"/>
    <w:basedOn w:val="51"/>
    <w:autoRedefine/>
    <w:qFormat/>
    <w:uiPriority w:val="0"/>
  </w:style>
  <w:style w:type="paragraph" w:customStyle="1" w:styleId="454">
    <w:name w:val="正文文本缩进3"/>
    <w:basedOn w:val="1"/>
    <w:autoRedefine/>
    <w:qFormat/>
    <w:uiPriority w:val="0"/>
    <w:pPr>
      <w:ind w:firstLine="480"/>
    </w:pPr>
    <w:rPr>
      <w:rFonts w:ascii="Times New Roman" w:hAnsi="Times New Roman"/>
      <w:sz w:val="24"/>
      <w:szCs w:val="20"/>
    </w:rPr>
  </w:style>
  <w:style w:type="paragraph" w:customStyle="1" w:styleId="455">
    <w:name w:val="普通(网站)3"/>
    <w:basedOn w:val="1"/>
    <w:autoRedefine/>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456">
    <w:name w:val="正文文本缩进 34"/>
    <w:basedOn w:val="1"/>
    <w:autoRedefine/>
    <w:qFormat/>
    <w:uiPriority w:val="0"/>
    <w:pPr>
      <w:snapToGrid w:val="0"/>
      <w:spacing w:line="360" w:lineRule="auto"/>
      <w:ind w:left="20" w:firstLine="529" w:firstLineChars="189"/>
    </w:pPr>
    <w:rPr>
      <w:rFonts w:ascii="仿宋_GB2312" w:hAnsi="Times New Roman" w:eastAsia="仿宋_GB2312"/>
      <w:sz w:val="28"/>
      <w:szCs w:val="24"/>
    </w:rPr>
  </w:style>
  <w:style w:type="paragraph" w:customStyle="1" w:styleId="457">
    <w:name w:val="正文文本缩进 24"/>
    <w:basedOn w:val="1"/>
    <w:autoRedefine/>
    <w:qFormat/>
    <w:uiPriority w:val="0"/>
    <w:pPr>
      <w:spacing w:line="420" w:lineRule="exact"/>
      <w:ind w:firstLine="480"/>
    </w:pPr>
    <w:rPr>
      <w:rFonts w:ascii="Times New Roman" w:hAnsi="Times New Roman"/>
      <w:b/>
      <w:sz w:val="24"/>
      <w:szCs w:val="20"/>
    </w:rPr>
  </w:style>
  <w:style w:type="paragraph" w:customStyle="1" w:styleId="458">
    <w:name w:val="纯文本4"/>
    <w:basedOn w:val="1"/>
    <w:autoRedefine/>
    <w:qFormat/>
    <w:uiPriority w:val="0"/>
    <w:rPr>
      <w:rFonts w:ascii="宋体" w:hAnsi="Courier New"/>
      <w:sz w:val="24"/>
      <w:szCs w:val="20"/>
    </w:rPr>
  </w:style>
  <w:style w:type="paragraph" w:customStyle="1" w:styleId="459">
    <w:name w:val="正文首行缩进3"/>
    <w:basedOn w:val="5"/>
    <w:autoRedefine/>
    <w:qFormat/>
    <w:uiPriority w:val="0"/>
    <w:pPr>
      <w:ind w:firstLine="420" w:firstLineChars="100"/>
    </w:pPr>
    <w:rPr>
      <w:rFonts w:ascii="Times New Roman" w:hAnsi="Times New Roman"/>
      <w:sz w:val="30"/>
      <w:szCs w:val="24"/>
    </w:rPr>
  </w:style>
  <w:style w:type="paragraph" w:customStyle="1" w:styleId="460">
    <w:name w:val="文档结构图4"/>
    <w:basedOn w:val="1"/>
    <w:autoRedefine/>
    <w:qFormat/>
    <w:uiPriority w:val="0"/>
    <w:pPr>
      <w:shd w:val="clear" w:color="auto" w:fill="000080"/>
    </w:pPr>
    <w:rPr>
      <w:rFonts w:ascii="Times New Roman" w:hAnsi="Times New Roman"/>
      <w:sz w:val="30"/>
      <w:szCs w:val="24"/>
    </w:rPr>
  </w:style>
  <w:style w:type="character" w:styleId="461">
    <w:name w:val="Placeholder Text"/>
    <w:basedOn w:val="51"/>
    <w:autoRedefine/>
    <w:semiHidden/>
    <w:qFormat/>
    <w:uiPriority w:val="99"/>
    <w:rPr>
      <w:color w:val="808080"/>
    </w:rPr>
  </w:style>
  <w:style w:type="paragraph" w:customStyle="1" w:styleId="462">
    <w:name w:val="PlainText"/>
    <w:basedOn w:val="1"/>
    <w:autoRedefine/>
    <w:qFormat/>
    <w:uiPriority w:val="0"/>
    <w:rPr>
      <w:rFonts w:ascii="宋体" w:hAnsi="Courier New"/>
      <w:kern w:val="0"/>
      <w:sz w:val="20"/>
      <w:szCs w:val="20"/>
    </w:rPr>
  </w:style>
  <w:style w:type="character" w:customStyle="1" w:styleId="463">
    <w:name w:val="NormalCharacter"/>
    <w:autoRedefine/>
    <w:qFormat/>
    <w:uiPriority w:val="0"/>
    <w:rPr>
      <w:kern w:val="2"/>
      <w:sz w:val="21"/>
      <w:szCs w:val="22"/>
      <w:lang w:val="en-US" w:eastAsia="zh-CN" w:bidi="ar-SA"/>
    </w:rPr>
  </w:style>
  <w:style w:type="paragraph" w:customStyle="1" w:styleId="464">
    <w:name w:val="_Style 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465">
    <w:name w:val="15"/>
    <w:autoRedefine/>
    <w:qFormat/>
    <w:uiPriority w:val="0"/>
    <w:rPr>
      <w:rFonts w:hint="eastAsia" w:ascii="等线" w:hAnsi="等线" w:eastAsia="等线" w:cs="Times New Roman"/>
    </w:rPr>
  </w:style>
  <w:style w:type="character" w:customStyle="1" w:styleId="466">
    <w:name w:val="正文文本首行缩进 2 字符"/>
    <w:basedOn w:val="105"/>
    <w:link w:val="48"/>
    <w:autoRedefine/>
    <w:semiHidden/>
    <w:qFormat/>
    <w:uiPriority w:val="99"/>
    <w:rPr>
      <w:rFonts w:ascii="Calibri" w:hAnsi="Calibri" w:eastAsia="宋体" w:cs="Times New Roman"/>
      <w:sz w:val="28"/>
      <w:szCs w:val="20"/>
    </w:rPr>
  </w:style>
  <w:style w:type="character" w:customStyle="1" w:styleId="467">
    <w:name w:val="正文文本 + Century Schoolbook"/>
    <w:autoRedefine/>
    <w:qFormat/>
    <w:uiPriority w:val="0"/>
    <w:rPr>
      <w:rFonts w:hint="default" w:ascii="Century Schoolbook" w:hAnsi="Century Schoolbook" w:eastAsia="Century Schoolbook" w:cs="Century Schoolbook"/>
      <w:b/>
      <w:bCs/>
      <w:color w:val="000000"/>
      <w:spacing w:val="10"/>
      <w:w w:val="100"/>
      <w:position w:val="0"/>
      <w:sz w:val="17"/>
      <w:szCs w:val="17"/>
      <w:shd w:val="clear" w:color="auto" w:fill="FFFFFF"/>
      <w:lang w:val="en-US"/>
    </w:rPr>
  </w:style>
  <w:style w:type="character" w:customStyle="1" w:styleId="468">
    <w:name w:val="title26"/>
    <w:basedOn w:val="51"/>
    <w:autoRedefine/>
    <w:qFormat/>
    <w:uiPriority w:val="0"/>
  </w:style>
  <w:style w:type="paragraph" w:customStyle="1" w:styleId="469">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470">
    <w:name w:val="修订4"/>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B755-CDA6-4FA0-B5F2-185D23867422}">
  <ds:schemaRefs/>
</ds:datastoreItem>
</file>

<file path=docProps/app.xml><?xml version="1.0" encoding="utf-8"?>
<Properties xmlns="http://schemas.openxmlformats.org/officeDocument/2006/extended-properties" xmlns:vt="http://schemas.openxmlformats.org/officeDocument/2006/docPropsVTypes">
  <Template>Normal</Template>
  <Pages>89</Pages>
  <Words>40197</Words>
  <Characters>42123</Characters>
  <Lines>64</Lines>
  <Paragraphs>119</Paragraphs>
  <TotalTime>86</TotalTime>
  <ScaleCrop>false</ScaleCrop>
  <LinksUpToDate>false</LinksUpToDate>
  <CharactersWithSpaces>43553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2022-05-31T08:22:00Z</dcterms:created>
  <dc:creator>Administrator</dc:creator>
  <cp:lastModifiedBy>h</cp:lastModifiedBy>
  <cp:lastPrinted>2025-04-29T01:38:05Z</cp:lastPrinted>
  <dcterms:modified xsi:type="dcterms:W3CDTF">2025-04-29T02:36:07Z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82607DA030E04F418FCF5CA494628E92_13</vt:lpwstr>
  </property>
  <property fmtid="{D5CDD505-2E9C-101B-9397-08002B2CF9AE}" pid="4" name="KSOTemplateDocerSaveRecord">
    <vt:lpwstr>eyJoZGlkIjoiMjdmZTcyMThkMjAwN2UyN2E1YTBlNWRkZDQ5OGRkNmEiLCJ1c2VySWQiOiIxNjAxMzk4MzY1In0=</vt:lpwstr>
  </property>
</Properties>
</file>