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C67EC">
      <w:pPr>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黑体" w:cs="宋体"/>
          <w:b/>
          <w:bCs/>
          <w:color w:val="auto"/>
          <w:sz w:val="48"/>
          <w:szCs w:val="48"/>
          <w:highlight w:val="none"/>
          <w:lang w:eastAsia="zh-CN"/>
        </w:rPr>
        <w:t>番禺汽车城金轩二路B线工程检测</w:t>
      </w:r>
    </w:p>
    <w:p w14:paraId="0519B1BB">
      <w:pPr>
        <w:spacing w:line="360" w:lineRule="auto"/>
        <w:rPr>
          <w:rFonts w:ascii="宋体" w:hAnsi="宋体" w:cs="宋体"/>
          <w:color w:val="auto"/>
          <w:sz w:val="28"/>
          <w:szCs w:val="28"/>
          <w:highlight w:val="none"/>
        </w:rPr>
      </w:pPr>
    </w:p>
    <w:p w14:paraId="7AD180D2">
      <w:pPr>
        <w:spacing w:line="360" w:lineRule="auto"/>
        <w:rPr>
          <w:rFonts w:ascii="宋体" w:hAnsi="宋体" w:cs="宋体"/>
          <w:color w:val="auto"/>
          <w:sz w:val="36"/>
          <w:szCs w:val="36"/>
          <w:highlight w:val="none"/>
        </w:rPr>
      </w:pPr>
    </w:p>
    <w:p w14:paraId="09C3BBE2">
      <w:pPr>
        <w:spacing w:line="360" w:lineRule="auto"/>
        <w:rPr>
          <w:rFonts w:ascii="宋体" w:hAnsi="宋体" w:cs="宋体"/>
          <w:color w:val="auto"/>
          <w:highlight w:val="none"/>
        </w:rPr>
      </w:pPr>
    </w:p>
    <w:p w14:paraId="2F2139A4">
      <w:pPr>
        <w:spacing w:line="360" w:lineRule="auto"/>
        <w:rPr>
          <w:rFonts w:ascii="宋体" w:hAnsi="宋体" w:cs="宋体"/>
          <w:color w:val="auto"/>
          <w:highlight w:val="none"/>
        </w:rPr>
      </w:pPr>
    </w:p>
    <w:p w14:paraId="77A6F730">
      <w:pPr>
        <w:spacing w:line="360" w:lineRule="auto"/>
        <w:rPr>
          <w:rFonts w:ascii="宋体" w:hAnsi="宋体" w:cs="宋体"/>
          <w:color w:val="auto"/>
          <w:sz w:val="28"/>
          <w:szCs w:val="28"/>
          <w:highlight w:val="none"/>
        </w:rPr>
      </w:pPr>
    </w:p>
    <w:p w14:paraId="1A4C7E43">
      <w:pPr>
        <w:pStyle w:val="5"/>
        <w:spacing w:line="360" w:lineRule="auto"/>
        <w:rPr>
          <w:rFonts w:hAnsi="宋体" w:cs="宋体"/>
          <w:color w:val="auto"/>
          <w:sz w:val="28"/>
          <w:szCs w:val="28"/>
          <w:highlight w:val="none"/>
        </w:rPr>
      </w:pPr>
    </w:p>
    <w:p w14:paraId="70AC4B60">
      <w:pPr>
        <w:spacing w:line="360" w:lineRule="auto"/>
        <w:rPr>
          <w:rFonts w:ascii="宋体" w:hAnsi="宋体" w:cs="宋体"/>
          <w:color w:val="auto"/>
          <w:sz w:val="28"/>
          <w:highlight w:val="none"/>
        </w:rPr>
      </w:pPr>
    </w:p>
    <w:p w14:paraId="3B4F819C">
      <w:pPr>
        <w:spacing w:line="360" w:lineRule="auto"/>
        <w:jc w:val="center"/>
        <w:rPr>
          <w:rFonts w:ascii="宋体" w:hAnsi="宋体" w:cs="宋体"/>
          <w:b/>
          <w:bCs/>
          <w:color w:val="auto"/>
          <w:sz w:val="84"/>
          <w:szCs w:val="84"/>
          <w:highlight w:val="none"/>
        </w:rPr>
      </w:pPr>
      <w:r>
        <w:rPr>
          <w:rFonts w:hint="eastAsia" w:ascii="宋体" w:hAnsi="宋体" w:cs="宋体"/>
          <w:b/>
          <w:bCs/>
          <w:color w:val="auto"/>
          <w:sz w:val="84"/>
          <w:szCs w:val="84"/>
          <w:highlight w:val="none"/>
        </w:rPr>
        <w:t>招标公告</w:t>
      </w:r>
    </w:p>
    <w:p w14:paraId="3B9D78EE">
      <w:pPr>
        <w:spacing w:line="360" w:lineRule="auto"/>
        <w:rPr>
          <w:rFonts w:ascii="宋体" w:hAnsi="宋体" w:cs="宋体"/>
          <w:color w:val="auto"/>
          <w:highlight w:val="none"/>
        </w:rPr>
      </w:pPr>
    </w:p>
    <w:p w14:paraId="13F46C10">
      <w:pPr>
        <w:spacing w:line="360" w:lineRule="auto"/>
        <w:rPr>
          <w:rFonts w:ascii="宋体" w:hAnsi="宋体" w:cs="宋体"/>
          <w:color w:val="auto"/>
          <w:highlight w:val="none"/>
        </w:rPr>
      </w:pPr>
    </w:p>
    <w:p w14:paraId="3B92FBF2">
      <w:pPr>
        <w:spacing w:line="360" w:lineRule="auto"/>
        <w:rPr>
          <w:rFonts w:ascii="宋体" w:hAnsi="宋体" w:cs="宋体"/>
          <w:color w:val="auto"/>
          <w:highlight w:val="none"/>
        </w:rPr>
      </w:pPr>
    </w:p>
    <w:p w14:paraId="1437E47B">
      <w:pPr>
        <w:spacing w:line="360" w:lineRule="auto"/>
        <w:rPr>
          <w:rFonts w:ascii="宋体" w:hAnsi="宋体" w:cs="宋体"/>
          <w:color w:val="auto"/>
          <w:highlight w:val="none"/>
        </w:rPr>
      </w:pPr>
    </w:p>
    <w:p w14:paraId="1378CB36">
      <w:pPr>
        <w:pStyle w:val="9"/>
        <w:spacing w:line="360" w:lineRule="auto"/>
        <w:ind w:firstLine="210"/>
        <w:rPr>
          <w:rFonts w:ascii="宋体" w:hAnsi="宋体"/>
          <w:color w:val="auto"/>
          <w:highlight w:val="none"/>
        </w:rPr>
      </w:pPr>
    </w:p>
    <w:p w14:paraId="65BAAD16">
      <w:pPr>
        <w:pStyle w:val="9"/>
        <w:spacing w:line="360" w:lineRule="auto"/>
        <w:ind w:firstLine="210"/>
        <w:rPr>
          <w:rFonts w:ascii="宋体" w:hAnsi="宋体"/>
          <w:color w:val="auto"/>
          <w:highlight w:val="none"/>
        </w:rPr>
      </w:pPr>
    </w:p>
    <w:p w14:paraId="4C1A31B6">
      <w:pPr>
        <w:spacing w:line="360" w:lineRule="auto"/>
        <w:rPr>
          <w:rFonts w:ascii="宋体" w:hAnsi="宋体" w:cs="宋体"/>
          <w:color w:val="auto"/>
          <w:highlight w:val="none"/>
        </w:rPr>
      </w:pPr>
    </w:p>
    <w:p w14:paraId="08FF7555">
      <w:pPr>
        <w:spacing w:line="360" w:lineRule="auto"/>
        <w:ind w:firstLine="964" w:firstLineChars="300"/>
        <w:rPr>
          <w:rFonts w:ascii="宋体" w:hAnsi="宋体" w:cs="宋体"/>
          <w:b/>
          <w:bCs/>
          <w:color w:val="auto"/>
          <w:sz w:val="32"/>
          <w:szCs w:val="32"/>
          <w:highlight w:val="none"/>
          <w:u w:val="single"/>
        </w:rPr>
      </w:pPr>
      <w:r>
        <w:rPr>
          <w:rFonts w:hint="eastAsia" w:ascii="宋体" w:hAnsi="宋体" w:cs="宋体"/>
          <w:b/>
          <w:bCs/>
          <w:color w:val="auto"/>
          <w:sz w:val="32"/>
          <w:szCs w:val="32"/>
          <w:highlight w:val="none"/>
        </w:rPr>
        <w:t>招标单位：广州市番禺区基本建设投资管理中心</w:t>
      </w:r>
    </w:p>
    <w:p w14:paraId="44480D8E">
      <w:pPr>
        <w:spacing w:line="360" w:lineRule="auto"/>
        <w:ind w:firstLine="945"/>
        <w:rPr>
          <w:rFonts w:hint="eastAsia" w:ascii="宋体" w:hAnsi="宋体" w:eastAsia="宋体" w:cs="宋体"/>
          <w:b/>
          <w:bCs/>
          <w:color w:val="auto"/>
          <w:sz w:val="32"/>
          <w:szCs w:val="32"/>
          <w:highlight w:val="none"/>
          <w:u w:val="single"/>
          <w:lang w:eastAsia="zh-CN"/>
        </w:rPr>
      </w:pPr>
      <w:r>
        <w:rPr>
          <w:rFonts w:hint="eastAsia" w:ascii="宋体" w:hAnsi="宋体" w:cs="宋体"/>
          <w:b/>
          <w:bCs/>
          <w:color w:val="auto"/>
          <w:sz w:val="32"/>
          <w:szCs w:val="32"/>
          <w:highlight w:val="none"/>
        </w:rPr>
        <w:t>招标代理单位：</w:t>
      </w:r>
      <w:r>
        <w:rPr>
          <w:rFonts w:hint="eastAsia" w:ascii="宋体" w:hAnsi="宋体" w:cs="宋体"/>
          <w:b/>
          <w:color w:val="auto"/>
          <w:kern w:val="0"/>
          <w:sz w:val="32"/>
          <w:szCs w:val="32"/>
          <w:highlight w:val="none"/>
          <w:lang w:eastAsia="zh-CN"/>
        </w:rPr>
        <w:t>广东粤能工程管理有限公司</w:t>
      </w:r>
    </w:p>
    <w:p w14:paraId="4A24135E">
      <w:pPr>
        <w:spacing w:line="360" w:lineRule="auto"/>
        <w:ind w:firstLine="945"/>
        <w:rPr>
          <w:rFonts w:ascii="宋体" w:hAnsi="宋体" w:cs="宋体"/>
          <w:b/>
          <w:bCs/>
          <w:color w:val="auto"/>
          <w:sz w:val="32"/>
          <w:szCs w:val="32"/>
          <w:highlight w:val="none"/>
        </w:rPr>
      </w:pPr>
      <w:r>
        <w:rPr>
          <w:rFonts w:hint="eastAsia" w:ascii="宋体" w:hAnsi="宋体" w:cs="宋体"/>
          <w:b/>
          <w:bCs/>
          <w:color w:val="auto"/>
          <w:sz w:val="32"/>
          <w:szCs w:val="32"/>
          <w:highlight w:val="none"/>
        </w:rPr>
        <w:t>日期：</w:t>
      </w:r>
      <w:r>
        <w:rPr>
          <w:rFonts w:ascii="宋体" w:hAnsi="宋体" w:cs="宋体"/>
          <w:b/>
          <w:bCs/>
          <w:color w:val="auto"/>
          <w:sz w:val="32"/>
          <w:szCs w:val="32"/>
          <w:highlight w:val="none"/>
        </w:rPr>
        <w:t>20</w:t>
      </w:r>
      <w:r>
        <w:rPr>
          <w:rFonts w:hint="eastAsia" w:ascii="宋体" w:hAnsi="宋体" w:cs="宋体"/>
          <w:b/>
          <w:bCs/>
          <w:color w:val="auto"/>
          <w:sz w:val="32"/>
          <w:szCs w:val="32"/>
          <w:highlight w:val="none"/>
        </w:rPr>
        <w:t>25年</w:t>
      </w:r>
      <w:r>
        <w:rPr>
          <w:rFonts w:hint="eastAsia" w:ascii="宋体" w:hAnsi="宋体" w:cs="宋体"/>
          <w:b/>
          <w:bCs/>
          <w:color w:val="auto"/>
          <w:sz w:val="32"/>
          <w:szCs w:val="32"/>
          <w:highlight w:val="none"/>
          <w:lang w:val="en-US" w:eastAsia="zh-CN"/>
        </w:rPr>
        <w:t>4</w:t>
      </w:r>
      <w:r>
        <w:rPr>
          <w:rFonts w:hint="eastAsia" w:ascii="宋体" w:hAnsi="宋体" w:cs="宋体"/>
          <w:b/>
          <w:bCs/>
          <w:color w:val="auto"/>
          <w:sz w:val="32"/>
          <w:szCs w:val="32"/>
          <w:highlight w:val="none"/>
        </w:rPr>
        <w:t>月</w:t>
      </w:r>
    </w:p>
    <w:p w14:paraId="09BA356C">
      <w:pPr>
        <w:spacing w:line="360" w:lineRule="auto"/>
        <w:jc w:val="center"/>
        <w:rPr>
          <w:rFonts w:ascii="宋体" w:hAnsi="宋体" w:cs="宋体"/>
          <w:color w:val="auto"/>
          <w:sz w:val="28"/>
          <w:highlight w:val="none"/>
        </w:rPr>
      </w:pPr>
    </w:p>
    <w:p w14:paraId="3BD74238">
      <w:pPr>
        <w:tabs>
          <w:tab w:val="left" w:pos="2130"/>
        </w:tabs>
        <w:spacing w:line="360" w:lineRule="auto"/>
        <w:rPr>
          <w:rFonts w:eastAsia="黑体"/>
          <w:color w:val="auto"/>
          <w:sz w:val="32"/>
          <w:szCs w:val="32"/>
          <w:highlight w:val="none"/>
        </w:rPr>
      </w:pPr>
    </w:p>
    <w:p w14:paraId="47F46CA1">
      <w:pPr>
        <w:spacing w:line="360" w:lineRule="auto"/>
        <w:jc w:val="center"/>
        <w:rPr>
          <w:rFonts w:hint="eastAsia" w:eastAsia="黑体"/>
          <w:color w:val="auto"/>
          <w:sz w:val="32"/>
          <w:szCs w:val="32"/>
          <w:highlight w:val="none"/>
          <w:lang w:eastAsia="zh-CN"/>
        </w:rPr>
      </w:pPr>
      <w:r>
        <w:rPr>
          <w:rFonts w:eastAsia="黑体"/>
          <w:color w:val="auto"/>
          <w:sz w:val="32"/>
          <w:szCs w:val="32"/>
          <w:highlight w:val="none"/>
        </w:rPr>
        <w:br w:type="page"/>
      </w:r>
      <w:r>
        <w:rPr>
          <w:rFonts w:hint="eastAsia" w:eastAsia="黑体"/>
          <w:color w:val="auto"/>
          <w:sz w:val="32"/>
          <w:szCs w:val="32"/>
          <w:highlight w:val="none"/>
          <w:lang w:eastAsia="zh-CN"/>
        </w:rPr>
        <w:t>番禺汽车城金轩二路B线工程检测</w:t>
      </w:r>
    </w:p>
    <w:p w14:paraId="628C378C">
      <w:pPr>
        <w:spacing w:line="360" w:lineRule="auto"/>
        <w:jc w:val="center"/>
        <w:rPr>
          <w:rFonts w:eastAsia="黑体"/>
          <w:color w:val="auto"/>
          <w:sz w:val="32"/>
          <w:szCs w:val="32"/>
          <w:highlight w:val="none"/>
          <w:u w:val="single"/>
        </w:rPr>
      </w:pPr>
      <w:r>
        <w:rPr>
          <w:rFonts w:eastAsia="黑体"/>
          <w:color w:val="auto"/>
          <w:sz w:val="32"/>
          <w:szCs w:val="32"/>
          <w:highlight w:val="none"/>
        </w:rPr>
        <w:t>招标公告</w:t>
      </w:r>
    </w:p>
    <w:p w14:paraId="327BDA20">
      <w:pPr>
        <w:pStyle w:val="3"/>
        <w:keepNext w:val="0"/>
        <w:keepLines w:val="0"/>
        <w:spacing w:before="0" w:after="0" w:line="360" w:lineRule="auto"/>
        <w:rPr>
          <w:rFonts w:ascii="Times New Roman" w:hAnsi="Times New Roman"/>
          <w:color w:val="auto"/>
          <w:highlight w:val="none"/>
        </w:rPr>
      </w:pPr>
      <w:bookmarkStart w:id="0" w:name="_Toc511557025"/>
      <w:bookmarkStart w:id="1" w:name="_Toc514099623"/>
      <w:r>
        <w:rPr>
          <w:rFonts w:ascii="Times New Roman" w:hAnsi="Times New Roman"/>
          <w:color w:val="auto"/>
          <w:highlight w:val="none"/>
        </w:rPr>
        <w:t>1. 招标条件</w:t>
      </w:r>
      <w:bookmarkEnd w:id="0"/>
      <w:bookmarkEnd w:id="1"/>
    </w:p>
    <w:p w14:paraId="31650F7F">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本招标项目</w:t>
      </w:r>
      <w:r>
        <w:rPr>
          <w:rFonts w:hint="eastAsia" w:ascii="宋体" w:hAnsi="宋体" w:cs="宋体"/>
          <w:color w:val="auto"/>
          <w:sz w:val="24"/>
          <w:highlight w:val="none"/>
          <w:u w:val="single"/>
          <w:lang w:eastAsia="zh-CN"/>
        </w:rPr>
        <w:t>番禺汽车城金轩二路B线工程</w:t>
      </w:r>
      <w:r>
        <w:rPr>
          <w:rFonts w:ascii="宋体" w:hAnsi="宋体"/>
          <w:color w:val="auto"/>
          <w:sz w:val="24"/>
          <w:szCs w:val="24"/>
          <w:highlight w:val="none"/>
        </w:rPr>
        <w:t>已由</w:t>
      </w:r>
      <w:r>
        <w:rPr>
          <w:rFonts w:hint="eastAsia" w:ascii="宋体" w:hAnsi="宋体"/>
          <w:color w:val="auto"/>
          <w:sz w:val="24"/>
          <w:szCs w:val="24"/>
          <w:highlight w:val="none"/>
          <w:u w:val="single"/>
        </w:rPr>
        <w:t>广州市番禺区发展和改革局以</w:t>
      </w:r>
      <w:r>
        <w:rPr>
          <w:rFonts w:hint="eastAsia" w:ascii="宋体" w:hAnsi="宋体"/>
          <w:color w:val="auto"/>
          <w:sz w:val="24"/>
          <w:highlight w:val="none"/>
          <w:u w:val="single"/>
        </w:rPr>
        <w:t>穗番发改投批[2024]1</w:t>
      </w:r>
      <w:r>
        <w:rPr>
          <w:rFonts w:hint="eastAsia" w:ascii="宋体" w:hAnsi="宋体"/>
          <w:color w:val="auto"/>
          <w:sz w:val="24"/>
          <w:highlight w:val="none"/>
          <w:u w:val="single"/>
          <w:lang w:val="en-US" w:eastAsia="zh-CN"/>
        </w:rPr>
        <w:t>20</w:t>
      </w:r>
      <w:r>
        <w:rPr>
          <w:rFonts w:hint="eastAsia" w:ascii="宋体" w:hAnsi="宋体"/>
          <w:color w:val="auto"/>
          <w:sz w:val="24"/>
          <w:highlight w:val="none"/>
          <w:u w:val="single"/>
        </w:rPr>
        <w:t>号</w:t>
      </w:r>
      <w:r>
        <w:rPr>
          <w:rFonts w:hint="eastAsia" w:ascii="宋体" w:hAnsi="宋体"/>
          <w:color w:val="auto"/>
          <w:sz w:val="24"/>
          <w:szCs w:val="24"/>
          <w:highlight w:val="none"/>
          <w:u w:val="single"/>
        </w:rPr>
        <w:t>文</w:t>
      </w:r>
      <w:r>
        <w:rPr>
          <w:rFonts w:ascii="宋体" w:hAnsi="宋体"/>
          <w:color w:val="auto"/>
          <w:sz w:val="24"/>
          <w:szCs w:val="24"/>
          <w:highlight w:val="none"/>
        </w:rPr>
        <w:t>批准建设，项目业主为</w:t>
      </w:r>
      <w:r>
        <w:rPr>
          <w:rFonts w:hint="eastAsia" w:ascii="宋体" w:hAnsi="宋体" w:cs="宋体"/>
          <w:color w:val="auto"/>
          <w:sz w:val="24"/>
          <w:szCs w:val="24"/>
          <w:highlight w:val="none"/>
          <w:u w:val="single"/>
        </w:rPr>
        <w:t>广州市番禺区基本建设投资管理中心</w:t>
      </w:r>
      <w:r>
        <w:rPr>
          <w:rFonts w:hint="eastAsia" w:ascii="宋体" w:hAnsi="宋体" w:cs="宋体"/>
          <w:color w:val="auto"/>
          <w:sz w:val="24"/>
          <w:szCs w:val="24"/>
          <w:highlight w:val="none"/>
          <w:lang w:val="zh-CN"/>
        </w:rPr>
        <w:t>，</w:t>
      </w:r>
      <w:r>
        <w:rPr>
          <w:rFonts w:ascii="宋体" w:hAnsi="宋体"/>
          <w:color w:val="auto"/>
          <w:sz w:val="24"/>
          <w:szCs w:val="24"/>
          <w:highlight w:val="none"/>
        </w:rPr>
        <w:t>建设资金来自</w:t>
      </w:r>
      <w:r>
        <w:rPr>
          <w:rFonts w:hint="eastAsia" w:ascii="宋体" w:hAnsi="宋体"/>
          <w:color w:val="auto"/>
          <w:sz w:val="24"/>
          <w:szCs w:val="24"/>
          <w:highlight w:val="none"/>
          <w:u w:val="single"/>
        </w:rPr>
        <w:t>财政资金</w:t>
      </w:r>
      <w:r>
        <w:rPr>
          <w:rFonts w:hint="eastAsia" w:ascii="宋体" w:hAnsi="宋体"/>
          <w:color w:val="auto"/>
          <w:sz w:val="24"/>
          <w:szCs w:val="24"/>
          <w:highlight w:val="none"/>
        </w:rPr>
        <w:t>。</w:t>
      </w:r>
      <w:r>
        <w:rPr>
          <w:rFonts w:ascii="宋体" w:hAnsi="宋体"/>
          <w:color w:val="auto"/>
          <w:sz w:val="24"/>
          <w:szCs w:val="24"/>
          <w:highlight w:val="none"/>
        </w:rPr>
        <w:t>出资比例为</w:t>
      </w:r>
      <w:r>
        <w:rPr>
          <w:rFonts w:hint="eastAsia" w:ascii="宋体" w:hAnsi="宋体"/>
          <w:color w:val="auto"/>
          <w:sz w:val="24"/>
          <w:szCs w:val="24"/>
          <w:highlight w:val="none"/>
          <w:u w:val="single"/>
        </w:rPr>
        <w:t>100%</w:t>
      </w:r>
      <w:r>
        <w:rPr>
          <w:rFonts w:ascii="宋体" w:hAnsi="宋体"/>
          <w:color w:val="auto"/>
          <w:sz w:val="24"/>
          <w:szCs w:val="24"/>
          <w:highlight w:val="none"/>
        </w:rPr>
        <w:t>，招标人为</w:t>
      </w:r>
      <w:r>
        <w:rPr>
          <w:rFonts w:hint="eastAsia" w:ascii="宋体" w:hAnsi="宋体" w:cs="宋体"/>
          <w:color w:val="auto"/>
          <w:sz w:val="24"/>
          <w:szCs w:val="24"/>
          <w:highlight w:val="none"/>
          <w:u w:val="single"/>
          <w:lang w:val="zh-CN"/>
        </w:rPr>
        <w:t>广州市番禺区基本建设投资管理中心</w:t>
      </w:r>
      <w:r>
        <w:rPr>
          <w:rFonts w:ascii="宋体" w:hAnsi="宋体"/>
          <w:color w:val="auto"/>
          <w:sz w:val="24"/>
          <w:szCs w:val="24"/>
          <w:highlight w:val="none"/>
        </w:rPr>
        <w:t>。项目已具备招标条件，现对该项目的</w:t>
      </w:r>
      <w:r>
        <w:rPr>
          <w:rFonts w:hint="eastAsia" w:ascii="宋体" w:hAnsi="宋体" w:cs="宋体"/>
          <w:color w:val="auto"/>
          <w:sz w:val="24"/>
          <w:highlight w:val="none"/>
          <w:u w:val="single"/>
        </w:rPr>
        <w:t>检测服务项目</w:t>
      </w:r>
      <w:r>
        <w:rPr>
          <w:rFonts w:ascii="宋体" w:hAnsi="宋体"/>
          <w:color w:val="auto"/>
          <w:sz w:val="24"/>
          <w:szCs w:val="24"/>
          <w:highlight w:val="none"/>
        </w:rPr>
        <w:t>进行公开招标。</w:t>
      </w:r>
    </w:p>
    <w:p w14:paraId="4CB573DB">
      <w:pPr>
        <w:spacing w:line="360" w:lineRule="auto"/>
        <w:ind w:firstLine="480" w:firstLineChars="200"/>
        <w:rPr>
          <w:rFonts w:ascii="宋体" w:hAnsi="宋体"/>
          <w:color w:val="auto"/>
          <w:sz w:val="24"/>
          <w:szCs w:val="24"/>
          <w:highlight w:val="none"/>
        </w:rPr>
      </w:pPr>
    </w:p>
    <w:p w14:paraId="67426BD8">
      <w:pPr>
        <w:pStyle w:val="3"/>
        <w:keepNext w:val="0"/>
        <w:keepLines w:val="0"/>
        <w:spacing w:before="0" w:after="0" w:line="360" w:lineRule="auto"/>
        <w:rPr>
          <w:rFonts w:ascii="Times New Roman" w:hAnsi="Times New Roman"/>
          <w:color w:val="auto"/>
          <w:highlight w:val="none"/>
        </w:rPr>
      </w:pPr>
      <w:bookmarkStart w:id="2" w:name="_Toc514099624"/>
      <w:bookmarkStart w:id="3" w:name="_Toc511557026"/>
      <w:r>
        <w:rPr>
          <w:rFonts w:ascii="Times New Roman" w:hAnsi="Times New Roman"/>
          <w:color w:val="auto"/>
          <w:highlight w:val="none"/>
        </w:rPr>
        <w:t>2. 项目概况与</w:t>
      </w:r>
      <w:r>
        <w:rPr>
          <w:rFonts w:hint="eastAsia" w:ascii="Times New Roman" w:hAnsi="Times New Roman"/>
          <w:color w:val="auto"/>
          <w:highlight w:val="none"/>
        </w:rPr>
        <w:t>招标范围</w:t>
      </w:r>
      <w:bookmarkEnd w:id="2"/>
      <w:bookmarkEnd w:id="3"/>
    </w:p>
    <w:p w14:paraId="2E06C8AE">
      <w:pPr>
        <w:tabs>
          <w:tab w:val="left" w:pos="7513"/>
        </w:tabs>
        <w:spacing w:line="360" w:lineRule="auto"/>
        <w:ind w:firstLine="424" w:firstLineChars="177"/>
        <w:rPr>
          <w:rFonts w:ascii="宋体" w:hAnsi="宋体"/>
          <w:color w:val="auto"/>
          <w:sz w:val="24"/>
          <w:szCs w:val="24"/>
          <w:highlight w:val="none"/>
        </w:rPr>
      </w:pPr>
      <w:r>
        <w:rPr>
          <w:rFonts w:hint="eastAsia" w:ascii="宋体" w:hAnsi="宋体"/>
          <w:color w:val="auto"/>
          <w:sz w:val="24"/>
          <w:szCs w:val="24"/>
          <w:highlight w:val="none"/>
        </w:rPr>
        <w:t>2.1招标项目概况</w:t>
      </w:r>
    </w:p>
    <w:p w14:paraId="4DE83FD7">
      <w:pPr>
        <w:tabs>
          <w:tab w:val="left" w:pos="7513"/>
        </w:tabs>
        <w:spacing w:line="360" w:lineRule="auto"/>
        <w:ind w:firstLine="424" w:firstLineChars="177"/>
        <w:rPr>
          <w:rFonts w:hint="eastAsia" w:ascii="宋体" w:hAnsi="宋体" w:eastAsia="宋体" w:cs="宋体"/>
          <w:color w:val="auto"/>
          <w:sz w:val="24"/>
          <w:highlight w:val="none"/>
          <w:u w:val="single"/>
          <w:lang w:eastAsia="zh-CN"/>
        </w:rPr>
      </w:pPr>
      <w:r>
        <w:rPr>
          <w:rFonts w:hint="eastAsia" w:ascii="宋体" w:hAnsi="宋体"/>
          <w:color w:val="auto"/>
          <w:sz w:val="24"/>
          <w:szCs w:val="24"/>
          <w:highlight w:val="none"/>
        </w:rPr>
        <w:t>2.1.1招标项目名称：</w:t>
      </w:r>
      <w:r>
        <w:rPr>
          <w:rFonts w:hint="eastAsia" w:ascii="宋体" w:hAnsi="宋体" w:cs="宋体"/>
          <w:color w:val="auto"/>
          <w:sz w:val="24"/>
          <w:highlight w:val="none"/>
          <w:u w:val="single"/>
          <w:lang w:eastAsia="zh-CN"/>
        </w:rPr>
        <w:t>番禺汽车城金轩二路B线工程检测</w:t>
      </w:r>
    </w:p>
    <w:p w14:paraId="502E92F5">
      <w:pPr>
        <w:tabs>
          <w:tab w:val="left" w:pos="7513"/>
        </w:tabs>
        <w:spacing w:line="360" w:lineRule="auto"/>
        <w:ind w:firstLine="424" w:firstLineChars="177"/>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1.2工程建设地点：</w:t>
      </w:r>
      <w:r>
        <w:rPr>
          <w:rFonts w:hint="eastAsia" w:ascii="宋体" w:hAnsi="宋体" w:eastAsia="宋体" w:cs="宋体"/>
          <w:color w:val="auto"/>
          <w:sz w:val="24"/>
          <w:szCs w:val="24"/>
          <w:highlight w:val="none"/>
          <w:u w:val="single"/>
          <w:lang w:val="en-US" w:eastAsia="zh-CN"/>
        </w:rPr>
        <w:t>广州市番禺区石楼镇胜洲村</w:t>
      </w:r>
    </w:p>
    <w:p w14:paraId="56F7FD39">
      <w:pPr>
        <w:tabs>
          <w:tab w:val="left" w:pos="7513"/>
        </w:tabs>
        <w:spacing w:line="360" w:lineRule="auto"/>
        <w:ind w:firstLine="424" w:firstLineChars="177"/>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1.3工程建设规模</w:t>
      </w:r>
      <w:r>
        <w:rPr>
          <w:rFonts w:hint="eastAsia" w:ascii="宋体" w:hAnsi="宋体"/>
          <w:b/>
          <w:color w:val="auto"/>
          <w:sz w:val="24"/>
          <w:szCs w:val="24"/>
          <w:highlight w:val="none"/>
        </w:rPr>
        <w:t>：</w:t>
      </w:r>
      <w:r>
        <w:rPr>
          <w:rFonts w:hint="eastAsia" w:ascii="宋体" w:hAnsi="宋体" w:cs="宋体"/>
          <w:color w:val="auto"/>
          <w:sz w:val="24"/>
          <w:szCs w:val="24"/>
          <w:highlight w:val="none"/>
          <w:u w:val="single"/>
        </w:rPr>
        <w:t>该</w:t>
      </w:r>
      <w:r>
        <w:rPr>
          <w:rFonts w:hint="eastAsia" w:ascii="宋体" w:hAnsi="宋体"/>
          <w:color w:val="auto"/>
          <w:sz w:val="24"/>
          <w:highlight w:val="none"/>
          <w:u w:val="single"/>
        </w:rPr>
        <w:t>项目总投资约</w:t>
      </w:r>
      <w:r>
        <w:rPr>
          <w:rFonts w:hint="eastAsia" w:ascii="宋体" w:hAnsi="宋体" w:eastAsia="宋体" w:cs="宋体"/>
          <w:color w:val="auto"/>
          <w:kern w:val="2"/>
          <w:sz w:val="24"/>
          <w:szCs w:val="20"/>
          <w:highlight w:val="none"/>
          <w:u w:val="single"/>
          <w:lang w:val="en-US" w:eastAsia="zh-CN" w:bidi="ar-SA"/>
        </w:rPr>
        <w:t>12565.36</w:t>
      </w:r>
      <w:r>
        <w:rPr>
          <w:rFonts w:hint="eastAsia" w:ascii="宋体" w:hAnsi="宋体"/>
          <w:color w:val="auto"/>
          <w:sz w:val="24"/>
          <w:highlight w:val="none"/>
          <w:u w:val="single"/>
        </w:rPr>
        <w:t>万元，</w:t>
      </w:r>
      <w:r>
        <w:rPr>
          <w:rFonts w:hint="eastAsia" w:ascii="宋体" w:hAnsi="宋体" w:eastAsia="宋体" w:cs="宋体"/>
          <w:color w:val="auto"/>
          <w:sz w:val="24"/>
          <w:szCs w:val="24"/>
          <w:highlight w:val="none"/>
          <w:u w:val="single"/>
          <w:lang w:val="en-US" w:eastAsia="zh-CN"/>
        </w:rPr>
        <w:t>该项目计划在番禺区石楼镇胜洲村新建番禺汽车城金轩二路B线道路，路线起点为金轩二路A线道路终点，终点为番禺区广汽智联新能源汽车产业园四号路(金轩三路)，全长约994米，包含跨过胜洲涌的新建桥梁，道路设计等级为城市次干路，道路与桥梁建设红线宽度30米，双向4车道，设计速度40千米/时。主要工程内容包括:道路工程、桥涵工程、综合管线工程、照明工程、电力工程、交通工程、绿化工程</w:t>
      </w:r>
      <w:r>
        <w:rPr>
          <w:rFonts w:hint="eastAsia" w:ascii="宋体" w:hAnsi="宋体" w:cs="宋体"/>
          <w:color w:val="auto"/>
          <w:sz w:val="24"/>
          <w:szCs w:val="24"/>
          <w:highlight w:val="none"/>
          <w:u w:val="single"/>
          <w:lang w:val="en-US" w:eastAsia="zh-CN"/>
        </w:rPr>
        <w:t>、桥梁工程、排水工程</w:t>
      </w:r>
      <w:r>
        <w:rPr>
          <w:rFonts w:hint="eastAsia" w:ascii="宋体" w:hAnsi="宋体" w:eastAsia="宋体" w:cs="宋体"/>
          <w:color w:val="auto"/>
          <w:sz w:val="24"/>
          <w:szCs w:val="24"/>
          <w:highlight w:val="none"/>
          <w:u w:val="single"/>
          <w:lang w:val="en-US" w:eastAsia="zh-CN"/>
        </w:rPr>
        <w:t>及海绵城市等</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（具体数据以施工图纸为准）</w:t>
      </w:r>
    </w:p>
    <w:p w14:paraId="26258164">
      <w:pPr>
        <w:tabs>
          <w:tab w:val="left" w:pos="7513"/>
        </w:tabs>
        <w:spacing w:line="360" w:lineRule="auto"/>
        <w:ind w:firstLine="360" w:firstLineChars="150"/>
        <w:rPr>
          <w:rFonts w:ascii="宋体" w:hAnsi="宋体"/>
          <w:color w:val="auto"/>
          <w:sz w:val="24"/>
          <w:szCs w:val="24"/>
          <w:highlight w:val="none"/>
        </w:rPr>
      </w:pPr>
      <w:r>
        <w:rPr>
          <w:rFonts w:ascii="宋体" w:hAnsi="宋体"/>
          <w:color w:val="auto"/>
          <w:sz w:val="24"/>
          <w:szCs w:val="24"/>
          <w:highlight w:val="none"/>
        </w:rPr>
        <w:t>2.</w:t>
      </w:r>
      <w:r>
        <w:rPr>
          <w:rFonts w:hint="eastAsia" w:ascii="宋体" w:hAnsi="宋体"/>
          <w:color w:val="auto"/>
          <w:sz w:val="24"/>
          <w:szCs w:val="24"/>
          <w:highlight w:val="none"/>
        </w:rPr>
        <w:t>2招标范围</w:t>
      </w:r>
    </w:p>
    <w:p w14:paraId="5FB88C35">
      <w:pPr>
        <w:tabs>
          <w:tab w:val="left" w:pos="7513"/>
        </w:tabs>
        <w:spacing w:line="360" w:lineRule="auto"/>
        <w:ind w:firstLine="360" w:firstLineChars="150"/>
        <w:rPr>
          <w:color w:val="auto"/>
          <w:sz w:val="24"/>
          <w:szCs w:val="24"/>
          <w:highlight w:val="none"/>
          <w:u w:val="single"/>
        </w:rPr>
      </w:pPr>
      <w:r>
        <w:rPr>
          <w:rFonts w:hint="eastAsia" w:ascii="宋体" w:hAnsi="宋体"/>
          <w:color w:val="auto"/>
          <w:sz w:val="24"/>
          <w:highlight w:val="none"/>
        </w:rPr>
        <w:t>2.2.1</w:t>
      </w:r>
      <w:r>
        <w:rPr>
          <w:rFonts w:hint="eastAsia"/>
          <w:color w:val="auto"/>
          <w:sz w:val="24"/>
          <w:szCs w:val="24"/>
          <w:highlight w:val="none"/>
        </w:rPr>
        <w:t>标段划分：</w:t>
      </w:r>
      <w:r>
        <w:rPr>
          <w:rFonts w:hint="eastAsia"/>
          <w:color w:val="auto"/>
          <w:sz w:val="24"/>
          <w:szCs w:val="24"/>
          <w:highlight w:val="none"/>
          <w:u w:val="single"/>
        </w:rPr>
        <w:t>本项目设1个标段。</w:t>
      </w:r>
    </w:p>
    <w:p w14:paraId="29C6B18B">
      <w:pPr>
        <w:tabs>
          <w:tab w:val="left" w:pos="7513"/>
        </w:tabs>
        <w:spacing w:line="360" w:lineRule="auto"/>
        <w:ind w:firstLine="360" w:firstLineChars="150"/>
        <w:rPr>
          <w:rFonts w:ascii="宋体" w:hAnsi="宋体"/>
          <w:color w:val="auto"/>
          <w:sz w:val="24"/>
          <w:highlight w:val="none"/>
          <w:u w:val="single"/>
        </w:rPr>
      </w:pPr>
      <w:r>
        <w:rPr>
          <w:rFonts w:hint="eastAsia" w:ascii="宋体" w:hAnsi="宋体"/>
          <w:color w:val="auto"/>
          <w:sz w:val="24"/>
          <w:highlight w:val="none"/>
        </w:rPr>
        <w:t>2.2.2招标范围：</w:t>
      </w:r>
      <w:r>
        <w:rPr>
          <w:rFonts w:hint="eastAsia" w:ascii="宋体" w:hAnsi="宋体"/>
          <w:color w:val="auto"/>
          <w:sz w:val="24"/>
          <w:highlight w:val="none"/>
          <w:u w:val="single"/>
        </w:rPr>
        <w:t>根据</w:t>
      </w:r>
      <w:r>
        <w:rPr>
          <w:rFonts w:hint="eastAsia" w:ascii="宋体" w:cs="宋体"/>
          <w:color w:val="auto"/>
          <w:kern w:val="0"/>
          <w:sz w:val="24"/>
          <w:highlight w:val="none"/>
          <w:u w:val="single"/>
        </w:rPr>
        <w:t>设计文件、施工组织设计、相关规范和相关行政职能部门要求和委托方要求出具检测方案，</w:t>
      </w:r>
      <w:r>
        <w:rPr>
          <w:rFonts w:hint="eastAsia" w:ascii="宋体" w:hAnsi="宋体"/>
          <w:color w:val="auto"/>
          <w:sz w:val="24"/>
          <w:highlight w:val="none"/>
          <w:u w:val="single"/>
        </w:rPr>
        <w:t>开展检测技术工作，并出具检测报告。根据</w:t>
      </w:r>
      <w:r>
        <w:rPr>
          <w:rFonts w:hint="eastAsia" w:ascii="宋体" w:cs="宋体"/>
          <w:color w:val="auto"/>
          <w:kern w:val="0"/>
          <w:sz w:val="24"/>
          <w:highlight w:val="none"/>
          <w:u w:val="single"/>
        </w:rPr>
        <w:t>相关行政职能部门要求和委托方</w:t>
      </w:r>
      <w:r>
        <w:rPr>
          <w:rFonts w:hint="eastAsia" w:ascii="宋体" w:hAnsi="宋体"/>
          <w:color w:val="auto"/>
          <w:sz w:val="24"/>
          <w:highlight w:val="none"/>
          <w:u w:val="single"/>
        </w:rPr>
        <w:t>要求配合做好检测信息化管理工作，配备能实时上传数据的相关仪器设备，并具备将数据实时上传（具体内容详见检测合同）。</w:t>
      </w:r>
    </w:p>
    <w:p w14:paraId="56ECD03E">
      <w:pPr>
        <w:tabs>
          <w:tab w:val="left" w:pos="7513"/>
        </w:tabs>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rPr>
        <w:t>2.</w:t>
      </w:r>
      <w:r>
        <w:rPr>
          <w:rFonts w:hint="eastAsia" w:ascii="宋体" w:hAnsi="宋体"/>
          <w:color w:val="auto"/>
          <w:sz w:val="24"/>
          <w:szCs w:val="24"/>
          <w:highlight w:val="none"/>
        </w:rPr>
        <w:t>2.3服务期限：</w:t>
      </w:r>
      <w:r>
        <w:rPr>
          <w:rFonts w:hint="eastAsia" w:ascii="宋体" w:hAnsi="宋体"/>
          <w:color w:val="auto"/>
          <w:sz w:val="24"/>
          <w:szCs w:val="24"/>
          <w:highlight w:val="none"/>
          <w:u w:val="single"/>
        </w:rPr>
        <w:t>建设周期为</w:t>
      </w:r>
      <w:r>
        <w:rPr>
          <w:rFonts w:hint="eastAsia" w:ascii="宋体" w:hAnsi="宋体"/>
          <w:color w:val="auto"/>
          <w:sz w:val="24"/>
          <w:szCs w:val="24"/>
          <w:highlight w:val="none"/>
          <w:u w:val="single"/>
          <w:lang w:val="en-US" w:eastAsia="zh-CN"/>
        </w:rPr>
        <w:t>27</w:t>
      </w:r>
      <w:r>
        <w:rPr>
          <w:rFonts w:hint="eastAsia" w:ascii="宋体" w:hAnsi="宋体"/>
          <w:color w:val="auto"/>
          <w:sz w:val="24"/>
          <w:szCs w:val="24"/>
          <w:highlight w:val="none"/>
          <w:u w:val="single"/>
        </w:rPr>
        <w:t>0日历天。服务期限：自甲方书面通知进场至项目完成竣工验收备案为止，服务周期必须满足实际施工及验收要求。（因发包方原因或现场不具备作业条件，检测时间顺延。）</w:t>
      </w:r>
    </w:p>
    <w:p w14:paraId="5F55C1B8">
      <w:pPr>
        <w:adjustRightInd w:val="0"/>
        <w:snapToGrid w:val="0"/>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2.2.4承包方式：</w:t>
      </w:r>
      <w:r>
        <w:rPr>
          <w:rFonts w:hint="eastAsia" w:ascii="宋体" w:hAnsi="宋体"/>
          <w:color w:val="auto"/>
          <w:sz w:val="24"/>
          <w:szCs w:val="24"/>
          <w:highlight w:val="none"/>
          <w:u w:val="single"/>
        </w:rPr>
        <w:t>本合同工程量以实际发生（按业主、监理人、受托人确认）进行计算，结算时依据实际工程量</w:t>
      </w:r>
      <w:r>
        <w:rPr>
          <w:rFonts w:ascii="Arial" w:hAnsi="Arial" w:cs="Arial"/>
          <w:color w:val="auto"/>
          <w:sz w:val="24"/>
          <w:szCs w:val="24"/>
          <w:highlight w:val="none"/>
          <w:u w:val="single"/>
        </w:rPr>
        <w:t>×</w:t>
      </w:r>
      <w:r>
        <w:rPr>
          <w:rFonts w:hint="eastAsia" w:ascii="宋体" w:hAnsi="宋体"/>
          <w:color w:val="auto"/>
          <w:sz w:val="24"/>
          <w:szCs w:val="24"/>
          <w:highlight w:val="none"/>
          <w:u w:val="single"/>
        </w:rPr>
        <w:t>收费标准单价</w:t>
      </w:r>
      <w:r>
        <w:rPr>
          <w:rFonts w:ascii="Arial" w:hAnsi="Arial" w:cs="Arial"/>
          <w:color w:val="auto"/>
          <w:sz w:val="24"/>
          <w:szCs w:val="24"/>
          <w:highlight w:val="none"/>
          <w:u w:val="single"/>
        </w:rPr>
        <w:t>×</w:t>
      </w:r>
      <w:r>
        <w:rPr>
          <w:rFonts w:hint="eastAsia" w:ascii="Arial" w:hAnsi="Arial" w:cs="Arial"/>
          <w:color w:val="auto"/>
          <w:sz w:val="24"/>
          <w:szCs w:val="24"/>
          <w:highlight w:val="none"/>
          <w:u w:val="single"/>
        </w:rPr>
        <w:t>（1-投标下浮率）结算，</w:t>
      </w:r>
      <w:r>
        <w:rPr>
          <w:rFonts w:hint="eastAsia" w:ascii="宋体" w:hAnsi="宋体"/>
          <w:color w:val="auto"/>
          <w:sz w:val="24"/>
          <w:szCs w:val="24"/>
          <w:highlight w:val="none"/>
          <w:u w:val="single"/>
        </w:rPr>
        <w:t>但结算价超过</w:t>
      </w:r>
      <w:r>
        <w:rPr>
          <w:rFonts w:hint="eastAsia" w:ascii="宋体" w:hAnsi="宋体"/>
          <w:color w:val="auto"/>
          <w:sz w:val="24"/>
          <w:szCs w:val="24"/>
          <w:highlight w:val="none"/>
          <w:u w:val="single"/>
          <w:lang w:eastAsia="zh-CN"/>
        </w:rPr>
        <w:t>本项目最高限价</w:t>
      </w:r>
      <w:r>
        <w:rPr>
          <w:rFonts w:hint="eastAsia" w:ascii="宋体" w:hAnsi="宋体"/>
          <w:color w:val="auto"/>
          <w:sz w:val="24"/>
          <w:szCs w:val="24"/>
          <w:highlight w:val="none"/>
          <w:u w:val="single"/>
        </w:rPr>
        <w:t>的，则按</w:t>
      </w:r>
      <w:r>
        <w:rPr>
          <w:rFonts w:hint="eastAsia" w:ascii="宋体" w:hAnsi="宋体"/>
          <w:color w:val="auto"/>
          <w:sz w:val="24"/>
          <w:szCs w:val="24"/>
          <w:highlight w:val="none"/>
          <w:u w:val="single"/>
          <w:lang w:eastAsia="zh-CN"/>
        </w:rPr>
        <w:t>最高投标限价</w:t>
      </w:r>
      <w:r>
        <w:rPr>
          <w:rFonts w:hint="eastAsia" w:ascii="宋体" w:hAnsi="宋体"/>
          <w:color w:val="auto"/>
          <w:sz w:val="24"/>
          <w:szCs w:val="24"/>
          <w:highlight w:val="none"/>
          <w:u w:val="single"/>
        </w:rPr>
        <w:t>为最终结算价（如有审计、以审计结果为准）。</w:t>
      </w:r>
    </w:p>
    <w:p w14:paraId="1334FDFB">
      <w:pPr>
        <w:tabs>
          <w:tab w:val="left" w:pos="7513"/>
        </w:tabs>
        <w:spacing w:line="360" w:lineRule="auto"/>
        <w:ind w:firstLine="496" w:firstLineChars="200"/>
        <w:rPr>
          <w:rFonts w:ascii="宋体" w:hAnsi="宋体" w:cs="宋体"/>
          <w:bCs/>
          <w:color w:val="auto"/>
          <w:spacing w:val="4"/>
          <w:sz w:val="24"/>
          <w:highlight w:val="none"/>
          <w:lang w:bidi="ar"/>
        </w:rPr>
      </w:pPr>
      <w:r>
        <w:rPr>
          <w:rFonts w:hint="eastAsia" w:ascii="宋体" w:hAnsi="宋体" w:cs="宋体"/>
          <w:bCs/>
          <w:color w:val="auto"/>
          <w:spacing w:val="4"/>
          <w:sz w:val="24"/>
          <w:highlight w:val="none"/>
          <w:lang w:bidi="ar"/>
        </w:rPr>
        <w:t>最终结算价已包含了为完成本项目招标内容要求所产生的所有不可预见的费用,包括</w:t>
      </w:r>
      <w:r>
        <w:rPr>
          <w:rFonts w:ascii="宋体" w:hAnsi="宋体" w:cs="宋体"/>
          <w:bCs/>
          <w:color w:val="auto"/>
          <w:spacing w:val="4"/>
          <w:sz w:val="24"/>
          <w:highlight w:val="none"/>
          <w:lang w:bidi="ar"/>
        </w:rPr>
        <w:t>但不限于</w:t>
      </w:r>
      <w:r>
        <w:rPr>
          <w:rFonts w:hint="eastAsia" w:ascii="宋体" w:hAnsi="宋体" w:cs="宋体"/>
          <w:bCs/>
          <w:color w:val="auto"/>
          <w:spacing w:val="4"/>
          <w:sz w:val="24"/>
          <w:highlight w:val="none"/>
          <w:lang w:bidi="ar"/>
        </w:rPr>
        <w:t>包工、包料、包设备设施、包工期、包质量、包安全、包文明作业、包与建设项目相关单位的协调以及本项目可能产生的风险等所有费用。</w:t>
      </w:r>
    </w:p>
    <w:p w14:paraId="11A66C36">
      <w:pPr>
        <w:tabs>
          <w:tab w:val="left" w:pos="7513"/>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2.2.5招标内容：</w:t>
      </w:r>
    </w:p>
    <w:p w14:paraId="7B2EA74C">
      <w:pPr>
        <w:tabs>
          <w:tab w:val="left" w:pos="7513"/>
        </w:tabs>
        <w:spacing w:line="360" w:lineRule="auto"/>
        <w:ind w:firstLine="480" w:firstLineChars="200"/>
        <w:rPr>
          <w:rFonts w:ascii="宋体" w:hAnsi="宋体" w:cs="宋体"/>
          <w:strike/>
          <w:color w:val="auto"/>
          <w:sz w:val="24"/>
          <w:szCs w:val="24"/>
          <w:highlight w:val="none"/>
          <w:u w:val="single"/>
        </w:rPr>
      </w:pPr>
      <w:r>
        <w:rPr>
          <w:rFonts w:hint="eastAsia" w:ascii="宋体" w:hAnsi="宋体" w:cs="宋体"/>
          <w:color w:val="auto"/>
          <w:sz w:val="24"/>
          <w:szCs w:val="24"/>
          <w:highlight w:val="none"/>
          <w:u w:val="single"/>
        </w:rPr>
        <w:t>（1）检测服务包括但不限于见证取样检测、道路地基检测、砼、钢结构检测、交通及照明工程检测、绿化工程检测、智能化检测</w:t>
      </w:r>
      <w:r>
        <w:rPr>
          <w:rFonts w:hint="eastAsia" w:ascii="宋体" w:hAnsi="宋体" w:cs="宋体"/>
          <w:color w:val="auto"/>
          <w:sz w:val="24"/>
          <w:szCs w:val="24"/>
          <w:highlight w:val="none"/>
          <w:u w:val="single"/>
          <w:lang w:eastAsia="zh-CN"/>
        </w:rPr>
        <w:t>、桥梁工程、排水工程、</w:t>
      </w:r>
      <w:r>
        <w:rPr>
          <w:rFonts w:hint="eastAsia" w:ascii="宋体" w:hAnsi="宋体" w:cs="宋体"/>
          <w:color w:val="auto"/>
          <w:sz w:val="24"/>
          <w:szCs w:val="24"/>
          <w:highlight w:val="none"/>
          <w:u w:val="single"/>
          <w:lang w:val="en-US" w:eastAsia="zh-CN"/>
        </w:rPr>
        <w:t>CCTV检测</w:t>
      </w:r>
      <w:r>
        <w:rPr>
          <w:rFonts w:hint="eastAsia" w:ascii="宋体" w:hAnsi="宋体" w:cs="宋体"/>
          <w:color w:val="auto"/>
          <w:sz w:val="24"/>
          <w:szCs w:val="24"/>
          <w:highlight w:val="none"/>
          <w:u w:val="single"/>
        </w:rPr>
        <w:t>等内容；</w:t>
      </w:r>
    </w:p>
    <w:p w14:paraId="6A4E7252">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）其他服务内容（投</w:t>
      </w:r>
      <w:r>
        <w:rPr>
          <w:rFonts w:hint="eastAsia" w:ascii="宋体" w:hAnsi="宋体" w:cs="宋体"/>
          <w:color w:val="auto"/>
          <w:sz w:val="24"/>
          <w:szCs w:val="24"/>
          <w:highlight w:val="none"/>
          <w:u w:val="single"/>
          <w:lang w:val="en-US" w:eastAsia="zh-CN"/>
        </w:rPr>
        <w:t>标</w:t>
      </w:r>
      <w:bookmarkStart w:id="44" w:name="_GoBack"/>
      <w:bookmarkEnd w:id="44"/>
      <w:r>
        <w:rPr>
          <w:rFonts w:hint="eastAsia" w:ascii="宋体" w:hAnsi="宋体" w:cs="宋体"/>
          <w:color w:val="auto"/>
          <w:sz w:val="24"/>
          <w:szCs w:val="24"/>
          <w:highlight w:val="none"/>
          <w:u w:val="single"/>
        </w:rPr>
        <w:t>报价中已经综合考虑了本部分工作的费用）：</w:t>
      </w:r>
    </w:p>
    <w:p w14:paraId="24E673AD">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①与工程所在行政区域的相关建设行政主管部门和监督部门进行检测工作的协调，申报检测技术成果的审批。保证技术成果能够通过相关部门认可，确保不因检测工作影响本工程项目的建设进度和竣工验收。</w:t>
      </w:r>
    </w:p>
    <w:p w14:paraId="1F1D2B84">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②在进行检测任务的过程中与该工程相关的施工单位、监理单位、设计单位、项目建设管理单位、建设主管部门等相关单位的协调工作。投标人需在投标报价中综合考虑相关费用。</w:t>
      </w:r>
    </w:p>
    <w:p w14:paraId="3D376419">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③检测数据的有关信息通过连接系统进行传输报送。</w:t>
      </w:r>
    </w:p>
    <w:p w14:paraId="55291356">
      <w:pPr>
        <w:wordWrap w:val="0"/>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检测的要求：依据《建设工程质量检测管理办法》（建设部令第141号）及国家现行有关规范要求，根据本项目检测服务内容，中标人制定检测方案（含细化工程量清单），并报监理和建设单位审批同意后，方可实施。各专业项目进行实际检测前，需将具体检测方案和工程量报监理和建设单位审批同意后方可进行。未经建设单位审批同意擅自检测的，产生的相关检测费建设单位不予认可，由中标单位自负。中标人按照审批同意的工程量检测清单进场检测，实施过程中做好现场拍照留底记录，实际发生的检测工程量须由监理和建设单位现场负责人书面确认，否则不予结算。建设单位有权根据行业主管部门要求增加或减少计划表所列检测方法和数量。</w:t>
      </w:r>
    </w:p>
    <w:p w14:paraId="32D8732C">
      <w:pPr>
        <w:wordWrap w:val="0"/>
        <w:adjustRightInd w:val="0"/>
        <w:snapToGrid w:val="0"/>
        <w:spacing w:line="360" w:lineRule="auto"/>
        <w:ind w:firstLine="480" w:firstLineChars="200"/>
        <w:rPr>
          <w:color w:val="auto"/>
          <w:highlight w:val="non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本工程所涉及的检测工作，中标人需要独立完成本项目70%以上的检测工作（主要检测工作需要由中标人完成），剩余的非主要检测工作，如中标人不具备资质的，经招标人同意后可依法分包给具备相关资质的检测单位，但分包的检测工作不得再次分包。分包项目的检测质量和检测工期由中标单位负责。分包合同原则上由中标单位与分包签订。该部分检测内容纳入中标单位合同一并进行结算。</w:t>
      </w:r>
    </w:p>
    <w:p w14:paraId="0D119319">
      <w:pPr>
        <w:tabs>
          <w:tab w:val="left" w:pos="7513"/>
        </w:tabs>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u w:val="single"/>
        </w:rPr>
        <w:t>）工作具体详见施工图纸、委托人要求及合同约定。</w:t>
      </w:r>
    </w:p>
    <w:p w14:paraId="73CE346F">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2.2.7最高投标限价：人民币</w:t>
      </w:r>
      <w:r>
        <w:rPr>
          <w:rFonts w:hint="eastAsia" w:ascii="宋体" w:hAnsi="宋体"/>
          <w:bCs/>
          <w:color w:val="auto"/>
          <w:sz w:val="24"/>
          <w:szCs w:val="24"/>
          <w:highlight w:val="none"/>
          <w:u w:val="single"/>
          <w:lang w:val="en-US" w:eastAsia="zh-CN"/>
        </w:rPr>
        <w:t>1342828.01</w:t>
      </w:r>
      <w:r>
        <w:rPr>
          <w:rFonts w:hint="eastAsia" w:ascii="宋体" w:hAnsi="宋体"/>
          <w:bCs/>
          <w:color w:val="auto"/>
          <w:sz w:val="24"/>
          <w:szCs w:val="24"/>
          <w:highlight w:val="none"/>
        </w:rPr>
        <w:t>元</w:t>
      </w:r>
      <w:r>
        <w:rPr>
          <w:rFonts w:hint="eastAsia" w:ascii="宋体" w:hAnsi="宋体"/>
          <w:color w:val="auto"/>
          <w:sz w:val="24"/>
          <w:szCs w:val="24"/>
          <w:highlight w:val="none"/>
        </w:rPr>
        <w:t>；</w:t>
      </w:r>
    </w:p>
    <w:p w14:paraId="5436D73C">
      <w:pPr>
        <w:adjustRightInd w:val="0"/>
        <w:snapToGrid w:val="0"/>
        <w:spacing w:line="360" w:lineRule="auto"/>
        <w:ind w:firstLine="422" w:firstLineChars="200"/>
        <w:rPr>
          <w:rFonts w:ascii="宋体" w:hAnsi="宋体"/>
          <w:color w:val="auto"/>
          <w:sz w:val="24"/>
          <w:szCs w:val="24"/>
          <w:highlight w:val="none"/>
          <w:u w:val="single"/>
        </w:rPr>
      </w:pPr>
      <w:r>
        <w:rPr>
          <w:rFonts w:hint="eastAsia" w:ascii="宋体" w:hAnsi="宋体" w:cs="宋体"/>
          <w:b/>
          <w:color w:val="auto"/>
          <w:szCs w:val="21"/>
          <w:highlight w:val="none"/>
        </w:rPr>
        <w:t>注：</w:t>
      </w:r>
      <w:r>
        <w:rPr>
          <w:rFonts w:hint="eastAsia" w:ascii="宋体" w:hAnsi="宋体"/>
          <w:color w:val="auto"/>
          <w:sz w:val="24"/>
          <w:szCs w:val="24"/>
          <w:highlight w:val="none"/>
          <w:u w:val="single"/>
        </w:rPr>
        <w:t>结算价超过经评审的概算中对应的检测费的审定金额的，则按最终概算审定金额为最终结算价（如有审计、以审计结果为准）。</w:t>
      </w:r>
    </w:p>
    <w:p w14:paraId="1D6EC4CD">
      <w:pPr>
        <w:tabs>
          <w:tab w:val="left" w:pos="7513"/>
        </w:tabs>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投标人在最高限价的基础上根据自身情况自行填报总价及投标下浮率，超出最高投标限价（总价）的报价做废标处理。</w:t>
      </w:r>
    </w:p>
    <w:p w14:paraId="3BC4919F">
      <w:pPr>
        <w:pStyle w:val="3"/>
        <w:keepNext w:val="0"/>
        <w:keepLines w:val="0"/>
        <w:numPr>
          <w:ilvl w:val="0"/>
          <w:numId w:val="1"/>
        </w:numPr>
        <w:spacing w:before="0" w:after="0" w:line="360" w:lineRule="auto"/>
        <w:rPr>
          <w:rFonts w:ascii="Times New Roman" w:hAnsi="Times New Roman"/>
          <w:color w:val="auto"/>
          <w:highlight w:val="none"/>
        </w:rPr>
      </w:pPr>
      <w:bookmarkStart w:id="4" w:name="_Toc511557027"/>
      <w:bookmarkStart w:id="5" w:name="_Toc514099625"/>
      <w:r>
        <w:rPr>
          <w:rFonts w:ascii="Times New Roman" w:hAnsi="Times New Roman"/>
          <w:color w:val="auto"/>
          <w:highlight w:val="none"/>
        </w:rPr>
        <w:t>投标人资格要求</w:t>
      </w:r>
      <w:bookmarkEnd w:id="4"/>
      <w:bookmarkEnd w:id="5"/>
    </w:p>
    <w:p w14:paraId="5BD0631F">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3.1投标人参加投标的意思表达清楚（如为联合体投标，由联合体主办方单位代表联合体授权），投标人代表被授权有效；</w:t>
      </w:r>
    </w:p>
    <w:p w14:paraId="39DA9058">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3.2投标人（若为联合体投标，指联合体各方）均具有独立法人资格，持有事业单位登记管理部门核发的事业单位法人证书或工商行政（或市场监督）管理部门核发的企业法人营业执照，且在营业期限内；</w:t>
      </w:r>
    </w:p>
    <w:p w14:paraId="2E2D6921">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3.3本次招标要求投标人具备以下（1）、（2）、（3）项条件：</w:t>
      </w:r>
    </w:p>
    <w:p w14:paraId="2ABFFF58">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（1）投标人（若为联合体投标，指承担检测任务的单位）须具备以下资质（①或②或③）：</w:t>
      </w:r>
    </w:p>
    <w:p w14:paraId="58CEE56A">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①具备建设行政主管部门颁发的建设工程质量检测机构综合资质证书，且资质证书在有效期内；</w:t>
      </w:r>
    </w:p>
    <w:p w14:paraId="44C8A42A">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②具备建设行政主管部门颁发的建设工程质量检测机构专项资质证书（专项资质证书须提供：建筑材料及构配件、主体结构、地基基础），且资质证书在有效期内；</w:t>
      </w:r>
    </w:p>
    <w:p w14:paraId="1A9ECD22">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③具备建设行政主管部门颁发的建设工程质量检测机构资质证书（检测范围应覆盖本次招标主要内容：包括见证取样检测、地基基础工程检测、主体结构工程现场检测），且资质证书在有效期以内。</w:t>
      </w:r>
    </w:p>
    <w:p w14:paraId="1C38BB9D">
      <w:pPr>
        <w:tabs>
          <w:tab w:val="left" w:pos="7513"/>
        </w:tabs>
        <w:spacing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注：资质内容按照《住房和城乡建设部关于印发《建设工程质量检测机构资质标准》的通知》（建质规〔2023〕1号）、《广东省住房和城乡建设厅关于做好建设工程质量检测机构资质审批有关事项准备的通知》（粤建质[2024]244号），证书须在有效期以内。若为联合体投标，资质证书内的检测涵盖范围以《联合体协议书》中承担检测任务的单位分工内容为准。持新标准的建设工程质量检测机构资质证书的单位，其具备的相应资质应与承担检测任务的单位提供的《联合体协议书》的分工内容一致。</w:t>
      </w:r>
    </w:p>
    <w:p w14:paraId="56624853">
      <w:pPr>
        <w:tabs>
          <w:tab w:val="left" w:pos="7513"/>
        </w:tabs>
        <w:spacing w:line="360" w:lineRule="auto"/>
        <w:ind w:firstLine="360" w:firstLineChars="150"/>
        <w:rPr>
          <w:color w:val="auto"/>
          <w:highlight w:val="none"/>
        </w:rPr>
      </w:pP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投标人（若为联合体投标，指联合体各方）均具备质量技术监督部门颁发的CMA计量认证合格证书（或CMA检验检测机构资质认定证书），且证书在有效期内；(认证范围须覆盖本次招标的主要内容：①承担检测任务的单位认证范围为：见证取样检测、地基与基础工程检测、主体结构工程检测；注：若为联合体投标，CMA证书内的检测涵盖范围以《联合体协议书》中承担相应检测任务的单位分工内容为准。</w:t>
      </w:r>
    </w:p>
    <w:p w14:paraId="033A703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3.4拟派的项目负责人应具有</w:t>
      </w:r>
      <w:r>
        <w:rPr>
          <w:rFonts w:hint="eastAsia" w:ascii="宋体" w:hAnsi="宋体"/>
          <w:color w:val="auto"/>
          <w:sz w:val="24"/>
          <w:highlight w:val="none"/>
          <w:u w:val="single"/>
        </w:rPr>
        <w:t>工程类中级或以上职称（若为联合体投标，项目负责人须是联合体主办方在职员工）</w:t>
      </w:r>
      <w:r>
        <w:rPr>
          <w:rFonts w:hint="eastAsia" w:ascii="宋体" w:hAnsi="宋体"/>
          <w:color w:val="auto"/>
          <w:sz w:val="24"/>
          <w:highlight w:val="none"/>
        </w:rPr>
        <w:t>。</w:t>
      </w:r>
    </w:p>
    <w:p w14:paraId="546A3EE5">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3.5投标人（若为联合体投标，指联合体各方）须在广州公共资源交易中心办理信息登记，且拟担任本工程项目负责人须是本企业信息登记中的在册人员。</w:t>
      </w:r>
    </w:p>
    <w:p w14:paraId="790BDAB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3.6投标人近二年(从202</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年1月1日起至标止时间止)未因以往检测工作中存在伪造检测数据、出具虚假检测报告的行为被各级建设行政主管部门或市场监督管理部门行政处罚或通报的(按投标人提供的《投标人声明》第三条内容进行评审)。</w:t>
      </w:r>
    </w:p>
    <w:p w14:paraId="36F70D2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3.7投标人未出现以下情形：与其它投标人的单位负责人为同一人或者存在控股、管理关系的（按投标人提供的《投标人声明》第六条内容进行评审）。如不同投标申请人出现单位负责人为同一人或者存在控股、管理关系的情形，则相关投标均无效，（联合体内各成员之间不受本条限制）。</w:t>
      </w:r>
    </w:p>
    <w:p w14:paraId="4B40CEF3">
      <w:pPr>
        <w:topLinePunct/>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3.8投标人已按照招标公告附件一的内容签署盖章的《投标人声明》。</w:t>
      </w:r>
    </w:p>
    <w:p w14:paraId="33CA5434">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3.9投标人已按照招标公告附件二的内容签署盖章的《投标承诺函》。</w:t>
      </w:r>
    </w:p>
    <w:p w14:paraId="304F9E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3.10关于联合体投标：</w:t>
      </w:r>
      <w:r>
        <w:rPr>
          <w:rFonts w:hint="eastAsia" w:ascii="宋体" w:hAnsi="宋体"/>
          <w:color w:val="auto"/>
          <w:sz w:val="24"/>
          <w:highlight w:val="none"/>
          <w:u w:val="single"/>
        </w:rPr>
        <w:t>本项目接受联合体投标</w:t>
      </w:r>
      <w:r>
        <w:rPr>
          <w:rFonts w:hint="eastAsia" w:ascii="宋体" w:hAnsi="宋体"/>
          <w:color w:val="auto"/>
          <w:sz w:val="24"/>
          <w:highlight w:val="none"/>
        </w:rPr>
        <w:t>。</w:t>
      </w:r>
    </w:p>
    <w:p w14:paraId="630F0477">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注：（1）如投标人组成联合体，须以承担</w:t>
      </w:r>
      <w:r>
        <w:rPr>
          <w:rFonts w:hint="eastAsia" w:ascii="宋体" w:hAnsi="宋体" w:cs="宋体"/>
          <w:color w:val="auto"/>
          <w:sz w:val="24"/>
          <w:szCs w:val="24"/>
          <w:highlight w:val="none"/>
          <w:lang w:eastAsia="zh-CN"/>
        </w:rPr>
        <w:t>主要</w:t>
      </w:r>
      <w:r>
        <w:rPr>
          <w:rFonts w:hint="eastAsia" w:ascii="宋体" w:hAnsi="宋体" w:cs="宋体"/>
          <w:color w:val="auto"/>
          <w:sz w:val="24"/>
          <w:szCs w:val="24"/>
          <w:highlight w:val="none"/>
        </w:rPr>
        <w:t>检测任务的单位为主办方。联合体应当在投标登记前组成，签订联合体协议书，在联合体协议书中明确主办方和联合体主办方与成员各方权利义务，明确约定各方拟承担的工作并承诺就中标项目向招标人承担连带责任。</w:t>
      </w:r>
    </w:p>
    <w:p w14:paraId="4AE10F2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（2）联合体各方（包括主办方及联合体成员）不得再单独或与其他单位组成联合体参与本项目投标。出现上述情况者，其投标和与此有关的联合体的投标将被拒绝。</w:t>
      </w:r>
    </w:p>
    <w:p w14:paraId="7DF7010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（3）联合体主办方的被授权人作为联合体各方的代表，承担责任和指令，并负责整个投标过程中的一切责任；</w:t>
      </w:r>
    </w:p>
    <w:p w14:paraId="7D08779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联合体投标时，除“联合体协议书”需由联合体各方分别按要求进行签字或盖章外，其他资料若需要签字或盖章的均可由联合体主办方签字或盖章即可；投标资料封面及其他内容及落款中的“投标人”、“投标单位”、“声明企业”应填写联合体各方的单位全称【格式示例为：（主）单位全称（成）单位全称】，由联合体主办方按要求签字或盖章即可。电子签章由主办方进行签章即可。</w:t>
      </w:r>
    </w:p>
    <w:p w14:paraId="5D1E81C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注：未在招标公告第3条单列的投标人资格要求条件，不作为资审不合格的依据。</w:t>
      </w:r>
    </w:p>
    <w:p w14:paraId="6E1DB705">
      <w:pPr>
        <w:spacing w:line="360" w:lineRule="auto"/>
        <w:ind w:firstLine="480" w:firstLineChars="200"/>
        <w:rPr>
          <w:rFonts w:ascii="宋体" w:hAnsi="宋体"/>
          <w:color w:val="auto"/>
          <w:sz w:val="24"/>
          <w:szCs w:val="24"/>
          <w:highlight w:val="none"/>
        </w:rPr>
      </w:pPr>
    </w:p>
    <w:p w14:paraId="3D08BCBD">
      <w:pPr>
        <w:pStyle w:val="3"/>
        <w:keepNext w:val="0"/>
        <w:keepLines w:val="0"/>
        <w:spacing w:before="0" w:after="0" w:line="360" w:lineRule="auto"/>
        <w:rPr>
          <w:rFonts w:ascii="Times New Roman" w:hAnsi="Times New Roman"/>
          <w:color w:val="auto"/>
          <w:highlight w:val="none"/>
        </w:rPr>
      </w:pPr>
      <w:bookmarkStart w:id="6" w:name="_Toc511557028"/>
      <w:bookmarkStart w:id="7" w:name="_Toc514099626"/>
      <w:r>
        <w:rPr>
          <w:rFonts w:ascii="Times New Roman" w:hAnsi="Times New Roman"/>
          <w:color w:val="auto"/>
          <w:highlight w:val="none"/>
        </w:rPr>
        <w:t xml:space="preserve">4. </w:t>
      </w:r>
      <w:r>
        <w:rPr>
          <w:rFonts w:hint="eastAsia" w:ascii="Times New Roman" w:hAnsi="Times New Roman"/>
          <w:color w:val="auto"/>
          <w:highlight w:val="none"/>
        </w:rPr>
        <w:t>招标文件的获取</w:t>
      </w:r>
      <w:bookmarkEnd w:id="6"/>
      <w:bookmarkEnd w:id="7"/>
    </w:p>
    <w:p w14:paraId="4A7B252C">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4.1凡有意参加投标者，请登录</w:t>
      </w:r>
      <w:r>
        <w:rPr>
          <w:rFonts w:hint="eastAsia" w:ascii="宋体" w:hAnsi="宋体"/>
          <w:color w:val="auto"/>
          <w:sz w:val="24"/>
          <w:szCs w:val="24"/>
          <w:highlight w:val="none"/>
          <w:u w:val="single"/>
        </w:rPr>
        <w:t>广州公共资源交易中心网站（</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ascii="宋体" w:hAnsi="宋体"/>
          <w:color w:val="auto"/>
          <w:sz w:val="24"/>
          <w:szCs w:val="24"/>
          <w:highlight w:val="none"/>
        </w:rPr>
        <w:t>下载招标文件。</w:t>
      </w:r>
    </w:p>
    <w:p w14:paraId="1EC576F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发布招标公告、递交投标文件时间、开标时间：</w:t>
      </w:r>
    </w:p>
    <w:p w14:paraId="21C1B345">
      <w:pPr>
        <w:spacing w:line="360" w:lineRule="auto"/>
        <w:ind w:left="418" w:leftChars="199"/>
        <w:rPr>
          <w:rFonts w:ascii="宋体" w:hAnsi="宋体"/>
          <w:color w:val="auto"/>
          <w:sz w:val="24"/>
          <w:highlight w:val="none"/>
          <w:u w:val="single"/>
        </w:rPr>
      </w:pPr>
      <w:r>
        <w:rPr>
          <w:rFonts w:hint="eastAsia" w:ascii="宋体" w:hAnsi="宋体"/>
          <w:color w:val="auto"/>
          <w:sz w:val="24"/>
          <w:highlight w:val="none"/>
        </w:rPr>
        <w:t>发布招标公告日期（含本日）：</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4</w:t>
      </w:r>
      <w:r>
        <w:rPr>
          <w:rFonts w:hint="eastAsia" w:ascii="宋体" w:hAnsi="宋体"/>
          <w:color w:val="auto"/>
          <w:sz w:val="24"/>
          <w:highlight w:val="none"/>
        </w:rPr>
        <w:t>月</w:t>
      </w:r>
      <w:r>
        <w:rPr>
          <w:rFonts w:hint="eastAsia" w:ascii="宋体" w:hAnsi="宋体"/>
          <w:color w:val="auto"/>
          <w:sz w:val="24"/>
          <w:highlight w:val="none"/>
          <w:u w:val="single"/>
          <w:lang w:val="en-US" w:eastAsia="zh-CN"/>
        </w:rPr>
        <w:t>30</w:t>
      </w:r>
      <w:r>
        <w:rPr>
          <w:rFonts w:hint="eastAsia" w:ascii="宋体" w:hAnsi="宋体"/>
          <w:color w:val="auto"/>
          <w:sz w:val="24"/>
          <w:highlight w:val="none"/>
        </w:rPr>
        <w:t>日至</w:t>
      </w:r>
      <w:r>
        <w:rPr>
          <w:rFonts w:hint="eastAsia" w:ascii="宋体" w:hAnsi="宋体"/>
          <w:color w:val="auto"/>
          <w:sz w:val="24"/>
          <w:highlight w:val="none"/>
          <w:u w:val="single"/>
        </w:rPr>
        <w:t xml:space="preserve"> 00 </w:t>
      </w:r>
      <w:r>
        <w:rPr>
          <w:rFonts w:hint="eastAsia" w:ascii="宋体" w:hAnsi="宋体"/>
          <w:color w:val="auto"/>
          <w:sz w:val="24"/>
          <w:highlight w:val="none"/>
        </w:rPr>
        <w:t>时</w:t>
      </w:r>
      <w:r>
        <w:rPr>
          <w:rFonts w:hint="eastAsia" w:ascii="宋体" w:hAnsi="宋体"/>
          <w:color w:val="auto"/>
          <w:sz w:val="24"/>
          <w:highlight w:val="none"/>
          <w:u w:val="single"/>
        </w:rPr>
        <w:t xml:space="preserve"> 00 </w:t>
      </w:r>
      <w:r>
        <w:rPr>
          <w:rFonts w:hint="eastAsia" w:ascii="宋体" w:hAnsi="宋体"/>
          <w:color w:val="auto"/>
          <w:sz w:val="24"/>
          <w:highlight w:val="none"/>
        </w:rPr>
        <w:t>分</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22</w:t>
      </w:r>
      <w:r>
        <w:rPr>
          <w:rFonts w:hint="eastAsia" w:ascii="宋体" w:hAnsi="宋体"/>
          <w:color w:val="auto"/>
          <w:sz w:val="24"/>
          <w:highlight w:val="none"/>
        </w:rPr>
        <w:t>日</w:t>
      </w:r>
      <w:r>
        <w:rPr>
          <w:rFonts w:hint="eastAsia" w:ascii="宋体" w:hAnsi="宋体"/>
          <w:color w:val="auto"/>
          <w:sz w:val="24"/>
          <w:highlight w:val="none"/>
          <w:u w:val="single"/>
        </w:rPr>
        <w:t>1</w:t>
      </w:r>
      <w:r>
        <w:rPr>
          <w:rFonts w:hint="eastAsia" w:ascii="宋体" w:hAnsi="宋体"/>
          <w:color w:val="auto"/>
          <w:sz w:val="24"/>
          <w:highlight w:val="none"/>
          <w:u w:val="single"/>
          <w:lang w:val="en-US" w:eastAsia="zh-CN"/>
        </w:rPr>
        <w:t>0</w:t>
      </w:r>
      <w:r>
        <w:rPr>
          <w:rFonts w:hint="eastAsia" w:ascii="宋体" w:hAnsi="宋体"/>
          <w:color w:val="auto"/>
          <w:sz w:val="24"/>
          <w:highlight w:val="none"/>
        </w:rPr>
        <w:t>时</w:t>
      </w:r>
      <w:r>
        <w:rPr>
          <w:rFonts w:hint="eastAsia" w:ascii="宋体" w:hAnsi="宋体"/>
          <w:color w:val="auto"/>
          <w:sz w:val="24"/>
          <w:highlight w:val="none"/>
          <w:u w:val="single"/>
        </w:rPr>
        <w:t>00</w:t>
      </w:r>
      <w:r>
        <w:rPr>
          <w:rFonts w:hint="eastAsia" w:ascii="宋体" w:hAnsi="宋体"/>
          <w:color w:val="auto"/>
          <w:sz w:val="24"/>
          <w:highlight w:val="none"/>
        </w:rPr>
        <w:t>分（北京时间，下同）。</w:t>
      </w:r>
    </w:p>
    <w:p w14:paraId="15846B7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注：发布招标公告的时间为招标公告发出之日起至递交投标文件截止时间止。</w:t>
      </w:r>
    </w:p>
    <w:p w14:paraId="4583FF2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投标人通过广州公共资源交易平台递交电子投标文件。投标人应在递交投标文件截止时间前，登录广州公共资源交易平台网站办理网上投标登记手续。按照交易平台关于全流程电子化项目的相关指南进行操作。</w:t>
      </w:r>
    </w:p>
    <w:p w14:paraId="4E7F2A3A">
      <w:pPr>
        <w:spacing w:line="360" w:lineRule="auto"/>
        <w:ind w:firstLine="424" w:firstLineChars="177"/>
        <w:rPr>
          <w:color w:val="auto"/>
          <w:sz w:val="24"/>
          <w:highlight w:val="none"/>
        </w:rPr>
      </w:pPr>
      <w:r>
        <w:rPr>
          <w:rFonts w:hint="eastAsia" w:ascii="宋体" w:hAnsi="宋体"/>
          <w:color w:val="auto"/>
          <w:sz w:val="24"/>
          <w:highlight w:val="none"/>
        </w:rPr>
        <w:t>开标时间：</w:t>
      </w:r>
      <w:r>
        <w:rPr>
          <w:rFonts w:hint="eastAsia" w:ascii="宋体" w:hAnsi="宋体"/>
          <w:color w:val="auto"/>
          <w:sz w:val="24"/>
          <w:highlight w:val="none"/>
          <w:u w:val="single"/>
        </w:rPr>
        <w:t>2025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rPr>
        <w:t>时</w:t>
      </w:r>
      <w:r>
        <w:rPr>
          <w:rFonts w:hint="eastAsia" w:ascii="宋体" w:hAnsi="宋体"/>
          <w:color w:val="auto"/>
          <w:sz w:val="24"/>
          <w:highlight w:val="none"/>
          <w:u w:val="single"/>
        </w:rPr>
        <w:t>00</w:t>
      </w:r>
      <w:r>
        <w:rPr>
          <w:rFonts w:hint="eastAsia" w:ascii="宋体" w:hAnsi="宋体"/>
          <w:color w:val="auto"/>
          <w:sz w:val="24"/>
          <w:highlight w:val="none"/>
        </w:rPr>
        <w:t>分</w:t>
      </w:r>
      <w:r>
        <w:rPr>
          <w:rFonts w:hint="eastAsia"/>
          <w:color w:val="auto"/>
          <w:sz w:val="24"/>
          <w:highlight w:val="none"/>
        </w:rPr>
        <w:t>。</w:t>
      </w:r>
    </w:p>
    <w:p w14:paraId="030E7842">
      <w:pPr>
        <w:spacing w:line="360" w:lineRule="auto"/>
        <w:ind w:firstLine="424" w:firstLineChars="177"/>
        <w:rPr>
          <w:color w:val="auto"/>
          <w:sz w:val="24"/>
          <w:highlight w:val="none"/>
        </w:rPr>
      </w:pPr>
      <w:r>
        <w:rPr>
          <w:rFonts w:hint="eastAsia"/>
          <w:color w:val="auto"/>
          <w:sz w:val="24"/>
          <w:highlight w:val="none"/>
        </w:rPr>
        <w:t>开标地点为广州公共资源交易中心开标室（具体开标室以交易中心日程安排系统信息为准）。</w:t>
      </w:r>
    </w:p>
    <w:p w14:paraId="6ADAF4DA">
      <w:pPr>
        <w:spacing w:line="360" w:lineRule="auto"/>
        <w:ind w:firstLine="373" w:firstLineChars="177"/>
        <w:rPr>
          <w:b/>
          <w:bCs/>
          <w:color w:val="auto"/>
          <w:szCs w:val="21"/>
          <w:highlight w:val="none"/>
        </w:rPr>
      </w:pPr>
      <w:r>
        <w:rPr>
          <w:rFonts w:hint="eastAsia"/>
          <w:b/>
          <w:bCs/>
          <w:color w:val="auto"/>
          <w:szCs w:val="21"/>
          <w:highlight w:val="none"/>
        </w:rPr>
        <w:t>注：投标人也可选择参加在线开标，具体按照交易平台相关指南进行操作。详见：广州公共资源交易中心网站发布的最新版操作指引。</w:t>
      </w:r>
    </w:p>
    <w:p w14:paraId="527CC716">
      <w:pPr>
        <w:tabs>
          <w:tab w:val="left" w:pos="7513"/>
        </w:tabs>
        <w:spacing w:line="360" w:lineRule="auto"/>
        <w:ind w:firstLine="480" w:firstLineChars="200"/>
        <w:rPr>
          <w:rFonts w:ascii="宋体" w:hAnsi="宋体"/>
          <w:color w:val="auto"/>
          <w:sz w:val="24"/>
          <w:highlight w:val="none"/>
        </w:rPr>
      </w:pPr>
      <w:r>
        <w:rPr>
          <w:rFonts w:hint="eastAsia" w:ascii="宋体" w:hAnsi="宋体"/>
          <w:color w:val="auto"/>
          <w:sz w:val="24"/>
          <w:highlight w:val="none"/>
        </w:rPr>
        <w:t>4.2本项目采用资格后审方式。</w:t>
      </w:r>
    </w:p>
    <w:p w14:paraId="5C97DC87">
      <w:pPr>
        <w:tabs>
          <w:tab w:val="left" w:pos="7513"/>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w:t>
      </w:r>
      <w:r>
        <w:rPr>
          <w:rFonts w:ascii="宋体" w:hAnsi="宋体"/>
          <w:b/>
          <w:bCs/>
          <w:color w:val="auto"/>
          <w:szCs w:val="21"/>
          <w:highlight w:val="none"/>
        </w:rPr>
        <w:t>1</w:t>
      </w:r>
      <w:r>
        <w:rPr>
          <w:rFonts w:hint="eastAsia" w:ascii="宋体" w:hAnsi="宋体"/>
          <w:b/>
          <w:bCs/>
          <w:color w:val="auto"/>
          <w:szCs w:val="21"/>
          <w:highlight w:val="none"/>
        </w:rPr>
        <w:t>）电子招投标操作流程详见广州公共资源交易中心网站发布的最新版操作指引。</w:t>
      </w:r>
    </w:p>
    <w:p w14:paraId="6110A859">
      <w:pPr>
        <w:tabs>
          <w:tab w:val="left" w:pos="7513"/>
        </w:tabs>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2</w:t>
      </w:r>
      <w:r>
        <w:rPr>
          <w:rFonts w:hint="eastAsia" w:ascii="宋体" w:hAnsi="宋体"/>
          <w:b/>
          <w:bCs/>
          <w:color w:val="auto"/>
          <w:szCs w:val="21"/>
          <w:highlight w:val="none"/>
        </w:rPr>
        <w:t>）本公告发布之日起开始登记，</w:t>
      </w:r>
      <w:r>
        <w:rPr>
          <w:rFonts w:ascii="宋体" w:hAnsi="宋体"/>
          <w:b/>
          <w:bCs/>
          <w:color w:val="auto"/>
          <w:szCs w:val="21"/>
          <w:highlight w:val="none"/>
        </w:rPr>
        <w:t>并从</w:t>
      </w:r>
      <w:r>
        <w:rPr>
          <w:rFonts w:hint="eastAsia" w:ascii="宋体" w:hAnsi="宋体"/>
          <w:b/>
          <w:bCs/>
          <w:color w:val="auto"/>
          <w:szCs w:val="21"/>
          <w:highlight w:val="none"/>
        </w:rPr>
        <w:t>开始登记</w:t>
      </w:r>
      <w:r>
        <w:rPr>
          <w:rFonts w:ascii="宋体" w:hAnsi="宋体"/>
          <w:b/>
          <w:bCs/>
          <w:color w:val="auto"/>
          <w:szCs w:val="21"/>
          <w:highlight w:val="none"/>
        </w:rPr>
        <w:t>之日起开始计算备标时间。</w:t>
      </w:r>
    </w:p>
    <w:p w14:paraId="4B9CD2C8">
      <w:pPr>
        <w:shd w:val="clear" w:color="auto" w:fill="FFFFFF"/>
        <w:spacing w:line="360" w:lineRule="auto"/>
        <w:ind w:firstLine="537" w:firstLineChars="224"/>
        <w:rPr>
          <w:rFonts w:ascii="宋体" w:hAnsi="宋体"/>
          <w:color w:val="auto"/>
          <w:sz w:val="24"/>
          <w:highlight w:val="none"/>
        </w:rPr>
      </w:pPr>
      <w:r>
        <w:rPr>
          <w:rFonts w:hint="eastAsia" w:ascii="宋体" w:hAnsi="宋体"/>
          <w:color w:val="auto"/>
          <w:sz w:val="24"/>
          <w:highlight w:val="none"/>
        </w:rPr>
        <w:t>4.3潜在投标人或利害关系人对本招标公告及招标文件有异议的，应当在投标截止时间10日前向招标人书面提出。</w:t>
      </w:r>
    </w:p>
    <w:p w14:paraId="0AF9BDFC">
      <w:pPr>
        <w:shd w:val="clear" w:color="auto" w:fill="FFFFFF"/>
        <w:spacing w:line="360" w:lineRule="auto"/>
        <w:ind w:firstLine="537" w:firstLineChars="224"/>
        <w:rPr>
          <w:rFonts w:ascii="宋体" w:hAnsi="宋体" w:cs="宋体"/>
          <w:color w:val="auto"/>
          <w:kern w:val="0"/>
          <w:sz w:val="24"/>
          <w:szCs w:val="24"/>
          <w:highlight w:val="none"/>
        </w:rPr>
      </w:pPr>
      <w:r>
        <w:rPr>
          <w:rFonts w:hint="eastAsia" w:ascii="宋体" w:hAnsi="宋体" w:cs="宋体"/>
          <w:color w:val="auto"/>
          <w:kern w:val="0"/>
          <w:sz w:val="24"/>
          <w:szCs w:val="24"/>
          <w:highlight w:val="none"/>
        </w:rPr>
        <w:t>异议受理部门：</w:t>
      </w:r>
      <w:r>
        <w:rPr>
          <w:rFonts w:hint="eastAsia" w:ascii="宋体" w:hAnsi="宋体" w:cs="宋体"/>
          <w:color w:val="auto"/>
          <w:kern w:val="0"/>
          <w:sz w:val="24"/>
          <w:szCs w:val="24"/>
          <w:highlight w:val="none"/>
          <w:u w:val="single"/>
        </w:rPr>
        <w:t>广州市番禺区基本建设投资管理中心</w:t>
      </w:r>
    </w:p>
    <w:p w14:paraId="03112F07">
      <w:pPr>
        <w:widowControl/>
        <w:shd w:val="clear" w:color="auto" w:fill="FFFFFF"/>
        <w:spacing w:line="360" w:lineRule="auto"/>
        <w:ind w:firstLine="537" w:firstLineChars="224"/>
        <w:jc w:val="left"/>
        <w:rPr>
          <w:rFonts w:ascii="宋体" w:hAnsi="宋体"/>
          <w:color w:val="auto"/>
          <w:sz w:val="24"/>
          <w:szCs w:val="24"/>
          <w:highlight w:val="none"/>
          <w:u w:val="single"/>
        </w:rPr>
      </w:pPr>
      <w:r>
        <w:rPr>
          <w:rFonts w:hint="eastAsia" w:ascii="宋体" w:hAnsi="宋体" w:cs="宋体"/>
          <w:color w:val="auto"/>
          <w:kern w:val="0"/>
          <w:sz w:val="24"/>
          <w:szCs w:val="24"/>
          <w:highlight w:val="none"/>
        </w:rPr>
        <w:t>异议受理电话：</w:t>
      </w:r>
      <w:r>
        <w:rPr>
          <w:rFonts w:ascii="宋体" w:hAnsi="宋体"/>
          <w:color w:val="auto"/>
          <w:sz w:val="24"/>
          <w:szCs w:val="24"/>
          <w:highlight w:val="none"/>
          <w:u w:val="single"/>
        </w:rPr>
        <w:t>020-84612339</w:t>
      </w:r>
    </w:p>
    <w:p w14:paraId="247405B3">
      <w:pPr>
        <w:widowControl/>
        <w:shd w:val="clear" w:color="auto" w:fill="FFFFFF"/>
        <w:spacing w:line="360" w:lineRule="auto"/>
        <w:ind w:firstLine="537" w:firstLineChars="224"/>
        <w:jc w:val="left"/>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地址：</w:t>
      </w:r>
      <w:r>
        <w:rPr>
          <w:rFonts w:hint="eastAsia" w:ascii="宋体" w:hAnsi="宋体" w:cs="宋体"/>
          <w:color w:val="auto"/>
          <w:kern w:val="0"/>
          <w:sz w:val="24"/>
          <w:szCs w:val="24"/>
          <w:highlight w:val="none"/>
          <w:u w:val="single"/>
        </w:rPr>
        <w:t>广州市番禺区清河东路319号西副楼六楼</w:t>
      </w:r>
    </w:p>
    <w:p w14:paraId="103D9FB2">
      <w:pPr>
        <w:widowControl/>
        <w:shd w:val="clear" w:color="auto" w:fill="FFFFFF"/>
        <w:spacing w:line="360" w:lineRule="auto"/>
        <w:ind w:firstLine="472" w:firstLineChars="224"/>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2B44AFF8">
      <w:pPr>
        <w:widowControl/>
        <w:shd w:val="clear" w:color="auto" w:fill="FFFFFF"/>
        <w:spacing w:line="360" w:lineRule="auto"/>
        <w:ind w:firstLine="537" w:firstLineChars="224"/>
        <w:jc w:val="left"/>
        <w:rPr>
          <w:rFonts w:ascii="宋体" w:hAnsi="宋体" w:cs="宋体"/>
          <w:color w:val="auto"/>
          <w:kern w:val="0"/>
          <w:sz w:val="24"/>
          <w:szCs w:val="24"/>
          <w:highlight w:val="none"/>
          <w:u w:val="single"/>
        </w:rPr>
      </w:pPr>
    </w:p>
    <w:p w14:paraId="04F5ADA8">
      <w:pPr>
        <w:pStyle w:val="3"/>
        <w:keepNext w:val="0"/>
        <w:keepLines w:val="0"/>
        <w:spacing w:before="0" w:after="0" w:line="360" w:lineRule="auto"/>
        <w:rPr>
          <w:rFonts w:ascii="Times New Roman" w:hAnsi="Times New Roman"/>
          <w:color w:val="auto"/>
          <w:highlight w:val="none"/>
        </w:rPr>
      </w:pPr>
      <w:bookmarkStart w:id="8" w:name="_Toc511557029"/>
      <w:bookmarkStart w:id="9" w:name="_Toc514099627"/>
      <w:r>
        <w:rPr>
          <w:rFonts w:hint="eastAsia" w:ascii="Times New Roman" w:hAnsi="Times New Roman"/>
          <w:color w:val="auto"/>
          <w:highlight w:val="none"/>
        </w:rPr>
        <w:t>5</w:t>
      </w:r>
      <w:r>
        <w:rPr>
          <w:rFonts w:ascii="Times New Roman" w:hAnsi="Times New Roman"/>
          <w:color w:val="auto"/>
          <w:highlight w:val="none"/>
        </w:rPr>
        <w:t xml:space="preserve">. </w:t>
      </w:r>
      <w:r>
        <w:rPr>
          <w:rFonts w:hint="eastAsia" w:ascii="Times New Roman" w:hAnsi="Times New Roman"/>
          <w:color w:val="auto"/>
          <w:highlight w:val="none"/>
        </w:rPr>
        <w:t>投标文件的递交</w:t>
      </w:r>
      <w:bookmarkEnd w:id="8"/>
      <w:bookmarkEnd w:id="9"/>
    </w:p>
    <w:p w14:paraId="3F983935">
      <w:pPr>
        <w:spacing w:line="360" w:lineRule="auto"/>
        <w:ind w:firstLine="448" w:firstLineChars="187"/>
        <w:jc w:val="left"/>
        <w:rPr>
          <w:rFonts w:ascii="宋体" w:hAnsi="宋体"/>
          <w:color w:val="auto"/>
          <w:sz w:val="24"/>
          <w:szCs w:val="24"/>
          <w:highlight w:val="none"/>
        </w:rPr>
      </w:pPr>
      <w:r>
        <w:rPr>
          <w:rFonts w:ascii="宋体" w:hAnsi="宋体"/>
          <w:color w:val="auto"/>
          <w:sz w:val="24"/>
          <w:szCs w:val="24"/>
          <w:highlight w:val="none"/>
        </w:rPr>
        <w:t>5.1投标文件递交的截止时间（投标截止时间，下同）为</w:t>
      </w:r>
      <w:r>
        <w:rPr>
          <w:rFonts w:hint="eastAsia" w:ascii="宋体" w:hAnsi="宋体"/>
          <w:color w:val="auto"/>
          <w:sz w:val="24"/>
          <w:szCs w:val="24"/>
          <w:highlight w:val="none"/>
          <w:u w:val="single"/>
        </w:rPr>
        <w:t>2025</w:t>
      </w:r>
      <w:r>
        <w:rPr>
          <w:rFonts w:ascii="宋体" w:hAnsi="宋体"/>
          <w:color w:val="auto"/>
          <w:sz w:val="24"/>
          <w:szCs w:val="24"/>
          <w:highlight w:val="none"/>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rPr>
        <w:t>月</w:t>
      </w:r>
      <w:r>
        <w:rPr>
          <w:rFonts w:hint="eastAsia" w:ascii="宋体" w:hAnsi="宋体"/>
          <w:color w:val="auto"/>
          <w:sz w:val="24"/>
          <w:highlight w:val="none"/>
          <w:u w:val="single"/>
          <w:lang w:val="en-US" w:eastAsia="zh-CN"/>
        </w:rPr>
        <w:t>22</w:t>
      </w:r>
      <w:r>
        <w:rPr>
          <w:rFonts w:hint="eastAsia" w:ascii="宋体" w:hAnsi="宋体"/>
          <w:color w:val="auto"/>
          <w:sz w:val="24"/>
          <w:highlight w:val="non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rPr>
        <w:t>时</w:t>
      </w:r>
      <w:r>
        <w:rPr>
          <w:rFonts w:hint="eastAsia" w:ascii="宋体" w:hAnsi="宋体"/>
          <w:color w:val="auto"/>
          <w:sz w:val="24"/>
          <w:highlight w:val="none"/>
          <w:u w:val="single"/>
        </w:rPr>
        <w:t>00</w:t>
      </w:r>
      <w:r>
        <w:rPr>
          <w:rFonts w:hint="eastAsia" w:ascii="宋体" w:hAnsi="宋体"/>
          <w:color w:val="auto"/>
          <w:sz w:val="24"/>
          <w:highlight w:val="none"/>
        </w:rPr>
        <w:t>分</w:t>
      </w:r>
      <w:r>
        <w:rPr>
          <w:rFonts w:ascii="宋体" w:hAnsi="宋体"/>
          <w:color w:val="auto"/>
          <w:sz w:val="24"/>
          <w:szCs w:val="24"/>
          <w:highlight w:val="none"/>
        </w:rPr>
        <w:t>，投标人应在截止时间前通过</w:t>
      </w:r>
      <w:r>
        <w:rPr>
          <w:rFonts w:hint="eastAsia" w:ascii="宋体" w:hAnsi="宋体"/>
          <w:color w:val="auto"/>
          <w:sz w:val="24"/>
          <w:szCs w:val="24"/>
          <w:highlight w:val="none"/>
          <w:u w:val="single"/>
        </w:rPr>
        <w:t>广州公共资源交易中心数字交易平台（网址：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w:t>
      </w:r>
      <w:r>
        <w:rPr>
          <w:rFonts w:ascii="宋体" w:hAnsi="宋体"/>
          <w:color w:val="auto"/>
          <w:sz w:val="24"/>
          <w:szCs w:val="24"/>
          <w:highlight w:val="none"/>
        </w:rPr>
        <w:t>递交电子投标文件。</w:t>
      </w:r>
    </w:p>
    <w:p w14:paraId="5FC23DCC">
      <w:pPr>
        <w:spacing w:line="360" w:lineRule="auto"/>
        <w:ind w:left="239" w:leftChars="114" w:firstLine="208" w:firstLineChars="87"/>
        <w:jc w:val="left"/>
        <w:rPr>
          <w:rFonts w:ascii="宋体" w:hAnsi="宋体"/>
          <w:color w:val="auto"/>
          <w:sz w:val="24"/>
          <w:szCs w:val="24"/>
          <w:highlight w:val="none"/>
        </w:rPr>
      </w:pPr>
      <w:r>
        <w:rPr>
          <w:rFonts w:hint="eastAsia" w:ascii="宋体" w:hAnsi="宋体"/>
          <w:color w:val="auto"/>
          <w:sz w:val="24"/>
          <w:szCs w:val="24"/>
          <w:highlight w:val="none"/>
        </w:rPr>
        <w:t>5.2投标文件备用光盘递交时间为</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szCs w:val="24"/>
          <w:highlight w:val="none"/>
          <w:u w:val="single"/>
          <w:lang w:val="en-US" w:eastAsia="zh-CN"/>
        </w:rPr>
        <w:t>5</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22</w:t>
      </w:r>
      <w:r>
        <w:rPr>
          <w:rFonts w:hint="eastAsia" w:ascii="宋体" w:hAnsi="宋体"/>
          <w:color w:val="auto"/>
          <w:sz w:val="24"/>
          <w:szCs w:val="24"/>
          <w:highlight w:val="none"/>
        </w:rPr>
        <w:t>日</w:t>
      </w:r>
      <w:r>
        <w:rPr>
          <w:rFonts w:hint="eastAsia" w:ascii="宋体" w:hAnsi="宋体"/>
          <w:color w:val="auto"/>
          <w:sz w:val="24"/>
          <w:szCs w:val="24"/>
          <w:highlight w:val="none"/>
          <w:u w:val="single"/>
          <w:lang w:val="en-US" w:eastAsia="zh-CN"/>
        </w:rPr>
        <w:t>9</w:t>
      </w:r>
      <w:r>
        <w:rPr>
          <w:rFonts w:hint="eastAsia" w:ascii="宋体" w:hAnsi="宋体"/>
          <w:color w:val="auto"/>
          <w:sz w:val="24"/>
          <w:szCs w:val="24"/>
          <w:highlight w:val="none"/>
        </w:rPr>
        <w:t>时</w:t>
      </w:r>
      <w:r>
        <w:rPr>
          <w:rFonts w:hint="eastAsia" w:ascii="宋体" w:hAnsi="宋体"/>
          <w:color w:val="auto"/>
          <w:sz w:val="24"/>
          <w:szCs w:val="24"/>
          <w:highlight w:val="none"/>
          <w:u w:val="single"/>
          <w:lang w:val="en-US" w:eastAsia="zh-CN"/>
        </w:rPr>
        <w:t>45</w:t>
      </w:r>
      <w:r>
        <w:rPr>
          <w:rFonts w:hint="eastAsia" w:ascii="宋体" w:hAnsi="宋体"/>
          <w:color w:val="auto"/>
          <w:sz w:val="24"/>
          <w:szCs w:val="24"/>
          <w:highlight w:val="none"/>
        </w:rPr>
        <w:t>分至</w:t>
      </w:r>
      <w:r>
        <w:rPr>
          <w:rFonts w:hint="eastAsia" w:ascii="宋体" w:hAnsi="宋体"/>
          <w:color w:val="auto"/>
          <w:sz w:val="24"/>
          <w:szCs w:val="24"/>
          <w:highlight w:val="none"/>
          <w:u w:val="single"/>
        </w:rPr>
        <w:t>2025</w:t>
      </w:r>
      <w:r>
        <w:rPr>
          <w:rFonts w:hint="eastAsia" w:ascii="宋体" w:hAnsi="宋体"/>
          <w:color w:val="auto"/>
          <w:sz w:val="24"/>
          <w:szCs w:val="24"/>
          <w:highlight w:val="none"/>
        </w:rPr>
        <w:t>年</w:t>
      </w:r>
      <w:r>
        <w:rPr>
          <w:rFonts w:hint="eastAsia" w:ascii="宋体" w:hAnsi="宋体"/>
          <w:color w:val="auto"/>
          <w:sz w:val="24"/>
          <w:highlight w:val="none"/>
          <w:u w:val="single"/>
          <w:lang w:val="en-US" w:eastAsia="zh-CN"/>
        </w:rPr>
        <w:t>5</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22</w:t>
      </w:r>
      <w:r>
        <w:rPr>
          <w:rFonts w:hint="eastAsia" w:ascii="宋体" w:hAnsi="宋体"/>
          <w:color w:val="auto"/>
          <w:sz w:val="24"/>
          <w:highlight w:val="none"/>
        </w:rPr>
        <w:t>日</w:t>
      </w:r>
      <w:r>
        <w:rPr>
          <w:rFonts w:hint="eastAsia" w:ascii="宋体" w:hAnsi="宋体"/>
          <w:color w:val="auto"/>
          <w:sz w:val="24"/>
          <w:highlight w:val="none"/>
          <w:u w:val="single"/>
          <w:lang w:val="en-US" w:eastAsia="zh-CN"/>
        </w:rPr>
        <w:t>10</w:t>
      </w:r>
      <w:r>
        <w:rPr>
          <w:rFonts w:hint="eastAsia" w:ascii="宋体" w:hAnsi="宋体"/>
          <w:color w:val="auto"/>
          <w:sz w:val="24"/>
          <w:highlight w:val="none"/>
        </w:rPr>
        <w:t>时</w:t>
      </w:r>
      <w:r>
        <w:rPr>
          <w:rFonts w:hint="eastAsia" w:ascii="宋体" w:hAnsi="宋体"/>
          <w:color w:val="auto"/>
          <w:sz w:val="24"/>
          <w:highlight w:val="none"/>
          <w:u w:val="single"/>
        </w:rPr>
        <w:t>00</w:t>
      </w:r>
      <w:r>
        <w:rPr>
          <w:rFonts w:hint="eastAsia" w:ascii="宋体" w:hAnsi="宋体"/>
          <w:color w:val="auto"/>
          <w:sz w:val="24"/>
          <w:highlight w:val="none"/>
        </w:rPr>
        <w:t>分</w:t>
      </w:r>
      <w:r>
        <w:rPr>
          <w:rFonts w:hint="eastAsia" w:ascii="宋体" w:hAnsi="宋体"/>
          <w:color w:val="auto"/>
          <w:sz w:val="24"/>
          <w:szCs w:val="24"/>
          <w:highlight w:val="none"/>
        </w:rPr>
        <w:t>，地点为：</w:t>
      </w:r>
      <w:r>
        <w:rPr>
          <w:rFonts w:hint="eastAsia" w:ascii="宋体" w:hAnsi="宋体"/>
          <w:color w:val="auto"/>
          <w:sz w:val="24"/>
          <w:szCs w:val="24"/>
          <w:highlight w:val="none"/>
          <w:u w:val="single"/>
        </w:rPr>
        <w:t>广州公共资源交易中心开标室（具体开标室以交易中心日程安排系统信息为准）</w:t>
      </w:r>
      <w:r>
        <w:rPr>
          <w:rFonts w:hint="eastAsia" w:ascii="宋体" w:hAnsi="宋体"/>
          <w:color w:val="auto"/>
          <w:sz w:val="24"/>
          <w:szCs w:val="24"/>
          <w:highlight w:val="none"/>
        </w:rPr>
        <w:t>。</w:t>
      </w:r>
    </w:p>
    <w:p w14:paraId="000D8AC4">
      <w:pPr>
        <w:spacing w:line="360" w:lineRule="auto"/>
        <w:ind w:firstLine="480" w:firstLineChars="200"/>
        <w:jc w:val="left"/>
        <w:rPr>
          <w:rFonts w:ascii="宋体" w:hAnsi="宋体"/>
          <w:color w:val="auto"/>
          <w:sz w:val="24"/>
          <w:szCs w:val="24"/>
          <w:highlight w:val="none"/>
        </w:rPr>
      </w:pPr>
      <w:r>
        <w:rPr>
          <w:rFonts w:ascii="宋体" w:hAnsi="宋体"/>
          <w:color w:val="auto"/>
          <w:sz w:val="24"/>
          <w:szCs w:val="24"/>
          <w:highlight w:val="none"/>
        </w:rPr>
        <w:t>5.</w:t>
      </w:r>
      <w:r>
        <w:rPr>
          <w:rFonts w:hint="eastAsia" w:ascii="宋体" w:hAnsi="宋体"/>
          <w:color w:val="auto"/>
          <w:sz w:val="24"/>
          <w:szCs w:val="24"/>
          <w:highlight w:val="none"/>
        </w:rPr>
        <w:t>3</w:t>
      </w:r>
      <w:r>
        <w:rPr>
          <w:rFonts w:ascii="宋体" w:hAnsi="宋体"/>
          <w:color w:val="auto"/>
          <w:sz w:val="24"/>
          <w:szCs w:val="24"/>
          <w:highlight w:val="none"/>
        </w:rPr>
        <w:t>逾期送达的投标文件，电子招标投标交易平台将予以拒收。</w:t>
      </w:r>
    </w:p>
    <w:p w14:paraId="4F30163A">
      <w:pPr>
        <w:spacing w:line="360" w:lineRule="auto"/>
        <w:ind w:firstLine="480" w:firstLineChars="200"/>
        <w:jc w:val="left"/>
        <w:rPr>
          <w:rFonts w:ascii="宋体" w:hAnsi="宋体"/>
          <w:color w:val="auto"/>
          <w:sz w:val="24"/>
          <w:szCs w:val="24"/>
          <w:highlight w:val="none"/>
        </w:rPr>
      </w:pPr>
    </w:p>
    <w:p w14:paraId="0D5FB1E5">
      <w:pPr>
        <w:pStyle w:val="3"/>
        <w:keepNext w:val="0"/>
        <w:keepLines w:val="0"/>
        <w:spacing w:before="0" w:after="0" w:line="360" w:lineRule="auto"/>
        <w:rPr>
          <w:rFonts w:ascii="Times New Roman" w:hAnsi="Times New Roman"/>
          <w:color w:val="auto"/>
          <w:highlight w:val="none"/>
        </w:rPr>
      </w:pPr>
      <w:bookmarkStart w:id="10" w:name="_Toc514099628"/>
      <w:bookmarkStart w:id="11" w:name="_Toc511557030"/>
      <w:r>
        <w:rPr>
          <w:rFonts w:hint="eastAsia" w:ascii="Times New Roman" w:hAnsi="Times New Roman"/>
          <w:color w:val="auto"/>
          <w:highlight w:val="none"/>
        </w:rPr>
        <w:t>6</w:t>
      </w:r>
      <w:r>
        <w:rPr>
          <w:rFonts w:ascii="Times New Roman" w:hAnsi="Times New Roman"/>
          <w:color w:val="auto"/>
          <w:highlight w:val="none"/>
        </w:rPr>
        <w:t xml:space="preserve">. </w:t>
      </w:r>
      <w:r>
        <w:rPr>
          <w:rFonts w:hint="eastAsia" w:ascii="Times New Roman" w:hAnsi="Times New Roman"/>
          <w:color w:val="auto"/>
          <w:highlight w:val="none"/>
        </w:rPr>
        <w:t>发布公告的媒介</w:t>
      </w:r>
      <w:bookmarkEnd w:id="10"/>
      <w:bookmarkEnd w:id="11"/>
    </w:p>
    <w:p w14:paraId="71F7A6CA">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本次招标公告同时在</w:t>
      </w:r>
      <w:r>
        <w:rPr>
          <w:rFonts w:hint="eastAsia" w:ascii="宋体" w:hAnsi="宋体"/>
          <w:color w:val="auto"/>
          <w:sz w:val="24"/>
          <w:szCs w:val="24"/>
          <w:highlight w:val="none"/>
          <w:u w:val="single"/>
        </w:rPr>
        <w:t>广州公共资源交易中心网站（网址：</w:t>
      </w:r>
      <w:r>
        <w:rPr>
          <w:rFonts w:ascii="宋体" w:hAnsi="宋体"/>
          <w:color w:val="auto"/>
          <w:sz w:val="24"/>
          <w:szCs w:val="24"/>
          <w:highlight w:val="none"/>
          <w:u w:val="single"/>
        </w:rPr>
        <w:t>http://www.gzggzy.cn</w:t>
      </w:r>
      <w:r>
        <w:rPr>
          <w:rFonts w:hint="eastAsia" w:ascii="宋体" w:hAnsi="宋体"/>
          <w:color w:val="auto"/>
          <w:sz w:val="24"/>
          <w:szCs w:val="24"/>
          <w:highlight w:val="none"/>
          <w:u w:val="single"/>
        </w:rPr>
        <w:t>）、广东省招标投标监管网（网址：</w:t>
      </w:r>
      <w:r>
        <w:rPr>
          <w:rFonts w:ascii="宋体" w:hAnsi="宋体"/>
          <w:color w:val="auto"/>
          <w:sz w:val="24"/>
          <w:szCs w:val="24"/>
          <w:highlight w:val="none"/>
          <w:u w:val="single"/>
        </w:rPr>
        <w:t>http://www.gdzbtb.gov.cn/</w:t>
      </w:r>
      <w:r>
        <w:rPr>
          <w:rFonts w:hint="eastAsia" w:ascii="宋体" w:hAnsi="宋体"/>
          <w:color w:val="auto"/>
          <w:sz w:val="24"/>
          <w:szCs w:val="24"/>
          <w:highlight w:val="none"/>
          <w:u w:val="single"/>
        </w:rPr>
        <w:t>）和中国招标投标公共服务平台（网址：</w:t>
      </w:r>
      <w:r>
        <w:rPr>
          <w:rFonts w:ascii="宋体" w:hAnsi="宋体"/>
          <w:color w:val="auto"/>
          <w:sz w:val="24"/>
          <w:szCs w:val="24"/>
          <w:highlight w:val="none"/>
          <w:u w:val="single"/>
        </w:rPr>
        <w:t>http://www.cebpubservice.com/</w:t>
      </w:r>
      <w:r>
        <w:rPr>
          <w:rFonts w:hint="eastAsia" w:ascii="宋体" w:hAnsi="宋体"/>
          <w:color w:val="auto"/>
          <w:sz w:val="24"/>
          <w:szCs w:val="24"/>
          <w:highlight w:val="none"/>
          <w:u w:val="single"/>
        </w:rPr>
        <w:t>）</w:t>
      </w:r>
      <w:r>
        <w:rPr>
          <w:rFonts w:hint="eastAsia" w:ascii="宋体" w:hAnsi="宋体" w:cs="宋体"/>
          <w:color w:val="auto"/>
          <w:sz w:val="24"/>
          <w:szCs w:val="24"/>
          <w:highlight w:val="none"/>
          <w:u w:val="single"/>
        </w:rPr>
        <w:t>发布，本公告的修改、补充，在广州公共资源交易中心网站</w:t>
      </w:r>
      <w:r>
        <w:rPr>
          <w:rFonts w:ascii="宋体" w:hAnsi="宋体"/>
          <w:color w:val="auto"/>
          <w:sz w:val="24"/>
          <w:szCs w:val="24"/>
          <w:highlight w:val="none"/>
        </w:rPr>
        <w:t>上发布。</w:t>
      </w:r>
    </w:p>
    <w:p w14:paraId="54D4B846">
      <w:pPr>
        <w:spacing w:line="360" w:lineRule="auto"/>
        <w:ind w:firstLine="480" w:firstLineChars="200"/>
        <w:rPr>
          <w:rFonts w:ascii="宋体" w:hAnsi="宋体"/>
          <w:color w:val="auto"/>
          <w:sz w:val="24"/>
          <w:szCs w:val="24"/>
          <w:highlight w:val="none"/>
        </w:rPr>
      </w:pPr>
    </w:p>
    <w:p w14:paraId="63FCA89C">
      <w:pPr>
        <w:pStyle w:val="3"/>
        <w:keepNext w:val="0"/>
        <w:keepLines w:val="0"/>
        <w:spacing w:before="0" w:after="0" w:line="360" w:lineRule="auto"/>
        <w:rPr>
          <w:rFonts w:ascii="Times New Roman" w:hAnsi="Times New Roman"/>
          <w:color w:val="auto"/>
          <w:highlight w:val="none"/>
        </w:rPr>
      </w:pPr>
      <w:bookmarkStart w:id="12" w:name="_Toc514099629"/>
      <w:bookmarkStart w:id="13" w:name="_Toc511557031"/>
      <w:r>
        <w:rPr>
          <w:rFonts w:hint="eastAsia" w:ascii="Times New Roman" w:hAnsi="Times New Roman"/>
          <w:color w:val="auto"/>
          <w:highlight w:val="none"/>
        </w:rPr>
        <w:t>7</w:t>
      </w:r>
      <w:r>
        <w:rPr>
          <w:rFonts w:ascii="Times New Roman" w:hAnsi="Times New Roman"/>
          <w:color w:val="auto"/>
          <w:highlight w:val="none"/>
        </w:rPr>
        <w:t xml:space="preserve"> </w:t>
      </w:r>
      <w:r>
        <w:rPr>
          <w:rFonts w:hint="eastAsia" w:ascii="Times New Roman" w:hAnsi="Times New Roman"/>
          <w:color w:val="auto"/>
          <w:highlight w:val="none"/>
        </w:rPr>
        <w:t>联系方式</w:t>
      </w:r>
      <w:bookmarkEnd w:id="12"/>
      <w:bookmarkEnd w:id="13"/>
    </w:p>
    <w:p w14:paraId="3D2D7AEC">
      <w:pPr>
        <w:spacing w:line="360" w:lineRule="auto"/>
        <w:ind w:left="7198" w:right="480" w:hanging="7197" w:hangingChars="2999"/>
        <w:jc w:val="left"/>
        <w:rPr>
          <w:rFonts w:ascii="宋体" w:hAnsi="宋体"/>
          <w:color w:val="auto"/>
          <w:sz w:val="24"/>
          <w:szCs w:val="24"/>
          <w:highlight w:val="none"/>
          <w:u w:val="single"/>
        </w:rPr>
      </w:pPr>
      <w:bookmarkStart w:id="14" w:name="_Toc300834929"/>
      <w:bookmarkEnd w:id="14"/>
      <w:bookmarkStart w:id="15" w:name="_Toc10785"/>
      <w:bookmarkEnd w:id="15"/>
      <w:bookmarkStart w:id="16" w:name="_Toc361508560"/>
      <w:bookmarkEnd w:id="16"/>
      <w:bookmarkStart w:id="17" w:name="_Toc384308185"/>
      <w:bookmarkEnd w:id="17"/>
      <w:bookmarkStart w:id="18" w:name="_Toc384308187"/>
      <w:bookmarkEnd w:id="18"/>
      <w:bookmarkStart w:id="19" w:name="_Toc247513935"/>
      <w:bookmarkEnd w:id="19"/>
      <w:bookmarkStart w:id="20" w:name="_Toc247513934"/>
      <w:bookmarkEnd w:id="20"/>
      <w:bookmarkStart w:id="21" w:name="_Toc352691456"/>
      <w:bookmarkEnd w:id="21"/>
      <w:bookmarkStart w:id="22" w:name="_Toc300834927"/>
      <w:bookmarkEnd w:id="22"/>
      <w:bookmarkStart w:id="23" w:name="_Toc352691453"/>
      <w:bookmarkEnd w:id="23"/>
      <w:bookmarkStart w:id="24" w:name="_Toc369531497"/>
      <w:bookmarkEnd w:id="24"/>
      <w:bookmarkStart w:id="25" w:name="_Toc152042289"/>
      <w:bookmarkEnd w:id="25"/>
      <w:bookmarkStart w:id="26" w:name="_Toc30817"/>
      <w:bookmarkEnd w:id="26"/>
      <w:bookmarkStart w:id="27" w:name="_Toc384308188"/>
      <w:bookmarkEnd w:id="27"/>
      <w:bookmarkStart w:id="28" w:name="_Toc247527536"/>
      <w:bookmarkEnd w:id="28"/>
      <w:bookmarkStart w:id="29" w:name="_Toc361508562"/>
      <w:bookmarkEnd w:id="29"/>
      <w:bookmarkStart w:id="30" w:name="_Toc17972"/>
      <w:bookmarkEnd w:id="30"/>
      <w:bookmarkStart w:id="31" w:name="_Toc144974481"/>
      <w:bookmarkEnd w:id="31"/>
      <w:bookmarkStart w:id="32" w:name="_Toc369531498"/>
      <w:bookmarkEnd w:id="32"/>
      <w:bookmarkStart w:id="33" w:name="_Toc361508563"/>
      <w:bookmarkEnd w:id="33"/>
      <w:bookmarkStart w:id="34" w:name="_Toc352691455"/>
      <w:bookmarkEnd w:id="34"/>
      <w:bookmarkStart w:id="35" w:name="_Toc144974480"/>
      <w:bookmarkEnd w:id="35"/>
      <w:bookmarkStart w:id="36" w:name="_Toc247527535"/>
      <w:bookmarkEnd w:id="36"/>
      <w:bookmarkStart w:id="37" w:name="_Toc152045513"/>
      <w:bookmarkEnd w:id="37"/>
      <w:bookmarkStart w:id="38" w:name="_Toc369531495"/>
      <w:bookmarkEnd w:id="38"/>
      <w:bookmarkStart w:id="39" w:name="_Toc300834930"/>
      <w:bookmarkEnd w:id="39"/>
      <w:bookmarkStart w:id="40" w:name="_Toc152042288"/>
      <w:bookmarkEnd w:id="40"/>
      <w:bookmarkStart w:id="41" w:name="_Toc152045512"/>
      <w:bookmarkEnd w:id="41"/>
      <w:r>
        <w:rPr>
          <w:rFonts w:ascii="宋体" w:hAnsi="宋体"/>
          <w:color w:val="auto"/>
          <w:sz w:val="24"/>
          <w:szCs w:val="24"/>
          <w:highlight w:val="none"/>
        </w:rPr>
        <w:t>招 标 人：</w:t>
      </w:r>
      <w:r>
        <w:rPr>
          <w:rFonts w:hint="eastAsia" w:ascii="宋体" w:hAnsi="宋体" w:cs="宋体"/>
          <w:color w:val="auto"/>
          <w:kern w:val="0"/>
          <w:sz w:val="24"/>
          <w:szCs w:val="24"/>
          <w:highlight w:val="none"/>
          <w:u w:val="single"/>
        </w:rPr>
        <w:t>广州市番禺区基本建设投资管理中心</w:t>
      </w:r>
    </w:p>
    <w:p w14:paraId="7B38F6A5">
      <w:pPr>
        <w:topLinePunct/>
        <w:spacing w:line="360" w:lineRule="auto"/>
        <w:jc w:val="left"/>
        <w:rPr>
          <w:rFonts w:ascii="宋体" w:hAnsi="宋体" w:cs="宋体"/>
          <w:color w:val="auto"/>
          <w:kern w:val="0"/>
          <w:sz w:val="24"/>
          <w:szCs w:val="24"/>
          <w:highlight w:val="none"/>
          <w:u w:val="single"/>
        </w:rPr>
      </w:pPr>
      <w:r>
        <w:rPr>
          <w:rFonts w:ascii="宋体" w:hAnsi="宋体"/>
          <w:color w:val="auto"/>
          <w:sz w:val="24"/>
          <w:szCs w:val="24"/>
          <w:highlight w:val="none"/>
        </w:rPr>
        <w:t>地    址：</w:t>
      </w:r>
      <w:r>
        <w:rPr>
          <w:rFonts w:hint="eastAsia" w:ascii="宋体" w:hAnsi="宋体" w:cs="宋体"/>
          <w:color w:val="auto"/>
          <w:kern w:val="0"/>
          <w:sz w:val="24"/>
          <w:szCs w:val="24"/>
          <w:highlight w:val="none"/>
          <w:u w:val="single"/>
        </w:rPr>
        <w:t>广州市番禺区清河东路319号西副楼六楼</w:t>
      </w:r>
    </w:p>
    <w:p w14:paraId="6EB1E94E">
      <w:pPr>
        <w:topLinePunct/>
        <w:spacing w:line="360" w:lineRule="auto"/>
        <w:ind w:left="7198" w:right="480" w:hanging="7197" w:hangingChars="2999"/>
        <w:jc w:val="left"/>
        <w:rPr>
          <w:rFonts w:ascii="宋体" w:hAnsi="宋体"/>
          <w:color w:val="auto"/>
          <w:sz w:val="24"/>
          <w:szCs w:val="24"/>
          <w:highlight w:val="none"/>
          <w:u w:val="single"/>
        </w:rPr>
      </w:pPr>
      <w:r>
        <w:rPr>
          <w:rFonts w:ascii="宋体" w:hAnsi="宋体"/>
          <w:color w:val="auto"/>
          <w:sz w:val="24"/>
          <w:szCs w:val="24"/>
          <w:highlight w:val="none"/>
        </w:rPr>
        <w:t>联 系 人：</w:t>
      </w:r>
      <w:r>
        <w:rPr>
          <w:rFonts w:hint="eastAsia" w:ascii="宋体" w:hAnsi="宋体"/>
          <w:color w:val="auto"/>
          <w:sz w:val="24"/>
          <w:szCs w:val="24"/>
          <w:highlight w:val="none"/>
          <w:u w:val="single"/>
        </w:rPr>
        <w:t>周小姐</w:t>
      </w:r>
      <w:r>
        <w:rPr>
          <w:rFonts w:hint="eastAsia" w:ascii="宋体" w:hAnsi="宋体"/>
          <w:color w:val="auto"/>
          <w:sz w:val="24"/>
          <w:szCs w:val="24"/>
          <w:highlight w:val="none"/>
        </w:rPr>
        <w:t xml:space="preserve">       </w:t>
      </w:r>
      <w:r>
        <w:rPr>
          <w:rFonts w:hint="eastAsia" w:ascii="宋体" w:hAnsi="宋体"/>
          <w:color w:val="auto"/>
          <w:sz w:val="24"/>
          <w:szCs w:val="24"/>
          <w:highlight w:val="none"/>
          <w:u w:val="single"/>
        </w:rPr>
        <w:t>电话：020-84612339</w:t>
      </w:r>
    </w:p>
    <w:p w14:paraId="74F28597">
      <w:pPr>
        <w:topLinePunct/>
        <w:spacing w:line="360" w:lineRule="auto"/>
        <w:ind w:left="7198" w:right="480" w:hanging="7197" w:hangingChars="2999"/>
        <w:jc w:val="left"/>
        <w:rPr>
          <w:rFonts w:ascii="宋体" w:hAnsi="宋体"/>
          <w:color w:val="auto"/>
          <w:sz w:val="24"/>
          <w:szCs w:val="24"/>
          <w:highlight w:val="none"/>
        </w:rPr>
      </w:pPr>
      <w:r>
        <w:rPr>
          <w:rFonts w:ascii="宋体" w:hAnsi="宋体"/>
          <w:color w:val="auto"/>
          <w:sz w:val="24"/>
          <w:szCs w:val="24"/>
          <w:highlight w:val="none"/>
        </w:rPr>
        <w:t xml:space="preserve">邮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编：</w:t>
      </w:r>
      <w:r>
        <w:rPr>
          <w:rFonts w:hint="eastAsia" w:ascii="宋体" w:hAnsi="宋体"/>
          <w:color w:val="auto"/>
          <w:sz w:val="24"/>
          <w:szCs w:val="24"/>
          <w:highlight w:val="none"/>
          <w:u w:val="single"/>
        </w:rPr>
        <w:t>511400</w:t>
      </w:r>
    </w:p>
    <w:p w14:paraId="60FB4281">
      <w:pPr>
        <w:topLinePunct/>
        <w:spacing w:line="360" w:lineRule="auto"/>
        <w:ind w:left="120" w:right="360" w:hanging="120" w:hangingChars="50"/>
        <w:jc w:val="left"/>
        <w:rPr>
          <w:rFonts w:ascii="宋体" w:hAnsi="宋体"/>
          <w:color w:val="auto"/>
          <w:sz w:val="24"/>
          <w:szCs w:val="24"/>
          <w:highlight w:val="none"/>
        </w:rPr>
      </w:pPr>
      <w:r>
        <w:rPr>
          <w:rFonts w:hint="eastAsia" w:ascii="宋体" w:hAnsi="宋体"/>
          <w:color w:val="auto"/>
          <w:sz w:val="24"/>
          <w:szCs w:val="24"/>
          <w:highlight w:val="none"/>
        </w:rPr>
        <w:t xml:space="preserve">    </w:t>
      </w:r>
    </w:p>
    <w:p w14:paraId="51624E11">
      <w:pPr>
        <w:spacing w:line="360" w:lineRule="auto"/>
        <w:ind w:right="360"/>
        <w:jc w:val="left"/>
        <w:rPr>
          <w:rFonts w:hint="eastAsia" w:ascii="宋体" w:hAnsi="宋体" w:eastAsia="宋体" w:cs="宋体"/>
          <w:color w:val="auto"/>
          <w:sz w:val="24"/>
          <w:szCs w:val="24"/>
          <w:highlight w:val="none"/>
          <w:u w:val="single"/>
          <w:lang w:eastAsia="zh-CN"/>
        </w:rPr>
      </w:pPr>
      <w:r>
        <w:rPr>
          <w:rFonts w:ascii="宋体" w:hAnsi="宋体"/>
          <w:color w:val="auto"/>
          <w:sz w:val="24"/>
          <w:szCs w:val="24"/>
          <w:highlight w:val="none"/>
        </w:rPr>
        <w:t>招标代理机构：</w:t>
      </w:r>
      <w:r>
        <w:rPr>
          <w:rFonts w:hint="eastAsia" w:ascii="宋体" w:hAnsi="宋体"/>
          <w:color w:val="auto"/>
          <w:sz w:val="24"/>
          <w:szCs w:val="24"/>
          <w:highlight w:val="none"/>
          <w:u w:val="single"/>
          <w:lang w:eastAsia="zh-CN"/>
        </w:rPr>
        <w:t>广东粤能工程管理有限公司</w:t>
      </w:r>
    </w:p>
    <w:p w14:paraId="6250DA0B">
      <w:pPr>
        <w:topLinePunct/>
        <w:spacing w:line="360" w:lineRule="auto"/>
        <w:jc w:val="left"/>
        <w:rPr>
          <w:rFonts w:hint="default" w:ascii="宋体" w:hAnsi="宋体" w:eastAsia="宋体"/>
          <w:color w:val="auto"/>
          <w:sz w:val="24"/>
          <w:szCs w:val="24"/>
          <w:highlight w:val="none"/>
          <w:lang w:val="en-US" w:eastAsia="zh-CN"/>
        </w:rPr>
      </w:pPr>
      <w:r>
        <w:rPr>
          <w:rFonts w:ascii="宋体" w:hAnsi="宋体"/>
          <w:color w:val="auto"/>
          <w:sz w:val="24"/>
          <w:szCs w:val="24"/>
          <w:highlight w:val="none"/>
        </w:rPr>
        <w:t>地    址：</w:t>
      </w:r>
      <w:r>
        <w:rPr>
          <w:rFonts w:hint="eastAsia" w:ascii="宋体" w:hAnsi="宋体" w:cs="宋体"/>
          <w:color w:val="auto"/>
          <w:sz w:val="24"/>
          <w:szCs w:val="24"/>
          <w:highlight w:val="none"/>
          <w:u w:val="single"/>
        </w:rPr>
        <w:t>广州市</w:t>
      </w:r>
      <w:r>
        <w:rPr>
          <w:rFonts w:hint="eastAsia" w:ascii="宋体" w:hAnsi="宋体" w:cs="宋体"/>
          <w:color w:val="auto"/>
          <w:sz w:val="24"/>
          <w:szCs w:val="24"/>
          <w:highlight w:val="none"/>
          <w:u w:val="single"/>
          <w:lang w:val="en-US" w:eastAsia="zh-CN"/>
        </w:rPr>
        <w:t>番禺区南堤东路668号三楼</w:t>
      </w:r>
    </w:p>
    <w:p w14:paraId="5B804C53">
      <w:pPr>
        <w:topLinePunct/>
        <w:spacing w:line="360" w:lineRule="auto"/>
        <w:ind w:left="7486" w:hanging="7485" w:hangingChars="3119"/>
        <w:jc w:val="left"/>
        <w:rPr>
          <w:rFonts w:hint="default" w:ascii="宋体" w:hAnsi="宋体" w:eastAsia="宋体"/>
          <w:color w:val="auto"/>
          <w:sz w:val="24"/>
          <w:szCs w:val="24"/>
          <w:highlight w:val="none"/>
          <w:u w:val="single"/>
          <w:lang w:val="en-US" w:eastAsia="zh-CN"/>
        </w:rPr>
      </w:pPr>
      <w:r>
        <w:rPr>
          <w:rFonts w:ascii="宋体" w:hAnsi="宋体"/>
          <w:color w:val="auto"/>
          <w:sz w:val="24"/>
          <w:szCs w:val="24"/>
          <w:highlight w:val="none"/>
        </w:rPr>
        <w:t>联 系 人：</w:t>
      </w:r>
      <w:r>
        <w:rPr>
          <w:rFonts w:hint="eastAsia" w:ascii="宋体" w:hAnsi="宋体"/>
          <w:color w:val="auto"/>
          <w:sz w:val="24"/>
          <w:szCs w:val="24"/>
          <w:highlight w:val="none"/>
          <w:u w:val="single"/>
          <w:lang w:val="en-US" w:eastAsia="zh-CN"/>
        </w:rPr>
        <w:t>许</w:t>
      </w:r>
      <w:r>
        <w:rPr>
          <w:rFonts w:hint="eastAsia" w:ascii="宋体" w:hAnsi="宋体"/>
          <w:color w:val="auto"/>
          <w:sz w:val="24"/>
          <w:szCs w:val="24"/>
          <w:highlight w:val="none"/>
          <w:u w:val="single"/>
        </w:rPr>
        <w:t>工</w:t>
      </w:r>
      <w:r>
        <w:rPr>
          <w:rFonts w:hint="eastAsia" w:ascii="宋体" w:hAnsi="宋体"/>
          <w:color w:val="auto"/>
          <w:sz w:val="24"/>
          <w:szCs w:val="24"/>
          <w:highlight w:val="none"/>
        </w:rPr>
        <w:t xml:space="preserve">         </w:t>
      </w:r>
      <w:r>
        <w:rPr>
          <w:rFonts w:ascii="宋体" w:hAnsi="宋体"/>
          <w:color w:val="auto"/>
          <w:sz w:val="24"/>
          <w:szCs w:val="24"/>
          <w:highlight w:val="none"/>
        </w:rPr>
        <w:t>电话：</w:t>
      </w:r>
      <w:r>
        <w:rPr>
          <w:rFonts w:hint="eastAsia" w:ascii="宋体" w:hAnsi="宋体"/>
          <w:color w:val="auto"/>
          <w:sz w:val="24"/>
          <w:szCs w:val="24"/>
          <w:highlight w:val="none"/>
          <w:u w:val="single"/>
        </w:rPr>
        <w:t>1</w:t>
      </w:r>
      <w:r>
        <w:rPr>
          <w:rFonts w:hint="eastAsia" w:ascii="宋体" w:hAnsi="宋体"/>
          <w:color w:val="auto"/>
          <w:sz w:val="24"/>
          <w:szCs w:val="24"/>
          <w:highlight w:val="none"/>
          <w:u w:val="single"/>
          <w:lang w:val="en-US" w:eastAsia="zh-CN"/>
        </w:rPr>
        <w:t>3070216361</w:t>
      </w:r>
    </w:p>
    <w:p w14:paraId="5B37D7C1">
      <w:pPr>
        <w:spacing w:line="360" w:lineRule="auto"/>
        <w:ind w:right="480"/>
        <w:rPr>
          <w:rFonts w:hint="default" w:ascii="宋体" w:hAnsi="宋体" w:eastAsia="宋体"/>
          <w:color w:val="auto"/>
          <w:sz w:val="24"/>
          <w:szCs w:val="24"/>
          <w:highlight w:val="none"/>
          <w:u w:val="single"/>
          <w:lang w:val="en-US" w:eastAsia="zh-CN"/>
        </w:rPr>
      </w:pPr>
      <w:r>
        <w:rPr>
          <w:rFonts w:ascii="宋体" w:hAnsi="宋体"/>
          <w:color w:val="auto"/>
          <w:sz w:val="24"/>
          <w:szCs w:val="24"/>
          <w:highlight w:val="none"/>
        </w:rPr>
        <w:t>邮    编：</w:t>
      </w:r>
      <w:r>
        <w:rPr>
          <w:rFonts w:hint="eastAsia" w:ascii="宋体" w:hAnsi="宋体"/>
          <w:color w:val="auto"/>
          <w:sz w:val="24"/>
          <w:szCs w:val="24"/>
          <w:highlight w:val="none"/>
          <w:u w:val="single"/>
        </w:rPr>
        <w:t>51</w:t>
      </w:r>
      <w:r>
        <w:rPr>
          <w:rFonts w:hint="eastAsia" w:ascii="宋体" w:hAnsi="宋体"/>
          <w:color w:val="auto"/>
          <w:sz w:val="24"/>
          <w:szCs w:val="24"/>
          <w:highlight w:val="none"/>
          <w:u w:val="single"/>
          <w:lang w:val="en-US" w:eastAsia="zh-CN"/>
        </w:rPr>
        <w:t>1400</w:t>
      </w:r>
    </w:p>
    <w:p w14:paraId="6A3534A1">
      <w:pPr>
        <w:spacing w:line="360" w:lineRule="auto"/>
        <w:ind w:right="480"/>
        <w:rPr>
          <w:rFonts w:ascii="宋体" w:hAnsi="宋体"/>
          <w:color w:val="auto"/>
          <w:sz w:val="24"/>
          <w:szCs w:val="24"/>
          <w:highlight w:val="none"/>
          <w:u w:val="single"/>
        </w:rPr>
      </w:pPr>
    </w:p>
    <w:p w14:paraId="2910D732">
      <w:pPr>
        <w:spacing w:line="360" w:lineRule="auto"/>
        <w:ind w:right="480"/>
        <w:rPr>
          <w:rFonts w:ascii="宋体" w:hAnsi="宋体" w:cs="宋体"/>
          <w:color w:val="auto"/>
          <w:sz w:val="24"/>
          <w:highlight w:val="none"/>
          <w:u w:val="singl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广州市番禺区基本建设投资管理中心</w:t>
      </w:r>
    </w:p>
    <w:p w14:paraId="36324B7E">
      <w:pPr>
        <w:spacing w:line="360" w:lineRule="auto"/>
        <w:ind w:right="480"/>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kern w:val="0"/>
          <w:sz w:val="24"/>
          <w:szCs w:val="24"/>
          <w:highlight w:val="none"/>
          <w:u w:val="single"/>
        </w:rPr>
        <w:t>广州市番禺区清河东路319号西副楼六楼</w:t>
      </w:r>
    </w:p>
    <w:p w14:paraId="48C0DC9B">
      <w:pPr>
        <w:spacing w:line="360" w:lineRule="auto"/>
        <w:ind w:right="360"/>
        <w:jc w:val="left"/>
        <w:rPr>
          <w:rFonts w:ascii="宋体" w:hAnsi="宋体" w:cs="宋体"/>
          <w:color w:val="auto"/>
          <w:sz w:val="24"/>
          <w:highlight w:val="none"/>
          <w:u w:val="single"/>
        </w:rPr>
      </w:pPr>
      <w:r>
        <w:rPr>
          <w:rFonts w:hint="eastAsia" w:ascii="宋体" w:hAnsi="宋体" w:cs="宋体"/>
          <w:color w:val="auto"/>
          <w:sz w:val="24"/>
          <w:highlight w:val="none"/>
        </w:rPr>
        <w:t>电    话：</w:t>
      </w:r>
      <w:r>
        <w:rPr>
          <w:rFonts w:ascii="宋体" w:hAnsi="宋体"/>
          <w:color w:val="auto"/>
          <w:sz w:val="24"/>
          <w:szCs w:val="24"/>
          <w:highlight w:val="none"/>
          <w:u w:val="single"/>
        </w:rPr>
        <w:t>020-84612339</w:t>
      </w:r>
    </w:p>
    <w:p w14:paraId="790D549B">
      <w:pPr>
        <w:spacing w:line="360" w:lineRule="auto"/>
        <w:ind w:right="360"/>
        <w:jc w:val="left"/>
        <w:rPr>
          <w:rFonts w:ascii="宋体" w:hAnsi="宋体" w:cs="宋体"/>
          <w:color w:val="auto"/>
          <w:sz w:val="24"/>
          <w:highlight w:val="none"/>
          <w:u w:val="single"/>
        </w:rPr>
      </w:pPr>
    </w:p>
    <w:p w14:paraId="24A1D4D0">
      <w:pPr>
        <w:spacing w:line="360" w:lineRule="auto"/>
        <w:ind w:right="360"/>
        <w:jc w:val="left"/>
        <w:rPr>
          <w:rFonts w:ascii="宋体" w:hAnsi="宋体" w:cs="宋体"/>
          <w:color w:val="auto"/>
          <w:sz w:val="24"/>
          <w:highlight w:val="non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广州市番禺区基本建设投资管理中心</w:t>
      </w:r>
    </w:p>
    <w:p w14:paraId="38933BFA">
      <w:pPr>
        <w:spacing w:line="360" w:lineRule="auto"/>
        <w:ind w:right="360"/>
        <w:jc w:val="left"/>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kern w:val="0"/>
          <w:sz w:val="24"/>
          <w:szCs w:val="24"/>
          <w:highlight w:val="none"/>
          <w:u w:val="single"/>
        </w:rPr>
        <w:t>广州市番禺区清河东路319号西副楼六楼</w:t>
      </w:r>
    </w:p>
    <w:p w14:paraId="5448ACCB">
      <w:pPr>
        <w:spacing w:line="360" w:lineRule="auto"/>
        <w:ind w:right="360"/>
        <w:jc w:val="left"/>
        <w:rPr>
          <w:rFonts w:ascii="宋体" w:hAnsi="宋体" w:cs="宋体"/>
          <w:color w:val="auto"/>
          <w:sz w:val="24"/>
          <w:highlight w:val="none"/>
        </w:rPr>
      </w:pPr>
      <w:r>
        <w:rPr>
          <w:rFonts w:hint="eastAsia" w:ascii="宋体" w:hAnsi="宋体" w:cs="宋体"/>
          <w:color w:val="auto"/>
          <w:sz w:val="24"/>
          <w:highlight w:val="none"/>
        </w:rPr>
        <w:t>监管电话：</w:t>
      </w:r>
      <w:r>
        <w:rPr>
          <w:rFonts w:ascii="宋体" w:hAnsi="宋体"/>
          <w:color w:val="auto"/>
          <w:sz w:val="24"/>
          <w:szCs w:val="24"/>
          <w:highlight w:val="none"/>
          <w:u w:val="single"/>
        </w:rPr>
        <w:t>020-84612339</w:t>
      </w:r>
    </w:p>
    <w:p w14:paraId="3222A1AD">
      <w:pPr>
        <w:topLinePunct/>
        <w:spacing w:line="360" w:lineRule="auto"/>
        <w:jc w:val="left"/>
        <w:rPr>
          <w:rFonts w:ascii="宋体" w:hAnsi="宋体" w:cs="宋体"/>
          <w:color w:val="auto"/>
          <w:kern w:val="0"/>
          <w:sz w:val="24"/>
          <w:highlight w:val="none"/>
        </w:rPr>
      </w:pPr>
      <w:r>
        <w:rPr>
          <w:rFonts w:ascii="宋体" w:hAnsi="宋体" w:cs="宋体"/>
          <w:color w:val="auto"/>
          <w:kern w:val="0"/>
          <w:sz w:val="24"/>
          <w:highlight w:val="none"/>
        </w:rPr>
        <w:br w:type="page"/>
      </w:r>
      <w:r>
        <w:rPr>
          <w:rFonts w:hint="eastAsia" w:ascii="宋体" w:hAnsi="宋体" w:cs="宋体"/>
          <w:color w:val="auto"/>
          <w:kern w:val="0"/>
          <w:sz w:val="24"/>
          <w:highlight w:val="none"/>
        </w:rPr>
        <w:t>附件一：</w:t>
      </w:r>
    </w:p>
    <w:p w14:paraId="3322268D">
      <w:pPr>
        <w:widowControl/>
        <w:snapToGrid w:val="0"/>
        <w:spacing w:before="260" w:after="260" w:line="360" w:lineRule="auto"/>
        <w:ind w:right="384"/>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投标人声明</w:t>
      </w:r>
    </w:p>
    <w:p w14:paraId="5741E277">
      <w:pPr>
        <w:shd w:val="clear" w:color="auto" w:fill="FFFFFF"/>
        <w:spacing w:line="360" w:lineRule="auto"/>
        <w:ind w:left="-2" w:leftChars="-1" w:firstLine="1"/>
        <w:rPr>
          <w:rFonts w:ascii="仿宋" w:hAnsi="仿宋" w:eastAsia="仿宋"/>
          <w:color w:val="auto"/>
          <w:sz w:val="32"/>
          <w:szCs w:val="32"/>
          <w:highlight w:val="none"/>
        </w:rPr>
      </w:pPr>
      <w:r>
        <w:rPr>
          <w:rFonts w:hint="eastAsia" w:ascii="宋体" w:hAnsi="宋体" w:cs="宋体"/>
          <w:color w:val="auto"/>
          <w:sz w:val="24"/>
          <w:szCs w:val="24"/>
          <w:highlight w:val="none"/>
          <w:lang w:val="zh-CN"/>
        </w:rPr>
        <w:t>广州市番禺区基本建设投资管理中心</w:t>
      </w:r>
      <w:r>
        <w:rPr>
          <w:rFonts w:hint="eastAsia" w:ascii="仿宋" w:hAnsi="仿宋" w:eastAsia="仿宋"/>
          <w:color w:val="auto"/>
          <w:sz w:val="32"/>
          <w:szCs w:val="32"/>
          <w:highlight w:val="none"/>
        </w:rPr>
        <w:t>：</w:t>
      </w:r>
    </w:p>
    <w:p w14:paraId="62B2A8C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本公司就参加</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投标工作，作出郑重声明：</w:t>
      </w:r>
    </w:p>
    <w:p w14:paraId="0298C5C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一、本公司保证投标资格审查材料及其后提供的一切材料都是真实的，如我司成为本项目中标候选人，我司同意并授权招标人将我司投标文件商务部分文件的所有内容（包括人员、业绩、奖项等资料）进行公开。</w:t>
      </w:r>
    </w:p>
    <w:p w14:paraId="14847A6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二、本公司保证在本项目投标中不与其他单位围标、串标，不出让投标资格，不向招标人或评标委员会成员行贿。</w:t>
      </w:r>
    </w:p>
    <w:p w14:paraId="364A2D80">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三、本公司没有处于被责令停业的状态；没有处于被建设行政主管部门取消投标资格的处罚期内；没有处于财产被接管、冻结、破产的状态；本公司没有在投标登记截止时间前三年内被人民法院判决犯有行贿罪的记录。投标登记截止日期前三年内，本公司没有弄虚作假骗取中标、围标串标行为（以行政主管部门或法院或检察院书面认定为准），本公司没有被人民法院列入失信被执行人名单。在投标登记截止日期前三年内没有建设行政主管部门已书面认定的重大工程质量问题。本公司未在以往工程中因不诚信行为或不充分履约行为被本项目招标人书面拒绝投标; 本公司未被纳入联合惩戒范围；本公司近两年（</w:t>
      </w:r>
      <w:r>
        <w:rPr>
          <w:rFonts w:hint="eastAsia" w:ascii="宋体" w:hAnsi="宋体" w:cs="宋体"/>
          <w:color w:val="auto"/>
          <w:sz w:val="24"/>
          <w:szCs w:val="24"/>
          <w:highlight w:val="none"/>
        </w:rPr>
        <w:t>从2022年1月1日起至投标截止时间止</w:t>
      </w:r>
      <w:r>
        <w:rPr>
          <w:rFonts w:hint="eastAsia" w:ascii="宋体" w:hAnsi="宋体"/>
          <w:color w:val="auto"/>
          <w:sz w:val="24"/>
          <w:szCs w:val="24"/>
          <w:highlight w:val="none"/>
        </w:rPr>
        <w:t>）未因以往检测工作中存在伪造检测数据、出具虚假检测报告的行为被各级建设行政主管部门或市场监督管理部门行政处罚或通报的。</w:t>
      </w:r>
    </w:p>
    <w:p w14:paraId="39B0458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四、本公司不存在招标文件第二章投标人须知第1.4.3项所规定的任何一种情形。</w:t>
      </w:r>
    </w:p>
    <w:p w14:paraId="53B96D73">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 xml:space="preserve">五、本公司不为招标人不具有独立法人资格的附属机构（单位），不存在与招标人存在利害关系且可能影响招标公正性；本公司及其有隶属关系的机构没有参加本项目的设计、前期工作（若本公司为设计、前期工作服务机构参加本次投标，应将本公告发布前完成的工作成果（含电子文件）在招标答疑期间同时提供给所有投标人参考，否则设计、前期参与的服务机构中标无效）、招标文件编写、监理工作；本公司与承担本招标项目代建单位（适用于有代建单位项目）、施工和监理业务的单位没有隶属关系或其他利害关系；本公司与本次招标的招标代理机构没有隶属关系或其他利害关系；本公司与本工程的承包单位以及建筑材料、建筑构配件和设备供应单位没有隶属关系或其他利害关系。 </w:t>
      </w:r>
    </w:p>
    <w:p w14:paraId="7F7784AA">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六、与本公司单位负责人为同一人或者与本公司存在控股、管理关系的其他单位包括</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。（注：本条由投标人如实填写，如有，应列出全部满足招标公告资质要求的相关单位的名称；如无，则填写“无”。）</w:t>
      </w:r>
    </w:p>
    <w:p w14:paraId="775CD7B7">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七、本公司承诺，中标后严格执行安全生产相关管理规定。</w:t>
      </w:r>
    </w:p>
    <w:p w14:paraId="0ED2E5EF">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八、本公司承诺，中标后严格按照合同和招投标文件规定履行义务，并同意招标人将其履行合同、招投标文件义务的履约情况和不诚信行为（包括但不限于由招标人做出的违约责任处理决定等）在招标人网站和建设项目业主网站及其他媒体上公开披露，由此造成的一切损失和不利后果均由本公司自行承担。</w:t>
      </w:r>
    </w:p>
    <w:p w14:paraId="70D277A5">
      <w:pPr>
        <w:spacing w:line="360" w:lineRule="auto"/>
        <w:ind w:firstLine="484" w:firstLineChars="202"/>
        <w:rPr>
          <w:rFonts w:ascii="宋体" w:hAnsi="宋体"/>
          <w:color w:val="auto"/>
          <w:sz w:val="24"/>
          <w:szCs w:val="24"/>
          <w:highlight w:val="none"/>
        </w:rPr>
      </w:pPr>
      <w:r>
        <w:rPr>
          <w:rFonts w:hint="eastAsia" w:ascii="宋体" w:hAnsi="宋体"/>
          <w:color w:val="auto"/>
          <w:sz w:val="24"/>
          <w:szCs w:val="24"/>
          <w:highlight w:val="none"/>
        </w:rPr>
        <w:t>本公司违反上述保证，或本声明陈述与事实不符，经查实，本公司愿意接受公开通报，承担由此带来的法律后果，并自愿停止参加广州市行政辖区内的招标投标活动三个月。</w:t>
      </w:r>
    </w:p>
    <w:p w14:paraId="387C25CB">
      <w:pPr>
        <w:spacing w:line="360" w:lineRule="auto"/>
        <w:ind w:firstLine="484" w:firstLineChars="202"/>
        <w:rPr>
          <w:rFonts w:ascii="宋体" w:hAnsi="宋体"/>
          <w:color w:val="auto"/>
          <w:highlight w:val="none"/>
        </w:rPr>
      </w:pPr>
      <w:r>
        <w:rPr>
          <w:rFonts w:hint="eastAsia" w:ascii="宋体" w:hAnsi="宋体"/>
          <w:color w:val="auto"/>
          <w:sz w:val="24"/>
          <w:szCs w:val="24"/>
          <w:highlight w:val="none"/>
        </w:rPr>
        <w:t>特此声明。</w:t>
      </w:r>
    </w:p>
    <w:p w14:paraId="04775948">
      <w:pPr>
        <w:pStyle w:val="12"/>
        <w:adjustRightInd w:val="0"/>
        <w:snapToGrid w:val="0"/>
        <w:ind w:firstLine="0"/>
        <w:rPr>
          <w:rFonts w:ascii="宋体" w:hAnsi="宋体" w:eastAsia="宋体"/>
          <w:color w:val="auto"/>
          <w:sz w:val="24"/>
          <w:szCs w:val="24"/>
          <w:highlight w:val="none"/>
        </w:rPr>
      </w:pPr>
    </w:p>
    <w:p w14:paraId="5A715E86">
      <w:pPr>
        <w:pStyle w:val="12"/>
        <w:adjustRightInd w:val="0"/>
        <w:snapToGrid w:val="0"/>
        <w:ind w:right="-35" w:firstLine="4819" w:firstLineChars="2008"/>
        <w:jc w:val="left"/>
        <w:rPr>
          <w:rFonts w:ascii="宋体" w:hAnsi="宋体" w:eastAsia="宋体"/>
          <w:color w:val="auto"/>
          <w:sz w:val="24"/>
          <w:szCs w:val="24"/>
          <w:highlight w:val="none"/>
        </w:rPr>
      </w:pPr>
      <w:r>
        <w:rPr>
          <w:rFonts w:hint="eastAsia" w:ascii="宋体" w:hAnsi="宋体" w:eastAsia="宋体"/>
          <w:color w:val="auto"/>
          <w:sz w:val="24"/>
          <w:szCs w:val="24"/>
          <w:highlight w:val="none"/>
        </w:rPr>
        <w:t>投标单位（盖公章）：</w:t>
      </w:r>
    </w:p>
    <w:p w14:paraId="36A65425">
      <w:pPr>
        <w:pStyle w:val="12"/>
        <w:adjustRightInd w:val="0"/>
        <w:snapToGrid w:val="0"/>
        <w:ind w:right="-35" w:firstLine="3832" w:firstLineChars="1597"/>
        <w:jc w:val="left"/>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法定代表人或授权委托人（签字或盖章）：</w:t>
      </w:r>
    </w:p>
    <w:p w14:paraId="5E86776C">
      <w:pPr>
        <w:widowControl/>
        <w:spacing w:line="360" w:lineRule="auto"/>
        <w:jc w:val="center"/>
        <w:rPr>
          <w:rFonts w:ascii="宋体" w:hAnsi="宋体" w:cs="宋体"/>
          <w:b/>
          <w:bCs/>
          <w:color w:val="auto"/>
          <w:kern w:val="0"/>
          <w:szCs w:val="21"/>
          <w:highlight w:val="none"/>
        </w:rPr>
      </w:pPr>
      <w:r>
        <w:rPr>
          <w:rFonts w:hint="eastAsia" w:ascii="宋体" w:hAnsi="宋体"/>
          <w:color w:val="auto"/>
          <w:sz w:val="24"/>
          <w:szCs w:val="24"/>
          <w:highlight w:val="none"/>
        </w:rPr>
        <w:t xml:space="preserve">                       日  期：    年   月   日</w:t>
      </w:r>
    </w:p>
    <w:p w14:paraId="7DD5C9C0">
      <w:pPr>
        <w:widowControl/>
        <w:snapToGrid w:val="0"/>
        <w:spacing w:before="260" w:after="260" w:line="360" w:lineRule="auto"/>
        <w:ind w:right="384"/>
        <w:jc w:val="left"/>
        <w:rPr>
          <w:rFonts w:ascii="宋体" w:hAnsi="宋体"/>
          <w:b/>
          <w:color w:val="auto"/>
          <w:highlight w:val="none"/>
        </w:rPr>
      </w:pPr>
      <w:r>
        <w:rPr>
          <w:rFonts w:ascii="宋体" w:hAnsi="宋体" w:cs="宋体"/>
          <w:color w:val="auto"/>
          <w:sz w:val="24"/>
          <w:szCs w:val="24"/>
          <w:highlight w:val="none"/>
        </w:rPr>
        <w:br w:type="page"/>
      </w:r>
      <w:r>
        <w:rPr>
          <w:rFonts w:hint="eastAsia" w:ascii="宋体" w:hAnsi="宋体"/>
          <w:b/>
          <w:color w:val="auto"/>
          <w:highlight w:val="none"/>
        </w:rPr>
        <w:t>附件二：</w:t>
      </w:r>
    </w:p>
    <w:p w14:paraId="2E924B0B">
      <w:pPr>
        <w:widowControl/>
        <w:snapToGrid w:val="0"/>
        <w:spacing w:before="260" w:after="260" w:line="360" w:lineRule="auto"/>
        <w:ind w:right="384"/>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投标承诺函</w:t>
      </w:r>
    </w:p>
    <w:p w14:paraId="3FEEB381">
      <w:pPr>
        <w:adjustRightInd w:val="0"/>
        <w:snapToGrid w:val="0"/>
        <w:spacing w:line="360" w:lineRule="auto"/>
        <w:jc w:val="center"/>
        <w:rPr>
          <w:rFonts w:ascii="宋体" w:hAnsi="宋体" w:cs="宋体"/>
          <w:b/>
          <w:color w:val="auto"/>
          <w:sz w:val="32"/>
          <w:highlight w:val="none"/>
        </w:rPr>
      </w:pPr>
    </w:p>
    <w:p w14:paraId="7CFD3962">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致：</w:t>
      </w:r>
    </w:p>
    <w:p w14:paraId="76D16CFC">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经认真研究</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的招标公告要求，现郑重承诺：</w:t>
      </w:r>
    </w:p>
    <w:p w14:paraId="517A5BEB">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我方一旦中标，跟本项目相关的施工承包方委托的相关检测业务均不再承接。</w:t>
      </w:r>
    </w:p>
    <w:p w14:paraId="274E032A">
      <w:pP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特此承诺！</w:t>
      </w:r>
    </w:p>
    <w:p w14:paraId="2A42EB5D">
      <w:pPr>
        <w:adjustRightInd w:val="0"/>
        <w:snapToGrid w:val="0"/>
        <w:spacing w:line="360" w:lineRule="auto"/>
        <w:ind w:right="482" w:firstLine="3960" w:firstLineChars="1650"/>
        <w:rPr>
          <w:rFonts w:ascii="宋体" w:hAnsi="宋体" w:cs="宋体"/>
          <w:color w:val="auto"/>
          <w:sz w:val="24"/>
          <w:highlight w:val="none"/>
        </w:rPr>
      </w:pPr>
    </w:p>
    <w:p w14:paraId="08581847">
      <w:pPr>
        <w:adjustRightInd w:val="0"/>
        <w:snapToGrid w:val="0"/>
        <w:spacing w:line="360" w:lineRule="auto"/>
        <w:ind w:right="482" w:firstLine="3960" w:firstLineChars="1650"/>
        <w:rPr>
          <w:rFonts w:ascii="宋体" w:hAnsi="宋体" w:cs="宋体"/>
          <w:color w:val="auto"/>
          <w:sz w:val="24"/>
          <w:highlight w:val="none"/>
        </w:rPr>
      </w:pPr>
    </w:p>
    <w:p w14:paraId="069A3F5B">
      <w:pPr>
        <w:adjustRightInd w:val="0"/>
        <w:snapToGrid w:val="0"/>
        <w:spacing w:line="360" w:lineRule="auto"/>
        <w:ind w:right="482" w:firstLine="3960" w:firstLineChars="1650"/>
        <w:rPr>
          <w:rFonts w:ascii="宋体" w:hAnsi="宋体" w:cs="宋体"/>
          <w:color w:val="auto"/>
          <w:sz w:val="24"/>
          <w:highlight w:val="none"/>
        </w:rPr>
      </w:pPr>
    </w:p>
    <w:p w14:paraId="341022B5">
      <w:pPr>
        <w:wordWrap w:val="0"/>
        <w:spacing w:line="360" w:lineRule="auto"/>
        <w:ind w:firstLine="3240" w:firstLineChars="1350"/>
        <w:jc w:val="right"/>
        <w:rPr>
          <w:rFonts w:ascii="宋体" w:hAnsi="宋体"/>
          <w:color w:val="auto"/>
          <w:sz w:val="24"/>
          <w:highlight w:val="none"/>
        </w:rPr>
      </w:pPr>
      <w:r>
        <w:rPr>
          <w:rFonts w:hint="eastAsia" w:ascii="宋体" w:hAnsi="宋体"/>
          <w:color w:val="auto"/>
          <w:sz w:val="24"/>
          <w:highlight w:val="none"/>
        </w:rPr>
        <w:t>投标申请人：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79A96DDB">
      <w:pPr>
        <w:spacing w:line="360" w:lineRule="auto"/>
        <w:ind w:firstLine="3240" w:firstLineChars="1350"/>
        <w:jc w:val="right"/>
        <w:rPr>
          <w:rFonts w:ascii="宋体" w:hAnsi="宋体"/>
          <w:color w:val="auto"/>
          <w:sz w:val="24"/>
          <w:highlight w:val="none"/>
        </w:rPr>
      </w:pPr>
      <w:r>
        <w:rPr>
          <w:rFonts w:hint="eastAsia" w:ascii="宋体" w:hAnsi="宋体"/>
          <w:color w:val="auto"/>
          <w:sz w:val="24"/>
          <w:highlight w:val="none"/>
        </w:rPr>
        <w:t>法定代表人或其委托代理人：</w:t>
      </w:r>
      <w:r>
        <w:rPr>
          <w:rFonts w:hint="eastAsia" w:ascii="宋体" w:hAnsi="宋体"/>
          <w:color w:val="auto"/>
          <w:sz w:val="24"/>
          <w:highlight w:val="none"/>
          <w:u w:val="single"/>
        </w:rPr>
        <w:t xml:space="preserve">           </w:t>
      </w:r>
      <w:r>
        <w:rPr>
          <w:rFonts w:hint="eastAsia" w:ascii="宋体" w:hAnsi="宋体"/>
          <w:color w:val="auto"/>
          <w:sz w:val="24"/>
          <w:highlight w:val="none"/>
        </w:rPr>
        <w:t>（签字</w:t>
      </w:r>
      <w:r>
        <w:rPr>
          <w:rFonts w:hint="eastAsia"/>
          <w:color w:val="auto"/>
          <w:sz w:val="24"/>
          <w:highlight w:val="none"/>
        </w:rPr>
        <w:t>或盖章</w:t>
      </w:r>
      <w:r>
        <w:rPr>
          <w:rFonts w:hint="eastAsia" w:ascii="宋体" w:hAnsi="宋体"/>
          <w:color w:val="auto"/>
          <w:sz w:val="24"/>
          <w:highlight w:val="none"/>
        </w:rPr>
        <w:t>）</w:t>
      </w:r>
    </w:p>
    <w:p w14:paraId="20A3FC00">
      <w:pPr>
        <w:spacing w:line="360" w:lineRule="auto"/>
        <w:jc w:val="right"/>
        <w:rPr>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5FDF22F2">
      <w:pPr>
        <w:pStyle w:val="12"/>
        <w:ind w:left="-2" w:leftChars="-1" w:firstLine="1"/>
        <w:jc w:val="right"/>
        <w:rPr>
          <w:rFonts w:ascii="宋体" w:hAnsi="宋体" w:eastAsia="宋体" w:cs="宋体"/>
          <w:color w:val="auto"/>
          <w:sz w:val="24"/>
          <w:szCs w:val="24"/>
          <w:highlight w:val="none"/>
        </w:rPr>
      </w:pPr>
    </w:p>
    <w:p w14:paraId="2CBFD57C">
      <w:pPr>
        <w:widowControl/>
        <w:snapToGrid w:val="0"/>
        <w:spacing w:line="360" w:lineRule="auto"/>
        <w:ind w:right="384"/>
        <w:rPr>
          <w:rFonts w:ascii="宋体" w:hAnsi="宋体" w:cs="宋体"/>
          <w:b/>
          <w:bCs/>
          <w:color w:val="auto"/>
          <w:sz w:val="24"/>
          <w:szCs w:val="24"/>
          <w:highlight w:val="none"/>
        </w:rPr>
      </w:pPr>
      <w:r>
        <w:rPr>
          <w:rFonts w:ascii="宋体" w:hAnsi="宋体" w:cs="宋体"/>
          <w:color w:val="auto"/>
          <w:sz w:val="24"/>
          <w:szCs w:val="24"/>
          <w:highlight w:val="none"/>
        </w:rPr>
        <w:br w:type="page"/>
      </w:r>
      <w:r>
        <w:rPr>
          <w:rFonts w:hint="eastAsia" w:ascii="宋体" w:hAnsi="宋体" w:cs="宋体"/>
          <w:b/>
          <w:bCs/>
          <w:color w:val="auto"/>
          <w:sz w:val="24"/>
          <w:szCs w:val="24"/>
          <w:highlight w:val="none"/>
        </w:rPr>
        <w:t>附件三：</w:t>
      </w:r>
      <w:bookmarkStart w:id="42" w:name="_Toc22643"/>
      <w:bookmarkStart w:id="43" w:name="_Toc12111"/>
    </w:p>
    <w:bookmarkEnd w:id="42"/>
    <w:bookmarkEnd w:id="43"/>
    <w:p w14:paraId="2EA4D71D">
      <w:pPr>
        <w:widowControl/>
        <w:snapToGrid w:val="0"/>
        <w:spacing w:after="260" w:line="360" w:lineRule="auto"/>
        <w:ind w:right="386"/>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联合体协议书</w:t>
      </w:r>
    </w:p>
    <w:p w14:paraId="109A541E">
      <w:pPr>
        <w:snapToGrid w:val="0"/>
        <w:spacing w:line="360" w:lineRule="auto"/>
        <w:ind w:firstLine="420" w:firstLineChars="200"/>
        <w:rPr>
          <w:rFonts w:ascii="宋体" w:hAnsi="宋体"/>
          <w:color w:val="auto"/>
          <w:highlight w:val="none"/>
        </w:rPr>
      </w:pPr>
      <w:r>
        <w:rPr>
          <w:rFonts w:hint="eastAsia" w:ascii="宋体" w:hAnsi="宋体"/>
          <w:color w:val="auto"/>
          <w:szCs w:val="21"/>
          <w:highlight w:val="none"/>
          <w:u w:val="single"/>
        </w:rPr>
        <w:t xml:space="preserve">                  </w:t>
      </w:r>
      <w:r>
        <w:rPr>
          <w:rFonts w:hint="eastAsia" w:ascii="宋体" w:hAnsi="宋体"/>
          <w:color w:val="auto"/>
          <w:highlight w:val="none"/>
        </w:rPr>
        <w:t>（联合体所有单位名称）自愿组成</w:t>
      </w:r>
      <w:r>
        <w:rPr>
          <w:rFonts w:hint="eastAsia" w:ascii="宋体" w:hAnsi="宋体"/>
          <w:color w:val="auto"/>
          <w:szCs w:val="21"/>
          <w:highlight w:val="none"/>
          <w:u w:val="single"/>
        </w:rPr>
        <w:t xml:space="preserve">           </w:t>
      </w:r>
      <w:r>
        <w:rPr>
          <w:rFonts w:hint="eastAsia" w:ascii="宋体" w:hAnsi="宋体"/>
          <w:color w:val="auto"/>
          <w:highlight w:val="none"/>
        </w:rPr>
        <w:t>（联合体名称）联合体，共同参加</w:t>
      </w:r>
      <w:r>
        <w:rPr>
          <w:rFonts w:hint="eastAsia" w:ascii="宋体" w:hAnsi="宋体"/>
          <w:color w:val="auto"/>
          <w:szCs w:val="21"/>
          <w:highlight w:val="none"/>
          <w:u w:val="single"/>
        </w:rPr>
        <w:t xml:space="preserve">             </w:t>
      </w:r>
      <w:r>
        <w:rPr>
          <w:rFonts w:hint="eastAsia" w:ascii="宋体" w:hAnsi="宋体"/>
          <w:color w:val="auto"/>
          <w:highlight w:val="none"/>
          <w:u w:val="single"/>
        </w:rPr>
        <w:t xml:space="preserve">（项目名称）      </w:t>
      </w:r>
      <w:r>
        <w:rPr>
          <w:rFonts w:hint="eastAsia" w:ascii="宋体" w:hAnsi="宋体"/>
          <w:color w:val="auto"/>
          <w:highlight w:val="none"/>
        </w:rPr>
        <w:t>招标项目投标。现就联合体投标事宜订立如下协议。</w:t>
      </w:r>
    </w:p>
    <w:p w14:paraId="6A008031">
      <w:pPr>
        <w:snapToGrid w:val="0"/>
        <w:spacing w:line="360" w:lineRule="auto"/>
        <w:ind w:firstLine="420" w:firstLineChars="200"/>
        <w:rPr>
          <w:rFonts w:ascii="宋体" w:hAnsi="宋体"/>
          <w:color w:val="auto"/>
          <w:highlight w:val="none"/>
        </w:rPr>
      </w:pPr>
      <w:r>
        <w:rPr>
          <w:rFonts w:hint="eastAsia" w:ascii="宋体" w:hAnsi="宋体"/>
          <w:color w:val="auto"/>
          <w:highlight w:val="none"/>
        </w:rPr>
        <w:t xml:space="preserve">1. </w:t>
      </w:r>
      <w:r>
        <w:rPr>
          <w:rFonts w:hint="eastAsia" w:ascii="宋体" w:hAnsi="宋体"/>
          <w:color w:val="auto"/>
          <w:szCs w:val="21"/>
          <w:highlight w:val="none"/>
          <w:u w:val="single"/>
        </w:rPr>
        <w:t xml:space="preserve">             </w:t>
      </w:r>
      <w:r>
        <w:rPr>
          <w:rFonts w:hint="eastAsia" w:ascii="宋体" w:hAnsi="宋体"/>
          <w:color w:val="auto"/>
          <w:highlight w:val="none"/>
        </w:rPr>
        <w:t>（某成员单位名称）为</w:t>
      </w:r>
      <w:r>
        <w:rPr>
          <w:rFonts w:hint="eastAsia" w:ascii="宋体" w:hAnsi="宋体"/>
          <w:color w:val="auto"/>
          <w:szCs w:val="21"/>
          <w:highlight w:val="none"/>
          <w:u w:val="single"/>
        </w:rPr>
        <w:t xml:space="preserve">             </w:t>
      </w:r>
      <w:r>
        <w:rPr>
          <w:rFonts w:hint="eastAsia" w:ascii="宋体" w:hAnsi="宋体"/>
          <w:color w:val="auto"/>
          <w:highlight w:val="none"/>
        </w:rPr>
        <w:t>（联合体名称）</w:t>
      </w:r>
      <w:r>
        <w:rPr>
          <w:rFonts w:hint="eastAsia" w:ascii="宋体" w:hAnsi="宋体" w:cs="宋体"/>
          <w:color w:val="auto"/>
          <w:highlight w:val="none"/>
        </w:rPr>
        <w:t>主办方</w:t>
      </w:r>
      <w:r>
        <w:rPr>
          <w:rFonts w:hint="eastAsia" w:ascii="宋体" w:hAnsi="宋体"/>
          <w:color w:val="auto"/>
          <w:highlight w:val="none"/>
        </w:rPr>
        <w:t>。</w:t>
      </w:r>
    </w:p>
    <w:p w14:paraId="58CCB657">
      <w:pPr>
        <w:snapToGrid w:val="0"/>
        <w:spacing w:line="360" w:lineRule="auto"/>
        <w:ind w:firstLine="420" w:firstLineChars="200"/>
        <w:rPr>
          <w:rFonts w:ascii="宋体" w:hAnsi="宋体"/>
          <w:color w:val="auto"/>
          <w:highlight w:val="none"/>
        </w:rPr>
      </w:pPr>
      <w:r>
        <w:rPr>
          <w:rFonts w:hint="eastAsia" w:ascii="宋体" w:hAnsi="宋体"/>
          <w:color w:val="auto"/>
          <w:highlight w:val="none"/>
        </w:rPr>
        <w:t>2. 联合体各成员授权主办方代表联合体参加投标活动，签署文件，提交和接收相关的资料、信息及指示，进行合同谈判活动，负责合同实施阶段的组织和协调工作，以及处理与本招标项目有关的一切事宜。合同价款的支付由联合体主办方统一申报，招标人向联合体主办方支付合同价款。</w:t>
      </w:r>
    </w:p>
    <w:p w14:paraId="6E4A3CA6">
      <w:pPr>
        <w:snapToGrid w:val="0"/>
        <w:spacing w:line="360" w:lineRule="auto"/>
        <w:ind w:firstLine="420" w:firstLineChars="200"/>
        <w:rPr>
          <w:rFonts w:ascii="宋体" w:hAnsi="宋体"/>
          <w:color w:val="auto"/>
          <w:highlight w:val="none"/>
        </w:rPr>
      </w:pPr>
      <w:r>
        <w:rPr>
          <w:rFonts w:hint="eastAsia" w:ascii="宋体" w:hAnsi="宋体"/>
          <w:color w:val="auto"/>
          <w:highlight w:val="none"/>
        </w:rPr>
        <w:t>3. 联合体主办方在本项目中签署的一切文件和处理的一切事宜，联合体各成员均予以承认。联合体各成员将严格按照招标文件、投标文件和合同的要求全面履行义务，并向招标人承担连带责任。</w:t>
      </w:r>
    </w:p>
    <w:p w14:paraId="36B14F17">
      <w:pPr>
        <w:snapToGrid w:val="0"/>
        <w:spacing w:line="360" w:lineRule="auto"/>
        <w:ind w:firstLine="420" w:firstLineChars="200"/>
        <w:rPr>
          <w:rFonts w:ascii="宋体" w:hAnsi="宋体"/>
          <w:color w:val="auto"/>
          <w:szCs w:val="21"/>
          <w:highlight w:val="none"/>
          <w:u w:val="single"/>
        </w:rPr>
      </w:pPr>
      <w:r>
        <w:rPr>
          <w:rFonts w:hint="eastAsia" w:ascii="宋体" w:hAnsi="宋体"/>
          <w:color w:val="auto"/>
          <w:highlight w:val="none"/>
        </w:rPr>
        <w:t>4. 联合体各成员单位内部的职责分工如下：</w:t>
      </w:r>
      <w:r>
        <w:rPr>
          <w:rFonts w:hint="eastAsia" w:ascii="宋体" w:hAnsi="宋体"/>
          <w:color w:val="auto"/>
          <w:szCs w:val="21"/>
          <w:highlight w:val="none"/>
          <w:u w:val="single"/>
        </w:rPr>
        <w:t xml:space="preserve"> </w:t>
      </w:r>
    </w:p>
    <w:p w14:paraId="636AAB75">
      <w:pPr>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①             ：</w:t>
      </w:r>
      <w:r>
        <w:rPr>
          <w:rFonts w:hint="eastAsia" w:ascii="宋体" w:hAnsi="宋体" w:cs="宋体"/>
          <w:color w:val="auto"/>
          <w:highlight w:val="none"/>
        </w:rPr>
        <w:t>为本项目的主办方，具体负责</w:t>
      </w:r>
      <w:r>
        <w:rPr>
          <w:rFonts w:hint="eastAsia" w:ascii="宋体" w:hAnsi="宋体" w:cs="宋体"/>
          <w:color w:val="auto"/>
          <w:highlight w:val="none"/>
          <w:u w:val="single"/>
        </w:rPr>
        <w:t xml:space="preserve">   （项目名称）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highlight w:val="none"/>
          <w:u w:val="single"/>
        </w:rPr>
        <w:t>任务</w:t>
      </w:r>
      <w:r>
        <w:rPr>
          <w:rFonts w:hint="eastAsia" w:ascii="宋体" w:hAnsi="宋体" w:cs="宋体"/>
          <w:color w:val="auto"/>
          <w:highlight w:val="none"/>
        </w:rPr>
        <w:t>，还负责管理的职责。若联合体成员方违约时，主办方应承担连带责任，具体按合同要求。</w:t>
      </w:r>
    </w:p>
    <w:p w14:paraId="75825FA6">
      <w:pPr>
        <w:topLinePunct/>
        <w:spacing w:line="360" w:lineRule="auto"/>
        <w:ind w:firstLine="420" w:firstLineChars="200"/>
        <w:rPr>
          <w:rFonts w:ascii="宋体" w:hAnsi="宋体" w:cs="宋体"/>
          <w:color w:val="auto"/>
          <w:highlight w:val="none"/>
        </w:rPr>
      </w:pPr>
      <w:r>
        <w:rPr>
          <w:rFonts w:hint="eastAsia" w:ascii="宋体" w:hAnsi="宋体" w:cs="宋体"/>
          <w:color w:val="auto"/>
          <w:highlight w:val="none"/>
          <w:u w:val="single"/>
        </w:rPr>
        <w:t>②             ：</w:t>
      </w:r>
      <w:r>
        <w:rPr>
          <w:rFonts w:hint="eastAsia" w:ascii="宋体" w:hAnsi="宋体" w:cs="宋体"/>
          <w:color w:val="auto"/>
          <w:highlight w:val="none"/>
        </w:rPr>
        <w:t>为本项目的成员方，具体负责</w:t>
      </w:r>
      <w:r>
        <w:rPr>
          <w:rFonts w:hint="eastAsia" w:ascii="宋体" w:hAnsi="宋体" w:cs="宋体"/>
          <w:color w:val="auto"/>
          <w:highlight w:val="none"/>
          <w:u w:val="single"/>
        </w:rPr>
        <w:t xml:space="preserve">   （项目名称）   </w:t>
      </w:r>
      <w:r>
        <w:rPr>
          <w:rFonts w:hint="eastAsia" w:ascii="宋体" w:hAnsi="宋体" w:cs="宋体"/>
          <w:color w:val="auto"/>
          <w:highlight w:val="none"/>
        </w:rPr>
        <w:t>的</w:t>
      </w:r>
      <w:r>
        <w:rPr>
          <w:rFonts w:hint="eastAsia" w:ascii="宋体" w:hAnsi="宋体" w:cs="宋体"/>
          <w:color w:val="auto"/>
          <w:highlight w:val="none"/>
          <w:u w:val="single"/>
        </w:rPr>
        <w:t xml:space="preserve">       </w:t>
      </w:r>
      <w:r>
        <w:rPr>
          <w:rFonts w:hint="eastAsia" w:ascii="宋体" w:hAnsi="宋体" w:cs="宋体"/>
          <w:b/>
          <w:color w:val="auto"/>
          <w:highlight w:val="none"/>
          <w:u w:val="single"/>
        </w:rPr>
        <w:t>任务</w:t>
      </w:r>
      <w:r>
        <w:rPr>
          <w:rFonts w:hint="eastAsia" w:ascii="宋体" w:hAnsi="宋体" w:cs="宋体"/>
          <w:color w:val="auto"/>
          <w:highlight w:val="none"/>
        </w:rPr>
        <w:t>，具体按合同要求。</w:t>
      </w:r>
    </w:p>
    <w:p w14:paraId="63D7E98C">
      <w:pPr>
        <w:snapToGrid w:val="0"/>
        <w:spacing w:line="360" w:lineRule="auto"/>
        <w:ind w:firstLine="420" w:firstLineChars="200"/>
        <w:rPr>
          <w:rFonts w:ascii="宋体" w:hAnsi="宋体"/>
          <w:color w:val="auto"/>
          <w:highlight w:val="none"/>
          <w:u w:val="single"/>
        </w:rPr>
      </w:pPr>
      <w:r>
        <w:rPr>
          <w:rFonts w:hint="eastAsia" w:ascii="宋体" w:hAnsi="宋体"/>
          <w:color w:val="auto"/>
          <w:highlight w:val="none"/>
        </w:rPr>
        <w:t>5. 其他。</w:t>
      </w:r>
      <w:r>
        <w:rPr>
          <w:rFonts w:hint="eastAsia" w:ascii="宋体" w:hAnsi="宋体"/>
          <w:color w:val="auto"/>
          <w:highlight w:val="none"/>
          <w:u w:val="single"/>
        </w:rPr>
        <w:t xml:space="preserve">                    </w:t>
      </w:r>
    </w:p>
    <w:p w14:paraId="5A380DC7">
      <w:pPr>
        <w:snapToGrid w:val="0"/>
        <w:spacing w:line="360" w:lineRule="auto"/>
        <w:ind w:firstLine="420" w:firstLineChars="200"/>
        <w:rPr>
          <w:rFonts w:ascii="宋体" w:hAnsi="宋体"/>
          <w:color w:val="auto"/>
          <w:highlight w:val="none"/>
        </w:rPr>
      </w:pPr>
      <w:r>
        <w:rPr>
          <w:rFonts w:hint="eastAsia" w:ascii="宋体" w:hAnsi="宋体"/>
          <w:color w:val="auto"/>
          <w:highlight w:val="none"/>
        </w:rPr>
        <w:t>6.本协议书自所有成员单位法定代表人签字或盖单位章之日起生效，合同履行完毕后自动失效。</w:t>
      </w:r>
    </w:p>
    <w:p w14:paraId="0B2DCE56">
      <w:pPr>
        <w:snapToGrid w:val="0"/>
        <w:spacing w:line="360" w:lineRule="auto"/>
        <w:ind w:firstLine="420" w:firstLineChars="200"/>
        <w:rPr>
          <w:rFonts w:ascii="宋体" w:hAnsi="宋体"/>
          <w:color w:val="auto"/>
          <w:highlight w:val="none"/>
        </w:rPr>
      </w:pPr>
    </w:p>
    <w:p w14:paraId="78167FB3">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联合体主办方名称：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686E127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5D758D19">
      <w:pPr>
        <w:snapToGrid w:val="0"/>
        <w:spacing w:line="360" w:lineRule="auto"/>
        <w:ind w:firstLine="3255" w:firstLineChars="1550"/>
        <w:rPr>
          <w:rFonts w:ascii="宋体" w:hAnsi="宋体"/>
          <w:color w:val="auto"/>
          <w:highlight w:val="none"/>
        </w:rPr>
      </w:pPr>
    </w:p>
    <w:p w14:paraId="1BBB8658">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联合体成员名称：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5A4EA9F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0C99D180">
      <w:pPr>
        <w:snapToGrid w:val="0"/>
        <w:spacing w:line="360" w:lineRule="auto"/>
        <w:ind w:firstLine="3255" w:firstLineChars="1550"/>
        <w:rPr>
          <w:rFonts w:ascii="宋体" w:hAnsi="宋体"/>
          <w:color w:val="auto"/>
          <w:highlight w:val="none"/>
        </w:rPr>
      </w:pPr>
    </w:p>
    <w:p w14:paraId="43D51B50">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联合体成员名称：</w:t>
      </w:r>
      <w:r>
        <w:rPr>
          <w:rFonts w:hint="eastAsia" w:ascii="宋体" w:hAnsi="宋体"/>
          <w:color w:val="auto"/>
          <w:szCs w:val="21"/>
          <w:highlight w:val="none"/>
          <w:u w:val="single"/>
        </w:rPr>
        <w:t xml:space="preserve">                    </w:t>
      </w:r>
      <w:r>
        <w:rPr>
          <w:rFonts w:hint="eastAsia" w:ascii="宋体" w:hAnsi="宋体"/>
          <w:color w:val="auto"/>
          <w:highlight w:val="none"/>
        </w:rPr>
        <w:t>（盖单位章）</w:t>
      </w:r>
    </w:p>
    <w:p w14:paraId="52F63E52">
      <w:pPr>
        <w:snapToGrid w:val="0"/>
        <w:spacing w:line="360" w:lineRule="auto"/>
        <w:ind w:firstLine="3255" w:firstLineChars="1550"/>
        <w:rPr>
          <w:rFonts w:ascii="宋体" w:hAnsi="宋体"/>
          <w:color w:val="auto"/>
          <w:highlight w:val="none"/>
        </w:rPr>
      </w:pPr>
      <w:r>
        <w:rPr>
          <w:rFonts w:hint="eastAsia" w:ascii="宋体" w:hAnsi="宋体"/>
          <w:color w:val="auto"/>
          <w:highlight w:val="none"/>
        </w:rPr>
        <w:t>法定代表人：</w:t>
      </w:r>
      <w:r>
        <w:rPr>
          <w:rFonts w:hint="eastAsia" w:ascii="宋体" w:hAnsi="宋体"/>
          <w:color w:val="auto"/>
          <w:szCs w:val="21"/>
          <w:highlight w:val="none"/>
          <w:u w:val="single"/>
        </w:rPr>
        <w:t xml:space="preserve">         </w:t>
      </w:r>
      <w:r>
        <w:rPr>
          <w:rFonts w:hint="eastAsia" w:ascii="宋体" w:hAnsi="宋体"/>
          <w:color w:val="auto"/>
          <w:highlight w:val="none"/>
        </w:rPr>
        <w:t>（签字或盖章）</w:t>
      </w:r>
    </w:p>
    <w:p w14:paraId="1DE4CC81">
      <w:pPr>
        <w:widowControl/>
        <w:spacing w:line="360" w:lineRule="auto"/>
        <w:jc w:val="left"/>
        <w:rPr>
          <w:rFonts w:ascii="宋体" w:hAnsi="宋体" w:cs="宋体"/>
          <w:color w:val="auto"/>
          <w:sz w:val="24"/>
          <w:szCs w:val="24"/>
          <w:highlight w:val="none"/>
        </w:rPr>
      </w:pPr>
      <w:r>
        <w:rPr>
          <w:rFonts w:hint="eastAsia" w:ascii="宋体" w:hAnsi="宋体" w:cs="宋体"/>
          <w:b/>
          <w:bCs/>
          <w:color w:val="auto"/>
          <w:szCs w:val="21"/>
          <w:highlight w:val="none"/>
          <w:u w:val="single"/>
          <w:lang w:val="zh-CN"/>
        </w:rPr>
        <w:t>注：非联合体投标的，无需提交本协议书。</w:t>
      </w:r>
    </w:p>
    <w:p w14:paraId="5A33FE5B">
      <w:pPr>
        <w:rPr>
          <w:color w:val="auto"/>
          <w:highlight w:val="none"/>
        </w:rPr>
      </w:pPr>
    </w:p>
    <w:sectPr>
      <w:footerReference r:id="rId3" w:type="default"/>
      <w:pgSz w:w="11906" w:h="16838"/>
      <w:pgMar w:top="1440" w:right="1800"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15732">
    <w:pPr>
      <w:pStyle w:val="7"/>
      <w:jc w:val="center"/>
    </w:pPr>
    <w:r>
      <w:fldChar w:fldCharType="begin"/>
    </w:r>
    <w:r>
      <w:instrText xml:space="preserve">PAGE   \* MERGEFORMAT</w:instrText>
    </w:r>
    <w:r>
      <w:fldChar w:fldCharType="separate"/>
    </w:r>
    <w:r>
      <w:rPr>
        <w:lang w:val="zh-CN"/>
      </w:rPr>
      <w:t>1</w:t>
    </w:r>
    <w:r>
      <w:fldChar w:fldCharType="end"/>
    </w:r>
  </w:p>
  <w:p w14:paraId="4BFA5C49">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8F1101"/>
    <w:multiLevelType w:val="singleLevel"/>
    <w:tmpl w:val="2C8F1101"/>
    <w:lvl w:ilvl="0" w:tentative="0">
      <w:start w:val="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MzA2ZDAzMjI2Mzg3ZDdjN2IzMmRjNmU0OWIyNGIifQ=="/>
  </w:docVars>
  <w:rsids>
    <w:rsidRoot w:val="04BC781C"/>
    <w:rsid w:val="000035BA"/>
    <w:rsid w:val="00007DB4"/>
    <w:rsid w:val="00093168"/>
    <w:rsid w:val="00093440"/>
    <w:rsid w:val="000A3BCF"/>
    <w:rsid w:val="000F3F60"/>
    <w:rsid w:val="00106D46"/>
    <w:rsid w:val="00115897"/>
    <w:rsid w:val="00240308"/>
    <w:rsid w:val="00287709"/>
    <w:rsid w:val="002F648D"/>
    <w:rsid w:val="0035377F"/>
    <w:rsid w:val="00353D61"/>
    <w:rsid w:val="003D64E2"/>
    <w:rsid w:val="00495EB3"/>
    <w:rsid w:val="00664DC7"/>
    <w:rsid w:val="00675481"/>
    <w:rsid w:val="0074103C"/>
    <w:rsid w:val="008176A6"/>
    <w:rsid w:val="008824EB"/>
    <w:rsid w:val="00892182"/>
    <w:rsid w:val="00893D07"/>
    <w:rsid w:val="00981E1B"/>
    <w:rsid w:val="00AA5DEB"/>
    <w:rsid w:val="00AC5B4F"/>
    <w:rsid w:val="00AC69B5"/>
    <w:rsid w:val="00C66AB1"/>
    <w:rsid w:val="00D7384B"/>
    <w:rsid w:val="00D90DB0"/>
    <w:rsid w:val="00DF5B58"/>
    <w:rsid w:val="00F01AAF"/>
    <w:rsid w:val="00FD6991"/>
    <w:rsid w:val="00FF732F"/>
    <w:rsid w:val="01141165"/>
    <w:rsid w:val="015772D3"/>
    <w:rsid w:val="0194674A"/>
    <w:rsid w:val="01CC7C92"/>
    <w:rsid w:val="04BC781C"/>
    <w:rsid w:val="062A142B"/>
    <w:rsid w:val="06D33662"/>
    <w:rsid w:val="06D33870"/>
    <w:rsid w:val="073B0A10"/>
    <w:rsid w:val="074B3C28"/>
    <w:rsid w:val="09153CCC"/>
    <w:rsid w:val="097906FF"/>
    <w:rsid w:val="0A5E78F5"/>
    <w:rsid w:val="0AE95411"/>
    <w:rsid w:val="0C5B40EC"/>
    <w:rsid w:val="0C913FB2"/>
    <w:rsid w:val="0CB437FC"/>
    <w:rsid w:val="0DBA3094"/>
    <w:rsid w:val="0DC66D05"/>
    <w:rsid w:val="0ECA37AB"/>
    <w:rsid w:val="0F3550C8"/>
    <w:rsid w:val="10525806"/>
    <w:rsid w:val="106E0FA3"/>
    <w:rsid w:val="107B2FAF"/>
    <w:rsid w:val="10B169D0"/>
    <w:rsid w:val="10CA5CE4"/>
    <w:rsid w:val="11963E18"/>
    <w:rsid w:val="11BF336F"/>
    <w:rsid w:val="124F3A96"/>
    <w:rsid w:val="12B72298"/>
    <w:rsid w:val="148461AA"/>
    <w:rsid w:val="14A57E39"/>
    <w:rsid w:val="155A6AAF"/>
    <w:rsid w:val="17DE3E23"/>
    <w:rsid w:val="18754787"/>
    <w:rsid w:val="18E318D9"/>
    <w:rsid w:val="1946429B"/>
    <w:rsid w:val="19F4792E"/>
    <w:rsid w:val="1AE71241"/>
    <w:rsid w:val="1BF158DB"/>
    <w:rsid w:val="1DA11B7B"/>
    <w:rsid w:val="1DE2466D"/>
    <w:rsid w:val="1EC17CBE"/>
    <w:rsid w:val="1FB77434"/>
    <w:rsid w:val="1FCC2C40"/>
    <w:rsid w:val="1FD04999"/>
    <w:rsid w:val="1FE91D68"/>
    <w:rsid w:val="1FF80C30"/>
    <w:rsid w:val="20DF30E6"/>
    <w:rsid w:val="21A13680"/>
    <w:rsid w:val="227C6712"/>
    <w:rsid w:val="23496F3C"/>
    <w:rsid w:val="24155D87"/>
    <w:rsid w:val="24F609FE"/>
    <w:rsid w:val="256A4F48"/>
    <w:rsid w:val="25E92311"/>
    <w:rsid w:val="26CF1507"/>
    <w:rsid w:val="27C70430"/>
    <w:rsid w:val="288A1B89"/>
    <w:rsid w:val="28C22244"/>
    <w:rsid w:val="2976210D"/>
    <w:rsid w:val="29C15A7E"/>
    <w:rsid w:val="29F86FC6"/>
    <w:rsid w:val="2A9F5694"/>
    <w:rsid w:val="2B5B780D"/>
    <w:rsid w:val="2C1C3440"/>
    <w:rsid w:val="2CAF7ED3"/>
    <w:rsid w:val="2D4F514F"/>
    <w:rsid w:val="2EFA10EB"/>
    <w:rsid w:val="2F2666CA"/>
    <w:rsid w:val="2FE06533"/>
    <w:rsid w:val="30202DD3"/>
    <w:rsid w:val="302723B3"/>
    <w:rsid w:val="3058256D"/>
    <w:rsid w:val="30662EDC"/>
    <w:rsid w:val="325B6344"/>
    <w:rsid w:val="32F6606D"/>
    <w:rsid w:val="33095DA0"/>
    <w:rsid w:val="336851BD"/>
    <w:rsid w:val="33DB38F1"/>
    <w:rsid w:val="361138EA"/>
    <w:rsid w:val="36D36DF1"/>
    <w:rsid w:val="39070FD4"/>
    <w:rsid w:val="39290F4A"/>
    <w:rsid w:val="3BAC5E63"/>
    <w:rsid w:val="3D023E34"/>
    <w:rsid w:val="3FFF47B3"/>
    <w:rsid w:val="400C5122"/>
    <w:rsid w:val="40640ABA"/>
    <w:rsid w:val="40B25CC9"/>
    <w:rsid w:val="414C7ECC"/>
    <w:rsid w:val="421502BE"/>
    <w:rsid w:val="43452E25"/>
    <w:rsid w:val="442962A2"/>
    <w:rsid w:val="445826E4"/>
    <w:rsid w:val="448E4357"/>
    <w:rsid w:val="454848BC"/>
    <w:rsid w:val="45BD7C6C"/>
    <w:rsid w:val="4953791E"/>
    <w:rsid w:val="4A565F4F"/>
    <w:rsid w:val="4A8E6E5F"/>
    <w:rsid w:val="4AB97C54"/>
    <w:rsid w:val="4AE178D7"/>
    <w:rsid w:val="4AE67F03"/>
    <w:rsid w:val="4B0C4228"/>
    <w:rsid w:val="4BBE3774"/>
    <w:rsid w:val="4BCA036B"/>
    <w:rsid w:val="4D3C7046"/>
    <w:rsid w:val="4F2C10C3"/>
    <w:rsid w:val="4F6463E1"/>
    <w:rsid w:val="50416722"/>
    <w:rsid w:val="50E0418D"/>
    <w:rsid w:val="510F6820"/>
    <w:rsid w:val="51D07D5D"/>
    <w:rsid w:val="54C238D1"/>
    <w:rsid w:val="551408A9"/>
    <w:rsid w:val="563A7E9B"/>
    <w:rsid w:val="56D54068"/>
    <w:rsid w:val="571166BB"/>
    <w:rsid w:val="576C0528"/>
    <w:rsid w:val="58223E9A"/>
    <w:rsid w:val="5851771E"/>
    <w:rsid w:val="59D40607"/>
    <w:rsid w:val="59EE16C8"/>
    <w:rsid w:val="5A386DE8"/>
    <w:rsid w:val="5AF251E8"/>
    <w:rsid w:val="5C0F1DCA"/>
    <w:rsid w:val="5CAD5E7D"/>
    <w:rsid w:val="5CB62246"/>
    <w:rsid w:val="5DF23751"/>
    <w:rsid w:val="5FBC3384"/>
    <w:rsid w:val="60AA0313"/>
    <w:rsid w:val="6126362C"/>
    <w:rsid w:val="61330309"/>
    <w:rsid w:val="617526CF"/>
    <w:rsid w:val="619F599E"/>
    <w:rsid w:val="629D0130"/>
    <w:rsid w:val="65384140"/>
    <w:rsid w:val="653C166D"/>
    <w:rsid w:val="65E16585"/>
    <w:rsid w:val="66430FEE"/>
    <w:rsid w:val="6646463A"/>
    <w:rsid w:val="67015A2E"/>
    <w:rsid w:val="67BC081A"/>
    <w:rsid w:val="681542C4"/>
    <w:rsid w:val="68CB0E27"/>
    <w:rsid w:val="6905029A"/>
    <w:rsid w:val="690F51B7"/>
    <w:rsid w:val="69171464"/>
    <w:rsid w:val="69C42446"/>
    <w:rsid w:val="6AE53353"/>
    <w:rsid w:val="6AFE54E3"/>
    <w:rsid w:val="6BFE3BD0"/>
    <w:rsid w:val="6CD9571D"/>
    <w:rsid w:val="6D1F7993"/>
    <w:rsid w:val="6DA560EA"/>
    <w:rsid w:val="6DFD1A82"/>
    <w:rsid w:val="6E4B78E4"/>
    <w:rsid w:val="6F4D6A39"/>
    <w:rsid w:val="6F72024E"/>
    <w:rsid w:val="6F9401C4"/>
    <w:rsid w:val="6F9C52CB"/>
    <w:rsid w:val="6FC211D5"/>
    <w:rsid w:val="71D21478"/>
    <w:rsid w:val="72323CC5"/>
    <w:rsid w:val="726447C6"/>
    <w:rsid w:val="72D52FCE"/>
    <w:rsid w:val="73171838"/>
    <w:rsid w:val="73357F10"/>
    <w:rsid w:val="733A1083"/>
    <w:rsid w:val="73F73418"/>
    <w:rsid w:val="742E508B"/>
    <w:rsid w:val="75BF1D13"/>
    <w:rsid w:val="77F57C6E"/>
    <w:rsid w:val="78C25DA2"/>
    <w:rsid w:val="7AB4796D"/>
    <w:rsid w:val="7B6A2721"/>
    <w:rsid w:val="7BB816DF"/>
    <w:rsid w:val="7CD267D0"/>
    <w:rsid w:val="7CEF1130"/>
    <w:rsid w:val="7D40373A"/>
    <w:rsid w:val="7EF6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next w:val="1"/>
    <w:qFormat/>
    <w:uiPriority w:val="0"/>
    <w:pPr>
      <w:keepNext/>
      <w:keepLines/>
      <w:widowControl w:val="0"/>
      <w:spacing w:before="260" w:after="260" w:line="412" w:lineRule="auto"/>
      <w:jc w:val="both"/>
      <w:outlineLvl w:val="1"/>
    </w:pPr>
    <w:rPr>
      <w:rFonts w:ascii="Arial" w:hAnsi="Arial" w:eastAsia="黑体" w:cs="Times New Roman"/>
      <w:b/>
      <w:sz w:val="3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_Style 3"/>
    <w:qFormat/>
    <w:uiPriority w:val="1"/>
    <w:pPr>
      <w:widowControl w:val="0"/>
      <w:jc w:val="both"/>
    </w:pPr>
    <w:rPr>
      <w:rFonts w:ascii="Calibri" w:hAnsi="Calibri" w:eastAsia="宋体" w:cs="Times New Roman"/>
      <w:kern w:val="2"/>
      <w:sz w:val="21"/>
      <w:szCs w:val="22"/>
      <w:lang w:val="en-US" w:eastAsia="zh-CN" w:bidi="ar-SA"/>
    </w:rPr>
  </w:style>
  <w:style w:type="paragraph" w:styleId="4">
    <w:name w:val="Body Text"/>
    <w:qFormat/>
    <w:uiPriority w:val="0"/>
    <w:pPr>
      <w:widowControl w:val="0"/>
      <w:spacing w:after="120"/>
      <w:jc w:val="both"/>
    </w:pPr>
    <w:rPr>
      <w:rFonts w:ascii="Times New Roman" w:hAnsi="Times New Roman" w:eastAsia="宋体" w:cs="Times New Roman"/>
      <w:lang w:val="en-US" w:eastAsia="zh-CN" w:bidi="ar-SA"/>
    </w:rPr>
  </w:style>
  <w:style w:type="paragraph" w:styleId="5">
    <w:name w:val="Plain Text"/>
    <w:qFormat/>
    <w:uiPriority w:val="0"/>
    <w:pPr>
      <w:widowControl w:val="0"/>
      <w:jc w:val="both"/>
    </w:pPr>
    <w:rPr>
      <w:rFonts w:ascii="宋体" w:hAnsi="Calibri" w:eastAsia="宋体" w:cs="Times New Roman"/>
      <w:kern w:val="2"/>
      <w:sz w:val="21"/>
      <w:szCs w:val="22"/>
      <w:lang w:val="en-US" w:eastAsia="zh-CN" w:bidi="ar-SA"/>
    </w:rPr>
  </w:style>
  <w:style w:type="paragraph" w:styleId="6">
    <w:name w:val="Balloon Text"/>
    <w:basedOn w:val="1"/>
    <w:link w:val="13"/>
    <w:qFormat/>
    <w:uiPriority w:val="0"/>
    <w:rPr>
      <w:sz w:val="18"/>
      <w:szCs w:val="18"/>
    </w:rPr>
  </w:style>
  <w:style w:type="paragraph" w:styleId="7">
    <w:name w:val="footer"/>
    <w:qFormat/>
    <w:uiPriority w:val="0"/>
    <w:pPr>
      <w:widowControl w:val="0"/>
      <w:tabs>
        <w:tab w:val="center" w:pos="4153"/>
        <w:tab w:val="right" w:pos="8306"/>
      </w:tabs>
      <w:snapToGrid w:val="0"/>
    </w:pPr>
    <w:rPr>
      <w:rFonts w:ascii="Times New Roman" w:hAnsi="Times New Roman" w:eastAsia="宋体" w:cs="Times New Roman"/>
      <w:sz w:val="18"/>
      <w:szCs w:val="18"/>
      <w:lang w:val="en-US" w:eastAsia="zh-CN" w:bidi="ar-SA"/>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qFormat/>
    <w:uiPriority w:val="0"/>
    <w:pPr>
      <w:widowControl w:val="0"/>
      <w:spacing w:after="120"/>
      <w:ind w:firstLine="420" w:firstLineChars="100"/>
      <w:jc w:val="both"/>
    </w:pPr>
    <w:rPr>
      <w:rFonts w:ascii="Times New Roman" w:hAnsi="Times New Roman" w:eastAsia="宋体" w:cs="Times New Roman"/>
      <w:kern w:val="2"/>
      <w:sz w:val="21"/>
      <w:szCs w:val="22"/>
      <w:lang w:val="en-US" w:eastAsia="zh-CN" w:bidi="ar-SA"/>
    </w:rPr>
  </w:style>
  <w:style w:type="paragraph" w:customStyle="1" w:styleId="1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character" w:customStyle="1" w:styleId="13">
    <w:name w:val="批注框文本 Char"/>
    <w:basedOn w:val="11"/>
    <w:link w:val="6"/>
    <w:qFormat/>
    <w:uiPriority w:val="0"/>
    <w:rPr>
      <w:rFonts w:ascii="Times New Roman" w:hAnsi="Times New Roman" w:eastAsia="宋体" w:cs="Times New Roman"/>
      <w:kern w:val="2"/>
      <w:sz w:val="18"/>
      <w:szCs w:val="18"/>
    </w:rPr>
  </w:style>
  <w:style w:type="character" w:customStyle="1" w:styleId="14">
    <w:name w:val="页眉 Char"/>
    <w:basedOn w:val="11"/>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6641</Words>
  <Characters>7014</Characters>
  <Lines>59</Lines>
  <Paragraphs>16</Paragraphs>
  <TotalTime>27</TotalTime>
  <ScaleCrop>false</ScaleCrop>
  <LinksUpToDate>false</LinksUpToDate>
  <CharactersWithSpaces>7475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2025-02-05T06:41:00Z</dcterms:created>
  <dc:creator>Administrator</dc:creator>
  <cp:lastModifiedBy>.啦啦.</cp:lastModifiedBy>
  <cp:lastPrinted>2025-03-11T02:03:00Z</cp:lastPrinted>
  <dcterms:modified xsi:type="dcterms:W3CDTF">2025-04-29T02:16:11Z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1F8CBD9AFE5D4F7FB5076818DA9FDB86_11</vt:lpwstr>
  </property>
  <property fmtid="{D5CDD505-2E9C-101B-9397-08002B2CF9AE}" pid="4" name="KSOTemplateDocerSaveRecord">
    <vt:lpwstr>eyJoZGlkIjoiYTMyMmViMDVkODY5YzU5Y2E4YmI2NTQwNDBmNDQ1OTEiLCJ1c2VySWQiOiI0NjIzOTYxNzYifQ==</vt:lpwstr>
  </property>
</Properties>
</file>